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00" w:lineRule="exact"/>
        <w:textAlignment w:val="baseline"/>
        <w:rPr>
          <w:rFonts w:hint="default" w:ascii="Nimbus Roman No9 L" w:hAnsi="Nimbus Roman No9 L" w:eastAsia="黑体" w:cs="Nimbus Roman No9 L"/>
          <w:color w:val="auto"/>
          <w:sz w:val="24"/>
        </w:rPr>
      </w:pPr>
      <w:r>
        <w:rPr>
          <w:rFonts w:hint="default" w:ascii="Nimbus Roman No9 L" w:hAnsi="Nimbus Roman No9 L" w:eastAsia="黑体" w:cs="Nimbus Roman No9 L"/>
          <w:color w:val="auto"/>
          <w:sz w:val="24"/>
        </w:rPr>
        <w:t>县十八届人大</w:t>
      </w:r>
      <w:r>
        <w:rPr>
          <w:rFonts w:hint="default" w:ascii="Nimbus Roman No9 L" w:hAnsi="Nimbus Roman No9 L" w:eastAsia="黑体" w:cs="Nimbus Roman No9 L"/>
          <w:color w:val="auto"/>
          <w:sz w:val="24"/>
          <w:lang w:eastAsia="zh-CN"/>
        </w:rPr>
        <w:t>二</w:t>
      </w:r>
      <w:r>
        <w:rPr>
          <w:rFonts w:hint="default" w:ascii="Nimbus Roman No9 L" w:hAnsi="Nimbus Roman No9 L" w:eastAsia="黑体" w:cs="Nimbus Roman No9 L"/>
          <w:color w:val="auto"/>
          <w:sz w:val="24"/>
        </w:rPr>
        <w:t>次</w:t>
      </w:r>
    </w:p>
    <w:p>
      <w:pPr>
        <w:spacing w:line="300" w:lineRule="exact"/>
        <w:textAlignment w:val="baseline"/>
        <w:rPr>
          <w:rFonts w:hint="eastAsia" w:ascii="Nimbus Roman No9 L" w:hAnsi="Nimbus Roman No9 L" w:eastAsia="黑体" w:cs="Nimbus Roman No9 L"/>
          <w:color w:val="auto"/>
          <w:sz w:val="24"/>
          <w:lang w:eastAsia="zh-CN"/>
        </w:rPr>
      </w:pPr>
      <w:r>
        <w:rPr>
          <w:rFonts w:hint="default" w:ascii="Nimbus Roman No9 L" w:hAnsi="Nimbus Roman No9 L" w:eastAsia="黑体" w:cs="Nimbus Roman No9 L"/>
          <w:color w:val="auto"/>
          <w:sz w:val="24"/>
        </w:rPr>
        <w:t>会议文件</w:t>
      </w:r>
      <w:r>
        <w:rPr>
          <w:rFonts w:hint="eastAsia" w:ascii="Nimbus Roman No9 L" w:hAnsi="Nimbus Roman No9 L" w:eastAsia="黑体" w:cs="Nimbus Roman No9 L"/>
          <w:color w:val="auto"/>
          <w:sz w:val="24"/>
          <w:lang w:eastAsia="zh-CN"/>
        </w:rPr>
        <w:t>（</w:t>
      </w:r>
      <w:r>
        <w:rPr>
          <w:rFonts w:hint="eastAsia" w:ascii="Nimbus Roman No9 L" w:hAnsi="Nimbus Roman No9 L" w:eastAsia="黑体" w:cs="Nimbus Roman No9 L"/>
          <w:color w:val="auto"/>
          <w:sz w:val="24"/>
          <w:lang w:val="en-US" w:eastAsia="zh-CN"/>
        </w:rPr>
        <w:t>二十七</w:t>
      </w:r>
      <w:r>
        <w:rPr>
          <w:rFonts w:hint="eastAsia" w:ascii="Nimbus Roman No9 L" w:hAnsi="Nimbus Roman No9 L" w:eastAsia="黑体" w:cs="Nimbus Roman No9 L"/>
          <w:color w:val="auto"/>
          <w:sz w:val="24"/>
          <w:lang w:eastAsia="zh-CN"/>
        </w:rPr>
        <w:t>）</w:t>
      </w:r>
    </w:p>
    <w:p>
      <w:pPr>
        <w:keepNext w:val="0"/>
        <w:keepLines w:val="0"/>
        <w:pageBreakBefore w:val="0"/>
        <w:widowControl w:val="0"/>
        <w:kinsoku/>
        <w:wordWrap/>
        <w:overflowPunct/>
        <w:topLinePunct/>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000000"/>
          <w:spacing w:val="0"/>
          <w:sz w:val="44"/>
          <w:szCs w:val="44"/>
        </w:rPr>
      </w:pPr>
    </w:p>
    <w:p>
      <w:pPr>
        <w:keepNext w:val="0"/>
        <w:keepLines w:val="0"/>
        <w:pageBreakBefore w:val="0"/>
        <w:widowControl w:val="0"/>
        <w:kinsoku/>
        <w:wordWrap/>
        <w:overflowPunct/>
        <w:topLinePunct/>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000000"/>
          <w:spacing w:val="0"/>
          <w:sz w:val="44"/>
          <w:szCs w:val="44"/>
        </w:rPr>
      </w:pPr>
      <w:r>
        <w:rPr>
          <w:rFonts w:hint="eastAsia" w:ascii="方正小标宋简体" w:hAnsi="方正小标宋简体" w:eastAsia="方正小标宋简体" w:cs="方正小标宋简体"/>
          <w:color w:val="000000"/>
          <w:spacing w:val="0"/>
          <w:sz w:val="44"/>
          <w:szCs w:val="44"/>
        </w:rPr>
        <w:t>关于20</w:t>
      </w:r>
      <w:r>
        <w:rPr>
          <w:rFonts w:hint="eastAsia" w:ascii="方正小标宋简体" w:hAnsi="方正小标宋简体" w:eastAsia="方正小标宋简体" w:cs="方正小标宋简体"/>
          <w:color w:val="000000"/>
          <w:spacing w:val="0"/>
          <w:sz w:val="44"/>
          <w:szCs w:val="44"/>
          <w:lang w:val="en-US" w:eastAsia="zh-CN"/>
        </w:rPr>
        <w:t>2</w:t>
      </w:r>
      <w:r>
        <w:rPr>
          <w:rFonts w:hint="default" w:ascii="方正小标宋简体" w:hAnsi="方正小标宋简体" w:eastAsia="方正小标宋简体" w:cs="方正小标宋简体"/>
          <w:color w:val="000000"/>
          <w:spacing w:val="0"/>
          <w:sz w:val="44"/>
          <w:szCs w:val="44"/>
          <w:lang w:val="en" w:eastAsia="zh-CN"/>
        </w:rPr>
        <w:t>2</w:t>
      </w:r>
      <w:r>
        <w:rPr>
          <w:rFonts w:hint="eastAsia" w:ascii="方正小标宋简体" w:hAnsi="方正小标宋简体" w:eastAsia="方正小标宋简体" w:cs="方正小标宋简体"/>
          <w:color w:val="000000"/>
          <w:spacing w:val="0"/>
          <w:sz w:val="44"/>
          <w:szCs w:val="44"/>
        </w:rPr>
        <w:t>年国民经济和社会发展</w:t>
      </w:r>
    </w:p>
    <w:p>
      <w:pPr>
        <w:keepNext w:val="0"/>
        <w:keepLines w:val="0"/>
        <w:pageBreakBefore w:val="0"/>
        <w:widowControl w:val="0"/>
        <w:kinsoku/>
        <w:wordWrap/>
        <w:overflowPunct/>
        <w:topLinePunct/>
        <w:autoSpaceDE/>
        <w:autoSpaceDN/>
        <w:bidi w:val="0"/>
        <w:adjustRightInd/>
        <w:snapToGrid/>
        <w:spacing w:line="560" w:lineRule="exact"/>
        <w:ind w:firstLine="17" w:firstLineChars="4"/>
        <w:jc w:val="center"/>
        <w:textAlignment w:val="auto"/>
        <w:rPr>
          <w:rFonts w:hint="eastAsia" w:ascii="方正小标宋简体" w:hAnsi="方正小标宋简体" w:eastAsia="方正小标宋简体" w:cs="方正小标宋简体"/>
          <w:color w:val="000000"/>
          <w:spacing w:val="0"/>
          <w:sz w:val="44"/>
          <w:szCs w:val="44"/>
        </w:rPr>
      </w:pPr>
      <w:r>
        <w:rPr>
          <w:rFonts w:hint="eastAsia" w:ascii="方正小标宋简体" w:hAnsi="方正小标宋简体" w:eastAsia="方正小标宋简体" w:cs="方正小标宋简体"/>
          <w:color w:val="000000"/>
          <w:spacing w:val="0"/>
          <w:sz w:val="44"/>
          <w:szCs w:val="44"/>
        </w:rPr>
        <w:t>计划执行情况与202</w:t>
      </w:r>
      <w:r>
        <w:rPr>
          <w:rFonts w:hint="default" w:ascii="方正小标宋简体" w:hAnsi="方正小标宋简体" w:eastAsia="方正小标宋简体" w:cs="方正小标宋简体"/>
          <w:color w:val="000000"/>
          <w:spacing w:val="0"/>
          <w:sz w:val="44"/>
          <w:szCs w:val="44"/>
          <w:lang w:val="en" w:eastAsia="zh-CN"/>
        </w:rPr>
        <w:t>3</w:t>
      </w:r>
      <w:r>
        <w:rPr>
          <w:rFonts w:hint="eastAsia" w:ascii="方正小标宋简体" w:hAnsi="方正小标宋简体" w:eastAsia="方正小标宋简体" w:cs="方正小标宋简体"/>
          <w:color w:val="000000"/>
          <w:spacing w:val="0"/>
          <w:sz w:val="44"/>
          <w:szCs w:val="44"/>
        </w:rPr>
        <w:t>年国民经济和社会</w:t>
      </w:r>
    </w:p>
    <w:p>
      <w:pPr>
        <w:keepNext w:val="0"/>
        <w:keepLines w:val="0"/>
        <w:pageBreakBefore w:val="0"/>
        <w:widowControl w:val="0"/>
        <w:kinsoku/>
        <w:wordWrap/>
        <w:overflowPunct/>
        <w:topLinePunct/>
        <w:autoSpaceDE/>
        <w:autoSpaceDN/>
        <w:bidi w:val="0"/>
        <w:adjustRightInd/>
        <w:snapToGrid/>
        <w:spacing w:line="560" w:lineRule="exact"/>
        <w:jc w:val="center"/>
        <w:textAlignment w:val="auto"/>
        <w:rPr>
          <w:rFonts w:hint="default" w:ascii="Times New Roman" w:hAnsi="Times New Roman" w:eastAsia="楷体" w:cs="Times New Roman"/>
          <w:color w:val="000000"/>
          <w:spacing w:val="0"/>
          <w:sz w:val="30"/>
          <w:szCs w:val="30"/>
        </w:rPr>
      </w:pPr>
      <w:r>
        <w:rPr>
          <w:rFonts w:hint="eastAsia" w:ascii="方正小标宋简体" w:hAnsi="方正小标宋简体" w:eastAsia="方正小标宋简体" w:cs="方正小标宋简体"/>
          <w:color w:val="000000"/>
          <w:spacing w:val="0"/>
          <w:sz w:val="44"/>
          <w:szCs w:val="44"/>
        </w:rPr>
        <w:t>发展计划草案的报告</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Nimbus Roman No9 L" w:hAnsi="Nimbus Roman No9 L" w:eastAsia="楷体_GB2312" w:cs="Nimbus Roman No9 L"/>
          <w:color w:val="auto"/>
          <w:sz w:val="32"/>
          <w:szCs w:val="32"/>
        </w:rPr>
      </w:pPr>
      <w:r>
        <w:rPr>
          <w:rFonts w:hint="default" w:ascii="Nimbus Roman No9 L" w:hAnsi="Nimbus Roman No9 L" w:eastAsia="楷体_GB2312" w:cs="Nimbus Roman No9 L"/>
          <w:color w:val="auto"/>
          <w:sz w:val="32"/>
          <w:szCs w:val="32"/>
        </w:rPr>
        <w:t>——202</w:t>
      </w:r>
      <w:r>
        <w:rPr>
          <w:rFonts w:hint="default" w:ascii="Nimbus Roman No9 L" w:hAnsi="Nimbus Roman No9 L" w:eastAsia="楷体_GB2312" w:cs="Nimbus Roman No9 L"/>
          <w:color w:val="auto"/>
          <w:sz w:val="32"/>
          <w:szCs w:val="32"/>
          <w:lang w:val="en-US" w:eastAsia="zh-CN"/>
        </w:rPr>
        <w:t>2</w:t>
      </w:r>
      <w:r>
        <w:rPr>
          <w:rFonts w:hint="default" w:ascii="Nimbus Roman No9 L" w:hAnsi="Nimbus Roman No9 L" w:eastAsia="楷体_GB2312" w:cs="Nimbus Roman No9 L"/>
          <w:color w:val="auto"/>
          <w:sz w:val="32"/>
          <w:szCs w:val="32"/>
        </w:rPr>
        <w:t>年</w:t>
      </w:r>
      <w:r>
        <w:rPr>
          <w:rFonts w:hint="eastAsia" w:ascii="Nimbus Roman No9 L" w:hAnsi="Nimbus Roman No9 L" w:eastAsia="楷体_GB2312" w:cs="Nimbus Roman No9 L"/>
          <w:color w:val="auto"/>
          <w:sz w:val="32"/>
          <w:szCs w:val="32"/>
          <w:lang w:val="en-US" w:eastAsia="zh-CN"/>
        </w:rPr>
        <w:t>12</w:t>
      </w:r>
      <w:r>
        <w:rPr>
          <w:rFonts w:hint="default" w:ascii="Nimbus Roman No9 L" w:hAnsi="Nimbus Roman No9 L" w:eastAsia="楷体_GB2312" w:cs="Nimbus Roman No9 L"/>
          <w:color w:val="auto"/>
          <w:sz w:val="32"/>
          <w:szCs w:val="32"/>
        </w:rPr>
        <w:t>月</w:t>
      </w:r>
      <w:r>
        <w:rPr>
          <w:rFonts w:hint="eastAsia" w:ascii="Nimbus Roman No9 L" w:hAnsi="Nimbus Roman No9 L" w:eastAsia="楷体_GB2312" w:cs="Nimbus Roman No9 L"/>
          <w:color w:val="auto"/>
          <w:sz w:val="32"/>
          <w:szCs w:val="32"/>
          <w:lang w:val="en-US" w:eastAsia="zh-CN"/>
        </w:rPr>
        <w:t>28</w:t>
      </w:r>
      <w:r>
        <w:rPr>
          <w:rFonts w:hint="default" w:ascii="Nimbus Roman No9 L" w:hAnsi="Nimbus Roman No9 L" w:eastAsia="楷体_GB2312" w:cs="Nimbus Roman No9 L"/>
          <w:color w:val="auto"/>
          <w:sz w:val="32"/>
          <w:szCs w:val="32"/>
        </w:rPr>
        <w:t>日在县第十八届</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Nimbus Roman No9 L" w:hAnsi="Nimbus Roman No9 L" w:eastAsia="楷体_GB2312" w:cs="Nimbus Roman No9 L"/>
          <w:color w:val="auto"/>
          <w:sz w:val="32"/>
          <w:szCs w:val="32"/>
        </w:rPr>
      </w:pPr>
      <w:r>
        <w:rPr>
          <w:rFonts w:hint="default" w:ascii="Nimbus Roman No9 L" w:hAnsi="Nimbus Roman No9 L" w:eastAsia="楷体_GB2312" w:cs="Nimbus Roman No9 L"/>
          <w:color w:val="auto"/>
          <w:sz w:val="32"/>
          <w:szCs w:val="32"/>
        </w:rPr>
        <w:t>人民代表大会第</w:t>
      </w:r>
      <w:r>
        <w:rPr>
          <w:rFonts w:hint="default" w:ascii="Nimbus Roman No9 L" w:hAnsi="Nimbus Roman No9 L" w:eastAsia="楷体_GB2312" w:cs="Nimbus Roman No9 L"/>
          <w:color w:val="auto"/>
          <w:sz w:val="32"/>
          <w:szCs w:val="32"/>
          <w:lang w:eastAsia="zh-CN"/>
        </w:rPr>
        <w:t>二</w:t>
      </w:r>
      <w:r>
        <w:rPr>
          <w:rFonts w:hint="default" w:ascii="Nimbus Roman No9 L" w:hAnsi="Nimbus Roman No9 L" w:eastAsia="楷体_GB2312" w:cs="Nimbus Roman No9 L"/>
          <w:color w:val="auto"/>
          <w:sz w:val="32"/>
          <w:szCs w:val="32"/>
        </w:rPr>
        <w:t>次会议上</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Nimbus Roman No9 L" w:hAnsi="Nimbus Roman No9 L" w:eastAsia="楷体_GB2312" w:cs="Nimbus Roman No9 L"/>
          <w:color w:val="auto"/>
          <w:sz w:val="32"/>
          <w:szCs w:val="32"/>
          <w:lang w:eastAsia="zh-CN"/>
        </w:rPr>
      </w:pPr>
      <w:r>
        <w:rPr>
          <w:rFonts w:hint="eastAsia" w:ascii="Nimbus Roman No9 L" w:hAnsi="Nimbus Roman No9 L" w:eastAsia="楷体_GB2312" w:cs="Nimbus Roman No9 L"/>
          <w:color w:val="auto"/>
          <w:sz w:val="32"/>
          <w:szCs w:val="32"/>
          <w:lang w:eastAsia="zh-CN"/>
        </w:rPr>
        <w:t>泾源县人民政府</w:t>
      </w:r>
    </w:p>
    <w:p>
      <w:pPr>
        <w:pStyle w:val="2"/>
        <w:rPr>
          <w:rFonts w:hint="default" w:ascii="Times New Roman" w:hAnsi="Times New Roman" w:eastAsia="仿宋_GB2312" w:cs="Times New Roman"/>
          <w:spacing w:val="0"/>
          <w:sz w:val="32"/>
          <w:szCs w:val="32"/>
        </w:rPr>
      </w:pPr>
    </w:p>
    <w:p>
      <w:pPr>
        <w:rPr>
          <w:rFonts w:hint="default"/>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各位代表：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现将20</w:t>
      </w:r>
      <w:r>
        <w:rPr>
          <w:rFonts w:hint="eastAsia" w:ascii="仿宋_GB2312" w:hAnsi="仿宋_GB2312" w:eastAsia="仿宋_GB2312" w:cs="仿宋_GB2312"/>
          <w:spacing w:val="0"/>
          <w:sz w:val="32"/>
          <w:szCs w:val="32"/>
          <w:lang w:val="en-US" w:eastAsia="zh-CN"/>
        </w:rPr>
        <w:t>2</w:t>
      </w:r>
      <w:r>
        <w:rPr>
          <w:rFonts w:hint="eastAsia" w:ascii="仿宋_GB2312" w:hAnsi="仿宋_GB2312" w:eastAsia="仿宋_GB2312" w:cs="仿宋_GB2312"/>
          <w:spacing w:val="0"/>
          <w:sz w:val="32"/>
          <w:szCs w:val="32"/>
          <w:lang w:val="en" w:eastAsia="zh-CN"/>
        </w:rPr>
        <w:t>2</w:t>
      </w:r>
      <w:r>
        <w:rPr>
          <w:rFonts w:hint="eastAsia" w:ascii="仿宋_GB2312" w:hAnsi="仿宋_GB2312" w:eastAsia="仿宋_GB2312" w:cs="仿宋_GB2312"/>
          <w:spacing w:val="0"/>
          <w:sz w:val="32"/>
          <w:szCs w:val="32"/>
        </w:rPr>
        <w:t>年国民经济和社会发展计划执行情况与202</w:t>
      </w:r>
      <w:r>
        <w:rPr>
          <w:rFonts w:hint="eastAsia" w:ascii="仿宋_GB2312" w:hAnsi="仿宋_GB2312" w:eastAsia="仿宋_GB2312" w:cs="仿宋_GB2312"/>
          <w:spacing w:val="0"/>
          <w:sz w:val="32"/>
          <w:szCs w:val="32"/>
          <w:lang w:val="en" w:eastAsia="zh-CN"/>
        </w:rPr>
        <w:t>3</w:t>
      </w:r>
      <w:r>
        <w:rPr>
          <w:rFonts w:hint="eastAsia" w:ascii="仿宋_GB2312" w:hAnsi="仿宋_GB2312" w:eastAsia="仿宋_GB2312" w:cs="仿宋_GB2312"/>
          <w:spacing w:val="0"/>
          <w:sz w:val="32"/>
          <w:szCs w:val="32"/>
        </w:rPr>
        <w:t>年国民经济和社会发展计划草案提请大会审议，并请政协委员和列席人员提出意见。</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黑体" w:hAnsi="黑体" w:eastAsia="黑体" w:cs="黑体"/>
          <w:spacing w:val="0"/>
          <w:sz w:val="32"/>
          <w:szCs w:val="32"/>
          <w:lang w:val="en-US" w:eastAsia="zh-CN"/>
        </w:rPr>
      </w:pPr>
      <w:r>
        <w:rPr>
          <w:rFonts w:hint="eastAsia" w:ascii="黑体" w:hAnsi="黑体" w:eastAsia="黑体" w:cs="黑体"/>
          <w:spacing w:val="0"/>
          <w:sz w:val="32"/>
          <w:szCs w:val="32"/>
          <w:lang w:val="en-US" w:eastAsia="zh-CN"/>
        </w:rPr>
        <w:t xml:space="preserve">    一、202</w:t>
      </w:r>
      <w:r>
        <w:rPr>
          <w:rFonts w:hint="default" w:ascii="黑体" w:hAnsi="黑体" w:eastAsia="黑体" w:cs="黑体"/>
          <w:spacing w:val="0"/>
          <w:sz w:val="32"/>
          <w:szCs w:val="32"/>
          <w:lang w:val="en" w:eastAsia="zh-CN"/>
        </w:rPr>
        <w:t>2</w:t>
      </w:r>
      <w:r>
        <w:rPr>
          <w:rFonts w:hint="eastAsia" w:ascii="黑体" w:hAnsi="黑体" w:eastAsia="黑体" w:cs="黑体"/>
          <w:spacing w:val="0"/>
          <w:sz w:val="32"/>
          <w:szCs w:val="32"/>
          <w:lang w:val="en-US" w:eastAsia="zh-CN"/>
        </w:rPr>
        <w:t>年国民经济和社会发展计划执行情况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2022年是承前启后、意义特殊的一年。面对全国疫情多点散发和经济下行压力持续加大的复杂局面，在县委的坚强领导和县人大、政协的监督支持下，全县上下坚持以习近平新时代中国特色社会主义思想为指导，</w:t>
      </w:r>
      <w:r>
        <w:rPr>
          <w:rFonts w:hint="eastAsia" w:ascii="仿宋_GB2312" w:hAnsi="仿宋_GB2312" w:eastAsia="仿宋_GB2312" w:cs="仿宋_GB2312"/>
          <w:b w:val="0"/>
          <w:i w:val="0"/>
          <w:caps w:val="0"/>
          <w:color w:val="000000"/>
          <w:spacing w:val="0"/>
          <w:kern w:val="0"/>
          <w:sz w:val="32"/>
          <w:szCs w:val="32"/>
          <w:shd w:val="clear" w:color="auto" w:fill="FFFFFF"/>
          <w:lang w:val="en-US" w:eastAsia="zh-CN" w:bidi="ar"/>
        </w:rPr>
        <w:t>深入学习宣传贯彻落实党的二十大和习近平总书记视察宁夏重要讲话指示批示精神</w:t>
      </w:r>
      <w:r>
        <w:rPr>
          <w:rFonts w:hint="eastAsia" w:ascii="仿宋_GB2312" w:hAnsi="仿宋_GB2312" w:eastAsia="仿宋_GB2312" w:cs="仿宋_GB2312"/>
          <w:color w:val="auto"/>
          <w:spacing w:val="0"/>
          <w:sz w:val="32"/>
          <w:szCs w:val="32"/>
          <w:lang w:val="en-US" w:eastAsia="zh-CN"/>
        </w:rPr>
        <w:t>，</w:t>
      </w:r>
      <w:r>
        <w:rPr>
          <w:rFonts w:hint="default" w:ascii="仿宋_GB2312" w:hAnsi="仿宋_GB2312" w:eastAsia="仿宋_GB2312" w:cs="仿宋_GB2312"/>
          <w:spacing w:val="0"/>
          <w:sz w:val="32"/>
          <w:szCs w:val="32"/>
          <w:lang w:val="en-US" w:eastAsia="zh-CN"/>
        </w:rPr>
        <w:t>坚持稳中求进工作总基调，完整准确全面贯彻新发展理念，</w:t>
      </w:r>
      <w:r>
        <w:rPr>
          <w:rFonts w:hint="eastAsia" w:ascii="仿宋_GB2312" w:hAnsi="仿宋_GB2312" w:eastAsia="仿宋_GB2312" w:cs="仿宋_GB2312"/>
          <w:spacing w:val="0"/>
          <w:sz w:val="32"/>
          <w:szCs w:val="32"/>
          <w:lang w:val="en-US" w:eastAsia="zh-CN"/>
        </w:rPr>
        <w:t>树立“</w:t>
      </w:r>
      <w:r>
        <w:rPr>
          <w:rFonts w:hint="default" w:ascii="仿宋_GB2312" w:hAnsi="仿宋_GB2312" w:eastAsia="仿宋_GB2312" w:cs="仿宋_GB2312"/>
          <w:spacing w:val="0"/>
          <w:sz w:val="32"/>
          <w:szCs w:val="32"/>
          <w:lang w:val="en-US" w:eastAsia="zh-CN"/>
        </w:rPr>
        <w:t>大抓发展、抓大发展、抓高质量发展、实现跨越式发展</w:t>
      </w:r>
      <w:r>
        <w:rPr>
          <w:rFonts w:hint="eastAsia" w:ascii="仿宋_GB2312" w:hAnsi="仿宋_GB2312" w:eastAsia="仿宋_GB2312" w:cs="仿宋_GB2312"/>
          <w:spacing w:val="0"/>
          <w:sz w:val="32"/>
          <w:szCs w:val="32"/>
          <w:lang w:val="en-US" w:eastAsia="zh-CN"/>
        </w:rPr>
        <w:t>”的鲜明导向</w:t>
      </w:r>
      <w:r>
        <w:rPr>
          <w:rFonts w:hint="default" w:ascii="仿宋_GB2312" w:hAnsi="仿宋_GB2312" w:eastAsia="仿宋_GB2312" w:cs="仿宋_GB2312"/>
          <w:spacing w:val="0"/>
          <w:sz w:val="32"/>
          <w:szCs w:val="32"/>
          <w:lang w:val="en-US" w:eastAsia="zh-CN"/>
        </w:rPr>
        <w:t>，聚焦“生态泾源、绿色发展”定位，</w:t>
      </w:r>
      <w:r>
        <w:rPr>
          <w:rFonts w:hint="eastAsia" w:ascii="仿宋_GB2312" w:hAnsi="仿宋_GB2312" w:eastAsia="仿宋_GB2312" w:cs="仿宋_GB2312"/>
          <w:spacing w:val="0"/>
          <w:sz w:val="32"/>
          <w:szCs w:val="32"/>
          <w:lang w:val="en-US" w:eastAsia="zh-CN"/>
        </w:rPr>
        <w:t>统筹推进疫情防控和经济社会发展，坚定不移稳经济、保民生，坚韧不拔防风险、促改革，坚持不懈补短板、强弱项，县第十八届人民代表大会第一次会议确定的各项目标和任务完成情况良好，区市下达的各项约束性指标基本完成，全县经济社会呈现稳中有进、稳中提质的发展态势。</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预计全年实现地区生产总值24.57亿元，增长7%，其中第一产业计划完成3.16亿元，增长3.6%；第二产业计划完成4.89亿元，增长12.1%；第三产业计划完成16.52亿元，增长6.6%；三次产业结构为13.4：17.7：68.9，与上年同期相比，第一产业比重下降0.5个百分点，第二产业比重提高2.2个百分点，第三产业比重下降1.7个百分点。全社会固定资产投资预计增长2%；社会消费品零售总额预计完成8.68亿元，增长6%；地方财政一般公共预算收入预计完成0.88亿元，增长5.7%；地方一般公共预算支出预计全年完成</w:t>
      </w:r>
      <w:r>
        <w:rPr>
          <w:rFonts w:hint="default" w:ascii="仿宋_GB2312" w:hAnsi="仿宋_GB2312" w:eastAsia="仿宋_GB2312" w:cs="仿宋_GB2312"/>
          <w:spacing w:val="0"/>
          <w:sz w:val="32"/>
          <w:szCs w:val="32"/>
          <w:lang w:val="en" w:eastAsia="zh-CN"/>
        </w:rPr>
        <w:t>23.2</w:t>
      </w:r>
      <w:r>
        <w:rPr>
          <w:rFonts w:hint="eastAsia" w:ascii="仿宋_GB2312" w:hAnsi="仿宋_GB2312" w:eastAsia="仿宋_GB2312" w:cs="仿宋_GB2312"/>
          <w:spacing w:val="0"/>
          <w:sz w:val="32"/>
          <w:szCs w:val="32"/>
          <w:lang w:val="en-US" w:eastAsia="zh-CN"/>
        </w:rPr>
        <w:t>亿元，增长11</w:t>
      </w:r>
      <w:r>
        <w:rPr>
          <w:rFonts w:hint="default" w:ascii="仿宋_GB2312" w:hAnsi="仿宋_GB2312" w:eastAsia="仿宋_GB2312" w:cs="仿宋_GB2312"/>
          <w:spacing w:val="0"/>
          <w:sz w:val="32"/>
          <w:szCs w:val="32"/>
          <w:lang w:val="en" w:eastAsia="zh-CN"/>
        </w:rPr>
        <w:t>.5</w:t>
      </w:r>
      <w:r>
        <w:rPr>
          <w:rFonts w:hint="eastAsia" w:ascii="仿宋_GB2312" w:hAnsi="仿宋_GB2312" w:eastAsia="仿宋_GB2312" w:cs="仿宋_GB2312"/>
          <w:spacing w:val="0"/>
          <w:sz w:val="32"/>
          <w:szCs w:val="32"/>
          <w:lang w:val="en-US" w:eastAsia="zh-CN"/>
        </w:rPr>
        <w:t>%；城镇居民人均可支配收入预计完成32434元，同比增长9%；农村居民人均可支配收入预计完成13136元，同比增长10.5%；金融机构各项存贷款余额分别完成43.5亿元、36亿元，增长12.5%、12.6%。</w:t>
      </w:r>
    </w:p>
    <w:p>
      <w:pPr>
        <w:pStyle w:val="9"/>
        <w:keepNext w:val="0"/>
        <w:keepLines w:val="0"/>
        <w:pageBreakBefore w:val="0"/>
        <w:widowControl w:val="0"/>
        <w:kinsoku/>
        <w:wordWrap/>
        <w:overflowPunct/>
        <w:topLinePunct w:val="0"/>
        <w:autoSpaceDE/>
        <w:autoSpaceDN/>
        <w:bidi w:val="0"/>
        <w:adjustRightInd/>
        <w:spacing w:line="560" w:lineRule="exact"/>
        <w:jc w:val="both"/>
        <w:textAlignment w:val="auto"/>
        <w:rPr>
          <w:rFonts w:hint="eastAsia" w:ascii="仿宋_GB2312" w:hAnsi="仿宋_GB2312" w:eastAsia="仿宋_GB2312" w:cs="仿宋_GB2312"/>
          <w:spacing w:val="0"/>
          <w:kern w:val="2"/>
          <w:sz w:val="32"/>
          <w:szCs w:val="32"/>
          <w:lang w:val="en-US" w:eastAsia="zh-CN" w:bidi="ar-SA"/>
        </w:rPr>
      </w:pPr>
      <w:r>
        <w:rPr>
          <w:rFonts w:hint="default" w:ascii="仿宋_GB2312" w:hAnsi="仿宋_GB2312" w:eastAsia="仿宋_GB2312" w:cs="仿宋_GB2312"/>
          <w:spacing w:val="0"/>
          <w:kern w:val="2"/>
          <w:sz w:val="32"/>
          <w:szCs w:val="32"/>
          <w:lang w:val="en" w:eastAsia="zh-CN" w:bidi="ar-SA"/>
        </w:rPr>
        <w:t xml:space="preserve"> </w:t>
      </w:r>
      <w:r>
        <w:rPr>
          <w:rFonts w:hint="eastAsia" w:ascii="仿宋_GB2312" w:hAnsi="仿宋_GB2312" w:eastAsia="仿宋_GB2312" w:cs="仿宋_GB2312"/>
          <w:spacing w:val="0"/>
          <w:kern w:val="2"/>
          <w:sz w:val="32"/>
          <w:szCs w:val="32"/>
          <w:lang w:val="en-US" w:eastAsia="zh-CN" w:bidi="ar-SA"/>
        </w:rPr>
        <w:t xml:space="preserve">   </w:t>
      </w:r>
      <w:r>
        <w:rPr>
          <w:rFonts w:hint="eastAsia" w:ascii="楷体_GB2312" w:hAnsi="楷体_GB2312" w:eastAsia="楷体_GB2312" w:cs="楷体_GB2312"/>
          <w:b/>
          <w:bCs/>
          <w:color w:val="000000"/>
          <w:spacing w:val="0"/>
          <w:sz w:val="32"/>
          <w:szCs w:val="32"/>
          <w:lang w:val="en-US" w:eastAsia="zh-CN"/>
        </w:rPr>
        <w:t>（一）全力以赴稳增长、促转型，产业升级步伐加快</w:t>
      </w:r>
    </w:p>
    <w:p>
      <w:pPr>
        <w:keepNext w:val="0"/>
        <w:keepLines w:val="0"/>
        <w:pageBreakBefore w:val="0"/>
        <w:widowControl w:val="0"/>
        <w:numPr>
          <w:ilvl w:val="0"/>
          <w:numId w:val="0"/>
        </w:numPr>
        <w:kinsoku/>
        <w:wordWrap/>
        <w:overflowPunct/>
        <w:topLinePunct w:val="0"/>
        <w:autoSpaceDE/>
        <w:autoSpaceDN/>
        <w:bidi w:val="0"/>
        <w:adjustRightInd/>
        <w:spacing w:line="560" w:lineRule="exact"/>
        <w:ind w:leftChars="0" w:firstLine="642"/>
        <w:jc w:val="both"/>
        <w:textAlignment w:val="auto"/>
        <w:rPr>
          <w:rFonts w:hint="eastAsia"/>
          <w:sz w:val="32"/>
          <w:szCs w:val="32"/>
          <w:lang w:val="en-US" w:eastAsia="zh-CN"/>
        </w:rPr>
      </w:pPr>
      <w:r>
        <w:rPr>
          <w:rFonts w:hint="eastAsia" w:ascii="仿宋_GB2312" w:hAnsi="仿宋_GB2312" w:eastAsia="仿宋_GB2312" w:cs="仿宋_GB2312"/>
          <w:b/>
          <w:bCs/>
          <w:color w:val="auto"/>
          <w:spacing w:val="0"/>
          <w:sz w:val="32"/>
          <w:szCs w:val="32"/>
          <w:lang w:val="en-US" w:eastAsia="zh-CN"/>
        </w:rPr>
        <w:t>农业经济增势良好。</w:t>
      </w:r>
      <w:r>
        <w:rPr>
          <w:rFonts w:hint="eastAsia" w:ascii="仿宋_GB2312" w:hAnsi="仿宋_GB2312" w:eastAsia="仿宋_GB2312" w:cs="仿宋_GB2312"/>
          <w:b w:val="0"/>
          <w:bCs w:val="0"/>
          <w:color w:val="auto"/>
          <w:spacing w:val="0"/>
          <w:sz w:val="32"/>
          <w:szCs w:val="32"/>
          <w:lang w:val="en-US" w:eastAsia="zh-CN"/>
        </w:rPr>
        <w:t>种植业增长支撑点增多。坚决遏制耕地“非农化”防止“非粮化”，建设高标准农田1.2万亩，高效节水田5000亩，种植优质高产高效玉米8.5万亩、紫花苜蓿1.2万亩</w:t>
      </w:r>
      <w:r>
        <w:rPr>
          <w:rFonts w:hint="eastAsia" w:ascii="仿宋_GB2312" w:hAnsi="仿宋_GB2312" w:eastAsia="仿宋_GB2312" w:cs="仿宋_GB2312"/>
          <w:color w:val="auto"/>
          <w:spacing w:val="0"/>
          <w:sz w:val="32"/>
          <w:szCs w:val="32"/>
          <w:lang w:val="en-US" w:eastAsia="zh-CN"/>
        </w:rPr>
        <w:t>；兴盛乡千亩清凉蔬菜示范基地建成投产，蔬菜种植面积增加1.1万亩。畜牧业稳步发展，坚持“优质+高端”双轮驱动，</w:t>
      </w:r>
      <w:r>
        <w:rPr>
          <w:rFonts w:hint="eastAsia" w:ascii="仿宋_GB2312" w:hAnsi="仿宋_GB2312" w:eastAsia="仿宋_GB2312" w:cs="仿宋_GB2312"/>
          <w:color w:val="auto"/>
          <w:spacing w:val="0"/>
          <w:sz w:val="32"/>
          <w:szCs w:val="32"/>
        </w:rPr>
        <w:t>大力推进“扩栏补母”和“万千百十”肉牛扩量工程，</w:t>
      </w:r>
      <w:r>
        <w:rPr>
          <w:rFonts w:hint="eastAsia" w:ascii="仿宋_GB2312" w:hAnsi="仿宋_GB2312" w:eastAsia="仿宋_GB2312" w:cs="仿宋_GB2312"/>
          <w:color w:val="auto"/>
          <w:spacing w:val="0"/>
          <w:sz w:val="32"/>
          <w:szCs w:val="32"/>
          <w:lang w:eastAsia="zh-CN"/>
        </w:rPr>
        <w:t>建设</w:t>
      </w:r>
      <w:r>
        <w:rPr>
          <w:rFonts w:hint="eastAsia" w:ascii="仿宋_GB2312" w:hAnsi="仿宋_GB2312" w:eastAsia="仿宋_GB2312" w:cs="仿宋_GB2312"/>
          <w:color w:val="auto"/>
          <w:spacing w:val="0"/>
          <w:sz w:val="32"/>
          <w:szCs w:val="32"/>
        </w:rPr>
        <w:t>“出户入园”示范场1</w:t>
      </w:r>
      <w:r>
        <w:rPr>
          <w:rFonts w:hint="eastAsia" w:ascii="仿宋_GB2312" w:hAnsi="仿宋_GB2312" w:eastAsia="仿宋_GB2312" w:cs="仿宋_GB2312"/>
          <w:color w:val="auto"/>
          <w:spacing w:val="0"/>
          <w:sz w:val="32"/>
          <w:szCs w:val="32"/>
          <w:lang w:val="en-US" w:eastAsia="zh-CN"/>
        </w:rPr>
        <w:t>4</w:t>
      </w:r>
      <w:r>
        <w:rPr>
          <w:rFonts w:hint="eastAsia" w:ascii="仿宋_GB2312" w:hAnsi="仿宋_GB2312" w:eastAsia="仿宋_GB2312" w:cs="仿宋_GB2312"/>
          <w:color w:val="auto"/>
          <w:spacing w:val="0"/>
          <w:sz w:val="32"/>
          <w:szCs w:val="32"/>
        </w:rPr>
        <w:t>个</w:t>
      </w:r>
      <w:r>
        <w:rPr>
          <w:rFonts w:hint="eastAsia" w:ascii="仿宋_GB2312" w:hAnsi="仿宋_GB2312" w:eastAsia="仿宋_GB2312" w:cs="仿宋_GB2312"/>
          <w:color w:val="auto"/>
          <w:spacing w:val="0"/>
          <w:sz w:val="32"/>
          <w:szCs w:val="32"/>
          <w:lang w:eastAsia="zh-CN"/>
        </w:rPr>
        <w:t>，</w:t>
      </w:r>
      <w:r>
        <w:rPr>
          <w:rFonts w:hint="eastAsia" w:ascii="仿宋_GB2312" w:hAnsi="仿宋_GB2312" w:eastAsia="仿宋_GB2312" w:cs="仿宋_GB2312"/>
          <w:color w:val="auto"/>
          <w:spacing w:val="0"/>
          <w:sz w:val="32"/>
          <w:szCs w:val="32"/>
          <w:lang w:val="en-US" w:eastAsia="zh-CN"/>
        </w:rPr>
        <w:t>引进安格斯基础母牛2100头、育肥牛1.78万头，</w:t>
      </w:r>
      <w:r>
        <w:rPr>
          <w:rFonts w:hint="eastAsia" w:ascii="仿宋_GB2312" w:hAnsi="仿宋_GB2312" w:eastAsia="仿宋_GB2312" w:cs="仿宋_GB2312"/>
          <w:color w:val="auto"/>
          <w:spacing w:val="0"/>
          <w:sz w:val="32"/>
          <w:szCs w:val="32"/>
        </w:rPr>
        <w:t>冷配改良</w:t>
      </w:r>
      <w:r>
        <w:rPr>
          <w:rFonts w:hint="eastAsia" w:ascii="仿宋_GB2312" w:hAnsi="仿宋_GB2312" w:eastAsia="仿宋_GB2312" w:cs="仿宋_GB2312"/>
          <w:color w:val="auto"/>
          <w:spacing w:val="0"/>
          <w:sz w:val="32"/>
          <w:szCs w:val="32"/>
          <w:lang w:val="en-US" w:eastAsia="zh-CN"/>
        </w:rPr>
        <w:t>3.1万</w:t>
      </w:r>
      <w:r>
        <w:rPr>
          <w:rFonts w:hint="eastAsia" w:ascii="仿宋_GB2312" w:hAnsi="仿宋_GB2312" w:eastAsia="仿宋_GB2312" w:cs="仿宋_GB2312"/>
          <w:color w:val="auto"/>
          <w:spacing w:val="0"/>
          <w:sz w:val="32"/>
          <w:szCs w:val="32"/>
        </w:rPr>
        <w:t>头</w:t>
      </w:r>
      <w:r>
        <w:rPr>
          <w:rFonts w:hint="eastAsia" w:ascii="仿宋_GB2312" w:hAnsi="仿宋_GB2312" w:eastAsia="仿宋_GB2312" w:cs="仿宋_GB2312"/>
          <w:color w:val="auto"/>
          <w:spacing w:val="0"/>
          <w:sz w:val="32"/>
          <w:szCs w:val="32"/>
          <w:lang w:eastAsia="zh-CN"/>
        </w:rPr>
        <w:t>，肉牛饲养量</w:t>
      </w:r>
      <w:r>
        <w:rPr>
          <w:rFonts w:hint="eastAsia" w:ascii="仿宋_GB2312" w:hAnsi="仿宋_GB2312" w:eastAsia="仿宋_GB2312" w:cs="仿宋_GB2312"/>
          <w:color w:val="auto"/>
          <w:spacing w:val="0"/>
          <w:sz w:val="32"/>
          <w:szCs w:val="32"/>
          <w:lang w:val="en-US" w:eastAsia="zh-CN"/>
        </w:rPr>
        <w:t>10.4万</w:t>
      </w:r>
      <w:r>
        <w:rPr>
          <w:rFonts w:hint="eastAsia" w:ascii="仿宋_GB2312" w:hAnsi="仿宋_GB2312" w:eastAsia="仿宋_GB2312" w:cs="仿宋_GB2312"/>
          <w:color w:val="auto"/>
          <w:spacing w:val="0"/>
          <w:sz w:val="32"/>
          <w:szCs w:val="32"/>
          <w:lang w:eastAsia="zh-CN"/>
        </w:rPr>
        <w:t>头</w:t>
      </w:r>
      <w:r>
        <w:rPr>
          <w:rStyle w:val="16"/>
          <w:rFonts w:hint="eastAsia" w:ascii="仿宋_GB2312" w:hAnsi="仿宋_GB2312" w:eastAsia="仿宋_GB2312" w:cs="仿宋_GB2312"/>
          <w:b w:val="0"/>
          <w:spacing w:val="0"/>
          <w:kern w:val="2"/>
          <w:sz w:val="32"/>
          <w:szCs w:val="32"/>
          <w:lang w:val="en" w:eastAsia="zh-CN"/>
        </w:rPr>
        <w:t>。中蜂养殖规模持续扩大，</w:t>
      </w:r>
      <w:r>
        <w:rPr>
          <w:rFonts w:hint="eastAsia" w:ascii="仿宋_GB2312" w:hAnsi="仿宋_GB2312" w:eastAsia="仿宋_GB2312" w:cs="仿宋_GB2312"/>
          <w:color w:val="auto"/>
          <w:sz w:val="32"/>
          <w:szCs w:val="32"/>
        </w:rPr>
        <w:t>持续推行中蜂养殖“大手连骨干拉小手”网格化服务机制</w:t>
      </w:r>
      <w:r>
        <w:rPr>
          <w:rFonts w:hint="eastAsia" w:ascii="仿宋_GB2312" w:hAnsi="仿宋_GB2312" w:eastAsia="仿宋_GB2312" w:cs="仿宋_GB2312"/>
          <w:color w:val="auto"/>
          <w:spacing w:val="0"/>
          <w:sz w:val="32"/>
          <w:szCs w:val="32"/>
          <w:lang w:val="en-US" w:eastAsia="zh-CN"/>
        </w:rPr>
        <w:t>，建成标准化蜂场9个，分蜂扩繁14377箱，蜂群养殖规模稳定在3.5万群，年产蜂蜜27万公斤，产值达到4000万元。</w:t>
      </w:r>
      <w:r>
        <w:rPr>
          <w:rStyle w:val="16"/>
          <w:rFonts w:hint="eastAsia" w:ascii="仿宋_GB2312" w:hAnsi="仿宋_GB2312" w:eastAsia="仿宋_GB2312" w:cs="仿宋_GB2312"/>
          <w:b w:val="0"/>
          <w:spacing w:val="0"/>
          <w:kern w:val="2"/>
          <w:sz w:val="32"/>
          <w:szCs w:val="32"/>
          <w:lang w:val="en" w:eastAsia="zh-CN"/>
        </w:rPr>
        <w:t>生态经济成效凸显，发展道地中药</w:t>
      </w:r>
      <w:r>
        <w:rPr>
          <w:rStyle w:val="16"/>
          <w:rFonts w:hint="eastAsia" w:ascii="仿宋_GB2312" w:hAnsi="仿宋_GB2312" w:eastAsia="仿宋_GB2312" w:cs="仿宋_GB2312"/>
          <w:b w:val="0"/>
          <w:spacing w:val="0"/>
          <w:kern w:val="2"/>
          <w:sz w:val="32"/>
          <w:szCs w:val="32"/>
          <w:lang w:val="en-US" w:eastAsia="zh-CN"/>
        </w:rPr>
        <w:t>材7000亩，建成</w:t>
      </w:r>
      <w:r>
        <w:rPr>
          <w:rFonts w:hint="eastAsia" w:ascii="仿宋_GB2312" w:hAnsi="仿宋_GB2312" w:eastAsia="仿宋_GB2312" w:cs="仿宋_GB2312"/>
          <w:spacing w:val="0"/>
          <w:kern w:val="2"/>
          <w:sz w:val="32"/>
          <w:szCs w:val="32"/>
          <w:lang w:val="en-US" w:eastAsia="zh-CN" w:bidi="ar-SA"/>
        </w:rPr>
        <w:t>闽宁菌菇、皇达生物2个菌菇产业园，</w:t>
      </w:r>
      <w:r>
        <w:rPr>
          <w:rFonts w:hint="eastAsia" w:ascii="仿宋_GB2312" w:hAnsi="仿宋_GB2312" w:eastAsia="仿宋_GB2312" w:cs="仿宋_GB2312"/>
          <w:color w:val="000000"/>
          <w:spacing w:val="0"/>
          <w:kern w:val="2"/>
          <w:sz w:val="32"/>
          <w:szCs w:val="32"/>
          <w:lang w:val="en-US" w:eastAsia="zh-CN" w:bidi="ar-SA"/>
        </w:rPr>
        <w:t>羊肚菌、平菇等优质食用菌种植初显成效，</w:t>
      </w:r>
      <w:r>
        <w:rPr>
          <w:rFonts w:hint="eastAsia" w:ascii="仿宋_GB2312" w:hAnsi="仿宋_GB2312" w:eastAsia="仿宋_GB2312" w:cs="仿宋_GB2312"/>
          <w:color w:val="auto"/>
          <w:spacing w:val="0"/>
          <w:sz w:val="32"/>
          <w:szCs w:val="32"/>
          <w:lang w:val="en-US" w:eastAsia="zh-CN"/>
        </w:rPr>
        <w:t>实施燕家山生态修复及生态经济发展项目，完成修复2400余亩，新增特色花灌木和经果林600余亩。</w:t>
      </w:r>
    </w:p>
    <w:p>
      <w:pPr>
        <w:keepNext w:val="0"/>
        <w:keepLines w:val="0"/>
        <w:pageBreakBefore w:val="0"/>
        <w:widowControl w:val="0"/>
        <w:numPr>
          <w:ilvl w:val="0"/>
          <w:numId w:val="0"/>
        </w:numPr>
        <w:kinsoku/>
        <w:wordWrap/>
        <w:overflowPunct/>
        <w:topLinePunct w:val="0"/>
        <w:autoSpaceDE/>
        <w:autoSpaceDN/>
        <w:bidi w:val="0"/>
        <w:adjustRightInd/>
        <w:spacing w:line="560" w:lineRule="exact"/>
        <w:ind w:leftChars="0" w:firstLine="642"/>
        <w:jc w:val="both"/>
        <w:textAlignment w:val="auto"/>
        <w:rPr>
          <w:rFonts w:hint="eastAsia" w:ascii="Times New Roman" w:hAnsi="Times New Roman" w:eastAsia="仿宋_GB2312" w:cs="Times New Roman"/>
          <w:b w:val="0"/>
          <w:i w:val="0"/>
          <w:caps w:val="0"/>
          <w:spacing w:val="0"/>
          <w:w w:val="100"/>
          <w:kern w:val="2"/>
          <w:sz w:val="32"/>
          <w:szCs w:val="32"/>
          <w:lang w:val="en-US" w:eastAsia="zh-CN" w:bidi="ar-SA"/>
        </w:rPr>
      </w:pPr>
      <w:r>
        <w:rPr>
          <w:rFonts w:hint="eastAsia" w:ascii="仿宋_GB2312" w:hAnsi="仿宋_GB2312" w:eastAsia="仿宋_GB2312" w:cs="仿宋_GB2312"/>
          <w:b/>
          <w:bCs/>
          <w:color w:val="000000"/>
          <w:spacing w:val="0"/>
          <w:sz w:val="32"/>
          <w:szCs w:val="32"/>
          <w:lang w:val="en-US" w:eastAsia="zh-CN"/>
        </w:rPr>
        <w:t>工业经济实现转型。</w:t>
      </w:r>
      <w:r>
        <w:rPr>
          <w:rFonts w:hint="eastAsia" w:ascii="仿宋_GB2312" w:hAnsi="仿宋_GB2312" w:eastAsia="仿宋_GB2312" w:cs="仿宋_GB2312"/>
          <w:color w:val="auto"/>
          <w:spacing w:val="0"/>
          <w:sz w:val="32"/>
          <w:szCs w:val="32"/>
          <w:lang w:val="en-US" w:eastAsia="zh-CN"/>
        </w:rPr>
        <w:t>落实领导包抓企业服务机制，建立重点企业保供“白名单”。集中供热锅楼房迁建及供热管网扩建二期、“泾源黄牛肉”食材加工生产销售、蜂王浆生产加工销售及肉牛养殖精深加工4个重点工业技改项目顺利投产，众天蜂业顺利培育入规。引导企业通过设备上新、技术改造、产品研发不断提高产值，8家服装箱包企业全年实现产值亿元以上，产量达到960万件（套），带动就业730余人。</w:t>
      </w:r>
      <w:r>
        <w:rPr>
          <w:rFonts w:hint="eastAsia" w:ascii="仿宋_GB2312" w:hAnsi="仿宋_GB2312" w:eastAsia="仿宋_GB2312" w:cs="仿宋_GB2312"/>
          <w:b w:val="0"/>
          <w:i w:val="0"/>
          <w:caps w:val="0"/>
          <w:color w:val="auto"/>
          <w:spacing w:val="0"/>
          <w:w w:val="100"/>
          <w:kern w:val="2"/>
          <w:sz w:val="32"/>
          <w:szCs w:val="32"/>
          <w:lang w:val="en-US" w:eastAsia="zh-CN" w:bidi="ar-SA"/>
        </w:rPr>
        <w:t>园区载体作用日益凸显，累计入园企业达到19家，产值突破1亿元。</w:t>
      </w:r>
      <w:r>
        <w:rPr>
          <w:rFonts w:hint="eastAsia" w:ascii="Times New Roman" w:hAnsi="Times New Roman" w:eastAsia="仿宋_GB2312" w:cs="Times New Roman"/>
          <w:b w:val="0"/>
          <w:i w:val="0"/>
          <w:caps w:val="0"/>
          <w:spacing w:val="0"/>
          <w:w w:val="100"/>
          <w:kern w:val="2"/>
          <w:sz w:val="32"/>
          <w:szCs w:val="32"/>
          <w:lang w:val="en-US" w:eastAsia="zh-CN" w:bidi="ar-SA"/>
        </w:rPr>
        <w:t>清洁能源项目进展顺利，</w:t>
      </w:r>
      <w:r>
        <w:rPr>
          <w:rFonts w:hint="eastAsia" w:ascii="仿宋_GB2312" w:hAnsi="仿宋_GB2312" w:eastAsia="仿宋_GB2312" w:cs="仿宋_GB2312"/>
          <w:b w:val="0"/>
          <w:i w:val="0"/>
          <w:caps w:val="0"/>
          <w:spacing w:val="0"/>
          <w:w w:val="100"/>
          <w:kern w:val="2"/>
          <w:sz w:val="32"/>
          <w:szCs w:val="32"/>
          <w:lang w:val="en-US" w:eastAsia="zh-CN" w:bidi="ar-SA"/>
        </w:rPr>
        <w:t>中能建绿塬共享储能项目开工建设，</w:t>
      </w:r>
      <w:r>
        <w:rPr>
          <w:rFonts w:hint="eastAsia" w:ascii="Times New Roman" w:hAnsi="Times New Roman" w:eastAsia="仿宋_GB2312" w:cs="Times New Roman"/>
          <w:b w:val="0"/>
          <w:i w:val="0"/>
          <w:caps w:val="0"/>
          <w:spacing w:val="0"/>
          <w:w w:val="100"/>
          <w:kern w:val="2"/>
          <w:sz w:val="32"/>
          <w:szCs w:val="32"/>
          <w:lang w:val="en-US" w:eastAsia="zh-CN" w:bidi="ar-SA"/>
        </w:rPr>
        <w:t>集美扶贫车间、兴盛及卡子村“出户入园”等分布式光伏项目并网发电</w:t>
      </w:r>
      <w:r>
        <w:rPr>
          <w:rFonts w:hint="eastAsia" w:ascii="仿宋_GB2312" w:hAnsi="仿宋_GB2312" w:eastAsia="仿宋_GB2312" w:cs="仿宋_GB2312"/>
          <w:b w:val="0"/>
          <w:i w:val="0"/>
          <w:caps w:val="0"/>
          <w:spacing w:val="0"/>
          <w:w w:val="100"/>
          <w:kern w:val="2"/>
          <w:sz w:val="32"/>
          <w:szCs w:val="32"/>
          <w:lang w:val="en-US" w:eastAsia="zh-CN" w:bidi="ar-SA"/>
        </w:rPr>
        <w:t>。</w:t>
      </w:r>
    </w:p>
    <w:p>
      <w:pPr>
        <w:pStyle w:val="12"/>
        <w:keepNext w:val="0"/>
        <w:keepLines w:val="0"/>
        <w:pageBreakBefore w:val="0"/>
        <w:widowControl w:val="0"/>
        <w:kinsoku/>
        <w:wordWrap/>
        <w:overflowPunct/>
        <w:topLinePunct w:val="0"/>
        <w:autoSpaceDE/>
        <w:autoSpaceDN/>
        <w:bidi w:val="0"/>
        <w:adjustRightInd/>
        <w:snapToGrid/>
        <w:spacing w:line="560" w:lineRule="exact"/>
        <w:ind w:left="0" w:leftChars="0" w:firstLine="660" w:firstLineChars="0"/>
        <w:textAlignment w:val="auto"/>
        <w:rPr>
          <w:rStyle w:val="19"/>
          <w:rFonts w:hint="eastAsia" w:ascii="仿宋_GB2312" w:hAnsi="仿宋_GB2312" w:eastAsia="仿宋_GB2312" w:cs="仿宋_GB2312"/>
          <w:b w:val="0"/>
          <w:i w:val="0"/>
          <w:caps w:val="0"/>
          <w:color w:val="000000"/>
          <w:spacing w:val="0"/>
          <w:w w:val="100"/>
          <w:kern w:val="2"/>
          <w:sz w:val="32"/>
          <w:szCs w:val="32"/>
          <w:lang w:val="en-US" w:eastAsia="zh-CN" w:bidi="ar-SA"/>
        </w:rPr>
      </w:pPr>
      <w:r>
        <w:rPr>
          <w:rFonts w:hint="eastAsia" w:ascii="仿宋_GB2312" w:hAnsi="仿宋_GB2312" w:eastAsia="仿宋_GB2312" w:cs="仿宋_GB2312"/>
          <w:b/>
          <w:bCs/>
          <w:color w:val="000000"/>
          <w:spacing w:val="0"/>
          <w:sz w:val="32"/>
          <w:szCs w:val="32"/>
          <w:lang w:val="en-US" w:eastAsia="zh-CN"/>
        </w:rPr>
        <w:t>文旅产业提档升级。</w:t>
      </w:r>
      <w:r>
        <w:rPr>
          <w:rStyle w:val="19"/>
          <w:rFonts w:hint="eastAsia" w:ascii="仿宋_GB2312" w:hAnsi="仿宋_GB2312" w:eastAsia="仿宋_GB2312" w:cs="仿宋_GB2312"/>
          <w:b w:val="0"/>
          <w:i w:val="0"/>
          <w:caps w:val="0"/>
          <w:color w:val="000000"/>
          <w:spacing w:val="0"/>
          <w:w w:val="100"/>
          <w:kern w:val="2"/>
          <w:sz w:val="32"/>
          <w:szCs w:val="32"/>
          <w:lang w:val="en-US" w:eastAsia="zh-CN" w:bidi="ar-SA"/>
        </w:rPr>
        <w:t>以创建国家全域旅游示范县为抓手，重点实施乡村旅游示范点、全域旅游补短板建设项目，全面完成A级景区申报评定和国家级全域旅游示范县初审验收，</w:t>
      </w:r>
      <w:r>
        <w:rPr>
          <w:rFonts w:hint="eastAsia" w:ascii="仿宋_GB2312" w:hAnsi="仿宋_GB2312" w:eastAsia="仿宋_GB2312" w:cs="仿宋_GB2312"/>
          <w:spacing w:val="0"/>
          <w:sz w:val="32"/>
          <w:szCs w:val="32"/>
          <w:lang w:eastAsia="zh-CN"/>
        </w:rPr>
        <w:t>盘活运营王洛宾文化园、娅豪国际滑雪场，</w:t>
      </w:r>
      <w:r>
        <w:rPr>
          <w:rStyle w:val="19"/>
          <w:rFonts w:hint="eastAsia" w:ascii="仿宋_GB2312" w:hAnsi="仿宋_GB2312" w:eastAsia="仿宋_GB2312" w:cs="仿宋_GB2312"/>
          <w:b w:val="0"/>
          <w:i w:val="0"/>
          <w:caps w:val="0"/>
          <w:color w:val="000000"/>
          <w:spacing w:val="0"/>
          <w:w w:val="100"/>
          <w:kern w:val="2"/>
          <w:sz w:val="32"/>
          <w:szCs w:val="32"/>
          <w:lang w:val="en-US" w:eastAsia="zh-CN" w:bidi="ar-SA"/>
        </w:rPr>
        <w:t>成功承办宁夏青少年高山滑雪锦标赛，推出</w:t>
      </w:r>
      <w:r>
        <w:rPr>
          <w:rFonts w:hint="eastAsia" w:ascii="仿宋_GB2312" w:hAnsi="仿宋_GB2312" w:eastAsia="仿宋_GB2312" w:cs="仿宋_GB2312"/>
          <w:spacing w:val="0"/>
          <w:sz w:val="32"/>
          <w:szCs w:val="32"/>
          <w:lang w:eastAsia="zh-CN"/>
        </w:rPr>
        <w:t>《柳毅传书》实景剧，筹办</w:t>
      </w:r>
      <w:r>
        <w:rPr>
          <w:rStyle w:val="19"/>
          <w:rFonts w:hint="eastAsia" w:ascii="仿宋_GB2312" w:hAnsi="仿宋_GB2312" w:eastAsia="仿宋_GB2312" w:cs="仿宋_GB2312"/>
          <w:b w:val="0"/>
          <w:i w:val="0"/>
          <w:caps w:val="0"/>
          <w:color w:val="000000"/>
          <w:spacing w:val="0"/>
          <w:w w:val="100"/>
          <w:kern w:val="2"/>
          <w:sz w:val="32"/>
          <w:szCs w:val="32"/>
          <w:lang w:val="en-US" w:eastAsia="zh-CN" w:bidi="ar-SA"/>
        </w:rPr>
        <w:t>“稳保促”旅游推介会、“两晒一促”等系列活动，全县接待游客94万人次，实现旅游综合收入7.9亿元。</w:t>
      </w:r>
    </w:p>
    <w:p>
      <w:pPr>
        <w:pStyle w:val="12"/>
        <w:keepNext w:val="0"/>
        <w:keepLines w:val="0"/>
        <w:pageBreakBefore w:val="0"/>
        <w:widowControl w:val="0"/>
        <w:kinsoku/>
        <w:wordWrap/>
        <w:overflowPunct/>
        <w:topLinePunct w:val="0"/>
        <w:autoSpaceDE/>
        <w:autoSpaceDN/>
        <w:bidi w:val="0"/>
        <w:adjustRightInd/>
        <w:snapToGrid/>
        <w:spacing w:line="560" w:lineRule="exact"/>
        <w:ind w:left="0" w:leftChars="0" w:firstLine="660" w:firstLineChars="0"/>
        <w:textAlignment w:val="auto"/>
        <w:rPr>
          <w:rFonts w:hint="eastAsia" w:ascii="仿宋_GB2312" w:hAnsi="仿宋_GB2312" w:eastAsia="仿宋_GB2312" w:cs="仿宋_GB2312"/>
          <w:b/>
          <w:bCs/>
          <w:color w:val="000000"/>
          <w:spacing w:val="0"/>
          <w:sz w:val="32"/>
          <w:szCs w:val="32"/>
          <w:lang w:val="en-US" w:eastAsia="zh-CN"/>
        </w:rPr>
      </w:pPr>
      <w:r>
        <w:rPr>
          <w:rFonts w:hint="eastAsia" w:ascii="仿宋_GB2312" w:hAnsi="仿宋_GB2312" w:eastAsia="仿宋_GB2312" w:cs="仿宋_GB2312"/>
          <w:b/>
          <w:bCs/>
          <w:color w:val="000000"/>
          <w:spacing w:val="0"/>
          <w:sz w:val="32"/>
          <w:szCs w:val="32"/>
          <w:lang w:val="en-US" w:eastAsia="zh-CN"/>
        </w:rPr>
        <w:t>商贸服务逐步回暖。</w:t>
      </w:r>
      <w:r>
        <w:rPr>
          <w:rStyle w:val="19"/>
          <w:rFonts w:hint="eastAsia" w:ascii="仿宋_GB2312" w:hAnsi="仿宋_GB2312" w:eastAsia="仿宋_GB2312" w:cs="仿宋_GB2312"/>
          <w:b w:val="0"/>
          <w:i w:val="0"/>
          <w:caps w:val="0"/>
          <w:color w:val="000000"/>
          <w:spacing w:val="0"/>
          <w:w w:val="100"/>
          <w:kern w:val="2"/>
          <w:sz w:val="32"/>
          <w:szCs w:val="32"/>
          <w:lang w:val="en-US" w:eastAsia="zh-CN" w:bidi="ar-SA"/>
        </w:rPr>
        <w:t>制定</w:t>
      </w:r>
      <w:r>
        <w:rPr>
          <w:rFonts w:hint="default" w:ascii="Nimbus Roman No9 L" w:hAnsi="Nimbus Roman No9 L" w:eastAsia="仿宋_GB2312" w:cs="Nimbus Roman No9 L"/>
          <w:color w:val="auto"/>
          <w:sz w:val="32"/>
          <w:szCs w:val="32"/>
        </w:rPr>
        <w:t>支持扩大消费</w:t>
      </w:r>
      <w:r>
        <w:rPr>
          <w:rFonts w:hint="default" w:ascii="Nimbus Roman No9 L" w:hAnsi="Nimbus Roman No9 L" w:eastAsia="TimesNewRomanPSMT" w:cs="Nimbus Roman No9 L"/>
          <w:color w:val="auto"/>
          <w:sz w:val="32"/>
          <w:szCs w:val="32"/>
        </w:rPr>
        <w:t>“1</w:t>
      </w:r>
      <w:r>
        <w:rPr>
          <w:rFonts w:hint="default" w:ascii="Nimbus Roman No9 L" w:hAnsi="Nimbus Roman No9 L" w:eastAsia="仿宋_GB2312" w:cs="Nimbus Roman No9 L"/>
          <w:color w:val="auto"/>
          <w:sz w:val="32"/>
          <w:szCs w:val="32"/>
          <w:lang w:val="en-US" w:eastAsia="zh-CN"/>
        </w:rPr>
        <w:t>1</w:t>
      </w:r>
      <w:r>
        <w:rPr>
          <w:rFonts w:hint="default" w:ascii="Nimbus Roman No9 L" w:hAnsi="Nimbus Roman No9 L" w:eastAsia="仿宋_GB2312" w:cs="Nimbus Roman No9 L"/>
          <w:color w:val="auto"/>
          <w:sz w:val="32"/>
          <w:szCs w:val="32"/>
        </w:rPr>
        <w:t>条”措施</w:t>
      </w:r>
      <w:r>
        <w:rPr>
          <w:rFonts w:hint="eastAsia" w:ascii="Nimbus Roman No9 L" w:hAnsi="Nimbus Roman No9 L" w:eastAsia="仿宋_GB2312" w:cs="Nimbus Roman No9 L"/>
          <w:color w:val="auto"/>
          <w:sz w:val="32"/>
          <w:szCs w:val="32"/>
          <w:lang w:eastAsia="zh-CN"/>
        </w:rPr>
        <w:t>，</w:t>
      </w:r>
      <w:r>
        <w:rPr>
          <w:rStyle w:val="19"/>
          <w:rFonts w:hint="eastAsia" w:ascii="仿宋_GB2312" w:hAnsi="仿宋_GB2312" w:eastAsia="仿宋_GB2312" w:cs="仿宋_GB2312"/>
          <w:b w:val="0"/>
          <w:i w:val="0"/>
          <w:caps w:val="0"/>
          <w:color w:val="000000"/>
          <w:spacing w:val="0"/>
          <w:w w:val="100"/>
          <w:kern w:val="2"/>
          <w:sz w:val="32"/>
          <w:szCs w:val="32"/>
          <w:lang w:val="en-US" w:eastAsia="zh-CN" w:bidi="ar-SA"/>
        </w:rPr>
        <w:t>投入促消费资金257万元，刺激消费市场释放潜力，带动消费1000余万元。建立限上规上零售批发服务业企业培育库，培育限上规上企业（大个体）3个。组织开展</w:t>
      </w:r>
      <w:r>
        <w:rPr>
          <w:rStyle w:val="19"/>
          <w:rFonts w:hint="eastAsia" w:ascii="仿宋_GB2312" w:hAnsi="仿宋_GB2312" w:eastAsia="仿宋_GB2312" w:cs="仿宋_GB2312"/>
          <w:b w:val="0"/>
          <w:i w:val="0"/>
          <w:caps w:val="0"/>
          <w:color w:val="000000"/>
          <w:spacing w:val="0"/>
          <w:w w:val="100"/>
          <w:kern w:val="2"/>
          <w:sz w:val="32"/>
          <w:szCs w:val="32"/>
          <w:rtl w:val="0"/>
          <w:lang w:val="zh-CN" w:eastAsia="zh-CN" w:bidi="ar-SA"/>
        </w:rPr>
        <w:t>“</w:t>
      </w:r>
      <w:r>
        <w:rPr>
          <w:rStyle w:val="19"/>
          <w:rFonts w:hint="eastAsia" w:ascii="仿宋_GB2312" w:hAnsi="仿宋_GB2312" w:eastAsia="仿宋_GB2312" w:cs="仿宋_GB2312"/>
          <w:b w:val="0"/>
          <w:i w:val="0"/>
          <w:caps w:val="0"/>
          <w:color w:val="000000"/>
          <w:spacing w:val="0"/>
          <w:w w:val="100"/>
          <w:kern w:val="2"/>
          <w:sz w:val="32"/>
          <w:szCs w:val="32"/>
          <w:rtl w:val="0"/>
          <w:lang w:val="en-US" w:eastAsia="zh-CN" w:bidi="ar-SA"/>
        </w:rPr>
        <w:t>网上年货节</w:t>
      </w:r>
      <w:r>
        <w:rPr>
          <w:rStyle w:val="19"/>
          <w:rFonts w:hint="eastAsia" w:ascii="仿宋_GB2312" w:hAnsi="仿宋_GB2312" w:eastAsia="仿宋_GB2312" w:cs="仿宋_GB2312"/>
          <w:b w:val="0"/>
          <w:i w:val="0"/>
          <w:caps w:val="0"/>
          <w:color w:val="000000"/>
          <w:spacing w:val="0"/>
          <w:w w:val="100"/>
          <w:kern w:val="2"/>
          <w:sz w:val="32"/>
          <w:szCs w:val="32"/>
          <w:rtl w:val="0"/>
          <w:lang w:val="zh-CN" w:eastAsia="zh-CN" w:bidi="ar-SA"/>
        </w:rPr>
        <w:t>”、</w:t>
      </w:r>
      <w:r>
        <w:rPr>
          <w:rStyle w:val="19"/>
          <w:rFonts w:hint="eastAsia" w:ascii="仿宋_GB2312" w:hAnsi="仿宋_GB2312" w:eastAsia="仿宋_GB2312" w:cs="仿宋_GB2312"/>
          <w:b w:val="0"/>
          <w:i w:val="0"/>
          <w:caps w:val="0"/>
          <w:color w:val="000000"/>
          <w:spacing w:val="0"/>
          <w:w w:val="100"/>
          <w:kern w:val="2"/>
          <w:sz w:val="32"/>
          <w:szCs w:val="32"/>
          <w:rtl w:val="0"/>
          <w:lang w:val="en-US" w:eastAsia="zh-CN" w:bidi="ar-SA"/>
        </w:rPr>
        <w:t>首届电商网购节、</w:t>
      </w:r>
      <w:r>
        <w:rPr>
          <w:rStyle w:val="19"/>
          <w:rFonts w:hint="eastAsia" w:ascii="仿宋_GB2312" w:hAnsi="仿宋_GB2312" w:eastAsia="仿宋_GB2312" w:cs="仿宋_GB2312"/>
          <w:b w:val="0"/>
          <w:i w:val="0"/>
          <w:caps w:val="0"/>
          <w:color w:val="000000"/>
          <w:spacing w:val="0"/>
          <w:w w:val="100"/>
          <w:kern w:val="2"/>
          <w:sz w:val="32"/>
          <w:szCs w:val="32"/>
          <w:lang w:val="en-US" w:eastAsia="zh-CN" w:bidi="ar-SA"/>
        </w:rPr>
        <w:t>“6.18年中嗨购”、线上直播等系列活动，实现新业态带动新兴服务业发展。全年预计实现社会消费品零售总额8.6亿元，增长6%。</w:t>
      </w:r>
    </w:p>
    <w:p>
      <w:pPr>
        <w:pStyle w:val="6"/>
        <w:keepNext w:val="0"/>
        <w:keepLines w:val="0"/>
        <w:pageBreakBefore w:val="0"/>
        <w:widowControl w:val="0"/>
        <w:kinsoku/>
        <w:wordWrap/>
        <w:overflowPunct/>
        <w:topLinePunct w:val="0"/>
        <w:autoSpaceDE/>
        <w:autoSpaceDN/>
        <w:bidi w:val="0"/>
        <w:adjustRightInd/>
        <w:spacing w:line="560" w:lineRule="exact"/>
        <w:textAlignment w:val="auto"/>
        <w:rPr>
          <w:rFonts w:hint="eastAsia" w:ascii="楷体_GB2312" w:hAnsi="楷体_GB2312" w:eastAsia="楷体_GB2312" w:cs="楷体_GB2312"/>
          <w:b/>
          <w:bCs/>
          <w:color w:val="000000"/>
          <w:spacing w:val="0"/>
          <w:sz w:val="32"/>
          <w:szCs w:val="32"/>
          <w:lang w:val="en-US" w:eastAsia="zh-CN"/>
        </w:rPr>
      </w:pPr>
      <w:r>
        <w:rPr>
          <w:rFonts w:hint="eastAsia"/>
          <w:spacing w:val="0"/>
          <w:lang w:val="en-US" w:eastAsia="zh-CN"/>
        </w:rPr>
        <w:t xml:space="preserve">    </w:t>
      </w:r>
      <w:r>
        <w:rPr>
          <w:rFonts w:hint="eastAsia" w:ascii="楷体_GB2312" w:hAnsi="楷体_GB2312" w:eastAsia="楷体_GB2312" w:cs="楷体_GB2312"/>
          <w:b/>
          <w:bCs/>
          <w:color w:val="000000"/>
          <w:spacing w:val="0"/>
          <w:sz w:val="32"/>
          <w:szCs w:val="32"/>
          <w:lang w:val="en-US" w:eastAsia="zh-CN"/>
        </w:rPr>
        <w:t>（二）持之以恒抓项目、强招商，有效投资持续发力</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楷体_GB2312" w:hAnsi="楷体_GB2312" w:eastAsia="楷体_GB2312" w:cs="楷体_GB2312"/>
          <w:b/>
          <w:bCs/>
          <w:color w:val="0000FF"/>
          <w:spacing w:val="0"/>
          <w:sz w:val="32"/>
          <w:szCs w:val="32"/>
          <w:lang w:val="en-US" w:eastAsia="zh-CN"/>
        </w:rPr>
      </w:pPr>
      <w:r>
        <w:rPr>
          <w:rFonts w:hint="eastAsia" w:ascii="楷体_GB2312" w:hAnsi="楷体_GB2312" w:eastAsia="楷体_GB2312" w:cs="楷体_GB2312"/>
          <w:b/>
          <w:bCs/>
          <w:color w:val="000000"/>
          <w:spacing w:val="0"/>
          <w:sz w:val="32"/>
          <w:szCs w:val="32"/>
          <w:lang w:val="en-US" w:eastAsia="zh-CN"/>
        </w:rPr>
        <w:t xml:space="preserve">   </w:t>
      </w:r>
      <w:r>
        <w:rPr>
          <w:rFonts w:hint="eastAsia" w:ascii="仿宋_GB2312" w:hAnsi="仿宋_GB2312" w:eastAsia="仿宋_GB2312" w:cs="仿宋_GB2312"/>
          <w:b/>
          <w:bCs/>
          <w:color w:val="000000"/>
          <w:spacing w:val="0"/>
          <w:sz w:val="32"/>
          <w:szCs w:val="32"/>
          <w:lang w:val="en-US" w:eastAsia="zh-CN"/>
        </w:rPr>
        <w:t xml:space="preserve"> 政府投资类项目占据主导。</w:t>
      </w:r>
      <w:r>
        <w:rPr>
          <w:rFonts w:hint="eastAsia" w:ascii="仿宋_GB2312" w:hAnsi="仿宋_GB2312" w:eastAsia="仿宋_GB2312" w:cs="仿宋_GB2312"/>
          <w:b w:val="0"/>
          <w:bCs w:val="0"/>
          <w:color w:val="auto"/>
          <w:spacing w:val="0"/>
          <w:sz w:val="32"/>
          <w:szCs w:val="32"/>
          <w:lang w:val="en-US" w:eastAsia="zh-CN"/>
        </w:rPr>
        <w:t>树立“项目为王”理念，建立县级领导包抓重点项目、“六个一”工作推进及周通报、月调度等机制，强力推进重点项目建设。全年62个重点项目全部开工，完成投资12.5亿元</w:t>
      </w:r>
      <w:r>
        <w:rPr>
          <w:rFonts w:hint="eastAsia" w:ascii="仿宋_GB2312" w:hAnsi="仿宋_GB2312" w:eastAsia="仿宋_GB2312" w:cs="仿宋_GB2312"/>
          <w:b w:val="0"/>
          <w:bCs w:val="0"/>
          <w:color w:val="auto"/>
          <w:sz w:val="32"/>
          <w:szCs w:val="32"/>
          <w:highlight w:val="none"/>
          <w:lang w:val="en-US" w:eastAsia="zh-CN"/>
        </w:rPr>
        <w:t>。</w:t>
      </w:r>
      <w:r>
        <w:rPr>
          <w:rFonts w:hint="eastAsia" w:ascii="仿宋_GB2312" w:hAnsi="仿宋_GB2312" w:eastAsia="仿宋_GB2312" w:cs="仿宋_GB2312"/>
          <w:b w:val="0"/>
          <w:bCs w:val="0"/>
          <w:color w:val="auto"/>
          <w:spacing w:val="0"/>
          <w:sz w:val="32"/>
          <w:szCs w:val="32"/>
          <w:lang w:val="en-US" w:eastAsia="zh-CN"/>
        </w:rPr>
        <w:t>落实“双争”资金20.8亿元。省道313沿川子（宁甘界）至泾源段公路续建工程、百万移民致富提升村级道路、农村水毁公路等项目建成通车，香水社区综合养老服务中心改造项目、乡村旅游示范点项目、兴盛蔬菜基地等项目投入使用，农村饮水管网提升改造、杨岭特色农产品加工销售基地等项目基本建成。</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2"/>
        <w:jc w:val="left"/>
        <w:textAlignment w:val="auto"/>
        <w:rPr>
          <w:rFonts w:hint="eastAsia" w:ascii="楷体_GB2312" w:hAnsi="楷体_GB2312" w:eastAsia="楷体_GB2312" w:cs="楷体_GB2312"/>
          <w:b/>
          <w:bCs/>
          <w:color w:val="000000"/>
          <w:spacing w:val="0"/>
          <w:sz w:val="32"/>
          <w:szCs w:val="32"/>
          <w:lang w:val="en-US" w:eastAsia="zh-CN"/>
        </w:rPr>
      </w:pPr>
      <w:r>
        <w:rPr>
          <w:rFonts w:hint="eastAsia" w:ascii="仿宋_GB2312" w:hAnsi="仿宋_GB2312" w:eastAsia="仿宋_GB2312" w:cs="仿宋_GB2312"/>
          <w:b/>
          <w:bCs/>
          <w:color w:val="000000"/>
          <w:spacing w:val="0"/>
          <w:sz w:val="32"/>
          <w:szCs w:val="32"/>
          <w:lang w:val="en-US" w:eastAsia="zh-CN"/>
        </w:rPr>
        <w:t>招商引资类项目落地见效。</w:t>
      </w:r>
      <w:r>
        <w:rPr>
          <w:rFonts w:hint="eastAsia" w:ascii="仿宋_GB2312" w:hAnsi="仿宋_GB2312" w:eastAsia="仿宋_GB2312" w:cs="仿宋_GB2312"/>
          <w:b w:val="0"/>
          <w:bCs w:val="0"/>
          <w:color w:val="000000"/>
          <w:spacing w:val="0"/>
          <w:sz w:val="32"/>
          <w:szCs w:val="32"/>
          <w:lang w:val="en-US" w:eastAsia="zh-CN"/>
        </w:rPr>
        <w:t>围绕1+3+X产业发展，主攻龙头型、强链补链产业项目、绿色发展项目、科技创新项目，依托闽宁对口帮扶桥梁，先后赴福建、山东、北京等地开展小分队招商，共计“请进来”44批146人次，“走出去”8批29人次，通过积极落实1+N招商机制及“专班招、专班跟、专班落”“保姆式”服务机制，先后落地安格斯牛良种繁育基地建设、绿塬共享储能等优质项目19个，到位资金24.95亿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2"/>
        <w:jc w:val="left"/>
        <w:textAlignment w:val="auto"/>
        <w:rPr>
          <w:rFonts w:hint="eastAsia" w:ascii="楷体_GB2312" w:hAnsi="楷体_GB2312" w:eastAsia="楷体_GB2312" w:cs="楷体_GB2312"/>
          <w:b/>
          <w:bCs/>
          <w:spacing w:val="0"/>
          <w:sz w:val="32"/>
          <w:szCs w:val="32"/>
          <w:lang w:val="en-US" w:eastAsia="zh-CN"/>
        </w:rPr>
      </w:pPr>
      <w:r>
        <w:rPr>
          <w:rFonts w:hint="eastAsia" w:ascii="楷体_GB2312" w:hAnsi="楷体_GB2312" w:eastAsia="楷体_GB2312" w:cs="楷体_GB2312"/>
          <w:b/>
          <w:bCs/>
          <w:color w:val="000000"/>
          <w:spacing w:val="0"/>
          <w:sz w:val="32"/>
          <w:szCs w:val="32"/>
          <w:lang w:val="en-US" w:eastAsia="zh-CN"/>
        </w:rPr>
        <w:t>（三）统筹兼顾补短板、促振兴，</w:t>
      </w:r>
      <w:r>
        <w:rPr>
          <w:rFonts w:hint="eastAsia" w:ascii="楷体_GB2312" w:hAnsi="楷体_GB2312" w:eastAsia="楷体_GB2312" w:cs="楷体_GB2312"/>
          <w:b/>
          <w:bCs/>
          <w:spacing w:val="0"/>
          <w:sz w:val="32"/>
          <w:szCs w:val="32"/>
          <w:lang w:val="en-US" w:eastAsia="zh-CN"/>
        </w:rPr>
        <w:t>城乡一体协调推进</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b/>
          <w:bCs/>
          <w:color w:val="auto"/>
          <w:spacing w:val="0"/>
          <w:sz w:val="32"/>
          <w:szCs w:val="32"/>
          <w:lang w:val="en-US" w:eastAsia="zh-CN"/>
        </w:rPr>
        <w:t>乡村振兴全面实施。</w:t>
      </w:r>
      <w:r>
        <w:rPr>
          <w:rFonts w:hint="eastAsia" w:ascii="仿宋_GB2312" w:hAnsi="仿宋_GB2312" w:eastAsia="仿宋_GB2312" w:cs="仿宋_GB2312"/>
          <w:b w:val="0"/>
          <w:bCs w:val="0"/>
          <w:color w:val="auto"/>
          <w:spacing w:val="0"/>
          <w:sz w:val="32"/>
          <w:szCs w:val="32"/>
          <w:lang w:eastAsia="zh-CN"/>
        </w:rPr>
        <w:t>以巩固拓展脱贫攻坚成果同乡村振兴有效衔接为重点，严格落实“四个不摘”要求，紧盯“三类人群”，落实好“三项机制”，突出解决好移民产业、就业和社会融入三件事，坚决守住不发生规模性返贫的底线。</w:t>
      </w:r>
      <w:r>
        <w:rPr>
          <w:rFonts w:hint="eastAsia" w:ascii="仿宋_GB2312" w:hAnsi="仿宋_GB2312" w:eastAsia="仿宋_GB2312" w:cs="仿宋_GB2312"/>
          <w:color w:val="auto"/>
          <w:spacing w:val="0"/>
          <w:sz w:val="32"/>
          <w:szCs w:val="32"/>
          <w:lang w:val="en-US" w:eastAsia="zh-CN"/>
        </w:rPr>
        <w:t>统筹整合各类涉农资金2.7亿元、</w:t>
      </w:r>
      <w:r>
        <w:rPr>
          <w:rFonts w:hint="eastAsia" w:ascii="仿宋_GB2312" w:hAnsi="仿宋_GB2312" w:eastAsia="仿宋_GB2312" w:cs="仿宋_GB2312"/>
          <w:color w:val="auto"/>
          <w:spacing w:val="0"/>
          <w:sz w:val="32"/>
          <w:szCs w:val="32"/>
          <w:lang w:val="zh-CN" w:eastAsia="zh-CN"/>
        </w:rPr>
        <w:t>闽宁协作资金</w:t>
      </w:r>
      <w:r>
        <w:rPr>
          <w:rFonts w:hint="eastAsia" w:ascii="仿宋_GB2312" w:hAnsi="仿宋_GB2312" w:eastAsia="仿宋_GB2312" w:cs="仿宋_GB2312"/>
          <w:color w:val="auto"/>
          <w:spacing w:val="0"/>
          <w:sz w:val="32"/>
          <w:szCs w:val="32"/>
          <w:lang w:val="en-US" w:eastAsia="zh-CN"/>
        </w:rPr>
        <w:t>4820万元，实施各类基础设施、产业扶持、民生改善类项目81个。加强</w:t>
      </w:r>
      <w:r>
        <w:rPr>
          <w:rFonts w:hint="eastAsia" w:ascii="仿宋_GB2312" w:hAnsi="仿宋_GB2312" w:eastAsia="仿宋_GB2312" w:cs="仿宋_GB2312"/>
          <w:color w:val="auto"/>
          <w:spacing w:val="0"/>
          <w:sz w:val="32"/>
          <w:szCs w:val="32"/>
          <w:lang w:val="zh-CN" w:eastAsia="zh-CN"/>
        </w:rPr>
        <w:t>金融帮扶支持，为脱贫人口发放菌菇、肉牛、中蜂等产业培育小额信贷资金</w:t>
      </w:r>
      <w:r>
        <w:rPr>
          <w:rFonts w:hint="eastAsia" w:ascii="仿宋_GB2312" w:hAnsi="仿宋_GB2312" w:eastAsia="仿宋_GB2312" w:cs="仿宋_GB2312"/>
          <w:color w:val="auto"/>
          <w:spacing w:val="0"/>
          <w:sz w:val="32"/>
          <w:szCs w:val="32"/>
          <w:lang w:val="en-US" w:eastAsia="zh-CN"/>
        </w:rPr>
        <w:t>1.83</w:t>
      </w:r>
      <w:r>
        <w:rPr>
          <w:rFonts w:hint="eastAsia" w:ascii="仿宋_GB2312" w:hAnsi="仿宋_GB2312" w:eastAsia="仿宋_GB2312" w:cs="仿宋_GB2312"/>
          <w:color w:val="auto"/>
          <w:spacing w:val="0"/>
          <w:sz w:val="32"/>
          <w:szCs w:val="32"/>
          <w:lang w:val="zh-CN" w:eastAsia="zh-CN"/>
        </w:rPr>
        <w:t>亿元。深化央企定点帮扶，</w:t>
      </w:r>
      <w:r>
        <w:rPr>
          <w:rFonts w:hint="eastAsia" w:ascii="仿宋_GB2312" w:hAnsi="仿宋_GB2312" w:eastAsia="仿宋_GB2312" w:cs="仿宋_GB2312"/>
          <w:color w:val="auto"/>
          <w:spacing w:val="0"/>
          <w:sz w:val="32"/>
          <w:szCs w:val="32"/>
          <w:lang w:val="en-US" w:eastAsia="zh-CN"/>
        </w:rPr>
        <w:t>争取资金1520万元落实帮扶项目7个。积极发挥消费帮扶产销对接作用，外销各类农特产品1.82亿元。实施基层组织提升、特色产业提质、环境整治塑形、干部作风转变和能力素质提升“四项行动”，</w:t>
      </w:r>
      <w:r>
        <w:rPr>
          <w:rFonts w:hint="eastAsia" w:ascii="仿宋_GB2312" w:hAnsi="仿宋_GB2312" w:eastAsia="仿宋_GB2312" w:cs="仿宋_GB2312"/>
          <w:color w:val="auto"/>
          <w:spacing w:val="0"/>
          <w:sz w:val="32"/>
          <w:szCs w:val="32"/>
          <w:lang w:val="zh-CN" w:eastAsia="zh-CN"/>
        </w:rPr>
        <w:t>培育示范村16个，打造集美、羊槽等移民重点产业村</w:t>
      </w:r>
      <w:r>
        <w:rPr>
          <w:rFonts w:hint="eastAsia" w:ascii="仿宋_GB2312" w:hAnsi="仿宋_GB2312" w:eastAsia="仿宋_GB2312" w:cs="仿宋_GB2312"/>
          <w:color w:val="auto"/>
          <w:spacing w:val="0"/>
          <w:sz w:val="32"/>
          <w:szCs w:val="32"/>
          <w:lang w:val="en-US" w:eastAsia="zh-CN"/>
        </w:rPr>
        <w:t>5个。</w:t>
      </w:r>
      <w:r>
        <w:rPr>
          <w:rFonts w:hint="eastAsia" w:ascii="仿宋_GB2312" w:hAnsi="仿宋_GB2312" w:eastAsia="仿宋_GB2312" w:cs="仿宋_GB2312"/>
          <w:b w:val="0"/>
          <w:bCs w:val="0"/>
          <w:spacing w:val="0"/>
          <w:sz w:val="32"/>
          <w:szCs w:val="32"/>
          <w:lang w:eastAsia="zh-CN"/>
        </w:rPr>
        <w:t>创建党建工作示范乡镇</w:t>
      </w:r>
      <w:r>
        <w:rPr>
          <w:rFonts w:hint="eastAsia" w:ascii="仿宋_GB2312" w:hAnsi="仿宋_GB2312" w:eastAsia="仿宋_GB2312" w:cs="仿宋_GB2312"/>
          <w:b w:val="0"/>
          <w:bCs w:val="0"/>
          <w:spacing w:val="0"/>
          <w:sz w:val="32"/>
          <w:szCs w:val="32"/>
          <w:lang w:val="en-US" w:eastAsia="zh-CN"/>
        </w:rPr>
        <w:t>6个，</w:t>
      </w:r>
      <w:r>
        <w:rPr>
          <w:rFonts w:hint="eastAsia" w:ascii="仿宋_GB2312" w:hAnsi="仿宋_GB2312" w:eastAsia="仿宋_GB2312" w:cs="仿宋_GB2312"/>
          <w:b w:val="0"/>
          <w:bCs w:val="0"/>
          <w:spacing w:val="0"/>
          <w:sz w:val="32"/>
          <w:szCs w:val="32"/>
          <w:lang w:eastAsia="zh-CN"/>
        </w:rPr>
        <w:t>示范村</w:t>
      </w:r>
      <w:r>
        <w:rPr>
          <w:rFonts w:hint="eastAsia" w:ascii="仿宋_GB2312" w:hAnsi="仿宋_GB2312" w:eastAsia="仿宋_GB2312" w:cs="仿宋_GB2312"/>
          <w:b w:val="0"/>
          <w:bCs w:val="0"/>
          <w:spacing w:val="0"/>
          <w:sz w:val="32"/>
          <w:szCs w:val="32"/>
          <w:lang w:val="en-US" w:eastAsia="zh-CN"/>
        </w:rPr>
        <w:t>72个，</w:t>
      </w:r>
      <w:r>
        <w:rPr>
          <w:rFonts w:hint="eastAsia" w:ascii="仿宋_GB2312" w:hAnsi="仿宋_GB2312" w:eastAsia="仿宋_GB2312" w:cs="仿宋_GB2312"/>
          <w:b w:val="0"/>
          <w:bCs w:val="0"/>
          <w:spacing w:val="0"/>
          <w:sz w:val="32"/>
          <w:szCs w:val="32"/>
          <w:lang w:eastAsia="zh-CN"/>
        </w:rPr>
        <w:t>建成</w:t>
      </w:r>
      <w:r>
        <w:rPr>
          <w:rFonts w:hint="eastAsia" w:ascii="仿宋_GB2312" w:hAnsi="仿宋_GB2312" w:eastAsia="仿宋_GB2312" w:cs="仿宋_GB2312"/>
          <w:b w:val="0"/>
          <w:bCs w:val="0"/>
          <w:spacing w:val="0"/>
          <w:sz w:val="32"/>
          <w:szCs w:val="32"/>
        </w:rPr>
        <w:t>集体经济项目15个</w:t>
      </w:r>
      <w:r>
        <w:rPr>
          <w:rFonts w:hint="eastAsia" w:ascii="仿宋_GB2312" w:hAnsi="仿宋_GB2312" w:eastAsia="仿宋_GB2312" w:cs="仿宋_GB2312"/>
          <w:b w:val="0"/>
          <w:bCs w:val="0"/>
          <w:spacing w:val="0"/>
          <w:sz w:val="32"/>
          <w:szCs w:val="32"/>
          <w:lang w:eastAsia="zh-CN"/>
        </w:rPr>
        <w:t>，</w:t>
      </w:r>
      <w:r>
        <w:rPr>
          <w:rFonts w:hint="eastAsia" w:ascii="仿宋_GB2312" w:hAnsi="仿宋_GB2312" w:eastAsia="仿宋_GB2312" w:cs="仿宋_GB2312"/>
          <w:b w:val="0"/>
          <w:bCs w:val="0"/>
          <w:spacing w:val="0"/>
          <w:sz w:val="32"/>
          <w:szCs w:val="32"/>
        </w:rPr>
        <w:t>新建村级组织活动场所2个、改造提升13个</w:t>
      </w:r>
      <w:r>
        <w:rPr>
          <w:rFonts w:hint="eastAsia" w:ascii="仿宋_GB2312" w:hAnsi="仿宋_GB2312" w:eastAsia="仿宋_GB2312" w:cs="仿宋_GB2312"/>
          <w:b w:val="0"/>
          <w:bCs w:val="0"/>
          <w:spacing w:val="0"/>
          <w:sz w:val="32"/>
          <w:szCs w:val="32"/>
          <w:lang w:eastAsia="zh-CN"/>
        </w:rPr>
        <w:t>，</w:t>
      </w:r>
      <w:r>
        <w:rPr>
          <w:rFonts w:hint="eastAsia" w:ascii="仿宋_GB2312" w:hAnsi="仿宋_GB2312" w:eastAsia="仿宋_GB2312" w:cs="仿宋_GB2312"/>
          <w:b w:val="0"/>
          <w:bCs w:val="0"/>
          <w:spacing w:val="0"/>
          <w:sz w:val="32"/>
          <w:szCs w:val="32"/>
        </w:rPr>
        <w:t>培育致富带头人</w:t>
      </w:r>
      <w:r>
        <w:rPr>
          <w:rFonts w:hint="eastAsia" w:ascii="仿宋_GB2312" w:hAnsi="仿宋_GB2312" w:eastAsia="仿宋_GB2312" w:cs="仿宋_GB2312"/>
          <w:b w:val="0"/>
          <w:bCs w:val="0"/>
          <w:spacing w:val="0"/>
          <w:sz w:val="32"/>
          <w:szCs w:val="32"/>
          <w:lang w:val="en-US" w:eastAsia="zh-CN"/>
        </w:rPr>
        <w:t>1190</w:t>
      </w:r>
      <w:r>
        <w:rPr>
          <w:rFonts w:hint="eastAsia" w:ascii="仿宋_GB2312" w:hAnsi="仿宋_GB2312" w:eastAsia="仿宋_GB2312" w:cs="仿宋_GB2312"/>
          <w:b w:val="0"/>
          <w:bCs w:val="0"/>
          <w:spacing w:val="0"/>
          <w:sz w:val="32"/>
          <w:szCs w:val="32"/>
        </w:rPr>
        <w:t>名</w:t>
      </w:r>
      <w:r>
        <w:rPr>
          <w:rFonts w:hint="eastAsia" w:ascii="仿宋_GB2312" w:hAnsi="仿宋_GB2312" w:eastAsia="仿宋_GB2312" w:cs="仿宋_GB2312"/>
          <w:b w:val="0"/>
          <w:bCs w:val="0"/>
          <w:spacing w:val="0"/>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color w:val="auto"/>
          <w:spacing w:val="0"/>
          <w:sz w:val="32"/>
          <w:szCs w:val="32"/>
          <w:lang w:val="en" w:eastAsia="zh-CN"/>
        </w:rPr>
      </w:pPr>
      <w:r>
        <w:rPr>
          <w:rFonts w:hint="eastAsia" w:ascii="仿宋_GB2312" w:hAnsi="仿宋_GB2312" w:eastAsia="仿宋_GB2312" w:cs="仿宋_GB2312"/>
          <w:b/>
          <w:bCs/>
          <w:color w:val="auto"/>
          <w:spacing w:val="0"/>
          <w:sz w:val="32"/>
          <w:szCs w:val="32"/>
          <w:lang w:val="en-US" w:eastAsia="zh-CN"/>
        </w:rPr>
        <w:t>城市基础设施不断完善。</w:t>
      </w:r>
      <w:r>
        <w:rPr>
          <w:rFonts w:hint="eastAsia" w:ascii="仿宋_GB2312" w:hAnsi="仿宋_GB2312" w:eastAsia="仿宋_GB2312" w:cs="仿宋_GB2312"/>
          <w:color w:val="auto"/>
          <w:spacing w:val="0"/>
          <w:sz w:val="32"/>
          <w:szCs w:val="32"/>
          <w:lang w:val="en-US" w:eastAsia="zh-CN"/>
        </w:rPr>
        <w:t>持续推进城市更新行动，老年养护院项目已完成主体建设，应急物资储备保障库项目已提前完工，“互联网+供水”用户端计量提升改造工程已投入使用，铺设管道2.93公里，新建检查井28座、改造水厂2座，安装智能水表910块，7个老旧小区改造全面完成，西苑人家一期、八方隆三期、金域华庭B区3个商业开发项目稳步推进，集中供热锅炉房迁建项目（二期）已投入使用</w:t>
      </w:r>
      <w:r>
        <w:rPr>
          <w:rFonts w:hint="eastAsia" w:ascii="仿宋_GB2312" w:hAnsi="仿宋_GB2312" w:eastAsia="仿宋_GB2312" w:cs="仿宋_GB2312"/>
          <w:color w:val="auto"/>
          <w:spacing w:val="0"/>
          <w:sz w:val="32"/>
          <w:szCs w:val="32"/>
          <w:lang w:val="en"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left"/>
        <w:textAlignment w:val="auto"/>
        <w:rPr>
          <w:rFonts w:hint="eastAsia" w:ascii="楷体_GB2312" w:hAnsi="楷体_GB2312" w:eastAsia="楷体_GB2312" w:cs="楷体_GB2312"/>
          <w:b/>
          <w:bCs/>
          <w:color w:val="auto"/>
          <w:spacing w:val="0"/>
          <w:sz w:val="32"/>
          <w:szCs w:val="32"/>
          <w:lang w:val="en-US" w:eastAsia="zh-CN"/>
        </w:rPr>
      </w:pPr>
      <w:r>
        <w:rPr>
          <w:rFonts w:hint="eastAsia" w:ascii="仿宋_GB2312" w:hAnsi="仿宋_GB2312" w:eastAsia="仿宋_GB2312" w:cs="仿宋_GB2312"/>
          <w:b/>
          <w:bCs/>
          <w:color w:val="auto"/>
          <w:spacing w:val="0"/>
          <w:sz w:val="32"/>
          <w:szCs w:val="32"/>
          <w:lang w:val="en-US" w:eastAsia="zh-CN"/>
        </w:rPr>
        <w:t>农村人居环境持续改善。</w:t>
      </w:r>
      <w:r>
        <w:rPr>
          <w:rFonts w:hint="eastAsia" w:ascii="仿宋_GB2312" w:hAnsi="仿宋_GB2312" w:eastAsia="仿宋_GB2312" w:cs="仿宋_GB2312"/>
          <w:color w:val="auto"/>
          <w:spacing w:val="0"/>
          <w:sz w:val="32"/>
          <w:szCs w:val="32"/>
          <w:lang w:val="en-US" w:eastAsia="zh-CN"/>
        </w:rPr>
        <w:t>深入推进农村人居环境整治提升五年行动，实施农村卫生厕所、畜禽粪污资源化利用、秸秆综合利用等项目，完成农村卫生厕所改造3008户，拆除房屋院落108处，清理农村垃圾13353吨、畜禽粪污18308吨。完成下黄村、羊槽村、下金村、张台村4个高质量美丽宜居村庄建设任务，实施农村低收入群体危房改造42户，巩固提升幸福农家“123”菜园5000座，发放菜苗128万株。</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2"/>
        <w:jc w:val="both"/>
        <w:textAlignment w:val="auto"/>
        <w:rPr>
          <w:rFonts w:hint="eastAsia" w:ascii="楷体_GB2312" w:hAnsi="楷体_GB2312" w:eastAsia="楷体_GB2312" w:cs="楷体_GB2312"/>
          <w:b/>
          <w:bCs/>
          <w:color w:val="auto"/>
          <w:spacing w:val="0"/>
          <w:sz w:val="32"/>
          <w:szCs w:val="32"/>
          <w:lang w:val="en-US" w:eastAsia="zh-CN"/>
        </w:rPr>
      </w:pPr>
      <w:r>
        <w:rPr>
          <w:rFonts w:hint="eastAsia" w:ascii="楷体_GB2312" w:hAnsi="楷体_GB2312" w:eastAsia="楷体_GB2312" w:cs="楷体_GB2312"/>
          <w:b/>
          <w:bCs/>
          <w:color w:val="auto"/>
          <w:spacing w:val="0"/>
          <w:sz w:val="32"/>
          <w:szCs w:val="32"/>
          <w:lang w:val="en-US" w:eastAsia="zh-CN"/>
        </w:rPr>
        <w:t>（四）坚定不移优环境、保生态，绿色发展不断厚植</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bCs/>
          <w:color w:val="auto"/>
          <w:spacing w:val="0"/>
          <w:sz w:val="32"/>
          <w:szCs w:val="32"/>
          <w:lang w:val="en-US" w:eastAsia="zh-CN"/>
        </w:rPr>
      </w:pPr>
      <w:r>
        <w:rPr>
          <w:rFonts w:hint="eastAsia" w:ascii="楷体_GB2312" w:hAnsi="楷体_GB2312" w:eastAsia="楷体_GB2312" w:cs="楷体_GB2312"/>
          <w:b/>
          <w:bCs/>
          <w:color w:val="auto"/>
          <w:spacing w:val="0"/>
          <w:sz w:val="32"/>
          <w:szCs w:val="32"/>
          <w:lang w:val="en-US" w:eastAsia="zh-CN"/>
        </w:rPr>
        <w:t xml:space="preserve">  </w:t>
      </w:r>
      <w:r>
        <w:rPr>
          <w:rFonts w:hint="eastAsia" w:ascii="仿宋_GB2312" w:hAnsi="仿宋_GB2312" w:eastAsia="仿宋_GB2312" w:cs="仿宋_GB2312"/>
          <w:b/>
          <w:bCs/>
          <w:color w:val="auto"/>
          <w:spacing w:val="0"/>
          <w:sz w:val="32"/>
          <w:szCs w:val="32"/>
          <w:lang w:val="en-US" w:eastAsia="zh-CN"/>
        </w:rPr>
        <w:t xml:space="preserve">  绿色低碳助力转型。</w:t>
      </w:r>
      <w:r>
        <w:rPr>
          <w:rFonts w:hint="eastAsia" w:ascii="仿宋_GB2312" w:hAnsi="仿宋_GB2312" w:eastAsia="仿宋_GB2312" w:cs="仿宋_GB2312"/>
          <w:b w:val="0"/>
          <w:bCs w:val="0"/>
          <w:color w:val="auto"/>
          <w:spacing w:val="0"/>
          <w:sz w:val="32"/>
          <w:szCs w:val="32"/>
          <w:lang w:val="en-US" w:eastAsia="zh-CN"/>
        </w:rPr>
        <w:t>严格落实党中央及区市关于坚决遏制“两高”项目盲目发展部署要求，坚决把好项目审批关，全年没有实施任何“两高”项目。推进重点领域节能，紧盯规上工业、园区节能，统筹推进建筑、交通、商业、公共机构等领域节能任务落实，实行阶梯电价、阶梯水价和煤改电、清洁取暖等节能措施，实现单位能耗降低2.5%的目标。</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color w:val="auto"/>
          <w:spacing w:val="0"/>
          <w:sz w:val="32"/>
          <w:szCs w:val="32"/>
          <w:lang w:val="en-US" w:eastAsia="zh-CN"/>
        </w:rPr>
      </w:pPr>
      <w:r>
        <w:rPr>
          <w:rFonts w:hint="eastAsia" w:ascii="仿宋_GB2312" w:hAnsi="仿宋_GB2312" w:eastAsia="仿宋_GB2312" w:cs="仿宋_GB2312"/>
          <w:b/>
          <w:bCs/>
          <w:color w:val="auto"/>
          <w:spacing w:val="0"/>
          <w:sz w:val="32"/>
          <w:szCs w:val="32"/>
          <w:lang w:val="en-US" w:eastAsia="zh-CN"/>
        </w:rPr>
        <w:t xml:space="preserve">    生态保护高效开展。</w:t>
      </w:r>
      <w:r>
        <w:rPr>
          <w:rFonts w:hint="eastAsia" w:ascii="仿宋_GB2312" w:hAnsi="仿宋_GB2312" w:eastAsia="仿宋_GB2312" w:cs="仿宋_GB2312"/>
          <w:b w:val="0"/>
          <w:bCs w:val="0"/>
          <w:color w:val="auto"/>
          <w:spacing w:val="0"/>
          <w:sz w:val="32"/>
          <w:szCs w:val="32"/>
          <w:lang w:val="en-US" w:eastAsia="zh-CN"/>
        </w:rPr>
        <w:t>持续推进林业生态建设和生态保护修复，筑牢六盘山绿色屏障，守好黄土高原天然水塔。实施六盘山重点生态功能区生态保护与修复营造林、香水河县城段生态缓冲带修复等重点工程项目，统筹推进山水林田湖草综合治理、系统治理、源头治理，完成六盘山重点生态功能区生态修复营造林8万亩，栽植各类苗木600万株，森林覆盖率达到42.24%。</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color w:val="auto"/>
          <w:spacing w:val="0"/>
          <w:sz w:val="32"/>
          <w:szCs w:val="32"/>
          <w:lang w:eastAsia="zh-CN"/>
        </w:rPr>
      </w:pPr>
      <w:r>
        <w:rPr>
          <w:rFonts w:hint="eastAsia" w:ascii="仿宋_GB2312" w:hAnsi="仿宋_GB2312" w:eastAsia="仿宋_GB2312" w:cs="仿宋_GB2312"/>
          <w:b w:val="0"/>
          <w:bCs w:val="0"/>
          <w:color w:val="auto"/>
          <w:spacing w:val="0"/>
          <w:sz w:val="32"/>
          <w:szCs w:val="32"/>
          <w:lang w:val="en-US" w:eastAsia="zh-CN"/>
        </w:rPr>
        <w:t xml:space="preserve">    </w:t>
      </w:r>
      <w:r>
        <w:rPr>
          <w:rFonts w:hint="eastAsia" w:ascii="仿宋_GB2312" w:hAnsi="仿宋_GB2312" w:eastAsia="仿宋_GB2312" w:cs="仿宋_GB2312"/>
          <w:b/>
          <w:bCs/>
          <w:color w:val="auto"/>
          <w:spacing w:val="0"/>
          <w:sz w:val="32"/>
          <w:szCs w:val="32"/>
          <w:lang w:val="en-US" w:eastAsia="zh-CN"/>
        </w:rPr>
        <w:t>生态治理成果显著。</w:t>
      </w:r>
      <w:r>
        <w:rPr>
          <w:rFonts w:hint="eastAsia" w:ascii="仿宋_GB2312" w:hAnsi="仿宋_GB2312" w:eastAsia="仿宋_GB2312" w:cs="仿宋_GB2312"/>
          <w:b w:val="0"/>
          <w:bCs w:val="0"/>
          <w:color w:val="auto"/>
          <w:spacing w:val="0"/>
          <w:sz w:val="32"/>
          <w:szCs w:val="32"/>
          <w:lang w:eastAsia="zh-CN"/>
        </w:rPr>
        <w:t>巩固拓展国家“绿水青山就是金山银山”实践创新基地成果，围绕“提气、降碳、强生态，增水、固土、防风险”目标，</w:t>
      </w:r>
      <w:r>
        <w:rPr>
          <w:rFonts w:hint="eastAsia" w:ascii="仿宋_GB2312" w:hAnsi="仿宋_GB2312" w:eastAsia="仿宋_GB2312" w:cs="仿宋_GB2312"/>
          <w:b w:val="0"/>
          <w:bCs w:val="0"/>
          <w:color w:val="auto"/>
          <w:spacing w:val="0"/>
          <w:sz w:val="32"/>
          <w:szCs w:val="32"/>
          <w:lang w:val="en-US" w:eastAsia="zh-CN"/>
        </w:rPr>
        <w:t>持续推进“四尘”同治、“五水”共治、“六废”联治，坚决整治环保突出问题，坚决打赢蓝天、碧水、净土保卫战。</w:t>
      </w:r>
      <w:r>
        <w:rPr>
          <w:rFonts w:hint="eastAsia" w:ascii="仿宋_GB2312" w:hAnsi="仿宋_GB2312" w:eastAsia="仿宋_GB2312" w:cs="仿宋_GB2312"/>
          <w:b w:val="0"/>
          <w:bCs w:val="0"/>
          <w:color w:val="auto"/>
          <w:spacing w:val="0"/>
          <w:sz w:val="32"/>
          <w:szCs w:val="32"/>
          <w:lang w:eastAsia="zh-CN"/>
        </w:rPr>
        <w:t>“散乱污”企业整治持续开展，煤改电、煤改气工程有序推进，清洁能源应用深入推广，环境空气质量优良天数比例为高于</w:t>
      </w:r>
      <w:r>
        <w:rPr>
          <w:rFonts w:hint="eastAsia" w:ascii="仿宋_GB2312" w:hAnsi="仿宋_GB2312" w:eastAsia="仿宋_GB2312" w:cs="仿宋_GB2312"/>
          <w:b w:val="0"/>
          <w:bCs w:val="0"/>
          <w:color w:val="auto"/>
          <w:spacing w:val="0"/>
          <w:sz w:val="32"/>
          <w:szCs w:val="32"/>
          <w:lang w:val="en-US" w:eastAsia="zh-CN"/>
        </w:rPr>
        <w:t>95%</w:t>
      </w:r>
      <w:r>
        <w:rPr>
          <w:rFonts w:hint="eastAsia" w:ascii="仿宋_GB2312" w:hAnsi="仿宋_GB2312" w:eastAsia="仿宋_GB2312" w:cs="仿宋_GB2312"/>
          <w:b w:val="0"/>
          <w:bCs w:val="0"/>
          <w:color w:val="auto"/>
          <w:spacing w:val="0"/>
          <w:sz w:val="32"/>
          <w:szCs w:val="32"/>
          <w:lang w:eastAsia="zh-CN"/>
        </w:rPr>
        <w:t>。县城污水处理厂污泥脱水项目成效明显，泾河出境断面水质稳定保持在Ⅱ类标准。</w:t>
      </w:r>
      <w:r>
        <w:rPr>
          <w:rFonts w:hint="eastAsia" w:ascii="仿宋_GB2312" w:hAnsi="仿宋_GB2312" w:eastAsia="仿宋_GB2312" w:cs="仿宋_GB2312"/>
          <w:b w:val="0"/>
          <w:bCs w:val="0"/>
          <w:color w:val="auto"/>
          <w:spacing w:val="0"/>
          <w:sz w:val="32"/>
          <w:szCs w:val="32"/>
          <w:lang w:val="en-US" w:eastAsia="zh-CN"/>
        </w:rPr>
        <w:t>农田残膜回收率达到90%以上，全县土壤污染已全面消除。</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楷体_GB2312" w:hAnsi="楷体_GB2312" w:eastAsia="楷体_GB2312" w:cs="楷体_GB2312"/>
          <w:b/>
          <w:bCs/>
          <w:color w:val="auto"/>
          <w:spacing w:val="0"/>
          <w:sz w:val="32"/>
          <w:szCs w:val="32"/>
          <w:lang w:val="en-US" w:eastAsia="zh-CN"/>
        </w:rPr>
      </w:pPr>
      <w:r>
        <w:rPr>
          <w:rFonts w:hint="eastAsia" w:ascii="楷体_GB2312" w:hAnsi="楷体_GB2312" w:eastAsia="楷体_GB2312" w:cs="楷体_GB2312"/>
          <w:b/>
          <w:bCs/>
          <w:color w:val="auto"/>
          <w:spacing w:val="0"/>
          <w:sz w:val="32"/>
          <w:szCs w:val="32"/>
          <w:lang w:val="en-US" w:eastAsia="zh-CN"/>
        </w:rPr>
        <w:t xml:space="preserve">    （五）锲而不舍抓创新、优服务，发展环境不断优化</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楷体_GB2312" w:hAnsi="楷体_GB2312" w:eastAsia="楷体_GB2312" w:cs="楷体_GB2312"/>
          <w:b/>
          <w:bCs/>
          <w:color w:val="000000"/>
          <w:spacing w:val="0"/>
          <w:sz w:val="32"/>
          <w:szCs w:val="32"/>
          <w:lang w:val="en-US" w:eastAsia="zh-CN"/>
        </w:rPr>
      </w:pPr>
      <w:r>
        <w:rPr>
          <w:rFonts w:hint="eastAsia" w:ascii="楷体_GB2312" w:hAnsi="楷体_GB2312" w:eastAsia="楷体_GB2312" w:cs="楷体_GB2312"/>
          <w:b/>
          <w:bCs/>
          <w:color w:val="000000"/>
          <w:spacing w:val="0"/>
          <w:sz w:val="32"/>
          <w:szCs w:val="32"/>
          <w:lang w:val="en-US" w:eastAsia="zh-CN"/>
        </w:rPr>
        <w:t xml:space="preserve">   </w:t>
      </w:r>
      <w:r>
        <w:rPr>
          <w:rFonts w:hint="eastAsia" w:ascii="仿宋_GB2312" w:hAnsi="仿宋_GB2312" w:eastAsia="仿宋_GB2312" w:cs="仿宋_GB2312"/>
          <w:b/>
          <w:bCs/>
          <w:color w:val="000000"/>
          <w:spacing w:val="0"/>
          <w:sz w:val="32"/>
          <w:szCs w:val="32"/>
          <w:lang w:val="en-US" w:eastAsia="zh-CN"/>
        </w:rPr>
        <w:t xml:space="preserve"> </w:t>
      </w:r>
      <w:r>
        <w:rPr>
          <w:rFonts w:hint="eastAsia" w:ascii="仿宋_GB2312" w:hAnsi="仿宋_GB2312" w:eastAsia="仿宋_GB2312" w:cs="仿宋_GB2312"/>
          <w:b/>
          <w:bCs/>
          <w:color w:val="auto"/>
          <w:spacing w:val="0"/>
          <w:sz w:val="32"/>
          <w:szCs w:val="32"/>
          <w:lang w:val="en-US" w:eastAsia="zh-CN"/>
        </w:rPr>
        <w:t>重点领域改革深入推进。</w:t>
      </w:r>
      <w:r>
        <w:rPr>
          <w:rFonts w:hint="eastAsia" w:ascii="仿宋_GB2312" w:hAnsi="仿宋_GB2312" w:eastAsia="仿宋_GB2312" w:cs="仿宋_GB2312"/>
          <w:b w:val="0"/>
          <w:bCs w:val="0"/>
          <w:color w:val="auto"/>
          <w:spacing w:val="0"/>
          <w:sz w:val="32"/>
          <w:szCs w:val="32"/>
          <w:lang w:val="en-US" w:eastAsia="zh-CN"/>
        </w:rPr>
        <w:t>“放管服”改革不断深化，政府权责清单制度全面实施，163政务服务模式一体化深入推进。“县管校聘”改革全面完成，1022名在编教师全部竞聘上岗。国企改革稳步推进，国有资本投资运营集团公司组建运行。“六权”改革有序推进，重点领域用水计量设施安装全覆盖，“农房一体”权籍调查实现应登尽登，94家固定污染源完成排污许可证核发，48万亩林地地类界线落界全面完成，燕家山引进社会资本参与生态保护修复试点改革成效初步显现，用能权和碳排放权正在进行前期准备和谋划，改革赋能高质量发展作用更加有力。</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color w:val="000000"/>
          <w:spacing w:val="0"/>
          <w:sz w:val="32"/>
          <w:szCs w:val="32"/>
          <w:lang w:val="en-US" w:eastAsia="zh-CN"/>
        </w:rPr>
      </w:pPr>
      <w:r>
        <w:rPr>
          <w:rFonts w:hint="eastAsia" w:ascii="楷体_GB2312" w:hAnsi="楷体_GB2312" w:eastAsia="楷体_GB2312" w:cs="楷体_GB2312"/>
          <w:b/>
          <w:bCs/>
          <w:color w:val="000000"/>
          <w:spacing w:val="0"/>
          <w:sz w:val="32"/>
          <w:szCs w:val="32"/>
          <w:lang w:val="en-US" w:eastAsia="zh-CN"/>
        </w:rPr>
        <w:t xml:space="preserve">   </w:t>
      </w:r>
      <w:r>
        <w:rPr>
          <w:rFonts w:hint="eastAsia" w:ascii="仿宋_GB2312" w:hAnsi="仿宋_GB2312" w:eastAsia="仿宋_GB2312" w:cs="仿宋_GB2312"/>
          <w:b/>
          <w:bCs/>
          <w:color w:val="000000"/>
          <w:spacing w:val="0"/>
          <w:sz w:val="32"/>
          <w:szCs w:val="32"/>
          <w:lang w:val="en-US" w:eastAsia="zh-CN"/>
        </w:rPr>
        <w:t xml:space="preserve"> 科技创新能力持续提升。</w:t>
      </w:r>
      <w:r>
        <w:rPr>
          <w:rFonts w:hint="eastAsia" w:ascii="仿宋_GB2312" w:hAnsi="仿宋_GB2312" w:eastAsia="仿宋_GB2312" w:cs="仿宋_GB2312"/>
          <w:b w:val="0"/>
          <w:bCs w:val="0"/>
          <w:color w:val="000000"/>
          <w:spacing w:val="0"/>
          <w:sz w:val="32"/>
          <w:szCs w:val="32"/>
          <w:lang w:val="en-US" w:eastAsia="zh-CN"/>
        </w:rPr>
        <w:t>紧紧围绕实施创新驱动发展战略，以科技项目为抓手，着力优化科技发展环境，</w:t>
      </w:r>
      <w:r>
        <w:rPr>
          <w:rFonts w:hint="default" w:ascii="Times New Roman" w:hAnsi="Times New Roman" w:eastAsia="仿宋_GB2312" w:cs="Times New Roman"/>
          <w:color w:val="000000" w:themeColor="text1"/>
          <w:spacing w:val="0"/>
          <w:kern w:val="2"/>
          <w:sz w:val="32"/>
          <w:szCs w:val="32"/>
          <w:lang w:val="en-US" w:eastAsia="zh-CN" w:bidi="ar-SA"/>
          <w14:textFill>
            <w14:solidFill>
              <w14:schemeClr w14:val="tx1"/>
            </w14:solidFill>
          </w14:textFill>
        </w:rPr>
        <w:t>R&amp;D经费投入</w:t>
      </w:r>
      <w:r>
        <w:rPr>
          <w:rFonts w:hint="eastAsia" w:ascii="Times New Roman" w:hAnsi="Times New Roman" w:eastAsia="仿宋_GB2312" w:cs="Times New Roman"/>
          <w:color w:val="auto"/>
          <w:spacing w:val="0"/>
          <w:kern w:val="2"/>
          <w:sz w:val="32"/>
          <w:szCs w:val="32"/>
          <w:lang w:val="en-US" w:eastAsia="zh-CN" w:bidi="ar-SA"/>
        </w:rPr>
        <w:t>达</w:t>
      </w:r>
      <w:r>
        <w:rPr>
          <w:rFonts w:hint="eastAsia" w:ascii="仿宋_GB2312" w:hAnsi="仿宋_GB2312" w:eastAsia="仿宋_GB2312" w:cs="仿宋_GB2312"/>
          <w:color w:val="auto"/>
          <w:spacing w:val="0"/>
          <w:kern w:val="2"/>
          <w:sz w:val="32"/>
          <w:szCs w:val="32"/>
          <w:lang w:val="en-US" w:eastAsia="zh-CN" w:bidi="ar-SA"/>
        </w:rPr>
        <w:t>700万元</w:t>
      </w:r>
      <w:r>
        <w:rPr>
          <w:rFonts w:hint="eastAsia" w:ascii="仿宋_GB2312" w:hAnsi="仿宋_GB2312" w:eastAsia="仿宋_GB2312" w:cs="仿宋_GB2312"/>
          <w:b w:val="0"/>
          <w:bCs w:val="0"/>
          <w:color w:val="000000"/>
          <w:spacing w:val="0"/>
          <w:sz w:val="32"/>
          <w:szCs w:val="32"/>
          <w:lang w:val="en-US" w:eastAsia="zh-CN"/>
        </w:rPr>
        <w:t>。</w:t>
      </w:r>
      <w:r>
        <w:rPr>
          <w:rFonts w:hint="default" w:ascii="仿宋_GB2312" w:hAnsi="仿宋_GB2312" w:eastAsia="仿宋_GB2312" w:cs="仿宋_GB2312"/>
          <w:b w:val="0"/>
          <w:bCs w:val="0"/>
          <w:color w:val="000000"/>
          <w:spacing w:val="0"/>
          <w:sz w:val="32"/>
          <w:szCs w:val="32"/>
          <w:lang w:val="en-US" w:eastAsia="zh-CN"/>
        </w:rPr>
        <w:t>新认定国家高新技术企业1家、国家科技型中小企业2家、区市科技型企业10家</w:t>
      </w:r>
      <w:r>
        <w:rPr>
          <w:rFonts w:hint="eastAsia" w:ascii="仿宋_GB2312" w:hAnsi="仿宋_GB2312" w:eastAsia="仿宋_GB2312" w:cs="仿宋_GB2312"/>
          <w:b w:val="0"/>
          <w:bCs w:val="0"/>
          <w:color w:val="000000"/>
          <w:spacing w:val="0"/>
          <w:sz w:val="32"/>
          <w:szCs w:val="32"/>
          <w:lang w:val="en-US" w:eastAsia="zh-CN"/>
        </w:rPr>
        <w:t>。组织申报各级各类科技创新项目86项，实施51个，落实“宁科贷”项目2个，有效解决了科技型企业融资难问题。组织开展科技特派员“大学习大轮训”不断提升创新意识和服务能力，全县科技特派员达到179人，实施科技特派员项目17项。</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color w:val="auto"/>
          <w:spacing w:val="0"/>
          <w:sz w:val="32"/>
          <w:szCs w:val="32"/>
          <w:lang w:val="en-US" w:eastAsia="zh-CN"/>
        </w:rPr>
      </w:pPr>
      <w:r>
        <w:rPr>
          <w:rFonts w:hint="eastAsia" w:ascii="楷体_GB2312" w:hAnsi="楷体_GB2312" w:eastAsia="楷体_GB2312" w:cs="楷体_GB2312"/>
          <w:b/>
          <w:bCs/>
          <w:color w:val="000000"/>
          <w:spacing w:val="0"/>
          <w:sz w:val="32"/>
          <w:szCs w:val="32"/>
          <w:lang w:val="en-US" w:eastAsia="zh-CN"/>
        </w:rPr>
        <w:t xml:space="preserve">    </w:t>
      </w:r>
      <w:r>
        <w:rPr>
          <w:rFonts w:hint="eastAsia" w:ascii="仿宋_GB2312" w:hAnsi="仿宋_GB2312" w:eastAsia="仿宋_GB2312" w:cs="仿宋_GB2312"/>
          <w:b/>
          <w:bCs/>
          <w:color w:val="000000"/>
          <w:spacing w:val="0"/>
          <w:sz w:val="32"/>
          <w:szCs w:val="32"/>
          <w:lang w:val="en-US" w:eastAsia="zh-CN"/>
        </w:rPr>
        <w:t>经济发展环境稳步向好。</w:t>
      </w:r>
      <w:r>
        <w:rPr>
          <w:rFonts w:hint="eastAsia" w:ascii="仿宋_GB2312" w:hAnsi="仿宋_GB2312" w:eastAsia="仿宋_GB2312" w:cs="仿宋_GB2312"/>
          <w:b w:val="0"/>
          <w:bCs w:val="0"/>
          <w:color w:val="000000"/>
          <w:spacing w:val="0"/>
          <w:sz w:val="32"/>
          <w:szCs w:val="32"/>
          <w:lang w:val="en-US" w:eastAsia="zh-CN"/>
        </w:rPr>
        <w:t>全面贯彻落实优化营商环境条例，持续改善发展环境。以“让群众少跑腿，让企业少跑路”为原则推行“一件事一次办”，持续开展“三减一提升”活动。“三减”后，压减办理环节137个、压减申报材料142份、压减办理时限1207个工作日，办事群众满意度保持在99.3%以上。按照全区“四级四同”标准，更新梳理政务服务事项1420项，审批服务事项网办率稳定在85%以上。完善矛盾纠纷多元化解机制，审结各类合同纠纷案件1269件。严格落实“非禁即入”，全面落实《泾源县稳经济保增长促发展守底线40条政策措施》，完成退减免缓税5370万元。</w:t>
      </w:r>
      <w:r>
        <w:rPr>
          <w:rFonts w:hint="eastAsia" w:ascii="仿宋_GB2312" w:hAnsi="仿宋_GB2312" w:eastAsia="仿宋_GB2312" w:cs="仿宋_GB2312"/>
          <w:b w:val="0"/>
          <w:bCs w:val="0"/>
          <w:color w:val="auto"/>
          <w:spacing w:val="0"/>
          <w:sz w:val="32"/>
          <w:szCs w:val="32"/>
          <w:lang w:val="en-US" w:eastAsia="zh-CN"/>
        </w:rPr>
        <w:t>转贷纾困资金2566万元，最大程度为市场主体纾困解难。</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楷体_GB2312" w:hAnsi="楷体_GB2312" w:eastAsia="楷体_GB2312" w:cs="楷体_GB2312"/>
          <w:b/>
          <w:bCs/>
          <w:color w:val="000000"/>
          <w:spacing w:val="0"/>
          <w:sz w:val="32"/>
          <w:szCs w:val="32"/>
          <w:lang w:val="en-US" w:eastAsia="zh-CN"/>
        </w:rPr>
      </w:pPr>
      <w:r>
        <w:rPr>
          <w:rFonts w:hint="eastAsia" w:ascii="楷体_GB2312" w:hAnsi="楷体_GB2312" w:eastAsia="楷体_GB2312" w:cs="楷体_GB2312"/>
          <w:b/>
          <w:bCs/>
          <w:color w:val="000000"/>
          <w:spacing w:val="0"/>
          <w:sz w:val="32"/>
          <w:szCs w:val="32"/>
          <w:lang w:val="en-US" w:eastAsia="zh-CN"/>
        </w:rPr>
        <w:t xml:space="preserve">    （六）尽心尽力惠民生、强保障，社会事业成效显著</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color w:val="auto"/>
          <w:spacing w:val="0"/>
          <w:kern w:val="2"/>
          <w:sz w:val="32"/>
          <w:szCs w:val="32"/>
          <w:lang w:val="en-US" w:eastAsia="zh-CN" w:bidi="ar-SA"/>
        </w:rPr>
      </w:pPr>
      <w:r>
        <w:rPr>
          <w:rFonts w:hint="eastAsia" w:ascii="仿宋_GB2312" w:hAnsi="仿宋_GB2312" w:eastAsia="仿宋_GB2312" w:cs="仿宋_GB2312"/>
          <w:b/>
          <w:bCs/>
          <w:color w:val="auto"/>
          <w:spacing w:val="0"/>
          <w:sz w:val="32"/>
          <w:szCs w:val="32"/>
          <w:lang w:val="zh-CN"/>
        </w:rPr>
        <w:t>惠民程度稳步提高。</w:t>
      </w:r>
      <w:r>
        <w:rPr>
          <w:rFonts w:hint="eastAsia" w:ascii="仿宋_GB2312" w:hAnsi="仿宋_GB2312" w:eastAsia="仿宋_GB2312" w:cs="仿宋_GB2312"/>
          <w:color w:val="auto"/>
          <w:spacing w:val="0"/>
          <w:sz w:val="32"/>
          <w:szCs w:val="32"/>
          <w:lang w:val="zh-CN"/>
        </w:rPr>
        <w:t>实施城乡居民收入提升行动，在全区率先启动职业技能培训，举办各类培训班46期1</w:t>
      </w:r>
      <w:r>
        <w:rPr>
          <w:rFonts w:hint="eastAsia" w:ascii="仿宋_GB2312" w:hAnsi="仿宋_GB2312" w:eastAsia="仿宋_GB2312" w:cs="仿宋_GB2312"/>
          <w:color w:val="auto"/>
          <w:spacing w:val="0"/>
          <w:sz w:val="32"/>
          <w:szCs w:val="32"/>
          <w:lang w:val="en-US" w:eastAsia="zh-CN"/>
        </w:rPr>
        <w:t>910</w:t>
      </w:r>
      <w:r>
        <w:rPr>
          <w:rFonts w:hint="eastAsia" w:ascii="仿宋_GB2312" w:hAnsi="仿宋_GB2312" w:eastAsia="仿宋_GB2312" w:cs="仿宋_GB2312"/>
          <w:color w:val="auto"/>
          <w:spacing w:val="0"/>
          <w:sz w:val="32"/>
          <w:szCs w:val="32"/>
          <w:lang w:val="zh-CN"/>
        </w:rPr>
        <w:t>人。完成农村劳动力转移就业2.93万人，实现工资收入</w:t>
      </w:r>
      <w:r>
        <w:rPr>
          <w:rFonts w:hint="eastAsia" w:ascii="仿宋_GB2312" w:hAnsi="仿宋_GB2312" w:eastAsia="仿宋_GB2312" w:cs="仿宋_GB2312"/>
          <w:color w:val="auto"/>
          <w:spacing w:val="0"/>
          <w:sz w:val="32"/>
          <w:szCs w:val="32"/>
          <w:lang w:val="en-US" w:eastAsia="zh-CN"/>
        </w:rPr>
        <w:t>7.2</w:t>
      </w:r>
      <w:r>
        <w:rPr>
          <w:rFonts w:hint="eastAsia" w:ascii="仿宋_GB2312" w:hAnsi="仿宋_GB2312" w:eastAsia="仿宋_GB2312" w:cs="仿宋_GB2312"/>
          <w:color w:val="auto"/>
          <w:spacing w:val="0"/>
          <w:sz w:val="32"/>
          <w:szCs w:val="32"/>
          <w:lang w:val="zh-CN"/>
        </w:rPr>
        <w:t>亿元。新增城镇就业</w:t>
      </w:r>
      <w:r>
        <w:rPr>
          <w:rFonts w:hint="eastAsia" w:ascii="仿宋_GB2312" w:hAnsi="仿宋_GB2312" w:eastAsia="仿宋_GB2312" w:cs="仿宋_GB2312"/>
          <w:color w:val="auto"/>
          <w:spacing w:val="0"/>
          <w:sz w:val="32"/>
          <w:szCs w:val="32"/>
          <w:lang w:val="en-US" w:eastAsia="zh-CN"/>
        </w:rPr>
        <w:t>623</w:t>
      </w:r>
      <w:r>
        <w:rPr>
          <w:rFonts w:hint="eastAsia" w:ascii="仿宋_GB2312" w:hAnsi="仿宋_GB2312" w:eastAsia="仿宋_GB2312" w:cs="仿宋_GB2312"/>
          <w:color w:val="auto"/>
          <w:spacing w:val="0"/>
          <w:sz w:val="32"/>
          <w:szCs w:val="32"/>
          <w:lang w:val="zh-CN"/>
        </w:rPr>
        <w:t>人，培育创业实体204个，创造新岗位</w:t>
      </w:r>
      <w:r>
        <w:rPr>
          <w:rFonts w:hint="eastAsia" w:ascii="仿宋_GB2312" w:hAnsi="仿宋_GB2312" w:eastAsia="仿宋_GB2312" w:cs="仿宋_GB2312"/>
          <w:color w:val="auto"/>
          <w:spacing w:val="0"/>
          <w:sz w:val="32"/>
          <w:szCs w:val="32"/>
          <w:lang w:val="en-US" w:eastAsia="zh-CN"/>
        </w:rPr>
        <w:t>202</w:t>
      </w:r>
      <w:r>
        <w:rPr>
          <w:rFonts w:hint="eastAsia" w:ascii="仿宋_GB2312" w:hAnsi="仿宋_GB2312" w:eastAsia="仿宋_GB2312" w:cs="仿宋_GB2312"/>
          <w:color w:val="auto"/>
          <w:spacing w:val="0"/>
          <w:sz w:val="32"/>
          <w:szCs w:val="32"/>
          <w:lang w:val="zh-CN"/>
        </w:rPr>
        <w:t>个，发放创业担保贷款</w:t>
      </w:r>
      <w:r>
        <w:rPr>
          <w:rFonts w:hint="eastAsia" w:ascii="仿宋_GB2312" w:hAnsi="仿宋_GB2312" w:eastAsia="仿宋_GB2312" w:cs="仿宋_GB2312"/>
          <w:color w:val="auto"/>
          <w:spacing w:val="0"/>
          <w:sz w:val="32"/>
          <w:szCs w:val="32"/>
          <w:lang w:val="en-US" w:eastAsia="zh-CN"/>
        </w:rPr>
        <w:t>4173</w:t>
      </w:r>
      <w:r>
        <w:rPr>
          <w:rFonts w:hint="eastAsia" w:ascii="仿宋_GB2312" w:hAnsi="仿宋_GB2312" w:eastAsia="仿宋_GB2312" w:cs="仿宋_GB2312"/>
          <w:color w:val="auto"/>
          <w:spacing w:val="0"/>
          <w:sz w:val="32"/>
          <w:szCs w:val="32"/>
          <w:lang w:val="zh-CN"/>
        </w:rPr>
        <w:t>万元，创业带动就业10</w:t>
      </w:r>
      <w:r>
        <w:rPr>
          <w:rFonts w:hint="eastAsia" w:ascii="仿宋_GB2312" w:hAnsi="仿宋_GB2312" w:eastAsia="仿宋_GB2312" w:cs="仿宋_GB2312"/>
          <w:color w:val="auto"/>
          <w:spacing w:val="0"/>
          <w:sz w:val="32"/>
          <w:szCs w:val="32"/>
          <w:lang w:val="en-US" w:eastAsia="zh-CN"/>
        </w:rPr>
        <w:t>23</w:t>
      </w:r>
      <w:r>
        <w:rPr>
          <w:rFonts w:hint="eastAsia" w:ascii="仿宋_GB2312" w:hAnsi="仿宋_GB2312" w:eastAsia="仿宋_GB2312" w:cs="仿宋_GB2312"/>
          <w:color w:val="auto"/>
          <w:spacing w:val="0"/>
          <w:sz w:val="32"/>
          <w:szCs w:val="32"/>
          <w:lang w:val="zh-CN"/>
        </w:rPr>
        <w:t>人</w:t>
      </w:r>
      <w:r>
        <w:rPr>
          <w:rFonts w:hint="eastAsia" w:ascii="仿宋_GB2312" w:hAnsi="仿宋_GB2312" w:eastAsia="仿宋_GB2312" w:cs="仿宋_GB2312"/>
          <w:b w:val="0"/>
          <w:bCs w:val="0"/>
          <w:color w:val="auto"/>
          <w:spacing w:val="0"/>
          <w:sz w:val="32"/>
          <w:szCs w:val="32"/>
          <w:lang w:val="zh-CN"/>
        </w:rPr>
        <w:t>。预计完成城镇居民人均可支配收入</w:t>
      </w:r>
      <w:r>
        <w:rPr>
          <w:rFonts w:hint="default" w:ascii="仿宋_GB2312" w:hAnsi="仿宋_GB2312" w:eastAsia="仿宋_GB2312" w:cs="仿宋_GB2312"/>
          <w:b w:val="0"/>
          <w:bCs w:val="0"/>
          <w:color w:val="auto"/>
          <w:spacing w:val="0"/>
          <w:sz w:val="32"/>
          <w:szCs w:val="32"/>
          <w:lang w:val="en-US" w:eastAsia="zh-CN"/>
        </w:rPr>
        <w:t>32435</w:t>
      </w:r>
      <w:r>
        <w:rPr>
          <w:rFonts w:hint="eastAsia" w:ascii="仿宋_GB2312" w:hAnsi="仿宋_GB2312" w:eastAsia="仿宋_GB2312" w:cs="仿宋_GB2312"/>
          <w:b w:val="0"/>
          <w:bCs w:val="0"/>
          <w:color w:val="auto"/>
          <w:spacing w:val="0"/>
          <w:sz w:val="32"/>
          <w:szCs w:val="32"/>
          <w:lang w:val="zh-CN"/>
        </w:rPr>
        <w:t>元、农村居民人均可支配收入</w:t>
      </w:r>
      <w:r>
        <w:rPr>
          <w:rFonts w:hint="default" w:ascii="仿宋_GB2312" w:hAnsi="仿宋_GB2312" w:eastAsia="仿宋_GB2312" w:cs="仿宋_GB2312"/>
          <w:b w:val="0"/>
          <w:bCs w:val="0"/>
          <w:color w:val="auto"/>
          <w:spacing w:val="0"/>
          <w:sz w:val="32"/>
          <w:szCs w:val="32"/>
          <w:lang w:val="en-US" w:eastAsia="zh-CN"/>
        </w:rPr>
        <w:t>13136</w:t>
      </w:r>
      <w:r>
        <w:rPr>
          <w:rFonts w:hint="eastAsia" w:ascii="仿宋_GB2312" w:hAnsi="仿宋_GB2312" w:eastAsia="仿宋_GB2312" w:cs="仿宋_GB2312"/>
          <w:b w:val="0"/>
          <w:bCs w:val="0"/>
          <w:color w:val="auto"/>
          <w:spacing w:val="0"/>
          <w:sz w:val="32"/>
          <w:szCs w:val="32"/>
          <w:lang w:val="zh-CN"/>
        </w:rPr>
        <w:t>元，分别增长9%、10.5%。</w:t>
      </w:r>
      <w:r>
        <w:rPr>
          <w:rFonts w:hint="eastAsia" w:ascii="仿宋_GB2312" w:hAnsi="仿宋_GB2312" w:eastAsia="仿宋_GB2312" w:cs="仿宋_GB2312"/>
          <w:b w:val="0"/>
          <w:bCs w:val="0"/>
          <w:color w:val="auto"/>
          <w:spacing w:val="0"/>
          <w:kern w:val="2"/>
          <w:sz w:val="32"/>
          <w:szCs w:val="32"/>
          <w:lang w:val="en-US" w:eastAsia="zh-CN" w:bidi="ar-SA"/>
        </w:rPr>
        <w:t>实施移民致富提升行动。</w:t>
      </w:r>
      <w:r>
        <w:rPr>
          <w:rFonts w:hint="eastAsia" w:ascii="仿宋_GB2312" w:hAnsi="仿宋_GB2312" w:eastAsia="仿宋_GB2312" w:cs="仿宋_GB2312"/>
          <w:b w:val="0"/>
          <w:bCs w:val="0"/>
          <w:color w:val="auto"/>
          <w:spacing w:val="0"/>
          <w:sz w:val="32"/>
          <w:szCs w:val="32"/>
          <w:lang w:val="zh-CN"/>
        </w:rPr>
        <w:t>安排资金</w:t>
      </w:r>
      <w:r>
        <w:rPr>
          <w:rFonts w:hint="eastAsia" w:ascii="仿宋_GB2312" w:hAnsi="仿宋_GB2312" w:eastAsia="仿宋_GB2312" w:cs="仿宋_GB2312"/>
          <w:b w:val="0"/>
          <w:bCs w:val="0"/>
          <w:color w:val="auto"/>
          <w:spacing w:val="0"/>
          <w:sz w:val="32"/>
          <w:szCs w:val="32"/>
          <w:lang w:val="en-US" w:eastAsia="zh-CN"/>
        </w:rPr>
        <w:t>1.46</w:t>
      </w:r>
      <w:r>
        <w:rPr>
          <w:rFonts w:hint="eastAsia" w:ascii="仿宋_GB2312" w:hAnsi="仿宋_GB2312" w:eastAsia="仿宋_GB2312" w:cs="仿宋_GB2312"/>
          <w:b w:val="0"/>
          <w:bCs w:val="0"/>
          <w:color w:val="auto"/>
          <w:spacing w:val="0"/>
          <w:sz w:val="32"/>
          <w:szCs w:val="32"/>
          <w:lang w:val="zh-CN"/>
        </w:rPr>
        <w:t>亿元，开展9类22项</w:t>
      </w:r>
      <w:r>
        <w:rPr>
          <w:rFonts w:hint="eastAsia" w:ascii="仿宋_GB2312" w:hAnsi="仿宋_GB2312" w:eastAsia="仿宋_GB2312" w:cs="仿宋_GB2312"/>
          <w:color w:val="auto"/>
          <w:spacing w:val="0"/>
          <w:sz w:val="32"/>
          <w:szCs w:val="32"/>
          <w:lang w:val="zh-CN"/>
        </w:rPr>
        <w:t>工作任务，实施6大类20个项目，劳务移民安置区基础设施改造提升（二期）竣工结算，泾河社区建设主体封顶，重点移民村建设成效明显。</w:t>
      </w:r>
      <w:r>
        <w:rPr>
          <w:rFonts w:hint="eastAsia" w:ascii="仿宋_GB2312" w:hAnsi="仿宋_GB2312" w:eastAsia="仿宋_GB2312" w:cs="仿宋_GB2312"/>
          <w:color w:val="auto"/>
          <w:spacing w:val="0"/>
          <w:kern w:val="2"/>
          <w:sz w:val="32"/>
          <w:szCs w:val="32"/>
          <w:lang w:val="en-US" w:eastAsia="zh-CN" w:bidi="ar-SA"/>
        </w:rPr>
        <w:t>围绕旅游服务、肉牛中蜂养殖、服装箱包加工</w:t>
      </w:r>
      <w:r>
        <w:rPr>
          <w:rFonts w:hint="eastAsia" w:ascii="仿宋_GB2312" w:hAnsi="仿宋_GB2312" w:eastAsia="仿宋_GB2312" w:cs="仿宋_GB2312"/>
          <w:color w:val="auto"/>
          <w:spacing w:val="0"/>
          <w:sz w:val="32"/>
          <w:szCs w:val="32"/>
          <w:lang w:val="zh-CN"/>
        </w:rPr>
        <w:t>举办移民技能培训25期395人</w:t>
      </w:r>
      <w:r>
        <w:rPr>
          <w:rFonts w:hint="eastAsia" w:ascii="仿宋_GB2312" w:hAnsi="仿宋_GB2312" w:eastAsia="仿宋_GB2312" w:cs="仿宋_GB2312"/>
          <w:color w:val="auto"/>
          <w:spacing w:val="0"/>
          <w:kern w:val="2"/>
          <w:sz w:val="32"/>
          <w:szCs w:val="32"/>
          <w:lang w:val="en-US" w:eastAsia="zh-CN" w:bidi="ar-SA"/>
        </w:rPr>
        <w:t>，转移、带动、安置移民村人员就业1500余人。</w:t>
      </w:r>
      <w:r>
        <w:rPr>
          <w:rFonts w:hint="eastAsia" w:ascii="仿宋_GB2312" w:hAnsi="仿宋_GB2312" w:eastAsia="仿宋_GB2312" w:cs="仿宋_GB2312"/>
          <w:b w:val="0"/>
          <w:bCs w:val="0"/>
          <w:color w:val="auto"/>
          <w:spacing w:val="0"/>
          <w:sz w:val="32"/>
          <w:szCs w:val="32"/>
        </w:rPr>
        <w:t>实施社会保障服务提升行动，</w:t>
      </w:r>
      <w:r>
        <w:rPr>
          <w:rFonts w:hint="eastAsia" w:ascii="仿宋_GB2312" w:hAnsi="仿宋_GB2312" w:eastAsia="仿宋_GB2312" w:cs="仿宋_GB2312"/>
          <w:b w:val="0"/>
          <w:bCs w:val="0"/>
          <w:color w:val="auto"/>
          <w:spacing w:val="0"/>
          <w:sz w:val="32"/>
          <w:szCs w:val="32"/>
          <w:lang w:val="zh-CN"/>
        </w:rPr>
        <w:t>累计</w:t>
      </w:r>
      <w:r>
        <w:rPr>
          <w:rFonts w:hint="eastAsia" w:ascii="仿宋_GB2312" w:hAnsi="仿宋_GB2312" w:eastAsia="仿宋_GB2312" w:cs="仿宋_GB2312"/>
          <w:color w:val="auto"/>
          <w:spacing w:val="0"/>
          <w:sz w:val="32"/>
          <w:szCs w:val="32"/>
          <w:lang w:val="zh-CN"/>
        </w:rPr>
        <w:t>发放各类社会救助补助资金</w:t>
      </w:r>
      <w:r>
        <w:rPr>
          <w:rFonts w:hint="eastAsia" w:ascii="仿宋_GB2312" w:hAnsi="仿宋_GB2312" w:eastAsia="仿宋_GB2312" w:cs="仿宋_GB2312"/>
          <w:color w:val="auto"/>
          <w:spacing w:val="0"/>
          <w:sz w:val="32"/>
          <w:szCs w:val="32"/>
          <w:lang w:val="en-US" w:eastAsia="zh-CN"/>
        </w:rPr>
        <w:t>8857</w:t>
      </w:r>
      <w:r>
        <w:rPr>
          <w:rFonts w:hint="eastAsia" w:ascii="仿宋_GB2312" w:hAnsi="仿宋_GB2312" w:eastAsia="仿宋_GB2312" w:cs="仿宋_GB2312"/>
          <w:color w:val="auto"/>
          <w:spacing w:val="0"/>
          <w:sz w:val="32"/>
          <w:szCs w:val="32"/>
          <w:lang w:val="zh-CN"/>
        </w:rPr>
        <w:t>余万元，发放临时救助资金</w:t>
      </w:r>
      <w:r>
        <w:rPr>
          <w:rFonts w:hint="eastAsia" w:ascii="仿宋_GB2312" w:hAnsi="仿宋_GB2312" w:eastAsia="仿宋_GB2312" w:cs="仿宋_GB2312"/>
          <w:color w:val="auto"/>
          <w:spacing w:val="0"/>
          <w:sz w:val="32"/>
          <w:szCs w:val="32"/>
          <w:lang w:val="en-US" w:eastAsia="zh-CN"/>
        </w:rPr>
        <w:t>524</w:t>
      </w:r>
      <w:r>
        <w:rPr>
          <w:rFonts w:hint="eastAsia" w:ascii="仿宋_GB2312" w:hAnsi="仿宋_GB2312" w:eastAsia="仿宋_GB2312" w:cs="仿宋_GB2312"/>
          <w:color w:val="auto"/>
          <w:spacing w:val="0"/>
          <w:sz w:val="32"/>
          <w:szCs w:val="32"/>
          <w:lang w:val="zh-CN"/>
        </w:rPr>
        <w:t>万元，向困难群众、退役军人等发放慰问金124.2万元，城乡居民养老及医疗保险参保率分别达到97.3%和97.97%。</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color w:val="00B0F0"/>
          <w:spacing w:val="0"/>
          <w:sz w:val="32"/>
          <w:szCs w:val="32"/>
          <w:lang w:eastAsia="zh-CN"/>
        </w:rPr>
      </w:pPr>
      <w:r>
        <w:rPr>
          <w:rFonts w:hint="eastAsia" w:ascii="仿宋_GB2312" w:hAnsi="仿宋_GB2312" w:eastAsia="仿宋_GB2312" w:cs="仿宋_GB2312"/>
          <w:b/>
          <w:bCs/>
          <w:color w:val="auto"/>
          <w:spacing w:val="0"/>
          <w:sz w:val="32"/>
          <w:szCs w:val="32"/>
          <w:lang w:eastAsia="zh-CN"/>
        </w:rPr>
        <w:t>科教文卫蓬勃发展。</w:t>
      </w:r>
      <w:r>
        <w:rPr>
          <w:rFonts w:hint="eastAsia" w:ascii="仿宋_GB2312" w:hAnsi="仿宋_GB2312" w:eastAsia="仿宋_GB2312" w:cs="仿宋_GB2312"/>
          <w:b w:val="0"/>
          <w:bCs w:val="0"/>
          <w:color w:val="auto"/>
          <w:spacing w:val="0"/>
          <w:kern w:val="2"/>
          <w:sz w:val="32"/>
          <w:szCs w:val="32"/>
          <w:lang w:val="en-US" w:eastAsia="zh-CN" w:bidi="ar-SA"/>
        </w:rPr>
        <w:t>实施基础教育质量提升行动，</w:t>
      </w:r>
      <w:r>
        <w:rPr>
          <w:rFonts w:hint="eastAsia" w:ascii="仿宋_GB2312" w:hAnsi="仿宋_GB2312" w:eastAsia="仿宋_GB2312" w:cs="仿宋_GB2312"/>
          <w:b w:val="0"/>
          <w:bCs w:val="0"/>
          <w:color w:val="auto"/>
          <w:spacing w:val="0"/>
          <w:sz w:val="32"/>
          <w:szCs w:val="32"/>
        </w:rPr>
        <w:t>认真落实国家“双减”政策和“五项管理”措施，</w:t>
      </w:r>
      <w:r>
        <w:rPr>
          <w:rFonts w:hint="eastAsia" w:ascii="仿宋_GB2312" w:hAnsi="仿宋_GB2312" w:eastAsia="仿宋_GB2312" w:cs="仿宋_GB2312"/>
          <w:b w:val="0"/>
          <w:bCs w:val="0"/>
          <w:color w:val="auto"/>
          <w:spacing w:val="0"/>
          <w:sz w:val="32"/>
          <w:szCs w:val="32"/>
          <w:lang w:val="en-US" w:eastAsia="zh-CN"/>
        </w:rPr>
        <w:t>持续</w:t>
      </w:r>
      <w:r>
        <w:rPr>
          <w:rFonts w:hint="eastAsia" w:ascii="仿宋_GB2312" w:hAnsi="仿宋_GB2312" w:eastAsia="仿宋_GB2312" w:cs="仿宋_GB2312"/>
          <w:b w:val="0"/>
          <w:bCs w:val="0"/>
          <w:color w:val="auto"/>
          <w:spacing w:val="0"/>
          <w:sz w:val="32"/>
          <w:szCs w:val="32"/>
        </w:rPr>
        <w:t>推行“控辍保学联控联保</w:t>
      </w:r>
      <w:r>
        <w:rPr>
          <w:rFonts w:hint="eastAsia" w:ascii="仿宋_GB2312" w:hAnsi="仿宋_GB2312" w:eastAsia="仿宋_GB2312" w:cs="仿宋_GB2312"/>
          <w:b w:val="0"/>
          <w:bCs w:val="0"/>
          <w:color w:val="auto"/>
          <w:spacing w:val="0"/>
          <w:sz w:val="32"/>
          <w:szCs w:val="32"/>
          <w:lang w:eastAsia="zh-CN"/>
        </w:rPr>
        <w:t>”</w:t>
      </w:r>
      <w:r>
        <w:rPr>
          <w:rFonts w:hint="eastAsia" w:ascii="仿宋_GB2312" w:hAnsi="仿宋_GB2312" w:eastAsia="仿宋_GB2312" w:cs="仿宋_GB2312"/>
          <w:b w:val="0"/>
          <w:bCs w:val="0"/>
          <w:color w:val="auto"/>
          <w:spacing w:val="0"/>
          <w:sz w:val="32"/>
          <w:szCs w:val="32"/>
        </w:rPr>
        <w:t>长效机制。泾源第二中学</w:t>
      </w:r>
      <w:r>
        <w:rPr>
          <w:rFonts w:hint="eastAsia" w:ascii="仿宋_GB2312" w:hAnsi="仿宋_GB2312" w:eastAsia="仿宋_GB2312" w:cs="仿宋_GB2312"/>
          <w:b w:val="0"/>
          <w:bCs w:val="0"/>
          <w:color w:val="auto"/>
          <w:spacing w:val="0"/>
          <w:sz w:val="32"/>
          <w:szCs w:val="32"/>
          <w:lang w:eastAsia="zh-CN"/>
        </w:rPr>
        <w:t>、</w:t>
      </w:r>
      <w:r>
        <w:rPr>
          <w:rFonts w:hint="eastAsia" w:ascii="仿宋_GB2312" w:hAnsi="仿宋_GB2312" w:eastAsia="仿宋_GB2312" w:cs="仿宋_GB2312"/>
          <w:b w:val="0"/>
          <w:bCs w:val="0"/>
          <w:color w:val="auto"/>
          <w:spacing w:val="0"/>
          <w:sz w:val="32"/>
          <w:szCs w:val="32"/>
        </w:rPr>
        <w:t>泾源高级中学综合教学楼</w:t>
      </w:r>
      <w:r>
        <w:rPr>
          <w:rFonts w:hint="eastAsia" w:ascii="仿宋_GB2312" w:hAnsi="仿宋_GB2312" w:eastAsia="仿宋_GB2312" w:cs="仿宋_GB2312"/>
          <w:b w:val="0"/>
          <w:bCs w:val="0"/>
          <w:color w:val="auto"/>
          <w:spacing w:val="0"/>
          <w:sz w:val="32"/>
          <w:szCs w:val="32"/>
          <w:lang w:eastAsia="zh-CN"/>
        </w:rPr>
        <w:t>建设项目主体封顶，</w:t>
      </w:r>
      <w:r>
        <w:rPr>
          <w:rFonts w:hint="eastAsia" w:ascii="仿宋_GB2312" w:hAnsi="仿宋_GB2312" w:eastAsia="仿宋_GB2312" w:cs="仿宋_GB2312"/>
          <w:b w:val="0"/>
          <w:bCs w:val="0"/>
          <w:color w:val="auto"/>
          <w:spacing w:val="0"/>
          <w:sz w:val="32"/>
          <w:szCs w:val="32"/>
        </w:rPr>
        <w:t>泾河源镇兰大庄幼儿园建设项目顺利</w:t>
      </w:r>
      <w:r>
        <w:rPr>
          <w:rFonts w:hint="eastAsia" w:ascii="仿宋_GB2312" w:hAnsi="仿宋_GB2312" w:eastAsia="仿宋_GB2312" w:cs="仿宋_GB2312"/>
          <w:b w:val="0"/>
          <w:bCs w:val="0"/>
          <w:color w:val="auto"/>
          <w:spacing w:val="0"/>
          <w:sz w:val="32"/>
          <w:szCs w:val="32"/>
          <w:lang w:eastAsia="zh-CN"/>
        </w:rPr>
        <w:t>建成</w:t>
      </w:r>
      <w:r>
        <w:rPr>
          <w:rFonts w:hint="eastAsia" w:ascii="仿宋_GB2312" w:hAnsi="仿宋_GB2312" w:eastAsia="仿宋_GB2312" w:cs="仿宋_GB2312"/>
          <w:b w:val="0"/>
          <w:bCs w:val="0"/>
          <w:color w:val="auto"/>
          <w:spacing w:val="0"/>
          <w:sz w:val="32"/>
          <w:szCs w:val="32"/>
        </w:rPr>
        <w:t>，义务教育薄弱环节改善与能力提升智慧教学设施提升项目</w:t>
      </w:r>
      <w:r>
        <w:rPr>
          <w:rFonts w:hint="eastAsia" w:ascii="仿宋_GB2312" w:hAnsi="仿宋_GB2312" w:eastAsia="仿宋_GB2312" w:cs="仿宋_GB2312"/>
          <w:b w:val="0"/>
          <w:bCs w:val="0"/>
          <w:color w:val="auto"/>
          <w:spacing w:val="0"/>
          <w:sz w:val="32"/>
          <w:szCs w:val="32"/>
          <w:lang w:eastAsia="zh-CN"/>
        </w:rPr>
        <w:t>全面完成</w:t>
      </w:r>
      <w:r>
        <w:rPr>
          <w:rFonts w:hint="eastAsia" w:ascii="仿宋_GB2312" w:hAnsi="仿宋_GB2312" w:eastAsia="仿宋_GB2312" w:cs="仿宋_GB2312"/>
          <w:b w:val="0"/>
          <w:bCs w:val="0"/>
          <w:color w:val="auto"/>
          <w:spacing w:val="0"/>
          <w:sz w:val="32"/>
          <w:szCs w:val="32"/>
        </w:rPr>
        <w:t>。全面落实教育惠民政策</w:t>
      </w:r>
      <w:r>
        <w:rPr>
          <w:rFonts w:hint="eastAsia" w:ascii="仿宋_GB2312" w:hAnsi="仿宋_GB2312" w:eastAsia="仿宋_GB2312" w:cs="仿宋_GB2312"/>
          <w:b w:val="0"/>
          <w:bCs w:val="0"/>
          <w:color w:val="auto"/>
          <w:spacing w:val="0"/>
          <w:sz w:val="32"/>
          <w:szCs w:val="32"/>
          <w:lang w:eastAsia="zh-CN"/>
        </w:rPr>
        <w:t>，实施覆盖学前幼儿至大学生各阶段资助政策，惠及幼儿、学生达到</w:t>
      </w:r>
      <w:r>
        <w:rPr>
          <w:rFonts w:hint="eastAsia" w:ascii="仿宋_GB2312" w:hAnsi="仿宋_GB2312" w:eastAsia="仿宋_GB2312" w:cs="仿宋_GB2312"/>
          <w:b w:val="0"/>
          <w:bCs w:val="0"/>
          <w:color w:val="auto"/>
          <w:spacing w:val="0"/>
          <w:sz w:val="32"/>
          <w:szCs w:val="32"/>
          <w:lang w:val="en-US" w:eastAsia="zh-CN"/>
        </w:rPr>
        <w:t>26724人（次），落实资金3091余万元</w:t>
      </w:r>
      <w:r>
        <w:rPr>
          <w:rFonts w:hint="eastAsia" w:ascii="仿宋_GB2312" w:hAnsi="仿宋_GB2312" w:eastAsia="仿宋_GB2312" w:cs="仿宋_GB2312"/>
          <w:b w:val="0"/>
          <w:bCs w:val="0"/>
          <w:color w:val="auto"/>
          <w:spacing w:val="0"/>
          <w:sz w:val="32"/>
          <w:szCs w:val="32"/>
        </w:rPr>
        <w:t>。</w:t>
      </w:r>
      <w:r>
        <w:rPr>
          <w:rFonts w:hint="eastAsia" w:ascii="仿宋_GB2312" w:hAnsi="仿宋_GB2312" w:eastAsia="仿宋_GB2312" w:cs="仿宋_GB2312"/>
          <w:b w:val="0"/>
          <w:bCs w:val="0"/>
          <w:color w:val="auto"/>
          <w:spacing w:val="0"/>
          <w:sz w:val="32"/>
          <w:szCs w:val="32"/>
          <w:lang w:eastAsia="zh-CN"/>
        </w:rPr>
        <w:t>文化服务实现提质升级，坚持把公共文化服务基础设施建设作为文化事业繁荣发展主抓手，建成了“泾源文化云”数字化服务平台。组织开展了“4·23送书下乡暨阅读进乡村”、“情暖泾源 文明迎新”送春联、剪窗花等志愿服务活动。举办了“喜迎二十大 奋进新征程”乡村文化旅游节、公益性艺术培训班等活动。大型室外实景剧《柳毅传书》成功创演，极大地丰富了城乡群众的精神文化生活。</w:t>
      </w:r>
      <w:r>
        <w:rPr>
          <w:rFonts w:hint="eastAsia" w:ascii="仿宋_GB2312" w:hAnsi="仿宋_GB2312" w:eastAsia="仿宋_GB2312" w:cs="仿宋_GB2312"/>
          <w:b w:val="0"/>
          <w:bCs w:val="0"/>
          <w:color w:val="auto"/>
          <w:spacing w:val="0"/>
          <w:kern w:val="2"/>
          <w:sz w:val="32"/>
          <w:szCs w:val="32"/>
          <w:lang w:val="en-US" w:eastAsia="zh-CN" w:bidi="ar-SA"/>
        </w:rPr>
        <w:t>实施全民健康水平提升行动，</w:t>
      </w:r>
      <w:r>
        <w:rPr>
          <w:rFonts w:hint="eastAsia" w:ascii="仿宋_GB2312" w:hAnsi="仿宋_GB2312" w:eastAsia="仿宋_GB2312" w:cs="仿宋_GB2312"/>
          <w:b w:val="0"/>
          <w:bCs w:val="0"/>
          <w:color w:val="auto"/>
          <w:spacing w:val="0"/>
          <w:sz w:val="32"/>
          <w:szCs w:val="32"/>
          <w:lang w:val="en-US" w:eastAsia="zh-CN"/>
        </w:rPr>
        <w:t>医疗救治能力提升项目加快实施，县域医共体信息化平台全面建成，初步形成“1+2+7+96”的卫生系统信息网。落实重点场所防控措施，</w:t>
      </w:r>
      <w:r>
        <w:rPr>
          <w:rFonts w:hint="eastAsia" w:ascii="仿宋_GB2312" w:hAnsi="仿宋_GB2312" w:eastAsia="仿宋_GB2312" w:cs="仿宋_GB2312"/>
          <w:b w:val="0"/>
          <w:bCs w:val="0"/>
          <w:color w:val="auto"/>
          <w:spacing w:val="0"/>
          <w:sz w:val="32"/>
          <w:szCs w:val="32"/>
          <w:lang w:val="en" w:eastAsia="zh-CN"/>
        </w:rPr>
        <w:t>坚持“人、物”同防，</w:t>
      </w:r>
      <w:r>
        <w:rPr>
          <w:rFonts w:hint="eastAsia" w:ascii="仿宋_GB2312" w:hAnsi="仿宋_GB2312" w:eastAsia="仿宋_GB2312" w:cs="仿宋_GB2312"/>
          <w:b w:val="0"/>
          <w:bCs w:val="0"/>
          <w:color w:val="auto"/>
          <w:spacing w:val="0"/>
          <w:sz w:val="32"/>
          <w:szCs w:val="32"/>
        </w:rPr>
        <w:t>积极推进疫苗接种。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pacing w:val="0"/>
          <w:sz w:val="32"/>
          <w:szCs w:val="32"/>
          <w:lang w:eastAsia="zh-CN"/>
        </w:rPr>
      </w:pPr>
      <w:r>
        <w:rPr>
          <w:rFonts w:hint="eastAsia" w:ascii="仿宋_GB2312" w:hAnsi="仿宋_GB2312" w:eastAsia="仿宋_GB2312" w:cs="仿宋_GB2312"/>
          <w:color w:val="auto"/>
          <w:spacing w:val="0"/>
          <w:sz w:val="32"/>
          <w:szCs w:val="32"/>
        </w:rPr>
        <w:t>总体上看，全县国民经济和社会发展稳中向好，但还存在一些矛盾和问题。主要表现在：</w:t>
      </w:r>
      <w:r>
        <w:rPr>
          <w:rFonts w:hint="eastAsia" w:ascii="仿宋_GB2312" w:hAnsi="仿宋_GB2312" w:eastAsia="仿宋_GB2312" w:cs="仿宋_GB2312"/>
          <w:b/>
          <w:bCs/>
          <w:color w:val="auto"/>
          <w:spacing w:val="0"/>
          <w:sz w:val="32"/>
          <w:szCs w:val="32"/>
        </w:rPr>
        <w:t>一是</w:t>
      </w:r>
      <w:r>
        <w:rPr>
          <w:rFonts w:hint="eastAsia" w:ascii="仿宋_GB2312" w:hAnsi="仿宋_GB2312" w:eastAsia="仿宋_GB2312" w:cs="仿宋_GB2312"/>
          <w:b/>
          <w:bCs/>
          <w:i w:val="0"/>
          <w:caps w:val="0"/>
          <w:color w:val="000000"/>
          <w:spacing w:val="0"/>
          <w:kern w:val="0"/>
          <w:sz w:val="32"/>
          <w:szCs w:val="32"/>
          <w:shd w:val="clear" w:color="auto" w:fill="FFFFFF"/>
          <w:lang w:val="en-US" w:eastAsia="zh-CN" w:bidi="ar"/>
        </w:rPr>
        <w:t>产业发展层次不高</w:t>
      </w:r>
      <w:r>
        <w:rPr>
          <w:rFonts w:hint="eastAsia" w:ascii="仿宋_GB2312" w:eastAsia="仿宋_GB2312"/>
          <w:b/>
          <w:bCs/>
          <w:sz w:val="32"/>
          <w:szCs w:val="32"/>
          <w:lang w:eastAsia="zh-CN"/>
        </w:rPr>
        <w:t>。</w:t>
      </w:r>
      <w:r>
        <w:rPr>
          <w:rFonts w:hint="eastAsia" w:ascii="仿宋_GB2312" w:hAnsi="仿宋_GB2312" w:eastAsia="仿宋_GB2312" w:cs="仿宋_GB2312"/>
          <w:b w:val="0"/>
          <w:i w:val="0"/>
          <w:caps w:val="0"/>
          <w:color w:val="000000"/>
          <w:spacing w:val="0"/>
          <w:kern w:val="0"/>
          <w:sz w:val="32"/>
          <w:szCs w:val="32"/>
          <w:shd w:val="clear" w:color="auto" w:fill="FFFFFF"/>
          <w:lang w:val="en-US" w:eastAsia="zh-CN" w:bidi="ar"/>
        </w:rPr>
        <w:t>第一产业基础薄弱，农业产业化水平低，龙头企业带动不足；第二产业规模效益偏小，结构单一，工业发展缺乏后劲；第三产业开发深度不够，服务业发展滞后，一二三产融合不深。</w:t>
      </w:r>
      <w:r>
        <w:rPr>
          <w:rFonts w:hint="eastAsia" w:ascii="仿宋_GB2312" w:hAnsi="仿宋_GB2312" w:eastAsia="仿宋_GB2312" w:cs="仿宋_GB2312"/>
          <w:b/>
          <w:bCs/>
          <w:i w:val="0"/>
          <w:caps w:val="0"/>
          <w:color w:val="000000"/>
          <w:spacing w:val="0"/>
          <w:kern w:val="0"/>
          <w:sz w:val="32"/>
          <w:szCs w:val="32"/>
          <w:shd w:val="clear" w:color="auto" w:fill="FFFFFF"/>
          <w:lang w:val="en-US" w:eastAsia="zh-CN" w:bidi="ar"/>
        </w:rPr>
        <w:t>二是有效投资支撑不足。</w:t>
      </w:r>
      <w:r>
        <w:rPr>
          <w:rFonts w:hint="eastAsia" w:ascii="仿宋_GB2312" w:hAnsi="仿宋_GB2312" w:eastAsia="仿宋_GB2312" w:cs="仿宋_GB2312"/>
          <w:color w:val="auto"/>
          <w:spacing w:val="0"/>
          <w:sz w:val="32"/>
          <w:szCs w:val="32"/>
          <w:lang w:eastAsia="zh-CN"/>
        </w:rPr>
        <w:t>土地、资金等要素瓶颈问题突出，支撑经济和财源增长的大项目、好项目较少，项目建设效益转化不持续，投资增长后续力量偏弱</w:t>
      </w:r>
      <w:r>
        <w:rPr>
          <w:rFonts w:hint="eastAsia" w:ascii="仿宋_GB2312" w:hAnsi="仿宋_GB2312" w:eastAsia="仿宋_GB2312" w:cs="仿宋_GB2312"/>
          <w:color w:val="auto"/>
          <w:spacing w:val="0"/>
          <w:sz w:val="32"/>
          <w:szCs w:val="32"/>
        </w:rPr>
        <w:t>。</w:t>
      </w:r>
      <w:r>
        <w:rPr>
          <w:rFonts w:hint="eastAsia" w:ascii="仿宋_GB2312" w:hAnsi="仿宋_GB2312" w:eastAsia="仿宋_GB2312" w:cs="仿宋_GB2312"/>
          <w:b w:val="0"/>
          <w:bCs w:val="0"/>
          <w:color w:val="auto"/>
          <w:kern w:val="0"/>
          <w:sz w:val="32"/>
          <w:szCs w:val="32"/>
          <w:lang w:val="en-US" w:eastAsia="zh-CN" w:bidi="ar-SA"/>
        </w:rPr>
        <w:t>民间投资脚步放慢，社会投资较弱。</w:t>
      </w:r>
      <w:r>
        <w:rPr>
          <w:rFonts w:hint="eastAsia" w:ascii="仿宋_GB2312" w:hAnsi="仿宋_GB2312" w:eastAsia="仿宋_GB2312" w:cs="仿宋_GB2312"/>
          <w:b/>
          <w:bCs/>
          <w:color w:val="auto"/>
          <w:kern w:val="0"/>
          <w:sz w:val="32"/>
          <w:szCs w:val="32"/>
          <w:lang w:val="en-US" w:eastAsia="zh-CN" w:bidi="ar-SA"/>
        </w:rPr>
        <w:t>三</w:t>
      </w:r>
      <w:r>
        <w:rPr>
          <w:rFonts w:hint="eastAsia" w:ascii="仿宋_GB2312" w:hAnsi="仿宋_GB2312" w:eastAsia="仿宋_GB2312" w:cs="仿宋_GB2312"/>
          <w:b/>
          <w:bCs/>
          <w:color w:val="auto"/>
          <w:spacing w:val="0"/>
          <w:sz w:val="32"/>
          <w:szCs w:val="32"/>
        </w:rPr>
        <w:t>是</w:t>
      </w:r>
      <w:r>
        <w:rPr>
          <w:rFonts w:hint="eastAsia" w:ascii="仿宋_GB2312" w:hAnsi="仿宋_GB2312" w:eastAsia="仿宋_GB2312" w:cs="仿宋_GB2312"/>
          <w:b/>
          <w:bCs/>
          <w:color w:val="auto"/>
          <w:spacing w:val="0"/>
          <w:sz w:val="32"/>
          <w:szCs w:val="32"/>
          <w:lang w:eastAsia="zh-CN"/>
        </w:rPr>
        <w:t>社会消费需求不旺。</w:t>
      </w:r>
      <w:r>
        <w:rPr>
          <w:rFonts w:hint="eastAsia" w:ascii="仿宋_GB2312" w:hAnsi="仿宋_GB2312" w:eastAsia="仿宋_GB2312" w:cs="仿宋_GB2312"/>
          <w:color w:val="auto"/>
          <w:spacing w:val="0"/>
          <w:sz w:val="32"/>
          <w:szCs w:val="32"/>
          <w:lang w:eastAsia="zh-CN"/>
        </w:rPr>
        <w:t>受疫情多发散发影响，市场主体投资信心不足，城乡居民持续增收压力较大，</w:t>
      </w:r>
      <w:r>
        <w:rPr>
          <w:rFonts w:hint="eastAsia" w:ascii="仿宋_GB2312" w:hAnsi="仿宋_GB2312" w:eastAsia="仿宋_GB2312" w:cs="仿宋_GB2312"/>
          <w:b w:val="0"/>
          <w:i w:val="0"/>
          <w:caps w:val="0"/>
          <w:color w:val="000000"/>
          <w:spacing w:val="0"/>
          <w:kern w:val="0"/>
          <w:sz w:val="32"/>
          <w:szCs w:val="32"/>
          <w:shd w:val="clear" w:color="auto" w:fill="FFFFFF"/>
          <w:lang w:val="en-US" w:eastAsia="zh-CN" w:bidi="ar"/>
        </w:rPr>
        <w:t>住餐消费持续低迷，批发零售增长乏力</w:t>
      </w:r>
      <w:r>
        <w:rPr>
          <w:rFonts w:hint="eastAsia" w:ascii="仿宋_GB2312" w:hAnsi="仿宋_GB2312" w:eastAsia="仿宋_GB2312" w:cs="仿宋_GB2312"/>
          <w:b w:val="0"/>
          <w:bCs w:val="0"/>
          <w:color w:val="auto"/>
          <w:kern w:val="0"/>
          <w:sz w:val="32"/>
          <w:szCs w:val="32"/>
          <w:lang w:val="en-US" w:eastAsia="zh-CN" w:bidi="ar-SA"/>
        </w:rPr>
        <w:t>，居民消费预期受到一定抑制，消费更趋理性化，消费对经济增长的拉动作用减弱。</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color w:val="auto"/>
          <w:spacing w:val="0"/>
          <w:sz w:val="32"/>
          <w:szCs w:val="32"/>
          <w:lang w:eastAsia="zh-CN"/>
        </w:rPr>
      </w:pPr>
      <w:r>
        <w:rPr>
          <w:rFonts w:hint="eastAsia" w:ascii="黑体" w:hAnsi="黑体" w:eastAsia="黑体" w:cs="黑体"/>
          <w:b w:val="0"/>
          <w:bCs w:val="0"/>
          <w:color w:val="auto"/>
          <w:spacing w:val="0"/>
          <w:sz w:val="32"/>
          <w:szCs w:val="32"/>
        </w:rPr>
        <w:t>二、202</w:t>
      </w:r>
      <w:r>
        <w:rPr>
          <w:rFonts w:hint="eastAsia" w:ascii="黑体" w:hAnsi="黑体" w:eastAsia="黑体" w:cs="黑体"/>
          <w:b w:val="0"/>
          <w:bCs w:val="0"/>
          <w:color w:val="auto"/>
          <w:spacing w:val="0"/>
          <w:sz w:val="32"/>
          <w:szCs w:val="32"/>
          <w:lang w:val="en-US" w:eastAsia="zh-CN"/>
        </w:rPr>
        <w:t>3</w:t>
      </w:r>
      <w:r>
        <w:rPr>
          <w:rFonts w:hint="eastAsia" w:ascii="黑体" w:hAnsi="黑体" w:eastAsia="黑体" w:cs="黑体"/>
          <w:b w:val="0"/>
          <w:bCs w:val="0"/>
          <w:color w:val="auto"/>
          <w:spacing w:val="0"/>
          <w:sz w:val="32"/>
          <w:szCs w:val="32"/>
        </w:rPr>
        <w:t>年国民经济和社会发展</w:t>
      </w:r>
      <w:r>
        <w:rPr>
          <w:rFonts w:hint="eastAsia" w:ascii="黑体" w:hAnsi="黑体" w:eastAsia="黑体" w:cs="黑体"/>
          <w:b w:val="0"/>
          <w:bCs w:val="0"/>
          <w:color w:val="auto"/>
          <w:spacing w:val="0"/>
          <w:sz w:val="32"/>
          <w:szCs w:val="32"/>
          <w:lang w:eastAsia="zh-CN"/>
        </w:rPr>
        <w:t>计划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i w:val="0"/>
          <w:caps w:val="0"/>
          <w:color w:val="000000"/>
          <w:spacing w:val="0"/>
          <w:kern w:val="0"/>
          <w:sz w:val="32"/>
          <w:szCs w:val="32"/>
          <w:shd w:val="clear" w:color="auto" w:fill="FFFFFF"/>
          <w:lang w:val="en-US" w:eastAsia="zh-CN" w:bidi="ar"/>
        </w:rPr>
      </w:pPr>
      <w:r>
        <w:rPr>
          <w:rFonts w:hint="eastAsia" w:ascii="仿宋_GB2312" w:hAnsi="仿宋_GB2312" w:eastAsia="仿宋_GB2312" w:cs="仿宋_GB2312"/>
          <w:b w:val="0"/>
          <w:i w:val="0"/>
          <w:caps w:val="0"/>
          <w:color w:val="000000"/>
          <w:spacing w:val="0"/>
          <w:kern w:val="0"/>
          <w:sz w:val="32"/>
          <w:szCs w:val="32"/>
          <w:shd w:val="clear" w:color="auto" w:fill="FFFFFF"/>
          <w:lang w:val="en-US" w:eastAsia="zh-CN" w:bidi="ar"/>
        </w:rPr>
        <w:t>2023年是全面贯彻落实党的二十大精神的开局之年，是实施“十四五”规划的关键之年，做好全年经济社会发展工作意义重大。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i w:val="0"/>
          <w:caps w:val="0"/>
          <w:color w:val="000000"/>
          <w:spacing w:val="0"/>
          <w:kern w:val="0"/>
          <w:sz w:val="32"/>
          <w:szCs w:val="32"/>
          <w:shd w:val="clear" w:color="auto" w:fill="FFFFFF"/>
          <w:lang w:val="en-US" w:eastAsia="zh-CN" w:bidi="ar"/>
        </w:rPr>
      </w:pPr>
      <w:r>
        <w:rPr>
          <w:rFonts w:hint="eastAsia" w:ascii="仿宋_GB2312" w:hAnsi="仿宋_GB2312" w:eastAsia="仿宋_GB2312" w:cs="仿宋_GB2312"/>
          <w:b w:val="0"/>
          <w:i w:val="0"/>
          <w:caps w:val="0"/>
          <w:color w:val="000000"/>
          <w:spacing w:val="0"/>
          <w:kern w:val="0"/>
          <w:sz w:val="32"/>
          <w:szCs w:val="32"/>
          <w:shd w:val="clear" w:color="auto" w:fill="FFFFFF"/>
          <w:lang w:val="en-US" w:eastAsia="zh-CN" w:bidi="ar"/>
        </w:rPr>
        <w:t>经济社会发展的总体要求是：以习近平新时代中国特色社会主义思想为指导，深入学习宣传贯彻落实党的二十大和习近平总书记视察宁夏重要讲话指示批示精神，认真贯彻落实自治区第十三次党代会及市委五届五次全会、县十五届三次、四次、五次全会精神，坚持稳中求进工作总基调，更好</w:t>
      </w:r>
      <w:r>
        <w:rPr>
          <w:rFonts w:hint="eastAsia" w:ascii="仿宋_GB2312" w:hAnsi="仿宋_GB2312" w:eastAsia="仿宋_GB2312" w:cs="仿宋_GB2312"/>
          <w:spacing w:val="0"/>
          <w:sz w:val="32"/>
          <w:szCs w:val="32"/>
          <w:lang w:val="en-US" w:eastAsia="zh-CN"/>
        </w:rPr>
        <w:t>统筹疫情防控和经济社会发展，</w:t>
      </w:r>
      <w:r>
        <w:rPr>
          <w:rFonts w:hint="eastAsia" w:ascii="仿宋_GB2312" w:hAnsi="仿宋_GB2312" w:eastAsia="仿宋_GB2312" w:cs="仿宋_GB2312"/>
          <w:b w:val="0"/>
          <w:i w:val="0"/>
          <w:caps w:val="0"/>
          <w:color w:val="000000"/>
          <w:spacing w:val="0"/>
          <w:kern w:val="0"/>
          <w:sz w:val="32"/>
          <w:szCs w:val="32"/>
          <w:shd w:val="clear" w:color="auto" w:fill="FFFFFF"/>
          <w:lang w:val="en-US" w:eastAsia="zh-CN" w:bidi="ar"/>
        </w:rPr>
        <w:t>树立“大抓发展、抓大发展、抓高质量发展、推动跨越式发展”的鲜明导向，聚焦“生态泾源、绿色发展”定位，围绕加快推进县域经济高质量发展这个中心，主动作为抢机遇，转变方式调结构，深化改革促发展，发挥预期目标的激励引导和压力传导作用，更好统筹经济质的有效提升和量的合理增长，保持经济运行在合理区间。</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楷体" w:hAnsi="楷体" w:eastAsia="楷体" w:cs="楷体"/>
          <w:b w:val="0"/>
          <w:bCs w:val="0"/>
          <w:color w:val="auto"/>
          <w:spacing w:val="0"/>
          <w:sz w:val="32"/>
          <w:szCs w:val="32"/>
        </w:rPr>
      </w:pPr>
      <w:r>
        <w:rPr>
          <w:rFonts w:hint="eastAsia" w:ascii="仿宋_GB2312" w:hAnsi="仿宋_GB2312" w:eastAsia="仿宋_GB2312" w:cs="仿宋_GB2312"/>
          <w:b w:val="0"/>
          <w:bCs w:val="0"/>
          <w:color w:val="auto"/>
          <w:spacing w:val="0"/>
          <w:sz w:val="32"/>
          <w:szCs w:val="32"/>
          <w:lang w:eastAsia="zh-CN"/>
        </w:rPr>
        <w:t>全县202</w:t>
      </w:r>
      <w:r>
        <w:rPr>
          <w:rFonts w:hint="eastAsia" w:ascii="仿宋_GB2312" w:hAnsi="仿宋_GB2312" w:eastAsia="仿宋_GB2312" w:cs="仿宋_GB2312"/>
          <w:b w:val="0"/>
          <w:bCs w:val="0"/>
          <w:color w:val="auto"/>
          <w:spacing w:val="0"/>
          <w:sz w:val="32"/>
          <w:szCs w:val="32"/>
          <w:lang w:val="en-US" w:eastAsia="zh-CN"/>
        </w:rPr>
        <w:t>3</w:t>
      </w:r>
      <w:r>
        <w:rPr>
          <w:rFonts w:hint="eastAsia" w:ascii="仿宋_GB2312" w:hAnsi="仿宋_GB2312" w:eastAsia="仿宋_GB2312" w:cs="仿宋_GB2312"/>
          <w:b w:val="0"/>
          <w:bCs w:val="0"/>
          <w:color w:val="auto"/>
          <w:spacing w:val="0"/>
          <w:sz w:val="32"/>
          <w:szCs w:val="32"/>
          <w:lang w:eastAsia="zh-CN"/>
        </w:rPr>
        <w:t>年国民经济和社会发展的主要预期目标：</w:t>
      </w:r>
      <w:r>
        <w:rPr>
          <w:rFonts w:hint="eastAsia" w:ascii="仿宋_GB2312" w:hAnsi="仿宋_GB2312" w:eastAsia="仿宋_GB2312" w:cs="仿宋_GB2312"/>
          <w:sz w:val="32"/>
          <w:szCs w:val="32"/>
          <w:lang w:val="en-US" w:eastAsia="zh-CN"/>
        </w:rPr>
        <w:t>预计2023年，地区生产总值增长7.5%左右，地方公共财政预算收入增长6%左右，全社会固定资产投资增长12%以上，社会消费品零售总额增长6%左右，城镇居民人均可支配收入增长8.5%左右，农村居民人均可支配收入增长1</w:t>
      </w:r>
      <w:r>
        <w:rPr>
          <w:rFonts w:hint="default" w:ascii="仿宋_GB2312" w:hAnsi="仿宋_GB2312" w:eastAsia="仿宋_GB2312" w:cs="仿宋_GB2312"/>
          <w:sz w:val="32"/>
          <w:szCs w:val="32"/>
          <w:lang w:val="en" w:eastAsia="zh-CN"/>
        </w:rPr>
        <w:t>0.5</w:t>
      </w:r>
      <w:r>
        <w:rPr>
          <w:rFonts w:hint="eastAsia" w:ascii="仿宋_GB2312" w:hAnsi="仿宋_GB2312" w:eastAsia="仿宋_GB2312" w:cs="仿宋_GB2312"/>
          <w:sz w:val="32"/>
          <w:szCs w:val="32"/>
          <w:lang w:val="en-US" w:eastAsia="zh-CN"/>
        </w:rPr>
        <w:t>%左右。城镇调查失业率控制在5.5%以内，节能减排完成区市下达的任务</w:t>
      </w:r>
      <w:r>
        <w:rPr>
          <w:rFonts w:hint="eastAsia" w:ascii="仿宋_GB2312" w:hAnsi="仿宋_GB2312" w:eastAsia="仿宋_GB2312" w:cs="仿宋_GB2312"/>
          <w:b w:val="0"/>
          <w:bCs w:val="0"/>
          <w:color w:val="auto"/>
          <w:spacing w:val="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pacing w:val="0"/>
          <w:sz w:val="32"/>
          <w:szCs w:val="32"/>
          <w:lang w:eastAsia="zh-CN"/>
        </w:rPr>
      </w:pPr>
      <w:r>
        <w:rPr>
          <w:rFonts w:hint="eastAsia" w:ascii="仿宋_GB2312" w:hAnsi="仿宋_GB2312" w:eastAsia="仿宋_GB2312" w:cs="仿宋_GB2312"/>
          <w:b w:val="0"/>
          <w:bCs w:val="0"/>
          <w:spacing w:val="0"/>
          <w:sz w:val="32"/>
          <w:szCs w:val="32"/>
          <w:lang w:eastAsia="zh-CN"/>
        </w:rPr>
        <w:t>围绕</w:t>
      </w:r>
      <w:r>
        <w:rPr>
          <w:rFonts w:hint="eastAsia" w:ascii="仿宋_GB2312" w:hAnsi="仿宋_GB2312" w:eastAsia="仿宋_GB2312" w:cs="仿宋_GB2312"/>
          <w:b w:val="0"/>
          <w:bCs w:val="0"/>
          <w:spacing w:val="0"/>
          <w:sz w:val="32"/>
          <w:szCs w:val="32"/>
        </w:rPr>
        <w:t>上述目标，</w:t>
      </w:r>
      <w:r>
        <w:rPr>
          <w:rFonts w:hint="eastAsia" w:ascii="仿宋_GB2312" w:hAnsi="仿宋_GB2312" w:eastAsia="仿宋_GB2312" w:cs="仿宋_GB2312"/>
          <w:b w:val="0"/>
          <w:bCs w:val="0"/>
          <w:spacing w:val="0"/>
          <w:sz w:val="32"/>
          <w:szCs w:val="32"/>
          <w:lang w:eastAsia="zh-CN"/>
        </w:rPr>
        <w:t>重点推进</w:t>
      </w:r>
      <w:r>
        <w:rPr>
          <w:rFonts w:hint="eastAsia" w:ascii="仿宋_GB2312" w:hAnsi="仿宋_GB2312" w:eastAsia="仿宋_GB2312" w:cs="仿宋_GB2312"/>
          <w:b w:val="0"/>
          <w:bCs w:val="0"/>
          <w:spacing w:val="0"/>
          <w:sz w:val="32"/>
          <w:szCs w:val="32"/>
        </w:rPr>
        <w:t>以下</w:t>
      </w:r>
      <w:r>
        <w:rPr>
          <w:rFonts w:hint="eastAsia" w:ascii="仿宋_GB2312" w:hAnsi="仿宋_GB2312" w:eastAsia="仿宋_GB2312" w:cs="仿宋_GB2312"/>
          <w:b w:val="0"/>
          <w:bCs w:val="0"/>
          <w:color w:val="auto"/>
          <w:spacing w:val="0"/>
          <w:sz w:val="32"/>
          <w:szCs w:val="32"/>
          <w:lang w:val="en-US" w:eastAsia="zh-CN"/>
        </w:rPr>
        <w:t>7</w:t>
      </w:r>
      <w:r>
        <w:rPr>
          <w:rFonts w:hint="eastAsia" w:ascii="仿宋_GB2312" w:hAnsi="仿宋_GB2312" w:eastAsia="仿宋_GB2312" w:cs="仿宋_GB2312"/>
          <w:b w:val="0"/>
          <w:bCs w:val="0"/>
          <w:color w:val="auto"/>
          <w:spacing w:val="0"/>
          <w:sz w:val="32"/>
          <w:szCs w:val="32"/>
        </w:rPr>
        <w:t>个</w:t>
      </w:r>
      <w:r>
        <w:rPr>
          <w:rFonts w:hint="eastAsia" w:ascii="仿宋_GB2312" w:hAnsi="仿宋_GB2312" w:eastAsia="仿宋_GB2312" w:cs="仿宋_GB2312"/>
          <w:b w:val="0"/>
          <w:bCs w:val="0"/>
          <w:spacing w:val="0"/>
          <w:sz w:val="32"/>
          <w:szCs w:val="32"/>
        </w:rPr>
        <w:t>方面的工作</w:t>
      </w:r>
      <w:r>
        <w:rPr>
          <w:rFonts w:hint="eastAsia" w:ascii="仿宋_GB2312" w:hAnsi="仿宋_GB2312" w:eastAsia="仿宋_GB2312" w:cs="仿宋_GB2312"/>
          <w:b w:val="0"/>
          <w:bCs w:val="0"/>
          <w:spacing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spacing w:val="0"/>
          <w:sz w:val="32"/>
          <w:szCs w:val="32"/>
          <w:lang w:eastAsia="zh-CN"/>
        </w:rPr>
      </w:pPr>
      <w:r>
        <w:rPr>
          <w:rFonts w:hint="eastAsia" w:ascii="楷体_GB2312" w:hAnsi="楷体_GB2312" w:eastAsia="楷体_GB2312" w:cs="楷体_GB2312"/>
          <w:b/>
          <w:bCs/>
          <w:color w:val="000000"/>
          <w:spacing w:val="0"/>
          <w:sz w:val="32"/>
          <w:szCs w:val="32"/>
          <w:lang w:val="en-US" w:eastAsia="zh-CN"/>
        </w:rPr>
        <w:t xml:space="preserve">    （一）紧盯运行调度，确保经济平稳增长。</w:t>
      </w:r>
      <w:r>
        <w:rPr>
          <w:rFonts w:hint="eastAsia" w:ascii="仿宋_GB2312" w:hAnsi="仿宋_GB2312" w:eastAsia="仿宋_GB2312" w:cs="仿宋_GB2312"/>
          <w:b w:val="0"/>
          <w:bCs w:val="0"/>
          <w:spacing w:val="0"/>
          <w:sz w:val="32"/>
          <w:szCs w:val="32"/>
          <w:lang w:val="en-US" w:eastAsia="zh-CN"/>
        </w:rPr>
        <w:t>统筹抓好常态化疫情防控和经济发展，</w:t>
      </w:r>
      <w:r>
        <w:rPr>
          <w:rFonts w:hint="eastAsia" w:ascii="仿宋_GB2312" w:hAnsi="仿宋_GB2312" w:eastAsia="仿宋_GB2312" w:cs="仿宋_GB2312"/>
          <w:b w:val="0"/>
          <w:bCs w:val="0"/>
          <w:sz w:val="32"/>
          <w:szCs w:val="32"/>
          <w:lang w:val="en-US" w:eastAsia="zh-CN"/>
        </w:rPr>
        <w:t>对标短板弱项，</w:t>
      </w:r>
      <w:r>
        <w:rPr>
          <w:rFonts w:hint="eastAsia" w:ascii="仿宋_GB2312" w:hAnsi="仿宋_GB2312" w:eastAsia="仿宋_GB2312" w:cs="仿宋_GB2312"/>
          <w:b w:val="0"/>
          <w:bCs w:val="0"/>
          <w:spacing w:val="0"/>
          <w:sz w:val="32"/>
          <w:szCs w:val="32"/>
          <w:lang w:eastAsia="zh-CN"/>
        </w:rPr>
        <w:t>加强经济运行分析和监测预警，强化重点行业、企业、项目运行调度，着力破解经济运行中的突出矛盾和问题。统筹发挥政府和市场作用，加强项目资金监管，确保各项纾困资金惠及市场主体。引导龙头企业与中小微企业开展产能对接、协作配套，提高中小微企业生存和发展能力。推动金融服务提质增效，加强与区市农发行的紧密协作，重点在盘活存量国有资产、政策性开发性金融工具等政策红利上想办法，精心包装谋划一批可</w:t>
      </w:r>
      <w:r>
        <w:rPr>
          <w:rFonts w:hint="eastAsia" w:ascii="仿宋_GB2312" w:hAnsi="仿宋_GB2312" w:eastAsia="仿宋_GB2312" w:cs="仿宋_GB2312"/>
          <w:b w:val="0"/>
          <w:bCs w:val="0"/>
          <w:spacing w:val="0"/>
          <w:sz w:val="32"/>
          <w:szCs w:val="32"/>
          <w:lang w:val="en-US" w:eastAsia="zh-CN"/>
        </w:rPr>
        <w:t>行性</w:t>
      </w:r>
      <w:r>
        <w:rPr>
          <w:rFonts w:hint="eastAsia" w:ascii="仿宋_GB2312" w:hAnsi="仿宋_GB2312" w:eastAsia="仿宋_GB2312" w:cs="仿宋_GB2312"/>
          <w:b w:val="0"/>
          <w:bCs w:val="0"/>
          <w:spacing w:val="0"/>
          <w:sz w:val="32"/>
          <w:szCs w:val="32"/>
          <w:lang w:eastAsia="zh-CN"/>
        </w:rPr>
        <w:t>项目，形成存量资产和新增投资的良性循环，保持发展连续性稳定性。</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楷体_GB2312" w:hAnsi="楷体_GB2312" w:eastAsia="楷体_GB2312" w:cs="楷体_GB2312"/>
          <w:b/>
          <w:bCs/>
          <w:color w:val="000000"/>
          <w:spacing w:val="0"/>
          <w:sz w:val="32"/>
          <w:szCs w:val="32"/>
          <w:lang w:val="en-US" w:eastAsia="zh-CN"/>
        </w:rPr>
      </w:pPr>
      <w:r>
        <w:rPr>
          <w:rFonts w:hint="eastAsia" w:ascii="楷体_GB2312" w:hAnsi="楷体_GB2312" w:eastAsia="楷体_GB2312" w:cs="楷体_GB2312"/>
          <w:b/>
          <w:bCs/>
          <w:color w:val="000000"/>
          <w:spacing w:val="0"/>
          <w:sz w:val="32"/>
          <w:szCs w:val="32"/>
          <w:lang w:val="en-US" w:eastAsia="zh-CN"/>
        </w:rPr>
        <w:t xml:space="preserve">    （二）紧盯转型升级，推动产业高质量发展。</w:t>
      </w:r>
      <w:r>
        <w:rPr>
          <w:rFonts w:hint="eastAsia" w:ascii="仿宋_GB2312" w:hAnsi="仿宋_GB2312" w:eastAsia="仿宋_GB2312" w:cs="仿宋_GB2312"/>
          <w:b w:val="0"/>
          <w:bCs w:val="0"/>
          <w:color w:val="000000"/>
          <w:spacing w:val="0"/>
          <w:sz w:val="32"/>
          <w:szCs w:val="32"/>
          <w:lang w:val="en-US" w:eastAsia="zh-CN"/>
        </w:rPr>
        <w:t>围绕自治区“六新六特六优”及固原市“五特五新五优”产业布局，培育1+3+X县域特色产业发展体系，着力打造“八个万级”农业特色示范基地，不断推动农业经济发展，优化工业产业结构，提升服务业发</w:t>
      </w:r>
      <w:r>
        <w:rPr>
          <w:rFonts w:hint="eastAsia" w:ascii="仿宋_GB2312" w:hAnsi="仿宋_GB2312" w:eastAsia="仿宋_GB2312" w:cs="仿宋_GB2312"/>
          <w:b w:val="0"/>
          <w:bCs w:val="0"/>
          <w:color w:val="auto"/>
          <w:spacing w:val="0"/>
          <w:sz w:val="32"/>
          <w:szCs w:val="32"/>
          <w:lang w:val="en-US" w:eastAsia="zh-CN"/>
        </w:rPr>
        <w:t>展水平，推动产业向高端化、绿色化、智能化、融合化方向发展。</w:t>
      </w:r>
      <w:r>
        <w:rPr>
          <w:rFonts w:hint="eastAsia" w:ascii="仿宋_GB2312" w:hAnsi="仿宋_GB2312" w:eastAsia="仿宋_GB2312" w:cs="仿宋_GB2312"/>
          <w:b/>
          <w:bCs/>
          <w:color w:val="auto"/>
          <w:spacing w:val="0"/>
          <w:sz w:val="32"/>
          <w:szCs w:val="32"/>
          <w:lang w:val="en-US" w:eastAsia="zh-CN"/>
        </w:rPr>
        <w:t>在农业上，以肉牛、中蜂和生态经济为重点，推动农业经济增长。</w:t>
      </w:r>
      <w:r>
        <w:rPr>
          <w:rFonts w:hint="eastAsia" w:ascii="仿宋_GB2312" w:hAnsi="仿宋_GB2312" w:eastAsia="仿宋_GB2312" w:cs="仿宋_GB2312"/>
          <w:b w:val="0"/>
          <w:bCs w:val="0"/>
          <w:color w:val="auto"/>
          <w:spacing w:val="0"/>
          <w:sz w:val="32"/>
          <w:szCs w:val="32"/>
          <w:lang w:eastAsia="zh-CN"/>
        </w:rPr>
        <w:t>坚持“优质+高端”双轮驱动，进一步调优种养结构、扩大经营规模、增强加工能力、延长产业链条。</w:t>
      </w:r>
      <w:r>
        <w:rPr>
          <w:rFonts w:hint="eastAsia" w:ascii="仿宋_GB2312" w:hAnsi="仿宋_GB2312" w:eastAsia="仿宋_GB2312" w:cs="仿宋_GB2312"/>
          <w:b w:val="0"/>
          <w:bCs w:val="0"/>
          <w:color w:val="auto"/>
          <w:spacing w:val="0"/>
          <w:sz w:val="32"/>
          <w:szCs w:val="32"/>
          <w:lang w:val="en-US" w:eastAsia="zh-CN"/>
        </w:rPr>
        <w:t>实施泾源县肉牛产业现代化发展“出户入园+光伏”项目，新建肉牛养殖出户入园4个。实施肉牛产业核心群培育项目及肉牛繁育体系建设工程，培育良种母牛繁育核心群繁育场3个，建设“泾源黄牛肉”线上营销县级运行中心，提高市场占有率。</w:t>
      </w:r>
      <w:r>
        <w:rPr>
          <w:rFonts w:hint="eastAsia" w:ascii="仿宋_GB2312" w:hAnsi="仿宋_GB2312" w:eastAsia="仿宋_GB2312" w:cs="仿宋_GB2312"/>
          <w:b w:val="0"/>
          <w:bCs w:val="0"/>
          <w:color w:val="auto"/>
          <w:spacing w:val="0"/>
          <w:sz w:val="32"/>
          <w:szCs w:val="32"/>
          <w:lang w:eastAsia="zh-CN"/>
        </w:rPr>
        <w:t>品牌化发展中蜂养殖，</w:t>
      </w:r>
      <w:r>
        <w:rPr>
          <w:rFonts w:hint="eastAsia" w:ascii="仿宋_GB2312" w:eastAsia="仿宋_GB2312" w:cs="Times New Roman"/>
          <w:color w:val="auto"/>
          <w:spacing w:val="0"/>
          <w:sz w:val="32"/>
          <w:szCs w:val="32"/>
          <w:lang w:val="en-US" w:eastAsia="zh-CN"/>
        </w:rPr>
        <w:t>突出蜂旅融合，打造集“蜜蜂养殖+蜂蜜加工+蜂产品展示+休闲旅游观光”等为一体的中华蜜蜂养殖基地，实施</w:t>
      </w:r>
      <w:r>
        <w:rPr>
          <w:rFonts w:hint="eastAsia" w:ascii="仿宋_GB2312" w:hAnsi="仿宋_GB2312" w:eastAsia="仿宋_GB2312" w:cs="仿宋_GB2312"/>
          <w:b w:val="0"/>
          <w:bCs w:val="0"/>
          <w:color w:val="auto"/>
          <w:spacing w:val="0"/>
          <w:sz w:val="32"/>
          <w:szCs w:val="32"/>
          <w:lang w:val="en-US" w:eastAsia="zh-CN"/>
        </w:rPr>
        <w:t>中蜂养殖观光体验及“互联网+”建设项目，</w:t>
      </w:r>
      <w:r>
        <w:rPr>
          <w:rFonts w:hint="eastAsia" w:ascii="仿宋_GB2312" w:eastAsia="仿宋_GB2312" w:cs="Times New Roman"/>
          <w:color w:val="auto"/>
          <w:spacing w:val="0"/>
          <w:sz w:val="32"/>
          <w:szCs w:val="32"/>
          <w:lang w:val="en-US" w:eastAsia="zh-CN"/>
        </w:rPr>
        <w:t>形成多功能蜂旅融合新业态，提升“泾源蜂蜜”地理标志和“六盘山土蜂蜜”商标知名度。推进生态建设修复与生态经济、林下经济、林果经济深度融合，实施碳汇林建设项目，建设1000亩以碳汇为主的乔木林，扩大碳汇林项目成果，建立森林碳汇交易试点，推广“绿水青山就是金山银山”实践创新基地经验，积极争取自治区碳汇交易试点落户我县。</w:t>
      </w:r>
      <w:r>
        <w:rPr>
          <w:rFonts w:hint="eastAsia" w:ascii="仿宋_GB2312" w:hAnsi="仿宋_GB2312" w:eastAsia="仿宋_GB2312" w:cs="仿宋_GB2312"/>
          <w:color w:val="auto"/>
          <w:spacing w:val="0"/>
          <w:sz w:val="32"/>
          <w:szCs w:val="32"/>
          <w:lang w:eastAsia="zh-CN"/>
        </w:rPr>
        <w:t>稳步推广并扩大林下菌、食用菌种植面积，</w:t>
      </w:r>
      <w:r>
        <w:rPr>
          <w:rFonts w:hint="eastAsia" w:ascii="仿宋_GB2312" w:hAnsi="仿宋_GB2312" w:eastAsia="仿宋_GB2312" w:cs="仿宋_GB2312"/>
          <w:b w:val="0"/>
          <w:bCs w:val="0"/>
          <w:color w:val="auto"/>
          <w:spacing w:val="0"/>
          <w:sz w:val="32"/>
          <w:szCs w:val="32"/>
          <w:lang w:val="en-US" w:eastAsia="zh-CN"/>
        </w:rPr>
        <w:t>实施 2023年食用菌种植推广项目。以扩大种植规模、提高产业效益、增加农民收入为目标，突出基地引领、企业带动、农户参与，实施冷凉露地蔬菜示范基地建设项目。积极发展中药材种植，实施六盘山珍稀中药材驯化繁育与仿野生种植及产业化技术示范项目，建设六盘山珍稀中药材驯化繁育示范基地500亩、仿野生种植基地6000亩、药用植物产学研及科普+康养旅的综合示范基地300亩。</w:t>
      </w:r>
      <w:r>
        <w:rPr>
          <w:rFonts w:hint="eastAsia" w:ascii="仿宋_GB2312" w:hAnsi="仿宋_GB2312" w:eastAsia="仿宋_GB2312" w:cs="仿宋_GB2312"/>
          <w:b/>
          <w:bCs/>
          <w:color w:val="auto"/>
          <w:spacing w:val="0"/>
          <w:sz w:val="32"/>
          <w:szCs w:val="32"/>
          <w:lang w:val="en-US" w:eastAsia="zh-CN"/>
        </w:rPr>
        <w:t>在工业上，以培育清洁能源、服装箱包产业等新增长极为辅助，推进工业转型升级。</w:t>
      </w:r>
      <w:r>
        <w:rPr>
          <w:rFonts w:hint="eastAsia" w:ascii="仿宋_GB2312" w:hAnsi="仿宋_GB2312" w:eastAsia="仿宋_GB2312" w:cs="仿宋_GB2312"/>
          <w:b w:val="0"/>
          <w:bCs w:val="0"/>
          <w:spacing w:val="0"/>
          <w:kern w:val="2"/>
          <w:sz w:val="32"/>
          <w:szCs w:val="32"/>
          <w:lang w:val="en-US" w:eastAsia="zh-CN" w:bidi="ar-SA"/>
        </w:rPr>
        <w:t>充分发掘我县新能源开发潜力，</w:t>
      </w:r>
      <w:r>
        <w:rPr>
          <w:rFonts w:hint="eastAsia" w:ascii="仿宋_GB2312" w:hAnsi="仿宋_GB2312" w:eastAsia="仿宋_GB2312" w:cs="仿宋_GB2312"/>
          <w:i w:val="0"/>
          <w:iCs w:val="0"/>
          <w:caps w:val="0"/>
          <w:color w:val="000000"/>
          <w:spacing w:val="0"/>
          <w:sz w:val="32"/>
          <w:szCs w:val="32"/>
          <w:shd w:val="clear" w:color="auto" w:fill="FFFFFF"/>
          <w:lang w:val="en-US" w:eastAsia="zh-CN"/>
        </w:rPr>
        <w:t>推进光伏、风电、储能等新能源项目，</w:t>
      </w:r>
      <w:r>
        <w:rPr>
          <w:rFonts w:hint="eastAsia" w:ascii="仿宋_GB2312" w:hAnsi="仿宋_GB2312" w:eastAsia="仿宋_GB2312" w:cs="仿宋_GB2312"/>
          <w:b w:val="0"/>
          <w:bCs w:val="0"/>
          <w:color w:val="auto"/>
          <w:spacing w:val="0"/>
          <w:sz w:val="32"/>
          <w:szCs w:val="32"/>
          <w:lang w:val="en-US" w:eastAsia="zh-CN"/>
        </w:rPr>
        <w:t>实施中能建投绿塬变100MW/200MWh共享储能电站示范、中能建投绿塬变（二期）200MW/400MWh共享储能、中能建投40兆瓦风力发电项目，</w:t>
      </w:r>
      <w:r>
        <w:rPr>
          <w:rFonts w:hint="eastAsia" w:ascii="仿宋_GB2312" w:hAnsi="仿宋_GB2312" w:eastAsia="仿宋_GB2312" w:cs="仿宋_GB2312"/>
          <w:color w:val="000000"/>
          <w:spacing w:val="0"/>
          <w:kern w:val="2"/>
          <w:sz w:val="32"/>
          <w:szCs w:val="32"/>
          <w:lang w:val="en-US" w:eastAsia="zh-CN" w:bidi="ar-SA"/>
        </w:rPr>
        <w:t>为进一步保障电网安全和新能源消纳发挥重要作用。以闽宁产业园和轻工产业园区为载体，引导现有扶贫车间积极构建现代企业管理制度，实现“车间”转企业的管理模式转变，实施服装箱包提质增效项目，推动现有服装箱包企业实现提质扩量。以产业园区高质量发展为支撑，进一步完善园区“九通一平”等基础设施，实施</w:t>
      </w:r>
      <w:r>
        <w:rPr>
          <w:rFonts w:hint="eastAsia" w:ascii="仿宋_GB2312" w:hAnsi="仿宋_GB2312" w:eastAsia="仿宋_GB2312" w:cs="仿宋_GB2312"/>
          <w:b w:val="0"/>
          <w:bCs w:val="0"/>
          <w:color w:val="auto"/>
          <w:spacing w:val="0"/>
          <w:sz w:val="32"/>
          <w:szCs w:val="32"/>
          <w:lang w:val="en-US" w:eastAsia="zh-CN"/>
        </w:rPr>
        <w:t>轻工产业园区纯净水及蜂蜜水生产销售、万吨降解膜生产线、山泉水生产销售项目，</w:t>
      </w:r>
      <w:r>
        <w:rPr>
          <w:rFonts w:hint="eastAsia" w:ascii="仿宋_GB2312" w:hAnsi="仿宋_GB2312" w:eastAsia="仿宋_GB2312" w:cs="仿宋_GB2312"/>
          <w:color w:val="000000"/>
          <w:spacing w:val="0"/>
          <w:kern w:val="2"/>
          <w:sz w:val="32"/>
          <w:szCs w:val="32"/>
          <w:lang w:val="en-US" w:eastAsia="zh-CN" w:bidi="ar-SA"/>
        </w:rPr>
        <w:t>构建产业融合发展的载体。</w:t>
      </w:r>
      <w:r>
        <w:rPr>
          <w:rFonts w:hint="eastAsia" w:ascii="仿宋_GB2312" w:hAnsi="仿宋_GB2312" w:eastAsia="仿宋_GB2312" w:cs="仿宋_GB2312"/>
          <w:b/>
          <w:bCs/>
          <w:color w:val="auto"/>
          <w:spacing w:val="0"/>
          <w:sz w:val="32"/>
          <w:szCs w:val="32"/>
          <w:lang w:val="en-US" w:eastAsia="zh-CN"/>
        </w:rPr>
        <w:t>在服务业上，以文旅产业为龙头，实现三产量效齐增。</w:t>
      </w:r>
      <w:r>
        <w:rPr>
          <w:rFonts w:hint="eastAsia" w:ascii="仿宋_GB2312" w:hAnsi="仿宋_GB2312" w:eastAsia="仿宋_GB2312" w:cs="仿宋_GB2312"/>
          <w:b w:val="0"/>
          <w:bCs w:val="0"/>
          <w:color w:val="auto"/>
          <w:spacing w:val="0"/>
          <w:sz w:val="32"/>
          <w:szCs w:val="32"/>
          <w:lang w:val="en-US" w:eastAsia="zh-CN"/>
        </w:rPr>
        <w:t>立足固原市生态文旅特色市定位，以创建国家级全域旅游示范县为抓手，在发展传统服务业的同时，不断加大旅游等现代服务业项目推进力度</w:t>
      </w:r>
      <w:r>
        <w:rPr>
          <w:rFonts w:hint="eastAsia" w:ascii="仿宋_GB2312" w:hAnsi="仿宋_GB2312" w:eastAsia="仿宋_GB2312" w:cs="仿宋_GB2312"/>
          <w:b w:val="0"/>
          <w:bCs w:val="0"/>
          <w:spacing w:val="0"/>
          <w:sz w:val="32"/>
          <w:szCs w:val="32"/>
          <w:lang w:eastAsia="zh-CN"/>
        </w:rPr>
        <w:t>。</w:t>
      </w:r>
      <w:r>
        <w:rPr>
          <w:rFonts w:hint="eastAsia" w:ascii="仿宋_GB2312" w:hAnsi="仿宋_GB2312" w:eastAsia="仿宋_GB2312" w:cs="仿宋_GB2312"/>
          <w:b w:val="0"/>
          <w:bCs w:val="0"/>
          <w:color w:val="auto"/>
          <w:spacing w:val="0"/>
          <w:sz w:val="32"/>
          <w:szCs w:val="32"/>
          <w:lang w:val="en-US" w:eastAsia="zh-CN"/>
        </w:rPr>
        <w:t>实施泾源县胭脂峡景区、“泾源牛街”特色旅游街区改造提升工程，打造旅游特色街区。实施泾河北岸民宿度假村建设项目，推进大湾乡杨岭村“岭上之家”、六盘山镇刘沟村“百花溪谷”自驾营地项目，</w:t>
      </w:r>
      <w:r>
        <w:rPr>
          <w:rFonts w:hint="eastAsia" w:ascii="仿宋_GB2312" w:hAnsi="仿宋_GB2312" w:eastAsia="仿宋_GB2312" w:cs="仿宋_GB2312"/>
          <w:spacing w:val="0"/>
          <w:sz w:val="32"/>
          <w:szCs w:val="32"/>
          <w:lang w:eastAsia="zh-CN"/>
        </w:rPr>
        <w:t>借助“两晒一促”全方位开展宣传推介，不断</w:t>
      </w:r>
      <w:r>
        <w:rPr>
          <w:rFonts w:hint="eastAsia" w:ascii="仿宋_GB2312" w:hAnsi="仿宋_GB2312" w:eastAsia="仿宋_GB2312" w:cs="仿宋_GB2312"/>
          <w:b w:val="0"/>
          <w:bCs w:val="0"/>
          <w:color w:val="auto"/>
          <w:spacing w:val="0"/>
          <w:sz w:val="32"/>
          <w:szCs w:val="32"/>
          <w:lang w:val="en-US" w:eastAsia="zh-CN"/>
        </w:rPr>
        <w:t>优化旅游消费环境。加快培育电子商务产业，大力推广“龙头企业+合作社+农户+电商”模式，培育“泾源好礼”电商公共品牌，打造精品网货10款以上，培育网红主播20个以上，着力培育本土电商人才150人以上，实施农产品冷链保鲜贮藏建设项目，力争实现网络零售额2000万元以上。立足泾源冷凉、负氧离子含氧量高的生态禀赋和资源优势，依托泾源县荣获“天然氧吧”称号，打造避暑、护理、休假、疗养、旅游等康养模式，完成老年养护院项目建设。</w:t>
      </w:r>
      <w:r>
        <w:rPr>
          <w:rFonts w:hint="eastAsia" w:ascii="楷体_GB2312" w:hAnsi="楷体_GB2312" w:eastAsia="楷体_GB2312" w:cs="楷体_GB2312"/>
          <w:b/>
          <w:bCs/>
          <w:color w:val="000000"/>
          <w:spacing w:val="0"/>
          <w:sz w:val="32"/>
          <w:szCs w:val="32"/>
          <w:lang w:val="en-US" w:eastAsia="zh-CN"/>
        </w:rPr>
        <w:t xml:space="preserve"> </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45" w:type="dxa"/>
            <w:noWrap w:val="0"/>
            <w:vAlign w:val="top"/>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楷体" w:hAnsi="楷体" w:eastAsia="楷体" w:cs="楷体"/>
                <w:b/>
                <w:bCs/>
                <w:sz w:val="28"/>
                <w:szCs w:val="28"/>
                <w:vertAlign w:val="baseline"/>
              </w:rPr>
            </w:pPr>
            <w:r>
              <w:rPr>
                <w:rFonts w:hint="eastAsia" w:ascii="楷体" w:hAnsi="楷体" w:eastAsia="楷体" w:cs="楷体"/>
                <w:b w:val="0"/>
                <w:bCs w:val="0"/>
                <w:sz w:val="28"/>
                <w:szCs w:val="28"/>
                <w:lang w:eastAsia="zh-CN"/>
              </w:rPr>
              <w:t>专栏</w:t>
            </w:r>
            <w:r>
              <w:rPr>
                <w:rFonts w:hint="eastAsia" w:ascii="楷体" w:hAnsi="楷体" w:eastAsia="楷体" w:cs="楷体"/>
                <w:b w:val="0"/>
                <w:bCs w:val="0"/>
                <w:sz w:val="28"/>
                <w:szCs w:val="28"/>
                <w:lang w:val="en-US" w:eastAsia="zh-CN"/>
              </w:rPr>
              <w:t>1</w:t>
            </w:r>
            <w:r>
              <w:rPr>
                <w:rFonts w:hint="eastAsia" w:ascii="楷体" w:hAnsi="楷体" w:eastAsia="楷体" w:cs="楷体"/>
                <w:b w:val="0"/>
                <w:bCs w:val="0"/>
                <w:sz w:val="28"/>
                <w:szCs w:val="28"/>
                <w:lang w:eastAsia="zh-CN"/>
              </w:rPr>
              <w:t>产业发展类项目表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5" w:type="dxa"/>
            <w:noWrap w:val="0"/>
            <w:vAlign w:val="top"/>
          </w:tcPr>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b w:val="0"/>
                <w:bCs w:val="0"/>
                <w:sz w:val="28"/>
                <w:szCs w:val="28"/>
                <w:vertAlign w:val="baseline"/>
                <w:lang w:eastAsia="zh-CN"/>
              </w:rPr>
            </w:pPr>
            <w:r>
              <w:rPr>
                <w:rFonts w:hint="eastAsia" w:ascii="仿宋_GB2312" w:hAnsi="仿宋_GB2312" w:eastAsia="仿宋_GB2312" w:cs="仿宋_GB2312"/>
                <w:b w:val="0"/>
                <w:bCs w:val="0"/>
                <w:sz w:val="28"/>
                <w:szCs w:val="28"/>
                <w:vertAlign w:val="baseline"/>
                <w:lang w:val="en-US" w:eastAsia="zh-CN"/>
              </w:rPr>
              <w:t xml:space="preserve">    </w:t>
            </w:r>
            <w:r>
              <w:rPr>
                <w:rFonts w:hint="eastAsia" w:ascii="仿宋_GB2312" w:hAnsi="仿宋_GB2312" w:eastAsia="仿宋_GB2312" w:cs="仿宋_GB2312"/>
                <w:b w:val="0"/>
                <w:bCs w:val="0"/>
                <w:sz w:val="28"/>
                <w:szCs w:val="28"/>
                <w:vertAlign w:val="baseline"/>
                <w:lang w:eastAsia="zh-CN"/>
              </w:rPr>
              <w:t>农业上，实施泾源县肉牛产业现代化发展“出户入园+光伏”、肉牛产业核心群培育、中蜂养殖观光体验及“互联网+”建设、2023年食用菌种植推广、2023年优质高产高效玉米标准化规模化生产示范基地、冷凉露地蔬菜示范基地建设项目。</w:t>
            </w:r>
          </w:p>
          <w:p>
            <w:pPr>
              <w:keepNext w:val="0"/>
              <w:keepLines w:val="0"/>
              <w:pageBreakBefore w:val="0"/>
              <w:widowControl w:val="0"/>
              <w:kinsoku/>
              <w:wordWrap/>
              <w:overflowPunct/>
              <w:topLinePunct w:val="0"/>
              <w:autoSpaceDE/>
              <w:autoSpaceDN/>
              <w:bidi w:val="0"/>
              <w:adjustRightInd/>
              <w:snapToGrid/>
              <w:spacing w:line="480" w:lineRule="exact"/>
              <w:ind w:firstLine="560"/>
              <w:textAlignment w:val="auto"/>
              <w:rPr>
                <w:rFonts w:hint="eastAsia" w:ascii="仿宋_GB2312" w:hAnsi="仿宋_GB2312" w:eastAsia="仿宋_GB2312" w:cs="仿宋_GB2312"/>
                <w:b w:val="0"/>
                <w:bCs w:val="0"/>
                <w:sz w:val="28"/>
                <w:szCs w:val="28"/>
                <w:vertAlign w:val="baseline"/>
                <w:lang w:eastAsia="zh-CN"/>
              </w:rPr>
            </w:pPr>
            <w:r>
              <w:rPr>
                <w:rFonts w:hint="eastAsia" w:ascii="仿宋_GB2312" w:hAnsi="仿宋_GB2312" w:eastAsia="仿宋_GB2312" w:cs="仿宋_GB2312"/>
                <w:b w:val="0"/>
                <w:bCs w:val="0"/>
                <w:sz w:val="28"/>
                <w:szCs w:val="28"/>
                <w:vertAlign w:val="baseline"/>
                <w:lang w:eastAsia="zh-CN"/>
              </w:rPr>
              <w:t>工业上，实施中能建投绿塬变100MW/200MWh共享储能电站示范、绿源能变（二期）200MW/400MWh共享储能、中能建投绿塬变（二期）200MW/400MWh共享储能、泾源县中能建投40兆瓦风力发电、轻工产业园区纯净水及蜂蜜水生产销售、万吨降</w:t>
            </w:r>
            <w:bookmarkStart w:id="0" w:name="_GoBack"/>
            <w:bookmarkEnd w:id="0"/>
            <w:r>
              <w:rPr>
                <w:rFonts w:hint="eastAsia" w:ascii="仿宋_GB2312" w:hAnsi="仿宋_GB2312" w:eastAsia="仿宋_GB2312" w:cs="仿宋_GB2312"/>
                <w:b w:val="0"/>
                <w:bCs w:val="0"/>
                <w:sz w:val="28"/>
                <w:szCs w:val="28"/>
                <w:vertAlign w:val="baseline"/>
                <w:lang w:eastAsia="zh-CN"/>
              </w:rPr>
              <w:t>解膜生产线、山泉水生产销售项目、服装箱包提质增效项目。</w:t>
            </w:r>
          </w:p>
          <w:p>
            <w:pPr>
              <w:keepNext w:val="0"/>
              <w:keepLines w:val="0"/>
              <w:pageBreakBefore w:val="0"/>
              <w:widowControl w:val="0"/>
              <w:kinsoku/>
              <w:wordWrap/>
              <w:overflowPunct/>
              <w:topLinePunct w:val="0"/>
              <w:autoSpaceDE/>
              <w:autoSpaceDN/>
              <w:bidi w:val="0"/>
              <w:adjustRightInd/>
              <w:snapToGrid/>
              <w:spacing w:line="480" w:lineRule="exact"/>
              <w:ind w:firstLine="560"/>
              <w:textAlignment w:val="auto"/>
              <w:rPr>
                <w:rFonts w:hint="eastAsia" w:ascii="楷体" w:hAnsi="楷体" w:eastAsia="楷体" w:cs="楷体"/>
                <w:b/>
                <w:bCs/>
                <w:sz w:val="28"/>
                <w:szCs w:val="28"/>
                <w:vertAlign w:val="baseline"/>
                <w:lang w:eastAsia="zh-CN"/>
              </w:rPr>
            </w:pPr>
            <w:r>
              <w:rPr>
                <w:rFonts w:hint="eastAsia" w:ascii="仿宋_GB2312" w:hAnsi="仿宋_GB2312" w:eastAsia="仿宋_GB2312" w:cs="仿宋_GB2312"/>
                <w:b w:val="0"/>
                <w:bCs w:val="0"/>
                <w:sz w:val="28"/>
                <w:szCs w:val="28"/>
                <w:vertAlign w:val="baseline"/>
                <w:lang w:eastAsia="zh-CN"/>
              </w:rPr>
              <w:t>服务业上，实施泾源县胭脂峡景区提升、泾源县“泾源牛街”特色旅游街区改造提升、泾河北岸民宿度假村、现代农业国家级产业融合发展示范园、泾源县国家数字农业创新应用基地、农产品2023年冷链保鲜贮藏建设项目。</w:t>
            </w:r>
          </w:p>
        </w:tc>
      </w:tr>
    </w:tbl>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color w:val="00B0F0"/>
          <w:spacing w:val="0"/>
          <w:sz w:val="32"/>
          <w:szCs w:val="32"/>
          <w:lang w:val="en-US" w:eastAsia="zh-CN"/>
        </w:rPr>
      </w:pPr>
      <w:r>
        <w:rPr>
          <w:rFonts w:hint="eastAsia" w:ascii="楷体_GB2312" w:hAnsi="楷体_GB2312" w:eastAsia="楷体_GB2312" w:cs="楷体_GB2312"/>
          <w:b/>
          <w:bCs/>
          <w:color w:val="000000"/>
          <w:spacing w:val="0"/>
          <w:sz w:val="32"/>
          <w:szCs w:val="32"/>
          <w:lang w:val="en-US" w:eastAsia="zh-CN"/>
        </w:rPr>
        <w:t xml:space="preserve">    （三）紧盯投资消费，释放有效需求潜力。</w:t>
      </w:r>
      <w:r>
        <w:rPr>
          <w:rFonts w:hint="eastAsia" w:ascii="仿宋_GB2312" w:hAnsi="仿宋_GB2312" w:eastAsia="仿宋_GB2312" w:cs="仿宋_GB2312"/>
          <w:b/>
          <w:bCs/>
          <w:color w:val="auto"/>
          <w:spacing w:val="0"/>
          <w:sz w:val="32"/>
          <w:szCs w:val="32"/>
          <w:lang w:val="en-US" w:eastAsia="zh-CN"/>
        </w:rPr>
        <w:t>一是扩大政府投资效益。</w:t>
      </w:r>
      <w:r>
        <w:rPr>
          <w:rFonts w:hint="eastAsia" w:ascii="仿宋_GB2312" w:hAnsi="仿宋_GB2312" w:eastAsia="仿宋_GB2312" w:cs="仿宋_GB2312"/>
          <w:b w:val="0"/>
          <w:bCs w:val="0"/>
          <w:color w:val="auto"/>
          <w:spacing w:val="0"/>
          <w:sz w:val="32"/>
          <w:szCs w:val="32"/>
          <w:lang w:val="en-US" w:eastAsia="zh-CN"/>
        </w:rPr>
        <w:t>实施投资倍增计划，聚焦“争项目、争资金、争政策”，积极主动加强与上级厅局对接联系，千方百计“想、跑、争、找”，力争“双争”资金突破23亿元。落实7+N项目会商、“六个一”项目包抓制度，按照“周调度、月通报、季督查、年考核”的原则，全力推进56个重点项目进展，力争全年固定资产投资增长12%以上。</w:t>
      </w:r>
      <w:r>
        <w:rPr>
          <w:rFonts w:hint="eastAsia" w:ascii="仿宋_GB2312" w:hAnsi="仿宋_GB2312" w:eastAsia="仿宋_GB2312" w:cs="仿宋_GB2312"/>
          <w:b/>
          <w:bCs/>
          <w:color w:val="000000"/>
          <w:spacing w:val="0"/>
          <w:sz w:val="32"/>
          <w:szCs w:val="32"/>
          <w:lang w:val="en-US" w:eastAsia="zh-CN"/>
        </w:rPr>
        <w:t>二是挖掘民间投资潜力。</w:t>
      </w:r>
      <w:r>
        <w:rPr>
          <w:rFonts w:hint="eastAsia" w:ascii="仿宋_GB2312" w:hAnsi="仿宋_GB2312" w:eastAsia="仿宋_GB2312" w:cs="仿宋_GB2312"/>
          <w:b w:val="0"/>
          <w:bCs w:val="0"/>
          <w:color w:val="000000"/>
          <w:spacing w:val="0"/>
          <w:sz w:val="32"/>
          <w:szCs w:val="32"/>
          <w:lang w:val="en-US" w:eastAsia="zh-CN"/>
        </w:rPr>
        <w:t>实施项目投资大招商行动，发挥产业招商专班作用，重点围绕生态旅游、新能源、特色农产品精深加工等领域，保障项目用地、用能、用工等要素供给，想方设法引进一批投资大、效益好、市场前景广的产业项目落地泾源，切实提高民间投资的比重。2023年，力争招商引资落地项目资金增长10%以上。继续落实重点项目7+N会商制度，形成推动合力。</w:t>
      </w:r>
      <w:r>
        <w:rPr>
          <w:rFonts w:hint="eastAsia" w:ascii="仿宋_GB2312" w:hAnsi="仿宋_GB2312" w:eastAsia="仿宋_GB2312" w:cs="仿宋_GB2312"/>
          <w:b/>
          <w:bCs/>
          <w:color w:val="auto"/>
          <w:spacing w:val="0"/>
          <w:sz w:val="32"/>
          <w:szCs w:val="32"/>
          <w:lang w:val="en-US" w:eastAsia="zh-CN"/>
        </w:rPr>
        <w:t>三是激活社会消费活力。</w:t>
      </w:r>
      <w:r>
        <w:rPr>
          <w:rFonts w:hint="eastAsia" w:ascii="仿宋_GB2312" w:hAnsi="仿宋_GB2312" w:eastAsia="仿宋_GB2312" w:cs="仿宋_GB2312"/>
          <w:b w:val="0"/>
          <w:bCs w:val="0"/>
          <w:color w:val="auto"/>
          <w:spacing w:val="0"/>
          <w:sz w:val="32"/>
          <w:szCs w:val="32"/>
          <w:lang w:val="en-US" w:eastAsia="zh-CN"/>
        </w:rPr>
        <w:t>积极组织参与“消费促进月”美食节、物流节、电商直播季等系列消费惠民活动，持续释放消费潜力。以发展县级商业体系为契机，加大农村市场商业街区提升改造，完善商业网点和服务供给，有效释放农村消费市场潜力。围绕盈德商贸街区，培育“夜经济”“地摊经济”，推动夜间消费。引导各类经营主体发展线下实体和线上平台经济，搭建贯通全年的促销活动，实现“月月有活动，季季有特色，全年可持续”的消费氛围，有效刺激居民消费潜力释放。</w:t>
      </w:r>
    </w:p>
    <w:p>
      <w:pPr>
        <w:keepNext w:val="0"/>
        <w:keepLines w:val="0"/>
        <w:pageBreakBefore w:val="0"/>
        <w:widowControl w:val="0"/>
        <w:kinsoku/>
        <w:wordWrap/>
        <w:overflowPunct/>
        <w:topLinePunct w:val="0"/>
        <w:autoSpaceDE/>
        <w:autoSpaceDN/>
        <w:bidi w:val="0"/>
        <w:adjustRightInd/>
        <w:snapToGrid/>
        <w:spacing w:line="560" w:lineRule="exact"/>
        <w:ind w:firstLine="642"/>
        <w:textAlignment w:val="auto"/>
        <w:rPr>
          <w:rFonts w:hint="eastAsia" w:ascii="楷体_GB2312" w:hAnsi="楷体_GB2312" w:eastAsia="楷体_GB2312" w:cs="楷体_GB2312"/>
          <w:b/>
          <w:bCs/>
          <w:color w:val="000000"/>
          <w:spacing w:val="0"/>
          <w:sz w:val="32"/>
          <w:szCs w:val="32"/>
          <w:lang w:val="en-US" w:eastAsia="zh-CN"/>
        </w:rPr>
      </w:pPr>
      <w:r>
        <w:rPr>
          <w:rFonts w:hint="eastAsia" w:ascii="楷体_GB2312" w:hAnsi="楷体_GB2312" w:eastAsia="楷体_GB2312" w:cs="楷体_GB2312"/>
          <w:b/>
          <w:bCs/>
          <w:color w:val="auto"/>
          <w:spacing w:val="0"/>
          <w:sz w:val="32"/>
          <w:szCs w:val="32"/>
          <w:lang w:val="en-US" w:eastAsia="zh-CN"/>
        </w:rPr>
        <w:t>（四）紧盯乡村振兴，促进城乡融合发展。</w:t>
      </w:r>
      <w:r>
        <w:rPr>
          <w:rFonts w:hint="eastAsia" w:ascii="仿宋_GB2312" w:hAnsi="仿宋_GB2312" w:eastAsia="仿宋_GB2312" w:cs="仿宋_GB2312"/>
          <w:b/>
          <w:bCs/>
          <w:color w:val="auto"/>
          <w:spacing w:val="0"/>
          <w:sz w:val="32"/>
          <w:szCs w:val="32"/>
          <w:lang w:val="en-US" w:eastAsia="zh-CN"/>
        </w:rPr>
        <w:t>一是加快农村基础设施建设，推动乡村振兴工作迈出新步伐。</w:t>
      </w:r>
      <w:r>
        <w:rPr>
          <w:rFonts w:hint="eastAsia" w:ascii="仿宋_GB2312" w:hAnsi="仿宋_GB2312" w:eastAsia="仿宋_GB2312" w:cs="仿宋_GB2312"/>
          <w:b w:val="0"/>
          <w:bCs w:val="0"/>
          <w:color w:val="auto"/>
          <w:spacing w:val="0"/>
          <w:sz w:val="32"/>
          <w:szCs w:val="32"/>
          <w:lang w:val="en-US" w:eastAsia="zh-CN"/>
        </w:rPr>
        <w:t>实施高效节水灌溉工程，完成高效节水灌溉6000亩。实施冬季清洁取暖项目，完成集中供热节能改造50万平米、农村热源清洁化改造7000户，优化农村居住环境。实施泾源县传统村落保护项目，完成6个传统村落的传统民居、古树名木等规划保护。实施泾源县乡村振兴示范村污水治理、农村地质灾害治理项目，完成12个灾害隐患点的治理，提高农村污水处理能力，维护农村生产生活安全。实施农村供水补短板项目，提高城乡供水水源地保障能力。</w:t>
      </w:r>
      <w:r>
        <w:rPr>
          <w:rFonts w:hint="eastAsia" w:ascii="仿宋_GB2312" w:hAnsi="仿宋_GB2312" w:eastAsia="仿宋_GB2312" w:cs="仿宋_GB2312"/>
          <w:b/>
          <w:bCs/>
          <w:color w:val="auto"/>
          <w:spacing w:val="0"/>
          <w:sz w:val="32"/>
          <w:szCs w:val="32"/>
          <w:lang w:val="en-US" w:eastAsia="zh-CN"/>
        </w:rPr>
        <w:t>二是完善城区基础设施建设，推动城市宜居水平不断提升。</w:t>
      </w:r>
      <w:r>
        <w:rPr>
          <w:rFonts w:hint="eastAsia" w:ascii="仿宋_GB2312" w:hAnsi="仿宋_GB2312" w:eastAsia="仿宋_GB2312" w:cs="仿宋_GB2312"/>
          <w:b w:val="0"/>
          <w:bCs w:val="0"/>
          <w:color w:val="auto"/>
          <w:spacing w:val="0"/>
          <w:sz w:val="32"/>
          <w:szCs w:val="32"/>
          <w:lang w:val="en-US" w:eastAsia="zh-CN"/>
        </w:rPr>
        <w:t>实施城市基础设施补短板二期项目，完成泾河路以东、东平路以西道路路面、人行道等改造提升。实施城市更新建设项目，完成道路绿化76879平方米、公园绿化428117平方米。实施泾源县保障性安居工程配套供热管网建设项目，完成600套79119平方米住房集中供暖管网、换热站改造。积极争取泾源县卧龙山公共体育设施服务项目。力争落实泾源县荷花新城休闲民居商业开发、二中以西城镇商住、龙潭街原城区加油站片区商业开发、和平巷（原人行片区）3个商业开发项目，建设集娱乐、休闲民宿民居、旅居酒店等一体的商业综合体。</w:t>
      </w:r>
      <w:r>
        <w:rPr>
          <w:rFonts w:hint="eastAsia" w:ascii="仿宋_GB2312" w:hAnsi="仿宋_GB2312" w:eastAsia="仿宋_GB2312" w:cs="仿宋_GB2312"/>
          <w:b/>
          <w:bCs/>
          <w:color w:val="auto"/>
          <w:spacing w:val="0"/>
          <w:sz w:val="32"/>
          <w:szCs w:val="32"/>
          <w:lang w:val="en-US" w:eastAsia="zh-CN"/>
        </w:rPr>
        <w:t>三是加强生态环保建设，推动生态环境更趋优化。</w:t>
      </w:r>
      <w:r>
        <w:rPr>
          <w:rFonts w:hint="eastAsia" w:ascii="仿宋_GB2312" w:hAnsi="仿宋_GB2312" w:eastAsia="仿宋_GB2312" w:cs="仿宋_GB2312"/>
          <w:b w:val="0"/>
          <w:bCs w:val="0"/>
          <w:color w:val="auto"/>
          <w:spacing w:val="0"/>
          <w:sz w:val="32"/>
          <w:szCs w:val="32"/>
          <w:lang w:val="en-US" w:eastAsia="zh-CN"/>
        </w:rPr>
        <w:t>坚持绿水青山就是金山银山发展理论，实施宁夏南部生态保护修复与水土流失泾源县生态修复项目，完成人造林5.5万亩，林业基础设施防火通道150千米。实施泾源县2023年中幼林抚育项目，完成中幼苗抚育0.3万亩。实施泾源县历史遗留废弃矿山生态修复项目（三期），修复治理7处历史遗留废弃矿山。推进泾源县乡镇生活垃圾卫生填埋场提升改造工程，完成11个村生活垃圾卫生填埋场提升改造。实施泾源县污水处理厂提标改造二期工程及泾源县生活垃圾收集转运一体化项目，新建生化处理设施，提升垃圾日处理量。</w:t>
      </w:r>
      <w:r>
        <w:rPr>
          <w:rFonts w:hint="eastAsia" w:ascii="楷体_GB2312" w:hAnsi="楷体_GB2312" w:eastAsia="楷体_GB2312" w:cs="楷体_GB2312"/>
          <w:b/>
          <w:bCs/>
          <w:color w:val="000000"/>
          <w:spacing w:val="0"/>
          <w:sz w:val="32"/>
          <w:szCs w:val="32"/>
          <w:lang w:val="en-US" w:eastAsia="zh-CN"/>
        </w:rPr>
        <w:t xml:space="preserve"> </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5"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 w:hAnsi="楷体" w:eastAsia="楷体" w:cs="楷体"/>
                <w:b/>
                <w:bCs/>
                <w:color w:val="auto"/>
                <w:sz w:val="28"/>
                <w:szCs w:val="28"/>
                <w:vertAlign w:val="baseline"/>
              </w:rPr>
            </w:pPr>
            <w:r>
              <w:rPr>
                <w:rFonts w:hint="eastAsia" w:ascii="楷体" w:hAnsi="楷体" w:eastAsia="楷体" w:cs="楷体"/>
                <w:b w:val="0"/>
                <w:bCs w:val="0"/>
                <w:color w:val="auto"/>
                <w:sz w:val="28"/>
                <w:szCs w:val="28"/>
                <w:lang w:eastAsia="zh-CN"/>
              </w:rPr>
              <w:t>专栏</w:t>
            </w:r>
            <w:r>
              <w:rPr>
                <w:rFonts w:hint="eastAsia" w:ascii="楷体" w:hAnsi="楷体" w:eastAsia="楷体" w:cs="楷体"/>
                <w:b w:val="0"/>
                <w:bCs w:val="0"/>
                <w:color w:val="auto"/>
                <w:sz w:val="28"/>
                <w:szCs w:val="28"/>
                <w:lang w:val="en-US" w:eastAsia="zh-CN"/>
              </w:rPr>
              <w:t>2</w:t>
            </w:r>
            <w:r>
              <w:rPr>
                <w:rFonts w:hint="eastAsia" w:ascii="楷体" w:hAnsi="楷体" w:eastAsia="楷体" w:cs="楷体"/>
                <w:b w:val="0"/>
                <w:bCs w:val="0"/>
                <w:color w:val="auto"/>
                <w:sz w:val="28"/>
                <w:szCs w:val="28"/>
                <w:lang w:eastAsia="zh-CN"/>
              </w:rPr>
              <w:t>城乡建设、生态环保类项目表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5" w:type="dxa"/>
            <w:noWrap w:val="0"/>
            <w:vAlign w:val="top"/>
          </w:tcPr>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b w:val="0"/>
                <w:bCs w:val="0"/>
                <w:color w:val="auto"/>
                <w:sz w:val="28"/>
                <w:szCs w:val="28"/>
                <w:vertAlign w:val="baseline"/>
                <w:lang w:eastAsia="zh-CN"/>
              </w:rPr>
            </w:pPr>
            <w:r>
              <w:rPr>
                <w:rFonts w:hint="eastAsia" w:ascii="仿宋_GB2312" w:hAnsi="仿宋_GB2312" w:eastAsia="仿宋_GB2312" w:cs="仿宋_GB2312"/>
                <w:b w:val="0"/>
                <w:bCs w:val="0"/>
                <w:color w:val="auto"/>
                <w:sz w:val="28"/>
                <w:szCs w:val="28"/>
                <w:vertAlign w:val="baseline"/>
                <w:lang w:val="en-US" w:eastAsia="zh-CN"/>
              </w:rPr>
              <w:t xml:space="preserve">    </w:t>
            </w:r>
            <w:r>
              <w:rPr>
                <w:rFonts w:hint="eastAsia" w:ascii="仿宋_GB2312" w:hAnsi="仿宋_GB2312" w:eastAsia="仿宋_GB2312" w:cs="仿宋_GB2312"/>
                <w:b w:val="0"/>
                <w:bCs w:val="0"/>
                <w:color w:val="auto"/>
                <w:sz w:val="28"/>
                <w:szCs w:val="28"/>
                <w:vertAlign w:val="baseline"/>
                <w:lang w:eastAsia="zh-CN"/>
              </w:rPr>
              <w:t>完成泾源县高标准农田建设、泾源县高效节水灌溉及泾源县冬季清洁取暖项目，落实泾源县传统村落保护项目及泾源县乡村振兴示范村污水治理项目，推进泾源县2023年农村地质灾害治理项目。</w:t>
            </w:r>
          </w:p>
          <w:p>
            <w:pPr>
              <w:keepNext w:val="0"/>
              <w:keepLines w:val="0"/>
              <w:pageBreakBefore w:val="0"/>
              <w:widowControl w:val="0"/>
              <w:kinsoku/>
              <w:wordWrap/>
              <w:overflowPunct/>
              <w:topLinePunct w:val="0"/>
              <w:autoSpaceDE/>
              <w:autoSpaceDN/>
              <w:bidi w:val="0"/>
              <w:adjustRightInd/>
              <w:snapToGrid/>
              <w:spacing w:line="480" w:lineRule="exact"/>
              <w:ind w:firstLine="560"/>
              <w:textAlignment w:val="auto"/>
              <w:rPr>
                <w:rFonts w:hint="eastAsia" w:ascii="仿宋_GB2312" w:hAnsi="仿宋_GB2312" w:eastAsia="仿宋_GB2312" w:cs="仿宋_GB2312"/>
                <w:b w:val="0"/>
                <w:bCs w:val="0"/>
                <w:color w:val="auto"/>
                <w:sz w:val="28"/>
                <w:szCs w:val="28"/>
                <w:vertAlign w:val="baseline"/>
                <w:lang w:eastAsia="zh-CN"/>
              </w:rPr>
            </w:pPr>
            <w:r>
              <w:rPr>
                <w:rFonts w:hint="eastAsia" w:ascii="仿宋_GB2312" w:hAnsi="仿宋_GB2312" w:eastAsia="仿宋_GB2312" w:cs="仿宋_GB2312"/>
                <w:b w:val="0"/>
                <w:bCs w:val="0"/>
                <w:color w:val="auto"/>
                <w:sz w:val="28"/>
                <w:szCs w:val="28"/>
                <w:vertAlign w:val="baseline"/>
                <w:lang w:eastAsia="zh-CN"/>
              </w:rPr>
              <w:t>加快推进泾源县城市基础设施补短板二期、泾源县城市更新（绿化提升）、</w:t>
            </w:r>
            <w:r>
              <w:rPr>
                <w:rFonts w:hint="eastAsia" w:ascii="仿宋_GB2312" w:hAnsi="仿宋_GB2312" w:eastAsia="仿宋_GB2312" w:cs="仿宋_GB2312"/>
                <w:b w:val="0"/>
                <w:bCs w:val="0"/>
                <w:color w:val="auto"/>
                <w:sz w:val="28"/>
                <w:szCs w:val="28"/>
                <w:vertAlign w:val="baseline"/>
                <w:lang w:val="en-US" w:eastAsia="zh-CN"/>
              </w:rPr>
              <w:t>泾源县卧龙山公共体育设施服务项目</w:t>
            </w:r>
            <w:r>
              <w:rPr>
                <w:rFonts w:hint="eastAsia" w:ascii="仿宋_GB2312" w:hAnsi="仿宋_GB2312" w:eastAsia="仿宋_GB2312" w:cs="仿宋_GB2312"/>
                <w:b w:val="0"/>
                <w:bCs w:val="0"/>
                <w:color w:val="auto"/>
                <w:sz w:val="28"/>
                <w:szCs w:val="28"/>
                <w:vertAlign w:val="baseline"/>
                <w:lang w:eastAsia="zh-CN"/>
              </w:rPr>
              <w:t>及泾源县保障性安居工程配套供热管网建设项目，全力推动泾源县荷花新城休闲民居商业开发、泾源县龙潭街原城区加油站片区商业开发、</w:t>
            </w:r>
            <w:r>
              <w:rPr>
                <w:rFonts w:hint="eastAsia" w:ascii="仿宋_GB2312" w:hAnsi="仿宋_GB2312" w:eastAsia="仿宋_GB2312" w:cs="仿宋_GB2312"/>
                <w:b w:val="0"/>
                <w:bCs w:val="0"/>
                <w:color w:val="auto"/>
                <w:sz w:val="28"/>
                <w:szCs w:val="28"/>
                <w:vertAlign w:val="baseline"/>
                <w:lang w:val="en-US" w:eastAsia="zh-CN"/>
              </w:rPr>
              <w:t>二中以西城镇商住、</w:t>
            </w:r>
            <w:r>
              <w:rPr>
                <w:rFonts w:hint="eastAsia" w:ascii="仿宋_GB2312" w:hAnsi="仿宋_GB2312" w:eastAsia="仿宋_GB2312" w:cs="仿宋_GB2312"/>
                <w:b w:val="0"/>
                <w:bCs w:val="0"/>
                <w:color w:val="auto"/>
                <w:sz w:val="28"/>
                <w:szCs w:val="28"/>
                <w:vertAlign w:val="baseline"/>
                <w:lang w:eastAsia="zh-CN"/>
              </w:rPr>
              <w:t>泾源县和平巷（原人行片区）商业开发及泾源县陕果天府源邸建设项目。</w:t>
            </w:r>
          </w:p>
          <w:p>
            <w:pPr>
              <w:keepNext w:val="0"/>
              <w:keepLines w:val="0"/>
              <w:pageBreakBefore w:val="0"/>
              <w:widowControl w:val="0"/>
              <w:kinsoku/>
              <w:wordWrap/>
              <w:overflowPunct/>
              <w:topLinePunct w:val="0"/>
              <w:autoSpaceDE/>
              <w:autoSpaceDN/>
              <w:bidi w:val="0"/>
              <w:adjustRightInd/>
              <w:snapToGrid/>
              <w:spacing w:line="480" w:lineRule="exact"/>
              <w:ind w:firstLine="560"/>
              <w:textAlignment w:val="auto"/>
              <w:rPr>
                <w:rFonts w:hint="eastAsia" w:ascii="楷体" w:hAnsi="楷体" w:eastAsia="楷体" w:cs="楷体"/>
                <w:b/>
                <w:bCs/>
                <w:color w:val="auto"/>
                <w:sz w:val="28"/>
                <w:szCs w:val="28"/>
                <w:vertAlign w:val="baseline"/>
                <w:lang w:eastAsia="zh-CN"/>
              </w:rPr>
            </w:pPr>
            <w:r>
              <w:rPr>
                <w:rFonts w:hint="eastAsia" w:ascii="仿宋_GB2312" w:hAnsi="仿宋_GB2312" w:eastAsia="仿宋_GB2312" w:cs="仿宋_GB2312"/>
                <w:b w:val="0"/>
                <w:bCs w:val="0"/>
                <w:color w:val="auto"/>
                <w:sz w:val="28"/>
                <w:szCs w:val="28"/>
                <w:vertAlign w:val="baseline"/>
                <w:lang w:eastAsia="zh-CN"/>
              </w:rPr>
              <w:t>完成宁夏南部生态保护修复与水土流失综合治理二期、泾源县生态保护与修复、泾源县2023年中幼林抚育项目，实施泾源县碳汇林建设、泾源县历史遗留废弃矿山生态修复项目（三期）及泾源县策底河水生态修复工程，推进泾源县乡镇生活垃圾卫生填埋场提升改造及封场工程、泾源县污水处理厂提标改造二期工程及泾源县生活垃圾收集转运一体化项目。</w:t>
            </w:r>
          </w:p>
        </w:tc>
      </w:tr>
    </w:tbl>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color w:val="00B0F0"/>
          <w:spacing w:val="0"/>
          <w:sz w:val="32"/>
          <w:szCs w:val="32"/>
          <w:lang w:val="en-US" w:eastAsia="zh-CN"/>
        </w:rPr>
      </w:pPr>
      <w:r>
        <w:rPr>
          <w:rFonts w:hint="eastAsia" w:ascii="楷体_GB2312" w:hAnsi="楷体_GB2312" w:eastAsia="楷体_GB2312" w:cs="楷体_GB2312"/>
          <w:b/>
          <w:bCs/>
          <w:color w:val="000000"/>
          <w:spacing w:val="0"/>
          <w:sz w:val="32"/>
          <w:szCs w:val="32"/>
          <w:lang w:val="en-US" w:eastAsia="zh-CN"/>
        </w:rPr>
        <w:t xml:space="preserve">    （五）紧盯改革创新，增强发展动力活力。</w:t>
      </w:r>
      <w:r>
        <w:rPr>
          <w:rFonts w:hint="eastAsia" w:ascii="仿宋_GB2312" w:hAnsi="仿宋_GB2312" w:eastAsia="仿宋_GB2312" w:cs="仿宋_GB2312"/>
          <w:color w:val="000000"/>
          <w:spacing w:val="0"/>
          <w:sz w:val="32"/>
          <w:szCs w:val="32"/>
          <w:lang w:eastAsia="zh-CN"/>
        </w:rPr>
        <w:t>坚持把解决当前问题与推动长远发展结合起来，以改革创新倒逼发展方式转变</w:t>
      </w:r>
      <w:r>
        <w:rPr>
          <w:rFonts w:hint="eastAsia" w:ascii="仿宋_GB2312" w:hAnsi="仿宋_GB2312" w:eastAsia="仿宋_GB2312" w:cs="仿宋_GB2312"/>
          <w:color w:val="auto"/>
          <w:spacing w:val="0"/>
          <w:sz w:val="32"/>
          <w:szCs w:val="32"/>
          <w:lang w:eastAsia="zh-CN"/>
        </w:rPr>
        <w:t>。</w:t>
      </w:r>
      <w:r>
        <w:rPr>
          <w:rFonts w:hint="eastAsia" w:ascii="仿宋_GB2312" w:hAnsi="仿宋_GB2312" w:eastAsia="仿宋_GB2312" w:cs="仿宋_GB2312"/>
          <w:b/>
          <w:bCs/>
          <w:color w:val="auto"/>
          <w:spacing w:val="0"/>
          <w:sz w:val="32"/>
          <w:szCs w:val="32"/>
          <w:lang w:eastAsia="zh-CN"/>
        </w:rPr>
        <w:t>推进重点领域改革。</w:t>
      </w:r>
      <w:r>
        <w:rPr>
          <w:rFonts w:hint="eastAsia" w:ascii="仿宋_GB2312" w:hAnsi="仿宋_GB2312" w:eastAsia="仿宋_GB2312" w:cs="仿宋_GB2312"/>
          <w:color w:val="auto"/>
          <w:spacing w:val="0"/>
          <w:sz w:val="32"/>
          <w:szCs w:val="32"/>
          <w:lang w:eastAsia="zh-CN"/>
        </w:rPr>
        <w:t>持续深化重点领域和关键环节改革，动态调整落实政府权责清单制度，深化拓展</w:t>
      </w:r>
      <w:r>
        <w:rPr>
          <w:rFonts w:hint="eastAsia" w:ascii="仿宋_GB2312" w:hAnsi="仿宋_GB2312" w:eastAsia="仿宋_GB2312" w:cs="仿宋_GB2312"/>
          <w:color w:val="auto"/>
          <w:spacing w:val="0"/>
          <w:sz w:val="32"/>
          <w:szCs w:val="32"/>
          <w:lang w:val="en-US" w:eastAsia="zh-CN"/>
        </w:rPr>
        <w:t>“163”政务服务一体化。</w:t>
      </w:r>
      <w:r>
        <w:rPr>
          <w:rFonts w:hint="eastAsia" w:ascii="仿宋_GB2312" w:hAnsi="仿宋_GB2312" w:eastAsia="仿宋_GB2312" w:cs="仿宋_GB2312"/>
          <w:color w:val="auto"/>
          <w:spacing w:val="0"/>
          <w:sz w:val="32"/>
          <w:szCs w:val="32"/>
          <w:lang w:eastAsia="zh-CN"/>
        </w:rPr>
        <w:t>深化国资国企改革，健全管资本为主的国有资产监管体制。推进财税金融、社会事业等重点改革，持续释放动力活力。深入推进“六权”改革，加大社会主体引进力度，打造吸引社会资本参与生态保护修复实践样板，争做宁夏碳汇交易试点县，增强发展动能。</w:t>
      </w:r>
      <w:r>
        <w:rPr>
          <w:rFonts w:hint="eastAsia" w:ascii="仿宋_GB2312" w:hAnsi="仿宋_GB2312" w:eastAsia="仿宋_GB2312" w:cs="仿宋_GB2312"/>
          <w:b/>
          <w:bCs/>
          <w:color w:val="auto"/>
          <w:spacing w:val="0"/>
          <w:sz w:val="32"/>
          <w:szCs w:val="32"/>
          <w:lang w:val="en-US" w:eastAsia="zh-CN"/>
        </w:rPr>
        <w:t>厚植科技创新力量。</w:t>
      </w:r>
      <w:r>
        <w:rPr>
          <w:rFonts w:hint="eastAsia" w:ascii="仿宋_GB2312" w:hAnsi="仿宋_GB2312" w:eastAsia="仿宋_GB2312" w:cs="仿宋_GB2312"/>
          <w:b w:val="0"/>
          <w:bCs w:val="0"/>
          <w:color w:val="auto"/>
          <w:spacing w:val="0"/>
          <w:sz w:val="32"/>
          <w:szCs w:val="32"/>
          <w:lang w:val="en-US" w:eastAsia="zh-CN"/>
        </w:rPr>
        <w:t>落实研发费用稳步增长机制，引导各类企业加大研发投入，推动科技型专精特新“小巨人”企业成长壮大。围绕林下生态经济、肉牛和中蜂产业高值化，强化核心技术研发，力促特色产业转型升级。加大先进科技成果的转化应用项目申报力度，为企业发展争取专项资金支持。通过科技金融专项支持，培育一批科技领军人才与科技创新团队。深化闽宁科技合作与院校、科研机构科技合作，柔性引进高端人才，带动县内技术创新中心和产业研究院提升科研水平和成果转化能力。</w:t>
      </w:r>
      <w:r>
        <w:rPr>
          <w:rFonts w:hint="eastAsia" w:ascii="仿宋_GB2312" w:hAnsi="仿宋_GB2312" w:eastAsia="仿宋_GB2312" w:cs="仿宋_GB2312"/>
          <w:b/>
          <w:bCs/>
          <w:color w:val="auto"/>
          <w:spacing w:val="0"/>
          <w:sz w:val="32"/>
          <w:szCs w:val="32"/>
          <w:lang w:val="en-US" w:eastAsia="zh-CN"/>
        </w:rPr>
        <w:t>持续优化营商环境。</w:t>
      </w:r>
      <w:r>
        <w:rPr>
          <w:rFonts w:hint="eastAsia" w:ascii="仿宋_GB2312" w:hAnsi="仿宋_GB2312" w:eastAsia="仿宋_GB2312" w:cs="仿宋_GB2312"/>
          <w:b w:val="0"/>
          <w:bCs w:val="0"/>
          <w:color w:val="auto"/>
          <w:spacing w:val="0"/>
          <w:sz w:val="32"/>
          <w:szCs w:val="32"/>
          <w:lang w:val="en-US" w:eastAsia="zh-CN"/>
        </w:rPr>
        <w:t>围绕务实、高效、便民、快捷的一站式服务宗旨，创新监管方式，提高监管的科技化、信息化水平。对标国家、区市减轻企业负担、促进中小企业发展等若干政策，全面落实减税降费政策，坚持“非禁即入”，保障各类市场主体依法依规平等进入负面清单以外的行业、领域和业务</w:t>
      </w:r>
      <w:r>
        <w:rPr>
          <w:rFonts w:hint="default" w:ascii="仿宋_GB2312" w:hAnsi="仿宋_GB2312" w:eastAsia="仿宋_GB2312" w:cs="仿宋_GB2312"/>
          <w:b w:val="0"/>
          <w:bCs w:val="0"/>
          <w:color w:val="auto"/>
          <w:spacing w:val="0"/>
          <w:sz w:val="32"/>
          <w:szCs w:val="32"/>
          <w:lang w:val="en" w:eastAsia="zh-CN"/>
        </w:rPr>
        <w:t>,</w:t>
      </w:r>
      <w:r>
        <w:rPr>
          <w:rFonts w:hint="eastAsia" w:ascii="仿宋_GB2312" w:hAnsi="仿宋_GB2312" w:eastAsia="仿宋_GB2312" w:cs="仿宋_GB2312"/>
          <w:b w:val="0"/>
          <w:bCs w:val="0"/>
          <w:color w:val="auto"/>
          <w:spacing w:val="0"/>
          <w:sz w:val="32"/>
          <w:szCs w:val="32"/>
          <w:lang w:val="en-US" w:eastAsia="zh-CN"/>
        </w:rPr>
        <w:t>设立中小微企业发展基金加大转贷纾困力度，降低企业经营成本。完善行业信用信息系统，推进信用信息互联互通，加强跨部门联动响应，构建“一处违法、处处受限”的联合惩戒机制。</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楷体_GB2312" w:hAnsi="楷体_GB2312" w:eastAsia="楷体_GB2312" w:cs="楷体_GB2312"/>
          <w:b/>
          <w:bCs/>
          <w:color w:val="auto"/>
          <w:spacing w:val="0"/>
          <w:sz w:val="32"/>
          <w:szCs w:val="32"/>
          <w:lang w:val="en-US" w:eastAsia="zh-CN"/>
        </w:rPr>
      </w:pPr>
      <w:r>
        <w:rPr>
          <w:rFonts w:hint="eastAsia" w:ascii="楷体_GB2312" w:hAnsi="楷体_GB2312" w:eastAsia="楷体_GB2312" w:cs="楷体_GB2312"/>
          <w:b/>
          <w:bCs/>
          <w:color w:val="000000"/>
          <w:spacing w:val="0"/>
          <w:sz w:val="32"/>
          <w:szCs w:val="32"/>
          <w:lang w:val="en-US" w:eastAsia="zh-CN"/>
        </w:rPr>
        <w:t xml:space="preserve">   </w:t>
      </w:r>
      <w:r>
        <w:rPr>
          <w:rFonts w:hint="eastAsia" w:ascii="楷体_GB2312" w:hAnsi="楷体_GB2312" w:eastAsia="楷体_GB2312" w:cs="楷体_GB2312"/>
          <w:b/>
          <w:bCs/>
          <w:color w:val="FF0000"/>
          <w:spacing w:val="0"/>
          <w:sz w:val="32"/>
          <w:szCs w:val="32"/>
          <w:lang w:val="en-US" w:eastAsia="zh-CN"/>
        </w:rPr>
        <w:t xml:space="preserve"> </w:t>
      </w:r>
      <w:r>
        <w:rPr>
          <w:rFonts w:hint="eastAsia" w:ascii="楷体_GB2312" w:hAnsi="楷体_GB2312" w:eastAsia="楷体_GB2312" w:cs="楷体_GB2312"/>
          <w:b/>
          <w:bCs/>
          <w:color w:val="auto"/>
          <w:spacing w:val="0"/>
          <w:sz w:val="32"/>
          <w:szCs w:val="32"/>
          <w:lang w:val="en-US" w:eastAsia="zh-CN"/>
        </w:rPr>
        <w:t>（六）紧盯民生保障，提高人民幸福指数。</w:t>
      </w:r>
      <w:r>
        <w:rPr>
          <w:rFonts w:hint="eastAsia" w:ascii="仿宋_GB2312" w:hAnsi="仿宋_GB2312" w:eastAsia="仿宋_GB2312" w:cs="仿宋_GB2312"/>
          <w:color w:val="auto"/>
          <w:spacing w:val="0"/>
          <w:sz w:val="32"/>
          <w:szCs w:val="32"/>
        </w:rPr>
        <w:t>坚持把落实“</w:t>
      </w:r>
      <w:r>
        <w:rPr>
          <w:rFonts w:hint="eastAsia" w:ascii="仿宋_GB2312" w:hAnsi="仿宋_GB2312" w:eastAsia="仿宋_GB2312" w:cs="仿宋_GB2312"/>
          <w:color w:val="auto"/>
          <w:spacing w:val="0"/>
          <w:sz w:val="32"/>
          <w:szCs w:val="32"/>
          <w:lang w:eastAsia="zh-CN"/>
        </w:rPr>
        <w:t>六</w:t>
      </w:r>
      <w:r>
        <w:rPr>
          <w:rFonts w:hint="eastAsia" w:ascii="仿宋_GB2312" w:hAnsi="仿宋_GB2312" w:eastAsia="仿宋_GB2312" w:cs="仿宋_GB2312"/>
          <w:color w:val="auto"/>
          <w:spacing w:val="0"/>
          <w:sz w:val="32"/>
          <w:szCs w:val="32"/>
        </w:rPr>
        <w:t>大提升行动”作为巩固脱贫成果、推进乡村振兴、保障改善民生的重要抓手</w:t>
      </w:r>
      <w:r>
        <w:rPr>
          <w:rFonts w:hint="eastAsia" w:ascii="仿宋_GB2312" w:hAnsi="仿宋_GB2312" w:eastAsia="仿宋_GB2312" w:cs="仿宋_GB2312"/>
          <w:color w:val="auto"/>
          <w:spacing w:val="0"/>
          <w:sz w:val="32"/>
          <w:szCs w:val="32"/>
          <w:lang w:eastAsia="zh-CN"/>
        </w:rPr>
        <w:t>，全力推动各项社会事业发展。</w:t>
      </w:r>
      <w:r>
        <w:rPr>
          <w:rFonts w:hint="eastAsia" w:ascii="仿宋_GB2312" w:hAnsi="仿宋_GB2312" w:eastAsia="仿宋_GB2312" w:cs="仿宋_GB2312"/>
          <w:b/>
          <w:bCs/>
          <w:color w:val="auto"/>
          <w:spacing w:val="0"/>
          <w:sz w:val="32"/>
          <w:szCs w:val="32"/>
          <w:lang w:eastAsia="zh-CN"/>
        </w:rPr>
        <w:t>一是提高稳定就业水平。</w:t>
      </w:r>
      <w:r>
        <w:rPr>
          <w:rFonts w:hint="eastAsia" w:ascii="仿宋_GB2312" w:hAnsi="仿宋_GB2312" w:eastAsia="仿宋_GB2312" w:cs="仿宋_GB2312"/>
          <w:color w:val="auto"/>
          <w:spacing w:val="0"/>
          <w:sz w:val="32"/>
          <w:szCs w:val="32"/>
          <w:lang w:eastAsia="zh-CN"/>
        </w:rPr>
        <w:t>落实减负稳岗扩就业政策，深化城乡居民收入提升行动，健全常态化就业供需对接服务协调机制，做好高校毕业生、退役军人、农民工、城镇困难人员、防返贫监测对象等重点群体就业。扎实开展职业技能培训，</w:t>
      </w:r>
      <w:r>
        <w:rPr>
          <w:rFonts w:hint="eastAsia" w:ascii="仿宋_GB2312" w:hAnsi="仿宋_GB2312" w:eastAsia="仿宋_GB2312" w:cs="仿宋_GB2312"/>
          <w:color w:val="auto"/>
          <w:spacing w:val="0"/>
          <w:sz w:val="32"/>
          <w:szCs w:val="32"/>
          <w:lang w:val="en-US" w:eastAsia="zh-CN"/>
        </w:rPr>
        <w:t>实现城镇新增就业500人，农村劳动力转移就业2.2万人。</w:t>
      </w:r>
      <w:r>
        <w:rPr>
          <w:rFonts w:hint="eastAsia" w:ascii="仿宋_GB2312" w:hAnsi="仿宋_GB2312" w:eastAsia="仿宋_GB2312" w:cs="仿宋_GB2312"/>
          <w:b/>
          <w:bCs/>
          <w:color w:val="auto"/>
          <w:spacing w:val="0"/>
          <w:sz w:val="32"/>
          <w:szCs w:val="32"/>
          <w:lang w:eastAsia="zh-CN"/>
        </w:rPr>
        <w:t>二是提高社会保障水平。</w:t>
      </w:r>
      <w:r>
        <w:rPr>
          <w:rFonts w:hint="eastAsia" w:ascii="仿宋_GB2312" w:hAnsi="仿宋_GB2312" w:eastAsia="仿宋_GB2312" w:cs="仿宋_GB2312"/>
          <w:b w:val="0"/>
          <w:bCs w:val="0"/>
          <w:color w:val="auto"/>
          <w:spacing w:val="0"/>
          <w:sz w:val="32"/>
          <w:szCs w:val="32"/>
          <w:lang w:eastAsia="zh-CN"/>
        </w:rPr>
        <w:t>落实基本养老保险待遇确定和基础养老金正常调整机制。实施全民参保计划，健全重大疾病医疗保险和救助制度，推动基本医疗保险、失业保险、工伤保险统筹和异地就医直接结算。实施低收入人口动态监测，完善社会救助、社会福利、优抚安置等制度。</w:t>
      </w:r>
      <w:r>
        <w:rPr>
          <w:rFonts w:hint="eastAsia" w:ascii="仿宋_GB2312" w:hAnsi="仿宋_GB2312" w:eastAsia="仿宋_GB2312" w:cs="仿宋_GB2312"/>
          <w:b/>
          <w:bCs/>
          <w:color w:val="auto"/>
          <w:spacing w:val="0"/>
          <w:sz w:val="32"/>
          <w:szCs w:val="32"/>
          <w:lang w:eastAsia="zh-CN"/>
        </w:rPr>
        <w:t>三是提升公共服务水平。</w:t>
      </w:r>
      <w:r>
        <w:rPr>
          <w:rFonts w:hint="eastAsia" w:ascii="仿宋_GB2312" w:hAnsi="仿宋_GB2312" w:eastAsia="仿宋_GB2312" w:cs="仿宋_GB2312"/>
          <w:color w:val="auto"/>
          <w:spacing w:val="0"/>
          <w:sz w:val="32"/>
          <w:szCs w:val="32"/>
          <w:lang w:eastAsia="zh-CN"/>
        </w:rPr>
        <w:t>加快泾源县老年养护院建设项目，支持社会力量发展养老托育服务。巩固“双减”成果，实施泾源县第五幼儿园、香水镇城关第二小学学生宿舍楼、第二中学建设项目、2023年改善普通高中学校办学条件建设项目</w:t>
      </w:r>
      <w:r>
        <w:rPr>
          <w:rFonts w:hint="eastAsia" w:ascii="仿宋_GB2312" w:hAnsi="仿宋_GB2312" w:eastAsia="仿宋_GB2312" w:cs="仿宋_GB2312"/>
          <w:color w:val="auto"/>
          <w:spacing w:val="0"/>
          <w:sz w:val="32"/>
          <w:szCs w:val="32"/>
          <w:lang w:val="en-US" w:eastAsia="zh-CN"/>
        </w:rPr>
        <w:t>，不断优化教育资源供给和布局。加快泾源县人民医院急救救治能力提升项目，实施泾源县体育场改造提升及健身场地补短板项目。</w:t>
      </w:r>
      <w:r>
        <w:rPr>
          <w:rFonts w:hint="eastAsia" w:ascii="楷体_GB2312" w:hAnsi="楷体_GB2312" w:eastAsia="楷体_GB2312" w:cs="楷体_GB2312"/>
          <w:b/>
          <w:bCs/>
          <w:color w:val="auto"/>
          <w:spacing w:val="0"/>
          <w:sz w:val="32"/>
          <w:szCs w:val="32"/>
          <w:lang w:val="en-US" w:eastAsia="zh-CN"/>
        </w:rPr>
        <w:t xml:space="preserve">  </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5"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 w:hAnsi="楷体" w:eastAsia="楷体" w:cs="楷体"/>
                <w:b/>
                <w:bCs/>
                <w:color w:val="auto"/>
                <w:sz w:val="28"/>
                <w:szCs w:val="28"/>
                <w:vertAlign w:val="baseline"/>
              </w:rPr>
            </w:pPr>
            <w:r>
              <w:rPr>
                <w:rFonts w:hint="eastAsia" w:ascii="楷体" w:hAnsi="楷体" w:eastAsia="楷体" w:cs="楷体"/>
                <w:b w:val="0"/>
                <w:bCs w:val="0"/>
                <w:color w:val="auto"/>
                <w:sz w:val="28"/>
                <w:szCs w:val="28"/>
                <w:lang w:eastAsia="zh-CN"/>
              </w:rPr>
              <w:t>专栏</w:t>
            </w:r>
            <w:r>
              <w:rPr>
                <w:rFonts w:hint="eastAsia" w:ascii="楷体" w:hAnsi="楷体" w:eastAsia="楷体" w:cs="楷体"/>
                <w:b w:val="0"/>
                <w:bCs w:val="0"/>
                <w:color w:val="auto"/>
                <w:sz w:val="28"/>
                <w:szCs w:val="28"/>
                <w:lang w:val="en-US" w:eastAsia="zh-CN"/>
              </w:rPr>
              <w:t>3</w:t>
            </w:r>
            <w:r>
              <w:rPr>
                <w:rFonts w:hint="eastAsia" w:ascii="楷体" w:hAnsi="楷体" w:eastAsia="楷体" w:cs="楷体"/>
                <w:b w:val="0"/>
                <w:bCs w:val="0"/>
                <w:color w:val="auto"/>
                <w:sz w:val="28"/>
                <w:szCs w:val="28"/>
                <w:lang w:eastAsia="zh-CN"/>
              </w:rPr>
              <w:t>社会事业类项目表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5" w:type="dxa"/>
            <w:noWrap w:val="0"/>
            <w:vAlign w:val="top"/>
          </w:tcPr>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楷体" w:hAnsi="楷体" w:eastAsia="楷体" w:cs="楷体"/>
                <w:b/>
                <w:bCs/>
                <w:color w:val="auto"/>
                <w:sz w:val="28"/>
                <w:szCs w:val="28"/>
                <w:vertAlign w:val="baseline"/>
                <w:lang w:eastAsia="zh-CN"/>
              </w:rPr>
            </w:pPr>
            <w:r>
              <w:rPr>
                <w:rFonts w:hint="eastAsia" w:ascii="仿宋_GB2312" w:hAnsi="仿宋_GB2312" w:eastAsia="仿宋_GB2312" w:cs="仿宋_GB2312"/>
                <w:b w:val="0"/>
                <w:bCs w:val="0"/>
                <w:color w:val="auto"/>
                <w:sz w:val="28"/>
                <w:szCs w:val="28"/>
                <w:vertAlign w:val="baseline"/>
                <w:lang w:val="en-US" w:eastAsia="zh-CN"/>
              </w:rPr>
              <w:t xml:space="preserve">    </w:t>
            </w:r>
            <w:r>
              <w:rPr>
                <w:rFonts w:hint="eastAsia" w:ascii="仿宋_GB2312" w:hAnsi="仿宋_GB2312" w:eastAsia="仿宋_GB2312" w:cs="仿宋_GB2312"/>
                <w:b w:val="0"/>
                <w:bCs w:val="0"/>
                <w:color w:val="auto"/>
                <w:sz w:val="28"/>
                <w:szCs w:val="28"/>
                <w:vertAlign w:val="baseline"/>
                <w:lang w:eastAsia="zh-CN"/>
              </w:rPr>
              <w:t>实施泾源县第五幼儿园、泾源县香水镇城关第二小学学生宿舍楼、泾源县第二中学、泾源县2023年改善普通高中学校办学条件建设项目，完成泾源县老年养护院、泾源县人民医院急救救治能力提升项目，落实泾源县体育场改造及体育健身场地补短板项目，完成泾源县文化传承提升改造项目及泾源县石窑湾石窟修缮加固工程。</w:t>
            </w:r>
          </w:p>
        </w:tc>
      </w:tr>
    </w:tbl>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pacing w:val="0"/>
          <w:sz w:val="32"/>
          <w:szCs w:val="32"/>
        </w:rPr>
      </w:pPr>
      <w:r>
        <w:rPr>
          <w:rFonts w:hint="eastAsia" w:ascii="楷体_GB2312" w:hAnsi="楷体_GB2312" w:eastAsia="楷体_GB2312" w:cs="楷体_GB2312"/>
          <w:b/>
          <w:bCs/>
          <w:color w:val="auto"/>
          <w:spacing w:val="0"/>
          <w:sz w:val="32"/>
          <w:szCs w:val="32"/>
          <w:lang w:val="en-US" w:eastAsia="zh-CN"/>
        </w:rPr>
        <w:t xml:space="preserve">    （七）紧盯社会稳定，树牢安全发展理念。</w:t>
      </w:r>
      <w:r>
        <w:rPr>
          <w:rFonts w:hint="eastAsia" w:ascii="仿宋_GB2312" w:hAnsi="仿宋_GB2312" w:eastAsia="仿宋_GB2312" w:cs="仿宋_GB2312"/>
          <w:b w:val="0"/>
          <w:bCs w:val="0"/>
          <w:color w:val="auto"/>
          <w:spacing w:val="0"/>
          <w:sz w:val="32"/>
          <w:szCs w:val="32"/>
        </w:rPr>
        <w:t>坚持把安全发展贯穿推动发展全过程，有效防范和化解各种风险。</w:t>
      </w:r>
      <w:r>
        <w:rPr>
          <w:rFonts w:hint="eastAsia" w:ascii="仿宋_GB2312" w:hAnsi="仿宋_GB2312" w:eastAsia="仿宋_GB2312" w:cs="仿宋_GB2312"/>
          <w:b/>
          <w:bCs/>
          <w:color w:val="auto"/>
          <w:spacing w:val="0"/>
          <w:sz w:val="32"/>
          <w:szCs w:val="32"/>
          <w:lang w:val="en-US" w:eastAsia="zh-CN"/>
        </w:rPr>
        <w:t>一是保障粮食能源安全。</w:t>
      </w:r>
      <w:r>
        <w:rPr>
          <w:rFonts w:hint="eastAsia" w:ascii="仿宋_GB2312" w:hAnsi="仿宋_GB2312" w:eastAsia="仿宋_GB2312" w:cs="仿宋_GB2312"/>
          <w:b w:val="0"/>
          <w:bCs w:val="0"/>
          <w:color w:val="auto"/>
          <w:spacing w:val="0"/>
          <w:sz w:val="32"/>
          <w:szCs w:val="32"/>
          <w:lang w:val="en-US" w:eastAsia="zh-CN"/>
        </w:rPr>
        <w:t>落实粮食安全党政同责，实施最严格耕地保护制度，持续开展违法占用耕地、撂荒地整治，遏制耕地“非农化”基本农田“非粮化”，全面新建高标准农田1.5万亩。严格落实粮食储备规模，优化品种结构布局，切实保障粮食安全储备、高效调用。</w:t>
      </w:r>
      <w:r>
        <w:rPr>
          <w:rFonts w:hint="eastAsia" w:ascii="仿宋_GB2312" w:hAnsi="仿宋_GB2312" w:eastAsia="仿宋_GB2312" w:cs="仿宋_GB2312"/>
          <w:b/>
          <w:bCs/>
          <w:color w:val="auto"/>
          <w:spacing w:val="0"/>
          <w:sz w:val="32"/>
          <w:szCs w:val="32"/>
          <w:lang w:val="en-US" w:eastAsia="zh-CN"/>
        </w:rPr>
        <w:t>二是防范化解重大风险。</w:t>
      </w:r>
      <w:r>
        <w:rPr>
          <w:rFonts w:hint="eastAsia" w:ascii="仿宋_GB2312" w:hAnsi="仿宋_GB2312" w:eastAsia="仿宋_GB2312" w:cs="仿宋_GB2312"/>
          <w:b w:val="0"/>
          <w:bCs w:val="0"/>
          <w:color w:val="auto"/>
          <w:spacing w:val="0"/>
          <w:sz w:val="32"/>
          <w:szCs w:val="32"/>
          <w:lang w:val="en-US" w:eastAsia="zh-CN"/>
        </w:rPr>
        <w:t>用足用好防范化解重大风险月度摸排化解机制，加强金融机构监管，深入推进债务风险化解。加强房地产领域风险排查，保持房地产市场平稳健康发展。</w:t>
      </w:r>
      <w:r>
        <w:rPr>
          <w:rFonts w:hint="eastAsia" w:ascii="仿宋_GB2312" w:hAnsi="仿宋_GB2312" w:eastAsia="仿宋_GB2312" w:cs="仿宋_GB2312"/>
          <w:b/>
          <w:bCs/>
          <w:color w:val="auto"/>
          <w:spacing w:val="0"/>
          <w:sz w:val="32"/>
          <w:szCs w:val="32"/>
          <w:lang w:val="en-US" w:eastAsia="zh-CN"/>
        </w:rPr>
        <w:t>三是狠抓社会治理和安全生产。</w:t>
      </w:r>
      <w:r>
        <w:rPr>
          <w:rFonts w:hint="eastAsia" w:ascii="仿宋_GB2312" w:hAnsi="仿宋_GB2312" w:eastAsia="仿宋_GB2312" w:cs="仿宋_GB2312"/>
          <w:b w:val="0"/>
          <w:bCs w:val="0"/>
          <w:color w:val="auto"/>
          <w:spacing w:val="0"/>
          <w:sz w:val="32"/>
          <w:szCs w:val="32"/>
          <w:lang w:val="en-US" w:eastAsia="zh-CN"/>
        </w:rPr>
        <w:t>深化县域社会治理1+1+3试点，严厉打击非法集资、电信网络诈骗、养老诈骗等违法犯罪活动。扎实推进法治政府建设，加快创建全域食品药品安全区</w:t>
      </w:r>
      <w:r>
        <w:rPr>
          <w:rFonts w:hint="eastAsia" w:ascii="仿宋_GB2312" w:hAnsi="仿宋_GB2312" w:eastAsia="仿宋_GB2312" w:cs="仿宋_GB2312"/>
          <w:b w:val="0"/>
          <w:bCs w:val="0"/>
          <w:color w:val="auto"/>
          <w:spacing w:val="0"/>
          <w:sz w:val="32"/>
          <w:szCs w:val="32"/>
        </w:rPr>
        <w:t>。切实抓好安全生产，突出抓好交通、建筑、城市安全运行等重点行业领域</w:t>
      </w:r>
      <w:r>
        <w:rPr>
          <w:rFonts w:hint="eastAsia" w:ascii="仿宋_GB2312" w:hAnsi="仿宋_GB2312" w:eastAsia="仿宋_GB2312" w:cs="仿宋_GB2312"/>
          <w:b w:val="0"/>
          <w:bCs w:val="0"/>
          <w:color w:val="auto"/>
          <w:spacing w:val="0"/>
          <w:sz w:val="32"/>
          <w:szCs w:val="32"/>
          <w:lang w:eastAsia="zh-CN"/>
        </w:rPr>
        <w:t>安全</w:t>
      </w:r>
      <w:r>
        <w:rPr>
          <w:rFonts w:hint="eastAsia" w:ascii="仿宋_GB2312" w:hAnsi="仿宋_GB2312" w:eastAsia="仿宋_GB2312" w:cs="仿宋_GB2312"/>
          <w:b w:val="0"/>
          <w:bCs w:val="0"/>
          <w:color w:val="auto"/>
          <w:spacing w:val="0"/>
          <w:sz w:val="32"/>
          <w:szCs w:val="32"/>
        </w:rPr>
        <w:t>，全面落实安全防控措施，建立长效机制，真正实现从根本上消除事故隐患。</w:t>
      </w:r>
    </w:p>
    <w:p>
      <w:pPr>
        <w:keepNext w:val="0"/>
        <w:keepLines w:val="0"/>
        <w:pageBreakBefore w:val="0"/>
        <w:widowControl w:val="0"/>
        <w:kinsoku/>
        <w:wordWrap/>
        <w:overflowPunct/>
        <w:autoSpaceDE/>
        <w:autoSpaceDN/>
        <w:bidi w:val="0"/>
        <w:adjustRightInd/>
        <w:spacing w:line="560" w:lineRule="exact"/>
        <w:textAlignment w:val="auto"/>
        <w:rPr>
          <w:rFonts w:hint="default"/>
          <w:color w:val="FF0000"/>
          <w:spacing w:val="0"/>
          <w:lang w:val="en-US" w:eastAsia="zh-CN"/>
        </w:rPr>
      </w:pPr>
    </w:p>
    <w:sectPr>
      <w:footerReference r:id="rId3" w:type="default"/>
      <w:pgSz w:w="11906" w:h="16838"/>
      <w:pgMar w:top="1587" w:right="1701" w:bottom="1587" w:left="1701"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方正小标宋简体">
    <w:panose1 w:val="02000000000000000000"/>
    <w:charset w:val="86"/>
    <w:family w:val="auto"/>
    <w:pitch w:val="default"/>
    <w:sig w:usb0="A00002BF" w:usb1="184F6CFA" w:usb2="00000012" w:usb3="00000000" w:csb0="00040001"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TimesNewRomanPSMT">
    <w:altName w:val="Nimbus Roman No9 L"/>
    <w:panose1 w:val="00000000000000000000"/>
    <w:charset w:val="00"/>
    <w:family w:val="auto"/>
    <w:pitch w:val="default"/>
    <w:sig w:usb0="00000000" w:usb1="00000000" w:usb2="00000000"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9"/>
                          </w:pPr>
                          <w:r>
                            <w:fldChar w:fldCharType="begin"/>
                          </w:r>
                          <w:r>
                            <w:instrText xml:space="preserve"> PAGE  \* MERGEFORMAT </w:instrText>
                          </w:r>
                          <w:r>
                            <w:fldChar w:fldCharType="separate"/>
                          </w:r>
                          <w:r>
                            <w:t>1</w:t>
                          </w:r>
                          <w:r>
                            <w:fldChar w:fldCharType="end"/>
                          </w:r>
                        </w:p>
                      </w:txbxContent>
                    </wps:txbx>
                    <wps:bodyPr vert="horz" wrap="none" lIns="0" tIns="0" rIns="0" bIns="0" anchor="t" anchorCtr="false" upright="false">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FgAAAGRycy9QSwECFAAUAAAACACHTuJAzql5uc8AAAAFAQAADwAAAAAAAAABACAA&#10;AAA4AAAAZHJzL2Rvd25yZXYueG1sUEsBAhQAFAAAAAgAh07iQPaXn8jHAQAAewMAAA4AAAAAAAAA&#10;AQAgAAAANAEAAGRycy9lMm9Eb2MueG1sUEsFBgAAAAAGAAYAWQEAAG0FAAAAAA==&#10;">
              <v:fill on="f" focussize="0,0"/>
              <v:stroke on="f"/>
              <v:imagedata o:title=""/>
              <o:lock v:ext="edit" aspectratio="f"/>
              <v:textbox inset="0mm,0mm,0mm,0mm" style="mso-fit-shape-to-text:t;">
                <w:txbxContent>
                  <w:p>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false"/>
  <w:bordersDoNotSurroundFooter w:val="false"/>
  <w:documentProtection w:enforcement="0"/>
  <w:defaultTabStop w:val="420"/>
  <w:hyphenationZone w:val="36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Y0ODI1YmMwMzdlNTc4MDg2NWQ0YjE5MTdlYzZiMmEifQ=="/>
  </w:docVars>
  <w:rsids>
    <w:rsidRoot w:val="00000000"/>
    <w:rsid w:val="01DE18F5"/>
    <w:rsid w:val="02CF75DF"/>
    <w:rsid w:val="044D7F99"/>
    <w:rsid w:val="05E337FC"/>
    <w:rsid w:val="09B44951"/>
    <w:rsid w:val="0A56459C"/>
    <w:rsid w:val="0E7B2442"/>
    <w:rsid w:val="0F9ED9CC"/>
    <w:rsid w:val="0FDFBDFA"/>
    <w:rsid w:val="10DE709A"/>
    <w:rsid w:val="11FE3A02"/>
    <w:rsid w:val="158D2D69"/>
    <w:rsid w:val="16FEF935"/>
    <w:rsid w:val="175FCAA7"/>
    <w:rsid w:val="17F765DB"/>
    <w:rsid w:val="17F7904B"/>
    <w:rsid w:val="17FD0E6F"/>
    <w:rsid w:val="18D37D05"/>
    <w:rsid w:val="1A326AC4"/>
    <w:rsid w:val="1B561FBE"/>
    <w:rsid w:val="1B6B263B"/>
    <w:rsid w:val="1BAF7C42"/>
    <w:rsid w:val="1BCF3CFB"/>
    <w:rsid w:val="1DFE434D"/>
    <w:rsid w:val="1DFF9C91"/>
    <w:rsid w:val="1E5B7F7C"/>
    <w:rsid w:val="1EE38206"/>
    <w:rsid w:val="1F374545"/>
    <w:rsid w:val="1FAB0557"/>
    <w:rsid w:val="1FC3854A"/>
    <w:rsid w:val="1FCFE26B"/>
    <w:rsid w:val="1FDF78F6"/>
    <w:rsid w:val="1FF34B20"/>
    <w:rsid w:val="1FF78164"/>
    <w:rsid w:val="1FFB7B76"/>
    <w:rsid w:val="1FFF790F"/>
    <w:rsid w:val="1FFF941B"/>
    <w:rsid w:val="224B7893"/>
    <w:rsid w:val="23871813"/>
    <w:rsid w:val="23D507D0"/>
    <w:rsid w:val="256DE8A3"/>
    <w:rsid w:val="2577579A"/>
    <w:rsid w:val="26B78745"/>
    <w:rsid w:val="27D72FC7"/>
    <w:rsid w:val="27DE2C65"/>
    <w:rsid w:val="2B7817A5"/>
    <w:rsid w:val="2BEB3465"/>
    <w:rsid w:val="2BFF4D9A"/>
    <w:rsid w:val="2DBF7F6C"/>
    <w:rsid w:val="2DCF98C3"/>
    <w:rsid w:val="2DDF9CE6"/>
    <w:rsid w:val="2DF6FDCA"/>
    <w:rsid w:val="2DFDB8E9"/>
    <w:rsid w:val="2DFF61B7"/>
    <w:rsid w:val="2E6DCFC6"/>
    <w:rsid w:val="2EB72FD5"/>
    <w:rsid w:val="2EDE46CF"/>
    <w:rsid w:val="2EF59BA2"/>
    <w:rsid w:val="2F7FA21E"/>
    <w:rsid w:val="2F7FB924"/>
    <w:rsid w:val="2FBFB953"/>
    <w:rsid w:val="2FF1C4D4"/>
    <w:rsid w:val="2FF42931"/>
    <w:rsid w:val="2FF4C393"/>
    <w:rsid w:val="2FFF6056"/>
    <w:rsid w:val="307BE64E"/>
    <w:rsid w:val="31D7DCE9"/>
    <w:rsid w:val="3334ADBB"/>
    <w:rsid w:val="33C7295B"/>
    <w:rsid w:val="33CDB8AF"/>
    <w:rsid w:val="345178A5"/>
    <w:rsid w:val="35B42908"/>
    <w:rsid w:val="35E9537C"/>
    <w:rsid w:val="35F52C84"/>
    <w:rsid w:val="3645B2DF"/>
    <w:rsid w:val="367F452E"/>
    <w:rsid w:val="367F5E24"/>
    <w:rsid w:val="36BD695A"/>
    <w:rsid w:val="36FB7CAE"/>
    <w:rsid w:val="36FBAE67"/>
    <w:rsid w:val="36FE0B9C"/>
    <w:rsid w:val="3724576A"/>
    <w:rsid w:val="376BFFC0"/>
    <w:rsid w:val="376F9D10"/>
    <w:rsid w:val="377DEB79"/>
    <w:rsid w:val="37A618F9"/>
    <w:rsid w:val="37DBF57E"/>
    <w:rsid w:val="37DEEF42"/>
    <w:rsid w:val="37FD05DB"/>
    <w:rsid w:val="397D219B"/>
    <w:rsid w:val="39FF0CE4"/>
    <w:rsid w:val="3A002A5F"/>
    <w:rsid w:val="3A3408B1"/>
    <w:rsid w:val="3A7EE2A4"/>
    <w:rsid w:val="3AF66714"/>
    <w:rsid w:val="3BD11A70"/>
    <w:rsid w:val="3BDB0E09"/>
    <w:rsid w:val="3BF7B087"/>
    <w:rsid w:val="3BFBA36F"/>
    <w:rsid w:val="3C0417FB"/>
    <w:rsid w:val="3C2CDFE3"/>
    <w:rsid w:val="3C9F029A"/>
    <w:rsid w:val="3CA3478A"/>
    <w:rsid w:val="3CDB9875"/>
    <w:rsid w:val="3CDFFFE5"/>
    <w:rsid w:val="3D2B60AC"/>
    <w:rsid w:val="3D3F9FA0"/>
    <w:rsid w:val="3D5F7BF8"/>
    <w:rsid w:val="3D7FED17"/>
    <w:rsid w:val="3D9FB90B"/>
    <w:rsid w:val="3DD904B1"/>
    <w:rsid w:val="3DF7B378"/>
    <w:rsid w:val="3E35D7AB"/>
    <w:rsid w:val="3E3CAF4C"/>
    <w:rsid w:val="3E9B4919"/>
    <w:rsid w:val="3E9F2CA3"/>
    <w:rsid w:val="3EAB0813"/>
    <w:rsid w:val="3EBDF518"/>
    <w:rsid w:val="3ED57024"/>
    <w:rsid w:val="3EDBF7A2"/>
    <w:rsid w:val="3EE72285"/>
    <w:rsid w:val="3EF6E5F0"/>
    <w:rsid w:val="3EFD7561"/>
    <w:rsid w:val="3EFF4A22"/>
    <w:rsid w:val="3F2BF822"/>
    <w:rsid w:val="3F492E62"/>
    <w:rsid w:val="3F7B30C9"/>
    <w:rsid w:val="3F7D7D5B"/>
    <w:rsid w:val="3F9EEC18"/>
    <w:rsid w:val="3FB7F2D5"/>
    <w:rsid w:val="3FBD5557"/>
    <w:rsid w:val="3FBF8529"/>
    <w:rsid w:val="3FBFEB7A"/>
    <w:rsid w:val="3FDB1943"/>
    <w:rsid w:val="3FDE0563"/>
    <w:rsid w:val="3FE7B5B0"/>
    <w:rsid w:val="3FE85A78"/>
    <w:rsid w:val="3FF31566"/>
    <w:rsid w:val="3FF31EB1"/>
    <w:rsid w:val="3FFD20EE"/>
    <w:rsid w:val="3FFE1A0D"/>
    <w:rsid w:val="40176523"/>
    <w:rsid w:val="40CB36B1"/>
    <w:rsid w:val="412648AF"/>
    <w:rsid w:val="419656C5"/>
    <w:rsid w:val="41BD0910"/>
    <w:rsid w:val="4554734F"/>
    <w:rsid w:val="45CF441E"/>
    <w:rsid w:val="472E857B"/>
    <w:rsid w:val="475E990D"/>
    <w:rsid w:val="4947098B"/>
    <w:rsid w:val="49F7043A"/>
    <w:rsid w:val="4AFB74B0"/>
    <w:rsid w:val="4AFE48A3"/>
    <w:rsid w:val="4B406334"/>
    <w:rsid w:val="4B7DBFCF"/>
    <w:rsid w:val="4B985ABC"/>
    <w:rsid w:val="4BBBD984"/>
    <w:rsid w:val="4C37CBA4"/>
    <w:rsid w:val="4CFD7A87"/>
    <w:rsid w:val="4DFF99AE"/>
    <w:rsid w:val="4E015B9A"/>
    <w:rsid w:val="4E1F6C50"/>
    <w:rsid w:val="4E3F76E2"/>
    <w:rsid w:val="4EBE5FD8"/>
    <w:rsid w:val="4EEB191A"/>
    <w:rsid w:val="4EEECE8A"/>
    <w:rsid w:val="4F4F93A8"/>
    <w:rsid w:val="4FAD66C7"/>
    <w:rsid w:val="4FBB73A2"/>
    <w:rsid w:val="4FDF0A83"/>
    <w:rsid w:val="4FF63BCB"/>
    <w:rsid w:val="4FFDC995"/>
    <w:rsid w:val="4FFF9497"/>
    <w:rsid w:val="50FB6105"/>
    <w:rsid w:val="52FEB432"/>
    <w:rsid w:val="536B60FD"/>
    <w:rsid w:val="537F40C7"/>
    <w:rsid w:val="53DFE304"/>
    <w:rsid w:val="55FDBBB1"/>
    <w:rsid w:val="563F82D9"/>
    <w:rsid w:val="56E02D31"/>
    <w:rsid w:val="5737AD23"/>
    <w:rsid w:val="57474E29"/>
    <w:rsid w:val="577B368F"/>
    <w:rsid w:val="577FDD20"/>
    <w:rsid w:val="57A58381"/>
    <w:rsid w:val="57ABFC34"/>
    <w:rsid w:val="57EBAF32"/>
    <w:rsid w:val="57EF86F5"/>
    <w:rsid w:val="57F340D4"/>
    <w:rsid w:val="57F5CB32"/>
    <w:rsid w:val="57F707C6"/>
    <w:rsid w:val="57FB6225"/>
    <w:rsid w:val="57FF0BA1"/>
    <w:rsid w:val="5887607C"/>
    <w:rsid w:val="58F703E2"/>
    <w:rsid w:val="58FFFEFB"/>
    <w:rsid w:val="594F3C5E"/>
    <w:rsid w:val="598311FC"/>
    <w:rsid w:val="5AEE21F5"/>
    <w:rsid w:val="5AF43D12"/>
    <w:rsid w:val="5B3F06B0"/>
    <w:rsid w:val="5BDDD8F1"/>
    <w:rsid w:val="5BEF0274"/>
    <w:rsid w:val="5BF4DFBB"/>
    <w:rsid w:val="5CF7FD63"/>
    <w:rsid w:val="5D2BBB1F"/>
    <w:rsid w:val="5D7B66FC"/>
    <w:rsid w:val="5DE057CC"/>
    <w:rsid w:val="5DFAA836"/>
    <w:rsid w:val="5DFF186C"/>
    <w:rsid w:val="5E3DA271"/>
    <w:rsid w:val="5E3F3755"/>
    <w:rsid w:val="5E53091F"/>
    <w:rsid w:val="5E544A1B"/>
    <w:rsid w:val="5E7F2EB5"/>
    <w:rsid w:val="5EBFBB71"/>
    <w:rsid w:val="5ED055D5"/>
    <w:rsid w:val="5EFF2520"/>
    <w:rsid w:val="5F159895"/>
    <w:rsid w:val="5F4FCEBA"/>
    <w:rsid w:val="5F77206D"/>
    <w:rsid w:val="5FBB07AD"/>
    <w:rsid w:val="5FBD9335"/>
    <w:rsid w:val="5FD37D1A"/>
    <w:rsid w:val="5FD63234"/>
    <w:rsid w:val="5FD90851"/>
    <w:rsid w:val="5FDF764F"/>
    <w:rsid w:val="5FF3C013"/>
    <w:rsid w:val="5FF3FD26"/>
    <w:rsid w:val="5FF749B7"/>
    <w:rsid w:val="5FF7B819"/>
    <w:rsid w:val="5FFA52DB"/>
    <w:rsid w:val="5FFB0631"/>
    <w:rsid w:val="5FFE4D1C"/>
    <w:rsid w:val="5FFF6807"/>
    <w:rsid w:val="60D31618"/>
    <w:rsid w:val="627FF6D4"/>
    <w:rsid w:val="62B5C57A"/>
    <w:rsid w:val="62D30BD4"/>
    <w:rsid w:val="638A681E"/>
    <w:rsid w:val="643F0D73"/>
    <w:rsid w:val="64C11EAD"/>
    <w:rsid w:val="667DDD2E"/>
    <w:rsid w:val="67137E51"/>
    <w:rsid w:val="6747CD81"/>
    <w:rsid w:val="677B2929"/>
    <w:rsid w:val="679F2E18"/>
    <w:rsid w:val="67ADAAA0"/>
    <w:rsid w:val="67B7F3D0"/>
    <w:rsid w:val="67E7794A"/>
    <w:rsid w:val="67EBF332"/>
    <w:rsid w:val="67EEDF9D"/>
    <w:rsid w:val="67F9A630"/>
    <w:rsid w:val="67FE731A"/>
    <w:rsid w:val="67FF145C"/>
    <w:rsid w:val="6828FB9C"/>
    <w:rsid w:val="68DB1F58"/>
    <w:rsid w:val="69FFF90C"/>
    <w:rsid w:val="6A33476A"/>
    <w:rsid w:val="6AFFC2A5"/>
    <w:rsid w:val="6B14F9CB"/>
    <w:rsid w:val="6BE76864"/>
    <w:rsid w:val="6BEF9FEF"/>
    <w:rsid w:val="6BFA1E22"/>
    <w:rsid w:val="6BFB4C63"/>
    <w:rsid w:val="6BFD8ECF"/>
    <w:rsid w:val="6BFF20D7"/>
    <w:rsid w:val="6C753EAF"/>
    <w:rsid w:val="6CEB44AB"/>
    <w:rsid w:val="6CFF520C"/>
    <w:rsid w:val="6D7F8796"/>
    <w:rsid w:val="6DB5E6D1"/>
    <w:rsid w:val="6DBFC6CE"/>
    <w:rsid w:val="6DCF187E"/>
    <w:rsid w:val="6DDE04B3"/>
    <w:rsid w:val="6DE51F70"/>
    <w:rsid w:val="6DEB7E93"/>
    <w:rsid w:val="6DEC7C80"/>
    <w:rsid w:val="6DF73DFB"/>
    <w:rsid w:val="6DF7CBEE"/>
    <w:rsid w:val="6DFB6A71"/>
    <w:rsid w:val="6DFE7873"/>
    <w:rsid w:val="6DFF2086"/>
    <w:rsid w:val="6DFF3F80"/>
    <w:rsid w:val="6DFFC936"/>
    <w:rsid w:val="6E4CE94C"/>
    <w:rsid w:val="6EA7E451"/>
    <w:rsid w:val="6EDF586D"/>
    <w:rsid w:val="6EFF62AD"/>
    <w:rsid w:val="6F1959AB"/>
    <w:rsid w:val="6F3B6F82"/>
    <w:rsid w:val="6F68E644"/>
    <w:rsid w:val="6F7D8013"/>
    <w:rsid w:val="6F9F1FA5"/>
    <w:rsid w:val="6FAF6188"/>
    <w:rsid w:val="6FAFC936"/>
    <w:rsid w:val="6FB17008"/>
    <w:rsid w:val="6FBF15AA"/>
    <w:rsid w:val="6FCF83A0"/>
    <w:rsid w:val="6FD6F4BA"/>
    <w:rsid w:val="6FDA9E5D"/>
    <w:rsid w:val="6FDB3532"/>
    <w:rsid w:val="6FE5B4A9"/>
    <w:rsid w:val="6FE7011C"/>
    <w:rsid w:val="6FEE7AFB"/>
    <w:rsid w:val="6FEFB8DF"/>
    <w:rsid w:val="6FF778D2"/>
    <w:rsid w:val="6FF7DF40"/>
    <w:rsid w:val="6FFC17E4"/>
    <w:rsid w:val="6FFD471E"/>
    <w:rsid w:val="6FFFAD41"/>
    <w:rsid w:val="6FFFADD2"/>
    <w:rsid w:val="70F50BE5"/>
    <w:rsid w:val="717BF8E0"/>
    <w:rsid w:val="71BF5AA3"/>
    <w:rsid w:val="71E7CB34"/>
    <w:rsid w:val="71F77502"/>
    <w:rsid w:val="72FFD085"/>
    <w:rsid w:val="737F93AD"/>
    <w:rsid w:val="73A1257A"/>
    <w:rsid w:val="73B25C95"/>
    <w:rsid w:val="73BAC37D"/>
    <w:rsid w:val="73CFD58C"/>
    <w:rsid w:val="73DB2CA0"/>
    <w:rsid w:val="73EBB259"/>
    <w:rsid w:val="73ED03C7"/>
    <w:rsid w:val="73F38767"/>
    <w:rsid w:val="73FBD3D9"/>
    <w:rsid w:val="74EF2DF2"/>
    <w:rsid w:val="75513E28"/>
    <w:rsid w:val="75776E3F"/>
    <w:rsid w:val="757FAB8B"/>
    <w:rsid w:val="75BD5953"/>
    <w:rsid w:val="75D51A6B"/>
    <w:rsid w:val="75DFEBCD"/>
    <w:rsid w:val="75EFAF37"/>
    <w:rsid w:val="75F5124C"/>
    <w:rsid w:val="75FD62D8"/>
    <w:rsid w:val="768B8F1B"/>
    <w:rsid w:val="76CDACCE"/>
    <w:rsid w:val="76DE5141"/>
    <w:rsid w:val="76F797F7"/>
    <w:rsid w:val="76FF7BAC"/>
    <w:rsid w:val="771ECEFF"/>
    <w:rsid w:val="773EDC44"/>
    <w:rsid w:val="775F2675"/>
    <w:rsid w:val="775F5BE4"/>
    <w:rsid w:val="777FD557"/>
    <w:rsid w:val="77846B96"/>
    <w:rsid w:val="779FA657"/>
    <w:rsid w:val="77AA6147"/>
    <w:rsid w:val="77B52602"/>
    <w:rsid w:val="77BC07DB"/>
    <w:rsid w:val="77CBFB73"/>
    <w:rsid w:val="77D76BBE"/>
    <w:rsid w:val="77DDD0F0"/>
    <w:rsid w:val="77ED3D02"/>
    <w:rsid w:val="77F81CAC"/>
    <w:rsid w:val="77FEE29B"/>
    <w:rsid w:val="786F4DE0"/>
    <w:rsid w:val="78E6CAB6"/>
    <w:rsid w:val="78F6E673"/>
    <w:rsid w:val="78FE840A"/>
    <w:rsid w:val="793EA5E0"/>
    <w:rsid w:val="797B1AC6"/>
    <w:rsid w:val="79E7312F"/>
    <w:rsid w:val="79E96151"/>
    <w:rsid w:val="79EA97BF"/>
    <w:rsid w:val="79FB622A"/>
    <w:rsid w:val="79FECF2D"/>
    <w:rsid w:val="7A3D229A"/>
    <w:rsid w:val="7A74B476"/>
    <w:rsid w:val="7A7F574B"/>
    <w:rsid w:val="7A9E0676"/>
    <w:rsid w:val="7AAE2EE2"/>
    <w:rsid w:val="7ABB8D0B"/>
    <w:rsid w:val="7ACFE060"/>
    <w:rsid w:val="7AD7216C"/>
    <w:rsid w:val="7ADFECB9"/>
    <w:rsid w:val="7AE6E95B"/>
    <w:rsid w:val="7AF551D5"/>
    <w:rsid w:val="7AFBCBB9"/>
    <w:rsid w:val="7AFF69D9"/>
    <w:rsid w:val="7B1C2429"/>
    <w:rsid w:val="7B1FF576"/>
    <w:rsid w:val="7B2C1BF9"/>
    <w:rsid w:val="7B5CED37"/>
    <w:rsid w:val="7B60D969"/>
    <w:rsid w:val="7B77463E"/>
    <w:rsid w:val="7B77D082"/>
    <w:rsid w:val="7B7DA40B"/>
    <w:rsid w:val="7B7E6C0B"/>
    <w:rsid w:val="7BBAF3D6"/>
    <w:rsid w:val="7BBC6CD8"/>
    <w:rsid w:val="7BBD0D29"/>
    <w:rsid w:val="7BBF0680"/>
    <w:rsid w:val="7BCEF4C8"/>
    <w:rsid w:val="7BEDB6CE"/>
    <w:rsid w:val="7BF5BC9E"/>
    <w:rsid w:val="7BF9F4CA"/>
    <w:rsid w:val="7BFA70E8"/>
    <w:rsid w:val="7BFC4651"/>
    <w:rsid w:val="7BFE0443"/>
    <w:rsid w:val="7BFE8D71"/>
    <w:rsid w:val="7BFF40C6"/>
    <w:rsid w:val="7BFFA6CB"/>
    <w:rsid w:val="7BFFDC58"/>
    <w:rsid w:val="7BFFE6D8"/>
    <w:rsid w:val="7C4FF4EB"/>
    <w:rsid w:val="7C773DAA"/>
    <w:rsid w:val="7C873254"/>
    <w:rsid w:val="7CCFB742"/>
    <w:rsid w:val="7CEF205E"/>
    <w:rsid w:val="7CEF4978"/>
    <w:rsid w:val="7CF7DDEA"/>
    <w:rsid w:val="7D1EAFC8"/>
    <w:rsid w:val="7D3761A4"/>
    <w:rsid w:val="7D4EEA2B"/>
    <w:rsid w:val="7D6529D6"/>
    <w:rsid w:val="7D67DE61"/>
    <w:rsid w:val="7D6EBEA1"/>
    <w:rsid w:val="7D77E2FE"/>
    <w:rsid w:val="7D7BFF20"/>
    <w:rsid w:val="7D7FED7E"/>
    <w:rsid w:val="7D96FB30"/>
    <w:rsid w:val="7DB7B508"/>
    <w:rsid w:val="7DBBB0F0"/>
    <w:rsid w:val="7DBF06E6"/>
    <w:rsid w:val="7DC8A8C0"/>
    <w:rsid w:val="7DCFD906"/>
    <w:rsid w:val="7DEC7F3C"/>
    <w:rsid w:val="7DEE08B4"/>
    <w:rsid w:val="7DEF3024"/>
    <w:rsid w:val="7DF1581A"/>
    <w:rsid w:val="7DFA8245"/>
    <w:rsid w:val="7DFCA0B8"/>
    <w:rsid w:val="7E36666B"/>
    <w:rsid w:val="7E37844D"/>
    <w:rsid w:val="7E3F4D74"/>
    <w:rsid w:val="7E3FDC1C"/>
    <w:rsid w:val="7E51FAA2"/>
    <w:rsid w:val="7E5660B6"/>
    <w:rsid w:val="7E6CC548"/>
    <w:rsid w:val="7E78AC04"/>
    <w:rsid w:val="7E7AD9EE"/>
    <w:rsid w:val="7E7BF2CD"/>
    <w:rsid w:val="7E7E2880"/>
    <w:rsid w:val="7E7E2F4D"/>
    <w:rsid w:val="7E7F6390"/>
    <w:rsid w:val="7EAB4B5D"/>
    <w:rsid w:val="7EBE13D6"/>
    <w:rsid w:val="7ECBE150"/>
    <w:rsid w:val="7EE7C476"/>
    <w:rsid w:val="7EEF1497"/>
    <w:rsid w:val="7EEFCA59"/>
    <w:rsid w:val="7EF25635"/>
    <w:rsid w:val="7EFA295D"/>
    <w:rsid w:val="7EFDD8FF"/>
    <w:rsid w:val="7EFF2C32"/>
    <w:rsid w:val="7EFF85BF"/>
    <w:rsid w:val="7EFF912F"/>
    <w:rsid w:val="7F0751F1"/>
    <w:rsid w:val="7F16EB52"/>
    <w:rsid w:val="7F1E2AF1"/>
    <w:rsid w:val="7F2309A8"/>
    <w:rsid w:val="7F3A9906"/>
    <w:rsid w:val="7F3F3AC5"/>
    <w:rsid w:val="7F4FF734"/>
    <w:rsid w:val="7F55F0EE"/>
    <w:rsid w:val="7F5F417F"/>
    <w:rsid w:val="7F664E31"/>
    <w:rsid w:val="7F6EE203"/>
    <w:rsid w:val="7F6F9BBF"/>
    <w:rsid w:val="7F7B7B06"/>
    <w:rsid w:val="7F7B9B8D"/>
    <w:rsid w:val="7F7BE7C9"/>
    <w:rsid w:val="7F7D99E3"/>
    <w:rsid w:val="7F8F3CC5"/>
    <w:rsid w:val="7F9321A3"/>
    <w:rsid w:val="7F9FD4D5"/>
    <w:rsid w:val="7FACD8F8"/>
    <w:rsid w:val="7FB56752"/>
    <w:rsid w:val="7FBA1311"/>
    <w:rsid w:val="7FBA49BB"/>
    <w:rsid w:val="7FBB3ECC"/>
    <w:rsid w:val="7FBBDE4A"/>
    <w:rsid w:val="7FBD1A40"/>
    <w:rsid w:val="7FBD5609"/>
    <w:rsid w:val="7FCE4F1A"/>
    <w:rsid w:val="7FD51281"/>
    <w:rsid w:val="7FD7C44B"/>
    <w:rsid w:val="7FDB0274"/>
    <w:rsid w:val="7FDD9BA7"/>
    <w:rsid w:val="7FDF2B09"/>
    <w:rsid w:val="7FDFF7C1"/>
    <w:rsid w:val="7FE35186"/>
    <w:rsid w:val="7FE72D5A"/>
    <w:rsid w:val="7FEA5471"/>
    <w:rsid w:val="7FEF32B7"/>
    <w:rsid w:val="7FEF415C"/>
    <w:rsid w:val="7FEF8110"/>
    <w:rsid w:val="7FEFDDC1"/>
    <w:rsid w:val="7FF34B68"/>
    <w:rsid w:val="7FF5C838"/>
    <w:rsid w:val="7FF5DDC4"/>
    <w:rsid w:val="7FF741EB"/>
    <w:rsid w:val="7FF74B94"/>
    <w:rsid w:val="7FF76443"/>
    <w:rsid w:val="7FF76EE7"/>
    <w:rsid w:val="7FF97AFB"/>
    <w:rsid w:val="7FF9DCC9"/>
    <w:rsid w:val="7FF9F261"/>
    <w:rsid w:val="7FFAFED8"/>
    <w:rsid w:val="7FFB0D13"/>
    <w:rsid w:val="7FFBF328"/>
    <w:rsid w:val="7FFD87AA"/>
    <w:rsid w:val="7FFDCF21"/>
    <w:rsid w:val="7FFEE5C3"/>
    <w:rsid w:val="7FFF1D5B"/>
    <w:rsid w:val="7FFF45B2"/>
    <w:rsid w:val="7FFF50A1"/>
    <w:rsid w:val="7FFFAA9C"/>
    <w:rsid w:val="89FCFCAB"/>
    <w:rsid w:val="8CDFDB48"/>
    <w:rsid w:val="8DFB1964"/>
    <w:rsid w:val="8E3B579C"/>
    <w:rsid w:val="8EFB1423"/>
    <w:rsid w:val="8EFFB79E"/>
    <w:rsid w:val="94BAEF2C"/>
    <w:rsid w:val="95ED1A8F"/>
    <w:rsid w:val="97AF0D98"/>
    <w:rsid w:val="97F39AB3"/>
    <w:rsid w:val="9A0B4AFE"/>
    <w:rsid w:val="9BD93960"/>
    <w:rsid w:val="9DF7A2F7"/>
    <w:rsid w:val="9DFB5DF5"/>
    <w:rsid w:val="9DFBBF38"/>
    <w:rsid w:val="9E9B1973"/>
    <w:rsid w:val="9EFDBA4D"/>
    <w:rsid w:val="9F5BD40C"/>
    <w:rsid w:val="9F6FB1FF"/>
    <w:rsid w:val="9FE61444"/>
    <w:rsid w:val="9FFFEA86"/>
    <w:rsid w:val="A2FD87D4"/>
    <w:rsid w:val="A3FF5213"/>
    <w:rsid w:val="A5B75563"/>
    <w:rsid w:val="A7B5CB7D"/>
    <w:rsid w:val="A7D7AF17"/>
    <w:rsid w:val="AB1AC771"/>
    <w:rsid w:val="AB5BD870"/>
    <w:rsid w:val="ABA69615"/>
    <w:rsid w:val="ABE7930C"/>
    <w:rsid w:val="ACFBC6D4"/>
    <w:rsid w:val="AE754798"/>
    <w:rsid w:val="AEC53602"/>
    <w:rsid w:val="AEFF00A8"/>
    <w:rsid w:val="AF77967A"/>
    <w:rsid w:val="AF7FC0EA"/>
    <w:rsid w:val="AFAD8AE1"/>
    <w:rsid w:val="AFB5CC41"/>
    <w:rsid w:val="AFBEDD5D"/>
    <w:rsid w:val="AFD9C3DE"/>
    <w:rsid w:val="AFEBAFFF"/>
    <w:rsid w:val="B0F71531"/>
    <w:rsid w:val="B2FF078A"/>
    <w:rsid w:val="B35C0116"/>
    <w:rsid w:val="B3B3EBA1"/>
    <w:rsid w:val="B3BB1CF2"/>
    <w:rsid w:val="B3BF005B"/>
    <w:rsid w:val="B3F26339"/>
    <w:rsid w:val="B3F49CBE"/>
    <w:rsid w:val="B3FDB72E"/>
    <w:rsid w:val="B3FF8D5C"/>
    <w:rsid w:val="B54AC96C"/>
    <w:rsid w:val="B5AD0A65"/>
    <w:rsid w:val="B5DF88FE"/>
    <w:rsid w:val="B62D7DC1"/>
    <w:rsid w:val="B67FEA44"/>
    <w:rsid w:val="B77BDDDE"/>
    <w:rsid w:val="B79F5D97"/>
    <w:rsid w:val="B7AFBE40"/>
    <w:rsid w:val="B7D3D12B"/>
    <w:rsid w:val="B7EDA416"/>
    <w:rsid w:val="B7FB42E9"/>
    <w:rsid w:val="B7FEA0AA"/>
    <w:rsid w:val="B7FFD5AC"/>
    <w:rsid w:val="B877ACC7"/>
    <w:rsid w:val="B8F44652"/>
    <w:rsid w:val="B97F2A51"/>
    <w:rsid w:val="B9B2755B"/>
    <w:rsid w:val="B9CA461C"/>
    <w:rsid w:val="BABCC59D"/>
    <w:rsid w:val="BABE731B"/>
    <w:rsid w:val="BADEBAB8"/>
    <w:rsid w:val="BAFF72E8"/>
    <w:rsid w:val="BB2EBC94"/>
    <w:rsid w:val="BBAC152E"/>
    <w:rsid w:val="BBDFB5E0"/>
    <w:rsid w:val="BBEFF221"/>
    <w:rsid w:val="BBFFE0D2"/>
    <w:rsid w:val="BCF38352"/>
    <w:rsid w:val="BCFEDA32"/>
    <w:rsid w:val="BD2FA36F"/>
    <w:rsid w:val="BD6F889E"/>
    <w:rsid w:val="BDDC3270"/>
    <w:rsid w:val="BDFB6D8E"/>
    <w:rsid w:val="BDFF54F0"/>
    <w:rsid w:val="BE566F42"/>
    <w:rsid w:val="BE74FEB9"/>
    <w:rsid w:val="BE759543"/>
    <w:rsid w:val="BE7FCF83"/>
    <w:rsid w:val="BE9B726A"/>
    <w:rsid w:val="BEE5F889"/>
    <w:rsid w:val="BEF37DF3"/>
    <w:rsid w:val="BEFE8F3C"/>
    <w:rsid w:val="BF5392C2"/>
    <w:rsid w:val="BF627FBC"/>
    <w:rsid w:val="BF712B7C"/>
    <w:rsid w:val="BF7D688F"/>
    <w:rsid w:val="BF7FA0D5"/>
    <w:rsid w:val="BF8743EB"/>
    <w:rsid w:val="BF933DE6"/>
    <w:rsid w:val="BF97F514"/>
    <w:rsid w:val="BF9D32A7"/>
    <w:rsid w:val="BF9E768C"/>
    <w:rsid w:val="BFB72202"/>
    <w:rsid w:val="BFBCC60F"/>
    <w:rsid w:val="BFD7300E"/>
    <w:rsid w:val="BFDB77E1"/>
    <w:rsid w:val="BFDD2075"/>
    <w:rsid w:val="BFDD7031"/>
    <w:rsid w:val="BFDDD317"/>
    <w:rsid w:val="BFE45AFE"/>
    <w:rsid w:val="BFF35E90"/>
    <w:rsid w:val="BFFB7836"/>
    <w:rsid w:val="BFFBF0A5"/>
    <w:rsid w:val="BFFD1209"/>
    <w:rsid w:val="BFFE34CA"/>
    <w:rsid w:val="BFFE49A3"/>
    <w:rsid w:val="BFFF16FD"/>
    <w:rsid w:val="BFFFA061"/>
    <w:rsid w:val="BFFFBE80"/>
    <w:rsid w:val="C5DFEBA2"/>
    <w:rsid w:val="C69297C5"/>
    <w:rsid w:val="C77512B6"/>
    <w:rsid w:val="C9DFBA8C"/>
    <w:rsid w:val="C9FFF325"/>
    <w:rsid w:val="CAFB5E64"/>
    <w:rsid w:val="CDD5990B"/>
    <w:rsid w:val="CDFF3BB9"/>
    <w:rsid w:val="CE757945"/>
    <w:rsid w:val="CE7D14EB"/>
    <w:rsid w:val="CE7E7B73"/>
    <w:rsid w:val="CECB5817"/>
    <w:rsid w:val="CEDE7C9A"/>
    <w:rsid w:val="CEFF2D3C"/>
    <w:rsid w:val="CEFFA77D"/>
    <w:rsid w:val="CF17B4CD"/>
    <w:rsid w:val="CFB521B7"/>
    <w:rsid w:val="CFDFF768"/>
    <w:rsid w:val="CFEFEE77"/>
    <w:rsid w:val="CFFB7031"/>
    <w:rsid w:val="CFFBB974"/>
    <w:rsid w:val="CFFE1FE3"/>
    <w:rsid w:val="CFFF2646"/>
    <w:rsid w:val="D24D1AB0"/>
    <w:rsid w:val="D37D95BE"/>
    <w:rsid w:val="D3E2266F"/>
    <w:rsid w:val="D3ECDE2A"/>
    <w:rsid w:val="D44F0CC8"/>
    <w:rsid w:val="D5C9BF42"/>
    <w:rsid w:val="D69F7D03"/>
    <w:rsid w:val="D6FF26D7"/>
    <w:rsid w:val="D73D4AFF"/>
    <w:rsid w:val="D76D6479"/>
    <w:rsid w:val="D79FBE02"/>
    <w:rsid w:val="D7DED416"/>
    <w:rsid w:val="D7DF551D"/>
    <w:rsid w:val="D7DFC68D"/>
    <w:rsid w:val="D7F31B85"/>
    <w:rsid w:val="D7F58DBA"/>
    <w:rsid w:val="D7F5DF8B"/>
    <w:rsid w:val="D7F956CE"/>
    <w:rsid w:val="D7FB1664"/>
    <w:rsid w:val="D7FB996E"/>
    <w:rsid w:val="D7FFE6D7"/>
    <w:rsid w:val="D89FF40D"/>
    <w:rsid w:val="D99D6182"/>
    <w:rsid w:val="D99F4412"/>
    <w:rsid w:val="D9DDCE46"/>
    <w:rsid w:val="D9DF043F"/>
    <w:rsid w:val="DA8FE05E"/>
    <w:rsid w:val="DAEBD5CF"/>
    <w:rsid w:val="DAF7B825"/>
    <w:rsid w:val="DB7E213E"/>
    <w:rsid w:val="DBB7B673"/>
    <w:rsid w:val="DBD76CD8"/>
    <w:rsid w:val="DBDA62EC"/>
    <w:rsid w:val="DBFB3E26"/>
    <w:rsid w:val="DC7FA376"/>
    <w:rsid w:val="DD59A868"/>
    <w:rsid w:val="DDB3E3DF"/>
    <w:rsid w:val="DDFE4536"/>
    <w:rsid w:val="DDFFDE54"/>
    <w:rsid w:val="DE366893"/>
    <w:rsid w:val="DE9B85D6"/>
    <w:rsid w:val="DE9D7794"/>
    <w:rsid w:val="DEB93665"/>
    <w:rsid w:val="DEC7E7B2"/>
    <w:rsid w:val="DEED2BB9"/>
    <w:rsid w:val="DEEF8A1B"/>
    <w:rsid w:val="DEF5A0E2"/>
    <w:rsid w:val="DEF689C7"/>
    <w:rsid w:val="DEFDC892"/>
    <w:rsid w:val="DEFF1C67"/>
    <w:rsid w:val="DEFF6C88"/>
    <w:rsid w:val="DF1FC769"/>
    <w:rsid w:val="DF4F0E01"/>
    <w:rsid w:val="DF559686"/>
    <w:rsid w:val="DF7F526B"/>
    <w:rsid w:val="DF7F6682"/>
    <w:rsid w:val="DF7FEAE4"/>
    <w:rsid w:val="DF7FF1B8"/>
    <w:rsid w:val="DF9E8959"/>
    <w:rsid w:val="DFBB80DD"/>
    <w:rsid w:val="DFBFC0A6"/>
    <w:rsid w:val="DFCFA4A1"/>
    <w:rsid w:val="DFD7ADE0"/>
    <w:rsid w:val="DFEE8A5D"/>
    <w:rsid w:val="DFEF78EC"/>
    <w:rsid w:val="DFF755A9"/>
    <w:rsid w:val="DFFCCF0B"/>
    <w:rsid w:val="DFFF8B7E"/>
    <w:rsid w:val="DFFFAC82"/>
    <w:rsid w:val="E1F99E6F"/>
    <w:rsid w:val="E23711A6"/>
    <w:rsid w:val="E2A155F7"/>
    <w:rsid w:val="E35BB024"/>
    <w:rsid w:val="E35F02E8"/>
    <w:rsid w:val="E3BB7791"/>
    <w:rsid w:val="E3BD0842"/>
    <w:rsid w:val="E3F9354D"/>
    <w:rsid w:val="E53E7501"/>
    <w:rsid w:val="E5F7EE43"/>
    <w:rsid w:val="E6D851D8"/>
    <w:rsid w:val="E71FD0E6"/>
    <w:rsid w:val="E7B3EAAD"/>
    <w:rsid w:val="E7BE8D8D"/>
    <w:rsid w:val="E7E7322B"/>
    <w:rsid w:val="E7F26473"/>
    <w:rsid w:val="E7FF7D51"/>
    <w:rsid w:val="E7FFDAA5"/>
    <w:rsid w:val="E9BE83A2"/>
    <w:rsid w:val="E9D5CFEA"/>
    <w:rsid w:val="E9FF08C4"/>
    <w:rsid w:val="EA7F869A"/>
    <w:rsid w:val="EAFE74D7"/>
    <w:rsid w:val="EB77BF6C"/>
    <w:rsid w:val="EBBE365A"/>
    <w:rsid w:val="EBE57627"/>
    <w:rsid w:val="EBEB7498"/>
    <w:rsid w:val="EBFF5E8C"/>
    <w:rsid w:val="EBFFC968"/>
    <w:rsid w:val="EC7FC311"/>
    <w:rsid w:val="ECCBDA78"/>
    <w:rsid w:val="ECEF3356"/>
    <w:rsid w:val="ECF7CFAD"/>
    <w:rsid w:val="ED6F5D44"/>
    <w:rsid w:val="ED7376C3"/>
    <w:rsid w:val="ED774284"/>
    <w:rsid w:val="ED7960F1"/>
    <w:rsid w:val="ED7D5A6F"/>
    <w:rsid w:val="ED7F4B87"/>
    <w:rsid w:val="EDB6E468"/>
    <w:rsid w:val="EDBBE0FB"/>
    <w:rsid w:val="EDBDB483"/>
    <w:rsid w:val="EDDF6089"/>
    <w:rsid w:val="EDFF0813"/>
    <w:rsid w:val="EE17D188"/>
    <w:rsid w:val="EE5F0145"/>
    <w:rsid w:val="EE6E9D1B"/>
    <w:rsid w:val="EE9C6C7F"/>
    <w:rsid w:val="EE9F6E32"/>
    <w:rsid w:val="EECF3CA3"/>
    <w:rsid w:val="EEDBCFCF"/>
    <w:rsid w:val="EEE54B18"/>
    <w:rsid w:val="EEEF085D"/>
    <w:rsid w:val="EEF7AECC"/>
    <w:rsid w:val="EEFA5860"/>
    <w:rsid w:val="EEFB405E"/>
    <w:rsid w:val="EEFBDE69"/>
    <w:rsid w:val="EEFDEC9E"/>
    <w:rsid w:val="EEFFB966"/>
    <w:rsid w:val="EF0C1997"/>
    <w:rsid w:val="EF1FB2E4"/>
    <w:rsid w:val="EF53CE1C"/>
    <w:rsid w:val="EF71F257"/>
    <w:rsid w:val="EF7E45F2"/>
    <w:rsid w:val="EF7F7607"/>
    <w:rsid w:val="EF9E41F6"/>
    <w:rsid w:val="EFA9B9EA"/>
    <w:rsid w:val="EFBF175C"/>
    <w:rsid w:val="EFD769F3"/>
    <w:rsid w:val="EFDFB69D"/>
    <w:rsid w:val="EFE9EBBD"/>
    <w:rsid w:val="EFF7AE90"/>
    <w:rsid w:val="EFF96DA7"/>
    <w:rsid w:val="EFFDE953"/>
    <w:rsid w:val="EFFF6AAA"/>
    <w:rsid w:val="F1FE041F"/>
    <w:rsid w:val="F1FF3B36"/>
    <w:rsid w:val="F2AF4795"/>
    <w:rsid w:val="F2B78821"/>
    <w:rsid w:val="F2DE3BC3"/>
    <w:rsid w:val="F39D01AD"/>
    <w:rsid w:val="F3AFFBFA"/>
    <w:rsid w:val="F3CFDEF6"/>
    <w:rsid w:val="F3DC2155"/>
    <w:rsid w:val="F3DF6099"/>
    <w:rsid w:val="F3EF3391"/>
    <w:rsid w:val="F3EF8EBA"/>
    <w:rsid w:val="F3F7903A"/>
    <w:rsid w:val="F3FDEEAB"/>
    <w:rsid w:val="F47B8D14"/>
    <w:rsid w:val="F4AF8AE8"/>
    <w:rsid w:val="F4C7DB98"/>
    <w:rsid w:val="F4DD9952"/>
    <w:rsid w:val="F4DDBBB8"/>
    <w:rsid w:val="F5A7CC4F"/>
    <w:rsid w:val="F5B2A0A9"/>
    <w:rsid w:val="F5F3D360"/>
    <w:rsid w:val="F5FBB514"/>
    <w:rsid w:val="F5FE7E48"/>
    <w:rsid w:val="F6DE87EA"/>
    <w:rsid w:val="F6DF1CF7"/>
    <w:rsid w:val="F6FDD333"/>
    <w:rsid w:val="F6FE606E"/>
    <w:rsid w:val="F73FFF88"/>
    <w:rsid w:val="F7676F6C"/>
    <w:rsid w:val="F7778186"/>
    <w:rsid w:val="F777A795"/>
    <w:rsid w:val="F7DD162E"/>
    <w:rsid w:val="F7DFB955"/>
    <w:rsid w:val="F7DFC928"/>
    <w:rsid w:val="F7DFCE14"/>
    <w:rsid w:val="F7EF83A9"/>
    <w:rsid w:val="F7F7C61D"/>
    <w:rsid w:val="F7FAB634"/>
    <w:rsid w:val="F7FD99DF"/>
    <w:rsid w:val="F7FFD601"/>
    <w:rsid w:val="F86B47E8"/>
    <w:rsid w:val="F87DEB7C"/>
    <w:rsid w:val="F8FB029B"/>
    <w:rsid w:val="F95BDB06"/>
    <w:rsid w:val="F9DF676F"/>
    <w:rsid w:val="F9F9EBCB"/>
    <w:rsid w:val="F9FBA911"/>
    <w:rsid w:val="F9FF330E"/>
    <w:rsid w:val="FA37F031"/>
    <w:rsid w:val="FA7BAEF5"/>
    <w:rsid w:val="FAFE5590"/>
    <w:rsid w:val="FAFE7FEB"/>
    <w:rsid w:val="FB33DDFA"/>
    <w:rsid w:val="FB5E8D2C"/>
    <w:rsid w:val="FB7B5725"/>
    <w:rsid w:val="FB7D43D7"/>
    <w:rsid w:val="FB7F6C1D"/>
    <w:rsid w:val="FB7FABA3"/>
    <w:rsid w:val="FB9FC903"/>
    <w:rsid w:val="FBB6A125"/>
    <w:rsid w:val="FBBEC91C"/>
    <w:rsid w:val="FBDBC21F"/>
    <w:rsid w:val="FBDD8249"/>
    <w:rsid w:val="FBDDCF66"/>
    <w:rsid w:val="FBF5CAC7"/>
    <w:rsid w:val="FBF9B621"/>
    <w:rsid w:val="FBFA5287"/>
    <w:rsid w:val="FBFB2775"/>
    <w:rsid w:val="FBFCDF65"/>
    <w:rsid w:val="FBFD232B"/>
    <w:rsid w:val="FBFD47A4"/>
    <w:rsid w:val="FBFE8511"/>
    <w:rsid w:val="FC79F63D"/>
    <w:rsid w:val="FCB2FC1D"/>
    <w:rsid w:val="FCBFAA56"/>
    <w:rsid w:val="FCFB92AA"/>
    <w:rsid w:val="FCFF5EDA"/>
    <w:rsid w:val="FD0C0261"/>
    <w:rsid w:val="FD5F1116"/>
    <w:rsid w:val="FD6C2150"/>
    <w:rsid w:val="FD6F0D82"/>
    <w:rsid w:val="FD76EC71"/>
    <w:rsid w:val="FD7B1234"/>
    <w:rsid w:val="FD7F038B"/>
    <w:rsid w:val="FD87D0A7"/>
    <w:rsid w:val="FD9FDAE5"/>
    <w:rsid w:val="FDBDACAE"/>
    <w:rsid w:val="FDBF5719"/>
    <w:rsid w:val="FDD7A433"/>
    <w:rsid w:val="FDDB01FA"/>
    <w:rsid w:val="FDDE0024"/>
    <w:rsid w:val="FDFD0692"/>
    <w:rsid w:val="FDFD73A6"/>
    <w:rsid w:val="FDFEAB97"/>
    <w:rsid w:val="FDFF032B"/>
    <w:rsid w:val="FDFF5DF8"/>
    <w:rsid w:val="FDFFB1A7"/>
    <w:rsid w:val="FDFFEC83"/>
    <w:rsid w:val="FE4F750D"/>
    <w:rsid w:val="FE6F865B"/>
    <w:rsid w:val="FE8347E5"/>
    <w:rsid w:val="FEB99567"/>
    <w:rsid w:val="FEBDDF4F"/>
    <w:rsid w:val="FEBF1FFD"/>
    <w:rsid w:val="FECFEE29"/>
    <w:rsid w:val="FEDF9791"/>
    <w:rsid w:val="FEE75B7D"/>
    <w:rsid w:val="FEEB89EE"/>
    <w:rsid w:val="FEF5DA74"/>
    <w:rsid w:val="FEF63937"/>
    <w:rsid w:val="FEF7A302"/>
    <w:rsid w:val="FEF9ABA8"/>
    <w:rsid w:val="FEFD617D"/>
    <w:rsid w:val="FEFDE779"/>
    <w:rsid w:val="FEFE4DE6"/>
    <w:rsid w:val="FEFF6B58"/>
    <w:rsid w:val="FF1A9262"/>
    <w:rsid w:val="FF1F605B"/>
    <w:rsid w:val="FF4D4FF8"/>
    <w:rsid w:val="FF5B94B4"/>
    <w:rsid w:val="FF5BC372"/>
    <w:rsid w:val="FF6AC255"/>
    <w:rsid w:val="FF6F08E2"/>
    <w:rsid w:val="FF6F17BA"/>
    <w:rsid w:val="FF7B39F8"/>
    <w:rsid w:val="FF7F81AA"/>
    <w:rsid w:val="FF7FEF93"/>
    <w:rsid w:val="FF97E263"/>
    <w:rsid w:val="FF99E70C"/>
    <w:rsid w:val="FF9CB892"/>
    <w:rsid w:val="FF9EA479"/>
    <w:rsid w:val="FFA565B7"/>
    <w:rsid w:val="FFA98B22"/>
    <w:rsid w:val="FFAD2A56"/>
    <w:rsid w:val="FFB52BD8"/>
    <w:rsid w:val="FFBA385A"/>
    <w:rsid w:val="FFBDFAEA"/>
    <w:rsid w:val="FFBE021E"/>
    <w:rsid w:val="FFCB6D28"/>
    <w:rsid w:val="FFDB53EE"/>
    <w:rsid w:val="FFDB54C9"/>
    <w:rsid w:val="FFDB648F"/>
    <w:rsid w:val="FFDB9056"/>
    <w:rsid w:val="FFDD1F4D"/>
    <w:rsid w:val="FFDEB40A"/>
    <w:rsid w:val="FFDF0D02"/>
    <w:rsid w:val="FFDF48E1"/>
    <w:rsid w:val="FFE2E793"/>
    <w:rsid w:val="FFEB1184"/>
    <w:rsid w:val="FFEB3003"/>
    <w:rsid w:val="FFED018A"/>
    <w:rsid w:val="FFED9A1B"/>
    <w:rsid w:val="FFEDAAA7"/>
    <w:rsid w:val="FFEE16FA"/>
    <w:rsid w:val="FFEE96C5"/>
    <w:rsid w:val="FFEEA702"/>
    <w:rsid w:val="FFEF253E"/>
    <w:rsid w:val="FFF68F68"/>
    <w:rsid w:val="FFF7B442"/>
    <w:rsid w:val="FFF7E3FB"/>
    <w:rsid w:val="FFFAC4F1"/>
    <w:rsid w:val="FFFB948E"/>
    <w:rsid w:val="FFFBFD0F"/>
    <w:rsid w:val="FFFD0B2E"/>
    <w:rsid w:val="FFFE44A4"/>
    <w:rsid w:val="FFFE5ED3"/>
    <w:rsid w:val="FFFE8106"/>
    <w:rsid w:val="FFFEF259"/>
    <w:rsid w:val="FFFF295D"/>
    <w:rsid w:val="FFFF4956"/>
    <w:rsid w:val="FFFF9B12"/>
    <w:rsid w:val="FFFF9C66"/>
    <w:rsid w:val="FFFF9F89"/>
    <w:rsid w:val="FFFFE06A"/>
    <w:rsid w:val="FFFFEF8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2">
    <w:name w:val="heading 3"/>
    <w:basedOn w:val="1"/>
    <w:next w:val="1"/>
    <w:unhideWhenUsed/>
    <w:qFormat/>
    <w:uiPriority w:val="0"/>
    <w:pPr>
      <w:keepNext/>
      <w:keepLines/>
      <w:spacing w:line="560" w:lineRule="exact"/>
      <w:ind w:firstLine="200" w:firstLineChars="200"/>
      <w:outlineLvl w:val="2"/>
    </w:pPr>
    <w:rPr>
      <w:rFonts w:ascii="Times New Roman" w:hAnsi="Times New Roman" w:eastAsia="仿宋_GB2312"/>
      <w:b/>
      <w:bCs/>
      <w:kern w:val="0"/>
      <w:sz w:val="32"/>
      <w:szCs w:val="32"/>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ind w:firstLine="420" w:firstLineChars="200"/>
    </w:pPr>
  </w:style>
  <w:style w:type="paragraph" w:styleId="5">
    <w:name w:val="index 5"/>
    <w:basedOn w:val="1"/>
    <w:next w:val="1"/>
    <w:qFormat/>
    <w:uiPriority w:val="0"/>
    <w:pPr>
      <w:ind w:left="1680"/>
    </w:pPr>
  </w:style>
  <w:style w:type="paragraph" w:styleId="6">
    <w:name w:val="Body Text"/>
    <w:basedOn w:val="1"/>
    <w:next w:val="7"/>
    <w:qFormat/>
    <w:uiPriority w:val="0"/>
    <w:pPr>
      <w:snapToGrid w:val="0"/>
      <w:spacing w:line="579" w:lineRule="exact"/>
    </w:pPr>
    <w:rPr>
      <w:rFonts w:eastAsia="仿宋_GB2312"/>
      <w:sz w:val="32"/>
    </w:rPr>
  </w:style>
  <w:style w:type="paragraph" w:styleId="7">
    <w:name w:val="Body Text First Indent"/>
    <w:basedOn w:val="6"/>
    <w:next w:val="6"/>
    <w:qFormat/>
    <w:uiPriority w:val="0"/>
    <w:pPr>
      <w:ind w:firstLine="200" w:firstLineChars="200"/>
    </w:pPr>
    <w:rPr>
      <w:rFonts w:eastAsia="宋体"/>
    </w:rPr>
  </w:style>
  <w:style w:type="paragraph" w:styleId="8">
    <w:name w:val="Body Text Indent"/>
    <w:basedOn w:val="1"/>
    <w:next w:val="1"/>
    <w:qFormat/>
    <w:uiPriority w:val="0"/>
    <w:pPr>
      <w:ind w:firstLine="640" w:firstLineChars="200"/>
    </w:pPr>
    <w:rPr>
      <w:rFonts w:cs="Times New Roman"/>
      <w:kern w:val="0"/>
      <w:sz w:val="20"/>
    </w:rPr>
  </w:style>
  <w:style w:type="paragraph" w:styleId="9">
    <w:name w:val="footer"/>
    <w:basedOn w:val="1"/>
    <w:next w:val="10"/>
    <w:unhideWhenUsed/>
    <w:qFormat/>
    <w:uiPriority w:val="99"/>
    <w:pPr>
      <w:tabs>
        <w:tab w:val="center" w:pos="4153"/>
        <w:tab w:val="right" w:pos="8306"/>
      </w:tabs>
      <w:snapToGrid w:val="0"/>
      <w:jc w:val="left"/>
    </w:pPr>
    <w:rPr>
      <w:sz w:val="18"/>
      <w:szCs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2">
    <w:name w:val="Body Text First Indent 2"/>
    <w:basedOn w:val="8"/>
    <w:next w:val="1"/>
    <w:qFormat/>
    <w:uiPriority w:val="0"/>
    <w:pPr>
      <w:spacing w:afterLines="0"/>
      <w:ind w:left="0" w:leftChars="0" w:firstLine="1134"/>
    </w:pPr>
    <w:rPr>
      <w:rFonts w:ascii="Times New Roman" w:hAnsi="Times New Roman"/>
      <w:sz w:val="33"/>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0"/>
    <w:rPr>
      <w:b/>
    </w:rPr>
  </w:style>
  <w:style w:type="paragraph" w:customStyle="1" w:styleId="17">
    <w:name w:val="BodyText"/>
    <w:basedOn w:val="1"/>
    <w:qFormat/>
    <w:uiPriority w:val="0"/>
    <w:pPr>
      <w:jc w:val="both"/>
      <w:textAlignment w:val="baseline"/>
    </w:pPr>
  </w:style>
  <w:style w:type="paragraph" w:customStyle="1" w:styleId="18">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rPr>
  </w:style>
  <w:style w:type="character" w:customStyle="1" w:styleId="19">
    <w:name w:val="NormalCharacter"/>
    <w:semiHidden/>
    <w:qFormat/>
    <w:uiPriority w:val="0"/>
    <w:rPr>
      <w:rFonts w:ascii="Calibri" w:hAnsi="Calibri" w:eastAsia="宋体" w:cs="Times New Roman"/>
      <w:kern w:val="2"/>
      <w:sz w:val="21"/>
      <w:szCs w:val="24"/>
      <w:lang w:val="en-US" w:eastAsia="zh-CN" w:bidi="ar-SA"/>
    </w:rPr>
  </w:style>
  <w:style w:type="paragraph" w:customStyle="1" w:styleId="20">
    <w:name w:val="Body text|1"/>
    <w:basedOn w:val="1"/>
    <w:qFormat/>
    <w:uiPriority w:val="0"/>
    <w:pPr>
      <w:widowControl w:val="0"/>
      <w:shd w:val="clear" w:color="auto" w:fill="auto"/>
      <w:spacing w:line="418" w:lineRule="auto"/>
      <w:ind w:firstLine="400"/>
    </w:pPr>
    <w:rPr>
      <w:rFonts w:ascii="宋体" w:hAnsi="宋体" w:eastAsia="宋体" w:cs="宋体"/>
      <w:sz w:val="30"/>
      <w:szCs w:val="30"/>
      <w:u w:val="none"/>
      <w:shd w:val="clear" w:color="auto" w:fill="auto"/>
      <w:lang w:val="zh-TW" w:eastAsia="zh-TW" w:bidi="zh-TW"/>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11350</Words>
  <Characters>11903</Characters>
  <Lines>1</Lines>
  <Paragraphs>1</Paragraphs>
  <TotalTime>0</TotalTime>
  <ScaleCrop>false</ScaleCrop>
  <LinksUpToDate>false</LinksUpToDate>
  <CharactersWithSpaces>11993</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2014-11-30T12:08:00Z</dcterms:created>
  <dc:creator>Administrator</dc:creator>
  <cp:lastModifiedBy>guyuan</cp:lastModifiedBy>
  <cp:lastPrinted>2022-12-27T05:09:00Z</cp:lastPrinted>
  <dcterms:modified xsi:type="dcterms:W3CDTF">2023-05-16T11:37:18Z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ED23B5D741E7490190171D38CA0BB447</vt:lpwstr>
  </property>
</Properties>
</file>