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F82D71">
      <w:pPr>
        <w:rPr>
          <w:rFonts w:hint="default" w:ascii="Times New Roman" w:hAnsi="Times New Roman" w:eastAsia="仿宋_GB2312" w:cs="Times New Roman"/>
          <w:color w:val="000000" w:themeColor="text1"/>
          <w:sz w:val="36"/>
          <w:szCs w:val="36"/>
          <w14:textFill>
            <w14:solidFill>
              <w14:schemeClr w14:val="tx1"/>
            </w14:solidFill>
          </w14:textFill>
        </w:rPr>
      </w:pPr>
      <w:bookmarkStart w:id="0" w:name="_Hlk57883707"/>
    </w:p>
    <w:p w14:paraId="7A2DC6F8">
      <w:pPr>
        <w:rPr>
          <w:rFonts w:hint="default" w:ascii="Times New Roman" w:hAnsi="Times New Roman" w:eastAsia="仿宋_GB2312" w:cs="Times New Roman"/>
          <w:color w:val="000000" w:themeColor="text1"/>
          <w:sz w:val="36"/>
          <w:szCs w:val="36"/>
          <w14:textFill>
            <w14:solidFill>
              <w14:schemeClr w14:val="tx1"/>
            </w14:solidFill>
          </w14:textFill>
        </w:rPr>
      </w:pPr>
    </w:p>
    <w:p w14:paraId="1CA08044">
      <w:pPr>
        <w:adjustRightInd w:val="0"/>
        <w:snapToGrid w:val="0"/>
        <w:ind w:firstLine="0" w:firstLineChars="0"/>
        <w:jc w:val="center"/>
        <w:outlineLvl w:val="0"/>
        <w:rPr>
          <w:rFonts w:hint="default" w:ascii="Times New Roman" w:hAnsi="Times New Roman" w:eastAsia="方正小标宋_GBK" w:cs="Times New Roman"/>
          <w:bCs/>
          <w:color w:val="000000" w:themeColor="text1"/>
          <w:sz w:val="72"/>
          <w:szCs w:val="72"/>
          <w14:textFill>
            <w14:solidFill>
              <w14:schemeClr w14:val="tx1"/>
            </w14:solidFill>
          </w14:textFill>
        </w:rPr>
      </w:pPr>
      <w:r>
        <w:rPr>
          <w:rFonts w:hint="default" w:ascii="Times New Roman" w:hAnsi="Times New Roman" w:eastAsia="方正小标宋_GBK" w:cs="Times New Roman"/>
          <w:bCs/>
          <w:color w:val="000000" w:themeColor="text1"/>
          <w:sz w:val="72"/>
          <w:szCs w:val="72"/>
          <w14:textFill>
            <w14:solidFill>
              <w14:schemeClr w14:val="tx1"/>
            </w14:solidFill>
          </w14:textFill>
        </w:rPr>
        <w:t>建设项目环境影响报告表</w:t>
      </w:r>
    </w:p>
    <w:p w14:paraId="7A1E0913">
      <w:pPr>
        <w:adjustRightInd w:val="0"/>
        <w:snapToGrid w:val="0"/>
        <w:spacing w:before="192" w:beforeLines="80"/>
        <w:ind w:firstLine="0" w:firstLineChars="0"/>
        <w:jc w:val="center"/>
        <w:rPr>
          <w:rFonts w:hint="default" w:ascii="Times New Roman" w:hAnsi="Times New Roman" w:eastAsia="楷体_GB2312" w:cs="Times New Roman"/>
          <w:bCs/>
          <w:color w:val="000000" w:themeColor="text1"/>
          <w:sz w:val="48"/>
          <w:szCs w:val="48"/>
          <w14:textFill>
            <w14:solidFill>
              <w14:schemeClr w14:val="tx1"/>
            </w14:solidFill>
          </w14:textFill>
        </w:rPr>
      </w:pPr>
      <w:r>
        <w:rPr>
          <w:rFonts w:hint="default" w:ascii="Times New Roman" w:hAnsi="Times New Roman" w:eastAsia="楷体_GB2312" w:cs="Times New Roman"/>
          <w:bCs/>
          <w:color w:val="000000" w:themeColor="text1"/>
          <w:sz w:val="48"/>
          <w:szCs w:val="48"/>
          <w14:textFill>
            <w14:solidFill>
              <w14:schemeClr w14:val="tx1"/>
            </w14:solidFill>
          </w14:textFill>
        </w:rPr>
        <w:t>（生态影响类</w:t>
      </w:r>
      <w:r>
        <w:rPr>
          <w:rFonts w:hint="eastAsia" w:eastAsia="楷体_GB2312" w:cs="Times New Roman"/>
          <w:bCs/>
          <w:color w:val="000000" w:themeColor="text1"/>
          <w:sz w:val="48"/>
          <w:szCs w:val="48"/>
          <w:lang w:val="en-US" w:eastAsia="zh-CN"/>
          <w14:textFill>
            <w14:solidFill>
              <w14:schemeClr w14:val="tx1"/>
            </w14:solidFill>
          </w14:textFill>
        </w:rPr>
        <w:t>-送审稿</w:t>
      </w:r>
      <w:r>
        <w:rPr>
          <w:rFonts w:hint="default" w:ascii="Times New Roman" w:hAnsi="Times New Roman" w:eastAsia="楷体_GB2312" w:cs="Times New Roman"/>
          <w:bCs/>
          <w:color w:val="000000" w:themeColor="text1"/>
          <w:sz w:val="48"/>
          <w:szCs w:val="48"/>
          <w14:textFill>
            <w14:solidFill>
              <w14:schemeClr w14:val="tx1"/>
            </w14:solidFill>
          </w14:textFill>
        </w:rPr>
        <w:t>）</w:t>
      </w:r>
    </w:p>
    <w:p w14:paraId="1F8C6488">
      <w:pPr>
        <w:ind w:firstLine="1040"/>
        <w:jc w:val="center"/>
        <w:rPr>
          <w:rFonts w:hint="default" w:ascii="Times New Roman" w:hAnsi="Times New Roman" w:eastAsia="仿宋" w:cs="Times New Roman"/>
          <w:color w:val="000000" w:themeColor="text1"/>
          <w:sz w:val="52"/>
          <w:szCs w:val="52"/>
          <w:lang w:eastAsia="zh-CN"/>
          <w14:textFill>
            <w14:solidFill>
              <w14:schemeClr w14:val="tx1"/>
            </w14:solidFill>
          </w14:textFill>
        </w:rPr>
      </w:pPr>
    </w:p>
    <w:p w14:paraId="58BFFB2B">
      <w:pPr>
        <w:pStyle w:val="49"/>
        <w:spacing w:before="24" w:after="24"/>
        <w:ind w:firstLine="1040"/>
        <w:rPr>
          <w:rFonts w:hint="default" w:ascii="Times New Roman" w:hAnsi="Times New Roman" w:eastAsia="仿宋" w:cs="Times New Roman"/>
          <w:color w:val="000000" w:themeColor="text1"/>
          <w:sz w:val="52"/>
          <w:szCs w:val="52"/>
          <w14:textFill>
            <w14:solidFill>
              <w14:schemeClr w14:val="tx1"/>
            </w14:solidFill>
          </w14:textFill>
        </w:rPr>
      </w:pPr>
    </w:p>
    <w:p w14:paraId="1C5DDCD4">
      <w:pPr>
        <w:ind w:firstLine="1040"/>
        <w:rPr>
          <w:rFonts w:hint="default" w:ascii="Times New Roman" w:hAnsi="Times New Roman" w:eastAsia="仿宋" w:cs="Times New Roman"/>
          <w:color w:val="000000" w:themeColor="text1"/>
          <w:sz w:val="52"/>
          <w:szCs w:val="52"/>
          <w:lang w:val="en-US" w:eastAsia="zh-CN"/>
          <w14:textFill>
            <w14:solidFill>
              <w14:schemeClr w14:val="tx1"/>
            </w14:solidFill>
          </w14:textFill>
        </w:rPr>
      </w:pPr>
      <w:r>
        <w:rPr>
          <w:rFonts w:hint="default" w:ascii="Times New Roman" w:hAnsi="Times New Roman" w:eastAsia="仿宋" w:cs="Times New Roman"/>
          <w:color w:val="000000" w:themeColor="text1"/>
          <w:sz w:val="52"/>
          <w:szCs w:val="52"/>
          <w:lang w:val="en-US" w:eastAsia="zh-CN"/>
          <w14:textFill>
            <w14:solidFill>
              <w14:schemeClr w14:val="tx1"/>
            </w14:solidFill>
          </w14:textFill>
        </w:rPr>
        <w:t xml:space="preserve"> </w:t>
      </w:r>
    </w:p>
    <w:p w14:paraId="277D73EE">
      <w:pPr>
        <w:pStyle w:val="49"/>
        <w:spacing w:before="24" w:after="24"/>
        <w:ind w:firstLine="400"/>
        <w:rPr>
          <w:rFonts w:hint="default" w:ascii="Times New Roman" w:hAnsi="Times New Roman" w:cs="Times New Roman"/>
          <w:color w:val="000000" w:themeColor="text1"/>
          <w14:textFill>
            <w14:solidFill>
              <w14:schemeClr w14:val="tx1"/>
            </w14:solidFill>
          </w14:textFill>
        </w:rPr>
      </w:pPr>
    </w:p>
    <w:p w14:paraId="1ECEBA01">
      <w:pPr>
        <w:ind w:firstLine="880"/>
        <w:rPr>
          <w:rFonts w:hint="default" w:ascii="Times New Roman" w:hAnsi="Times New Roman" w:eastAsia="仿宋" w:cs="Times New Roman"/>
          <w:color w:val="000000" w:themeColor="text1"/>
          <w:sz w:val="44"/>
          <w:szCs w:val="44"/>
          <w14:textFill>
            <w14:solidFill>
              <w14:schemeClr w14:val="tx1"/>
            </w14:solidFill>
          </w14:textFill>
        </w:rPr>
      </w:pPr>
    </w:p>
    <w:p w14:paraId="066A5339">
      <w:pPr>
        <w:ind w:firstLine="0" w:firstLineChars="0"/>
        <w:jc w:val="center"/>
        <w:rPr>
          <w:rFonts w:hint="default" w:ascii="Times New Roman" w:hAnsi="Times New Roman" w:eastAsia="仿宋" w:cs="Times New Roman"/>
          <w:color w:val="000000" w:themeColor="text1"/>
          <w:sz w:val="44"/>
          <w:szCs w:val="44"/>
          <w14:textFill>
            <w14:solidFill>
              <w14:schemeClr w14:val="tx1"/>
            </w14:solidFill>
          </w14:textFill>
        </w:rPr>
      </w:pPr>
    </w:p>
    <w:p w14:paraId="5498C6B2">
      <w:pPr>
        <w:pStyle w:val="49"/>
        <w:spacing w:before="24" w:after="24"/>
        <w:ind w:firstLine="0" w:firstLineChars="0"/>
        <w:rPr>
          <w:rFonts w:hint="default" w:ascii="Times New Roman" w:hAnsi="Times New Roman" w:cs="Times New Roman"/>
          <w:color w:val="000000" w:themeColor="text1"/>
          <w14:textFill>
            <w14:solidFill>
              <w14:schemeClr w14:val="tx1"/>
            </w14:solidFill>
          </w14:textFill>
        </w:rPr>
      </w:pPr>
    </w:p>
    <w:p w14:paraId="7AC44556">
      <w:pPr>
        <w:adjustRightInd w:val="0"/>
        <w:snapToGrid w:val="0"/>
        <w:spacing w:line="288" w:lineRule="auto"/>
        <w:ind w:left="0" w:leftChars="0" w:right="0" w:rightChars="0" w:firstLine="0" w:firstLineChars="0"/>
        <w:jc w:val="center"/>
        <w:rPr>
          <w:rFonts w:hint="default" w:ascii="Times New Roman" w:hAnsi="Times New Roman" w:eastAsia="仿宋_GB2312" w:cs="Times New Roman"/>
          <w:color w:val="000000" w:themeColor="text1"/>
          <w:sz w:val="36"/>
          <w:szCs w:val="36"/>
          <w:highlight w:val="none"/>
          <w:u w:val="single"/>
          <w:lang w:val="en-US" w:eastAsia="zh-CN"/>
          <w14:textFill>
            <w14:solidFill>
              <w14:schemeClr w14:val="tx1"/>
            </w14:solidFill>
          </w14:textFill>
        </w:rPr>
      </w:pPr>
      <w:r>
        <w:rPr>
          <w:rFonts w:hint="default" w:ascii="Times New Roman" w:hAnsi="Times New Roman" w:eastAsia="仿宋_GB2312" w:cs="Times New Roman"/>
          <w:color w:val="000000" w:themeColor="text1"/>
          <w:sz w:val="36"/>
          <w:szCs w:val="36"/>
          <w14:textFill>
            <w14:solidFill>
              <w14:schemeClr w14:val="tx1"/>
            </w14:solidFill>
          </w14:textFill>
        </w:rPr>
        <w:t>项目名称：</w:t>
      </w:r>
      <w:r>
        <w:rPr>
          <w:rFonts w:hint="default" w:ascii="Times New Roman" w:hAnsi="Times New Roman" w:eastAsia="仿宋_GB2312" w:cs="Times New Roman"/>
          <w:color w:val="000000" w:themeColor="text1"/>
          <w:sz w:val="36"/>
          <w:szCs w:val="36"/>
          <w:u w:val="single"/>
          <w:lang w:val="en-US" w:eastAsia="zh-CN"/>
          <w14:textFill>
            <w14:solidFill>
              <w14:schemeClr w14:val="tx1"/>
            </w14:solidFill>
          </w14:textFill>
        </w:rPr>
        <w:t>宁夏</w:t>
      </w:r>
      <w:r>
        <w:rPr>
          <w:rFonts w:hint="default" w:ascii="Times New Roman" w:hAnsi="Times New Roman" w:eastAsia="仿宋_GB2312" w:cs="Times New Roman"/>
          <w:color w:val="000000" w:themeColor="text1"/>
          <w:sz w:val="36"/>
          <w:szCs w:val="36"/>
          <w:highlight w:val="none"/>
          <w:u w:val="single"/>
          <w:lang w:val="en-US" w:eastAsia="zh-CN"/>
          <w14:textFill>
            <w14:solidFill>
              <w14:schemeClr w14:val="tx1"/>
            </w14:solidFill>
          </w14:textFill>
        </w:rPr>
        <w:t>泾源县龙房宫片区生态环境修复与农林文</w:t>
      </w:r>
    </w:p>
    <w:p w14:paraId="35ADCC46">
      <w:pPr>
        <w:adjustRightInd w:val="0"/>
        <w:snapToGrid w:val="0"/>
        <w:spacing w:line="288" w:lineRule="auto"/>
        <w:ind w:right="0" w:rightChars="0" w:firstLine="1800" w:firstLineChars="500"/>
        <w:jc w:val="both"/>
        <w:rPr>
          <w:rFonts w:hint="default" w:ascii="Times New Roman" w:hAnsi="Times New Roman" w:eastAsia="仿宋_GB2312" w:cs="Times New Roman"/>
          <w:color w:val="000000" w:themeColor="text1"/>
          <w:sz w:val="36"/>
          <w:szCs w:val="36"/>
          <w:u w:val="single"/>
          <w:lang w:val="en-US" w:eastAsia="zh-CN"/>
          <w14:textFill>
            <w14:solidFill>
              <w14:schemeClr w14:val="tx1"/>
            </w14:solidFill>
          </w14:textFill>
        </w:rPr>
      </w:pPr>
      <w:r>
        <w:rPr>
          <w:rFonts w:hint="default" w:ascii="Times New Roman" w:hAnsi="Times New Roman" w:eastAsia="仿宋_GB2312" w:cs="Times New Roman"/>
          <w:color w:val="000000" w:themeColor="text1"/>
          <w:sz w:val="36"/>
          <w:szCs w:val="36"/>
          <w:highlight w:val="none"/>
          <w:u w:val="single"/>
          <w:lang w:val="en-US" w:eastAsia="zh-CN"/>
          <w14:textFill>
            <w14:solidFill>
              <w14:schemeClr w14:val="tx1"/>
            </w14:solidFill>
          </w14:textFill>
        </w:rPr>
        <w:t>旅康融合开发EOD项目</w:t>
      </w:r>
      <w:r>
        <w:rPr>
          <w:rFonts w:hint="eastAsia" w:eastAsia="仿宋_GB2312" w:cs="Times New Roman"/>
          <w:color w:val="000000" w:themeColor="text1"/>
          <w:sz w:val="36"/>
          <w:szCs w:val="36"/>
          <w:highlight w:val="none"/>
          <w:u w:val="single"/>
          <w:lang w:val="en-US" w:eastAsia="zh-CN"/>
          <w14:textFill>
            <w14:solidFill>
              <w14:schemeClr w14:val="tx1"/>
            </w14:solidFill>
          </w14:textFill>
        </w:rPr>
        <w:t xml:space="preserve">                  </w:t>
      </w:r>
    </w:p>
    <w:p w14:paraId="6056E69A">
      <w:pPr>
        <w:adjustRightInd w:val="0"/>
        <w:snapToGrid w:val="0"/>
        <w:spacing w:line="288" w:lineRule="auto"/>
        <w:ind w:left="3240" w:leftChars="0" w:right="0" w:rightChars="0" w:hanging="3240" w:hangingChars="900"/>
        <w:jc w:val="both"/>
        <w:rPr>
          <w:rFonts w:hint="default" w:ascii="Times New Roman" w:hAnsi="Times New Roman" w:eastAsia="仿宋_GB2312" w:cs="Times New Roman"/>
          <w:color w:val="000000" w:themeColor="text1"/>
          <w:sz w:val="36"/>
          <w:szCs w:val="36"/>
          <w:highlight w:val="none"/>
          <w:u w:val="single"/>
          <w:lang w:val="en-US" w:eastAsia="zh-CN"/>
          <w14:textFill>
            <w14:solidFill>
              <w14:schemeClr w14:val="tx1"/>
            </w14:solidFill>
          </w14:textFill>
        </w:rPr>
      </w:pPr>
      <w:r>
        <w:rPr>
          <w:rFonts w:hint="default" w:ascii="Times New Roman" w:hAnsi="Times New Roman" w:eastAsia="仿宋_GB2312" w:cs="Times New Roman"/>
          <w:color w:val="000000" w:themeColor="text1"/>
          <w:sz w:val="36"/>
          <w:szCs w:val="36"/>
          <w14:textFill>
            <w14:solidFill>
              <w14:schemeClr w14:val="tx1"/>
            </w14:solidFill>
          </w14:textFill>
        </w:rPr>
        <w:t>建设单位（盖章）：</w:t>
      </w:r>
      <w:r>
        <w:rPr>
          <w:rFonts w:hint="default" w:ascii="Times New Roman" w:hAnsi="Times New Roman" w:eastAsia="仿宋_GB2312" w:cs="Times New Roman"/>
          <w:color w:val="000000" w:themeColor="text1"/>
          <w:sz w:val="36"/>
          <w:szCs w:val="36"/>
          <w:u w:val="single"/>
          <w:lang w:val="en-US" w:eastAsia="zh-CN"/>
          <w14:textFill>
            <w14:solidFill>
              <w14:schemeClr w14:val="tx1"/>
            </w14:solidFill>
          </w14:textFill>
        </w:rPr>
        <w:t>国录健康旅游产业发展</w:t>
      </w:r>
      <w:r>
        <w:rPr>
          <w:rFonts w:hint="eastAsia" w:eastAsia="仿宋_GB2312" w:cs="Times New Roman"/>
          <w:color w:val="000000" w:themeColor="text1"/>
          <w:sz w:val="36"/>
          <w:szCs w:val="36"/>
          <w:u w:val="single"/>
          <w:lang w:val="en-US" w:eastAsia="zh-CN"/>
          <w14:textFill>
            <w14:solidFill>
              <w14:schemeClr w14:val="tx1"/>
            </w14:solidFill>
          </w14:textFill>
        </w:rPr>
        <w:t>（</w:t>
      </w:r>
      <w:r>
        <w:rPr>
          <w:rFonts w:hint="default" w:ascii="Times New Roman" w:hAnsi="Times New Roman" w:eastAsia="仿宋_GB2312" w:cs="Times New Roman"/>
          <w:color w:val="000000" w:themeColor="text1"/>
          <w:sz w:val="36"/>
          <w:szCs w:val="36"/>
          <w:u w:val="single"/>
          <w:lang w:val="en-US" w:eastAsia="zh-CN"/>
          <w14:textFill>
            <w14:solidFill>
              <w14:schemeClr w14:val="tx1"/>
            </w14:solidFill>
          </w14:textFill>
        </w:rPr>
        <w:t>宁夏</w:t>
      </w:r>
      <w:r>
        <w:rPr>
          <w:rFonts w:hint="eastAsia" w:eastAsia="仿宋_GB2312" w:cs="Times New Roman"/>
          <w:color w:val="000000" w:themeColor="text1"/>
          <w:sz w:val="36"/>
          <w:szCs w:val="36"/>
          <w:u w:val="single"/>
          <w:lang w:val="en-US" w:eastAsia="zh-CN"/>
          <w14:textFill>
            <w14:solidFill>
              <w14:schemeClr w14:val="tx1"/>
            </w14:solidFill>
          </w14:textFill>
        </w:rPr>
        <w:t>）</w:t>
      </w:r>
      <w:r>
        <w:rPr>
          <w:rFonts w:hint="default" w:ascii="Times New Roman" w:hAnsi="Times New Roman" w:eastAsia="仿宋_GB2312" w:cs="Times New Roman"/>
          <w:color w:val="000000" w:themeColor="text1"/>
          <w:sz w:val="36"/>
          <w:szCs w:val="36"/>
          <w:u w:val="single"/>
          <w:lang w:val="en-US" w:eastAsia="zh-CN"/>
          <w14:textFill>
            <w14:solidFill>
              <w14:schemeClr w14:val="tx1"/>
            </w14:solidFill>
          </w14:textFill>
        </w:rPr>
        <w:t>有限</w:t>
      </w:r>
      <w:r>
        <w:rPr>
          <w:rFonts w:hint="eastAsia" w:eastAsia="仿宋_GB2312" w:cs="Times New Roman"/>
          <w:color w:val="000000" w:themeColor="text1"/>
          <w:sz w:val="36"/>
          <w:szCs w:val="36"/>
          <w:u w:val="single"/>
          <w:lang w:val="en-US" w:eastAsia="zh-CN"/>
          <w14:textFill>
            <w14:solidFill>
              <w14:schemeClr w14:val="tx1"/>
            </w14:solidFill>
          </w14:textFill>
        </w:rPr>
        <w:t>公司</w:t>
      </w:r>
    </w:p>
    <w:p w14:paraId="5ABEDDCE">
      <w:pPr>
        <w:adjustRightInd w:val="0"/>
        <w:snapToGrid w:val="0"/>
        <w:spacing w:line="288" w:lineRule="auto"/>
        <w:ind w:firstLine="0" w:firstLineChars="0"/>
        <w:jc w:val="both"/>
        <w:rPr>
          <w:rFonts w:hint="default" w:ascii="Times New Roman" w:hAnsi="Times New Roman" w:eastAsia="仿宋_GB2312" w:cs="Times New Roman"/>
          <w:color w:val="000000" w:themeColor="text1"/>
          <w:sz w:val="36"/>
          <w:szCs w:val="36"/>
          <w:u w:val="single"/>
          <w:lang w:val="en-US" w:eastAsia="zh-CN"/>
          <w14:textFill>
            <w14:solidFill>
              <w14:schemeClr w14:val="tx1"/>
            </w14:solidFill>
          </w14:textFill>
        </w:rPr>
      </w:pPr>
      <w:r>
        <w:rPr>
          <w:rFonts w:hint="default" w:ascii="Times New Roman" w:hAnsi="Times New Roman" w:eastAsia="仿宋_GB2312" w:cs="Times New Roman"/>
          <w:color w:val="000000" w:themeColor="text1"/>
          <w:sz w:val="36"/>
          <w:szCs w:val="36"/>
          <w14:textFill>
            <w14:solidFill>
              <w14:schemeClr w14:val="tx1"/>
            </w14:solidFill>
          </w14:textFill>
        </w:rPr>
        <w:t>编制日期：</w:t>
      </w:r>
      <w:r>
        <w:rPr>
          <w:rFonts w:hint="default" w:ascii="Times New Roman" w:hAnsi="Times New Roman" w:eastAsia="仿宋_GB2312" w:cs="Times New Roman"/>
          <w:color w:val="000000" w:themeColor="text1"/>
          <w:sz w:val="36"/>
          <w:szCs w:val="36"/>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6"/>
          <w:szCs w:val="36"/>
          <w:u w:val="single"/>
          <w14:textFill>
            <w14:solidFill>
              <w14:schemeClr w14:val="tx1"/>
            </w14:solidFill>
          </w14:textFill>
        </w:rPr>
        <w:t>202</w:t>
      </w:r>
      <w:r>
        <w:rPr>
          <w:rFonts w:hint="eastAsia" w:eastAsia="仿宋_GB2312" w:cs="Times New Roman"/>
          <w:color w:val="000000" w:themeColor="text1"/>
          <w:sz w:val="36"/>
          <w:szCs w:val="36"/>
          <w:u w:val="single"/>
          <w:lang w:val="en-US" w:eastAsia="zh-CN"/>
          <w14:textFill>
            <w14:solidFill>
              <w14:schemeClr w14:val="tx1"/>
            </w14:solidFill>
          </w14:textFill>
        </w:rPr>
        <w:t>5</w:t>
      </w:r>
      <w:r>
        <w:rPr>
          <w:rFonts w:hint="default" w:ascii="Times New Roman" w:hAnsi="Times New Roman" w:eastAsia="仿宋_GB2312" w:cs="Times New Roman"/>
          <w:color w:val="000000" w:themeColor="text1"/>
          <w:sz w:val="36"/>
          <w:szCs w:val="36"/>
          <w:u w:val="single"/>
          <w14:textFill>
            <w14:solidFill>
              <w14:schemeClr w14:val="tx1"/>
            </w14:solidFill>
          </w14:textFill>
        </w:rPr>
        <w:t>年</w:t>
      </w:r>
      <w:r>
        <w:rPr>
          <w:rFonts w:hint="eastAsia" w:eastAsia="仿宋_GB2312" w:cs="Times New Roman"/>
          <w:color w:val="000000" w:themeColor="text1"/>
          <w:sz w:val="36"/>
          <w:szCs w:val="36"/>
          <w:u w:val="single"/>
          <w:lang w:val="en-US" w:eastAsia="zh-CN"/>
          <w14:textFill>
            <w14:solidFill>
              <w14:schemeClr w14:val="tx1"/>
            </w14:solidFill>
          </w14:textFill>
        </w:rPr>
        <w:t>4</w:t>
      </w:r>
      <w:r>
        <w:rPr>
          <w:rFonts w:hint="default" w:ascii="Times New Roman" w:hAnsi="Times New Roman" w:eastAsia="仿宋_GB2312" w:cs="Times New Roman"/>
          <w:color w:val="000000" w:themeColor="text1"/>
          <w:sz w:val="36"/>
          <w:szCs w:val="36"/>
          <w:u w:val="single"/>
          <w14:textFill>
            <w14:solidFill>
              <w14:schemeClr w14:val="tx1"/>
            </w14:solidFill>
          </w14:textFill>
        </w:rPr>
        <w:t>月</w:t>
      </w:r>
      <w:r>
        <w:rPr>
          <w:rFonts w:hint="default" w:ascii="Times New Roman" w:hAnsi="Times New Roman" w:eastAsia="仿宋_GB2312" w:cs="Times New Roman"/>
          <w:color w:val="000000" w:themeColor="text1"/>
          <w:sz w:val="36"/>
          <w:szCs w:val="36"/>
          <w:u w:val="single"/>
          <w:lang w:val="en-US" w:eastAsia="zh-CN"/>
          <w14:textFill>
            <w14:solidFill>
              <w14:schemeClr w14:val="tx1"/>
            </w14:solidFill>
          </w14:textFill>
        </w:rPr>
        <w:t xml:space="preserve">           </w:t>
      </w:r>
    </w:p>
    <w:p w14:paraId="02402F75">
      <w:pPr>
        <w:ind w:firstLine="0" w:firstLineChars="0"/>
        <w:jc w:val="center"/>
        <w:rPr>
          <w:rFonts w:hint="default" w:ascii="Times New Roman" w:hAnsi="Times New Roman" w:eastAsia="仿宋_GB2312" w:cs="Times New Roman"/>
          <w:color w:val="000000" w:themeColor="text1"/>
          <w:sz w:val="36"/>
          <w:szCs w:val="36"/>
          <w:u w:val="single"/>
          <w14:textFill>
            <w14:solidFill>
              <w14:schemeClr w14:val="tx1"/>
            </w14:solidFill>
          </w14:textFill>
        </w:rPr>
        <w:sectPr>
          <w:headerReference r:id="rId5" w:type="default"/>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fmt="numberInDash" w:start="1"/>
          <w:cols w:space="720" w:num="1"/>
          <w:docGrid w:linePitch="312" w:charSpace="0"/>
        </w:sectPr>
      </w:pPr>
      <w:r>
        <w:rPr>
          <w:rFonts w:hint="default" w:ascii="Times New Roman" w:hAnsi="Times New Roman" w:eastAsia="仿宋_GB2312" w:cs="Times New Roman"/>
          <w:color w:val="000000" w:themeColor="text1"/>
          <w:sz w:val="36"/>
          <w:szCs w:val="36"/>
          <w:u w:val="single"/>
          <w14:textFill>
            <w14:solidFill>
              <w14:schemeClr w14:val="tx1"/>
            </w14:solidFill>
          </w14:textFill>
        </w:rPr>
        <w:br w:type="page"/>
      </w:r>
    </w:p>
    <w:bookmarkEnd w:id="0"/>
    <w:p w14:paraId="007D049B">
      <w:pPr>
        <w:pStyle w:val="2"/>
        <w:keepNext/>
        <w:keepLines w:val="0"/>
        <w:pageBreakBefore w:val="0"/>
        <w:widowControl w:val="0"/>
        <w:kinsoku/>
        <w:wordWrap/>
        <w:overflowPunct w:val="0"/>
        <w:topLinePunct w:val="0"/>
        <w:autoSpaceDE/>
        <w:autoSpaceDN/>
        <w:bidi w:val="0"/>
        <w:adjustRightInd/>
        <w:snapToGrid w:val="0"/>
        <w:spacing w:after="0" w:line="240" w:lineRule="auto"/>
        <w:ind w:lef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一、建设项目基本情况</w:t>
      </w:r>
    </w:p>
    <w:tbl>
      <w:tblPr>
        <w:tblStyle w:val="27"/>
        <w:tblW w:w="9070" w:type="dxa"/>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28" w:type="dxa"/>
          <w:left w:w="57" w:type="dxa"/>
          <w:bottom w:w="28" w:type="dxa"/>
          <w:right w:w="57" w:type="dxa"/>
        </w:tblCellMar>
      </w:tblPr>
      <w:tblGrid>
        <w:gridCol w:w="1922"/>
        <w:gridCol w:w="2347"/>
        <w:gridCol w:w="2238"/>
        <w:gridCol w:w="2563"/>
      </w:tblGrid>
      <w:tr w14:paraId="5CA2FD3E">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28" w:type="dxa"/>
            <w:left w:w="57" w:type="dxa"/>
            <w:bottom w:w="28" w:type="dxa"/>
            <w:right w:w="57" w:type="dxa"/>
          </w:tblCellMar>
        </w:tblPrEx>
        <w:trPr>
          <w:trHeight w:val="631" w:hRule="atLeast"/>
          <w:jc w:val="center"/>
        </w:trPr>
        <w:tc>
          <w:tcPr>
            <w:tcW w:w="1922" w:type="dxa"/>
            <w:noWrap w:val="0"/>
            <w:tcMar>
              <w:top w:w="16" w:type="dxa"/>
              <w:left w:w="16" w:type="dxa"/>
              <w:right w:w="16" w:type="dxa"/>
            </w:tcMar>
            <w:vAlign w:val="center"/>
          </w:tcPr>
          <w:p w14:paraId="4162EF84">
            <w:pPr>
              <w:adjustRightInd w:val="0"/>
              <w:snapToGrid w:val="0"/>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建设项目名称</w:t>
            </w:r>
          </w:p>
        </w:tc>
        <w:tc>
          <w:tcPr>
            <w:tcW w:w="7148" w:type="dxa"/>
            <w:gridSpan w:val="3"/>
            <w:noWrap w:val="0"/>
            <w:vAlign w:val="center"/>
          </w:tcPr>
          <w:p w14:paraId="2CA62297">
            <w:pPr>
              <w:adjustRightInd w:val="0"/>
              <w:snapToGrid w:val="0"/>
              <w:spacing w:line="240" w:lineRule="auto"/>
              <w:ind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宁夏泾源县龙房宫片区生态环境修复与农林文旅康融合开发EOD</w:t>
            </w:r>
          </w:p>
          <w:p w14:paraId="57BFD1CD">
            <w:pPr>
              <w:adjustRightInd w:val="0"/>
              <w:snapToGrid w:val="0"/>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w:t>
            </w:r>
          </w:p>
        </w:tc>
      </w:tr>
      <w:tr w14:paraId="255CF97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28" w:type="dxa"/>
            <w:left w:w="57" w:type="dxa"/>
            <w:bottom w:w="28" w:type="dxa"/>
            <w:right w:w="57" w:type="dxa"/>
          </w:tblCellMar>
        </w:tblPrEx>
        <w:trPr>
          <w:trHeight w:val="505" w:hRule="atLeast"/>
          <w:jc w:val="center"/>
        </w:trPr>
        <w:tc>
          <w:tcPr>
            <w:tcW w:w="1922" w:type="dxa"/>
            <w:noWrap w:val="0"/>
            <w:tcMar>
              <w:top w:w="16" w:type="dxa"/>
              <w:left w:w="16" w:type="dxa"/>
              <w:right w:w="16" w:type="dxa"/>
            </w:tcMar>
            <w:vAlign w:val="center"/>
          </w:tcPr>
          <w:p w14:paraId="4111BA8C">
            <w:pPr>
              <w:adjustRightInd w:val="0"/>
              <w:snapToGrid w:val="0"/>
              <w:spacing w:line="240" w:lineRule="auto"/>
              <w:ind w:firstLine="0" w:firstLineChars="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项目代码</w:t>
            </w:r>
          </w:p>
        </w:tc>
        <w:tc>
          <w:tcPr>
            <w:tcW w:w="7148" w:type="dxa"/>
            <w:gridSpan w:val="3"/>
            <w:noWrap w:val="0"/>
            <w:vAlign w:val="center"/>
          </w:tcPr>
          <w:p w14:paraId="7204FB00">
            <w:pPr>
              <w:adjustRightInd w:val="0"/>
              <w:snapToGrid w:val="0"/>
              <w:spacing w:line="240" w:lineRule="auto"/>
              <w:ind w:firstLine="0" w:firstLineChars="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2408-640424-04-01-939192</w:t>
            </w:r>
          </w:p>
        </w:tc>
      </w:tr>
      <w:tr w14:paraId="49823A7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28" w:type="dxa"/>
            <w:left w:w="57" w:type="dxa"/>
            <w:bottom w:w="28" w:type="dxa"/>
            <w:right w:w="57" w:type="dxa"/>
          </w:tblCellMar>
        </w:tblPrEx>
        <w:trPr>
          <w:trHeight w:val="605" w:hRule="atLeast"/>
          <w:jc w:val="center"/>
        </w:trPr>
        <w:tc>
          <w:tcPr>
            <w:tcW w:w="1922" w:type="dxa"/>
            <w:noWrap w:val="0"/>
            <w:tcMar>
              <w:top w:w="16" w:type="dxa"/>
              <w:left w:w="16" w:type="dxa"/>
              <w:right w:w="16" w:type="dxa"/>
            </w:tcMar>
            <w:vAlign w:val="center"/>
          </w:tcPr>
          <w:p w14:paraId="0131AC2C">
            <w:pPr>
              <w:adjustRightInd w:val="0"/>
              <w:snapToGrid w:val="0"/>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建设单位联系人</w:t>
            </w:r>
          </w:p>
        </w:tc>
        <w:tc>
          <w:tcPr>
            <w:tcW w:w="2347" w:type="dxa"/>
            <w:noWrap w:val="0"/>
            <w:vAlign w:val="center"/>
          </w:tcPr>
          <w:p w14:paraId="33E7A366">
            <w:pPr>
              <w:adjustRightInd w:val="0"/>
              <w:snapToGrid w:val="0"/>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陈涛</w:t>
            </w:r>
          </w:p>
        </w:tc>
        <w:tc>
          <w:tcPr>
            <w:tcW w:w="2238" w:type="dxa"/>
            <w:noWrap w:val="0"/>
            <w:vAlign w:val="center"/>
          </w:tcPr>
          <w:p w14:paraId="25702734">
            <w:pPr>
              <w:adjustRightInd w:val="0"/>
              <w:snapToGrid w:val="0"/>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联系方式</w:t>
            </w:r>
          </w:p>
        </w:tc>
        <w:tc>
          <w:tcPr>
            <w:tcW w:w="2563" w:type="dxa"/>
            <w:noWrap w:val="0"/>
            <w:vAlign w:val="center"/>
          </w:tcPr>
          <w:p w14:paraId="69ED5872">
            <w:pPr>
              <w:adjustRightInd w:val="0"/>
              <w:snapToGrid w:val="0"/>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bookmarkStart w:id="11" w:name="_GoBack"/>
            <w:bookmarkEnd w:id="11"/>
          </w:p>
        </w:tc>
      </w:tr>
      <w:tr w14:paraId="7C19470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28" w:type="dxa"/>
            <w:left w:w="57" w:type="dxa"/>
            <w:bottom w:w="28" w:type="dxa"/>
            <w:right w:w="57" w:type="dxa"/>
          </w:tblCellMar>
        </w:tblPrEx>
        <w:trPr>
          <w:trHeight w:val="615" w:hRule="atLeast"/>
          <w:jc w:val="center"/>
        </w:trPr>
        <w:tc>
          <w:tcPr>
            <w:tcW w:w="1922" w:type="dxa"/>
            <w:noWrap w:val="0"/>
            <w:tcMar>
              <w:top w:w="16" w:type="dxa"/>
              <w:left w:w="16" w:type="dxa"/>
              <w:right w:w="16" w:type="dxa"/>
            </w:tcMar>
            <w:vAlign w:val="center"/>
          </w:tcPr>
          <w:p w14:paraId="70E5BB43">
            <w:pPr>
              <w:adjustRightInd w:val="0"/>
              <w:snapToGrid w:val="0"/>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建设地点</w:t>
            </w:r>
          </w:p>
        </w:tc>
        <w:tc>
          <w:tcPr>
            <w:tcW w:w="7148" w:type="dxa"/>
            <w:gridSpan w:val="3"/>
            <w:noWrap w:val="0"/>
            <w:vAlign w:val="center"/>
          </w:tcPr>
          <w:p w14:paraId="48454492">
            <w:pPr>
              <w:adjustRightInd w:val="0"/>
              <w:snapToGrid w:val="0"/>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固原市</w:t>
            </w:r>
            <w:r>
              <w:rPr>
                <w:rFonts w:hint="default" w:ascii="Times New Roman" w:hAnsi="Times New Roman" w:cs="Times New Roman"/>
                <w:color w:val="000000" w:themeColor="text1"/>
                <w:lang w:eastAsia="zh-CN"/>
                <w14:textFill>
                  <w14:solidFill>
                    <w14:schemeClr w14:val="tx1"/>
                  </w14:solidFill>
                </w14:textFill>
              </w:rPr>
              <w:t>泾源县</w:t>
            </w:r>
            <w:r>
              <w:rPr>
                <w:rFonts w:hint="default" w:ascii="Times New Roman" w:hAnsi="Times New Roman" w:cs="Times New Roman"/>
                <w:color w:val="000000" w:themeColor="text1"/>
                <w:lang w:val="en-US" w:eastAsia="zh-CN"/>
                <w14:textFill>
                  <w14:solidFill>
                    <w14:schemeClr w14:val="tx1"/>
                  </w14:solidFill>
                </w14:textFill>
              </w:rPr>
              <w:t>黄花乡</w:t>
            </w:r>
          </w:p>
        </w:tc>
      </w:tr>
      <w:tr w14:paraId="39FA3BB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28" w:type="dxa"/>
            <w:left w:w="57" w:type="dxa"/>
            <w:bottom w:w="28" w:type="dxa"/>
            <w:right w:w="57" w:type="dxa"/>
          </w:tblCellMar>
        </w:tblPrEx>
        <w:trPr>
          <w:trHeight w:val="1696" w:hRule="atLeast"/>
          <w:jc w:val="center"/>
        </w:trPr>
        <w:tc>
          <w:tcPr>
            <w:tcW w:w="1922" w:type="dxa"/>
            <w:noWrap w:val="0"/>
            <w:tcMar>
              <w:top w:w="16" w:type="dxa"/>
              <w:left w:w="16" w:type="dxa"/>
              <w:right w:w="16" w:type="dxa"/>
            </w:tcMar>
            <w:vAlign w:val="center"/>
          </w:tcPr>
          <w:p w14:paraId="4273F3B2">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地理坐标</w:t>
            </w:r>
          </w:p>
        </w:tc>
        <w:tc>
          <w:tcPr>
            <w:tcW w:w="7148" w:type="dxa"/>
            <w:gridSpan w:val="3"/>
            <w:noWrap w:val="0"/>
            <w:vAlign w:val="center"/>
          </w:tcPr>
          <w:p w14:paraId="2DF0B605">
            <w:pPr>
              <w:adjustRightInd w:val="0"/>
              <w:snapToGrid w:val="0"/>
              <w:spacing w:line="240" w:lineRule="auto"/>
              <w:ind w:firstLine="480" w:firstLineChars="200"/>
              <w:jc w:val="both"/>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项目中心位置坐标：</w:t>
            </w:r>
            <w:r>
              <w:rPr>
                <w:rFonts w:hint="default" w:ascii="Times New Roman" w:hAnsi="Times New Roman" w:cs="Times New Roman"/>
                <w:color w:val="000000" w:themeColor="text1"/>
                <w:kern w:val="0"/>
                <w:lang w:eastAsia="zh-CN"/>
                <w14:textFill>
                  <w14:solidFill>
                    <w14:schemeClr w14:val="tx1"/>
                  </w14:solidFill>
                </w14:textFill>
              </w:rPr>
              <w:t>东经</w:t>
            </w:r>
            <w:r>
              <w:rPr>
                <w:rFonts w:hint="default" w:ascii="Times New Roman" w:hAnsi="Times New Roman" w:cs="Times New Roman"/>
                <w:color w:val="000000" w:themeColor="text1"/>
                <w:lang w:val="en-US" w:eastAsia="zh-CN"/>
                <w14:textFill>
                  <w14:solidFill>
                    <w14:schemeClr w14:val="tx1"/>
                  </w14:solidFill>
                </w14:textFill>
              </w:rPr>
              <w:t>106°24′23.502″</w:t>
            </w:r>
            <w:r>
              <w:rPr>
                <w:rFonts w:hint="default" w:ascii="Times New Roman" w:hAnsi="Times New Roman" w:cs="Times New Roman"/>
                <w:color w:val="000000" w:themeColor="text1"/>
                <w:kern w:val="0"/>
                <w:lang w:eastAsia="zh-CN"/>
                <w14:textFill>
                  <w14:solidFill>
                    <w14:schemeClr w14:val="tx1"/>
                  </w14:solidFill>
                </w14:textFill>
              </w:rPr>
              <w:t>；北纬</w:t>
            </w:r>
            <w:r>
              <w:rPr>
                <w:rFonts w:hint="default" w:ascii="Times New Roman" w:hAnsi="Times New Roman" w:cs="Times New Roman"/>
                <w:color w:val="000000" w:themeColor="text1"/>
                <w:lang w:val="en-US" w:eastAsia="zh-CN"/>
                <w14:textFill>
                  <w14:solidFill>
                    <w14:schemeClr w14:val="tx1"/>
                  </w14:solidFill>
                </w14:textFill>
              </w:rPr>
              <w:t>35°32′45.309″</w:t>
            </w:r>
          </w:p>
        </w:tc>
      </w:tr>
      <w:tr w14:paraId="1A6238D7">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28" w:type="dxa"/>
            <w:left w:w="57" w:type="dxa"/>
            <w:bottom w:w="28" w:type="dxa"/>
            <w:right w:w="57" w:type="dxa"/>
          </w:tblCellMar>
        </w:tblPrEx>
        <w:trPr>
          <w:trHeight w:val="796" w:hRule="atLeast"/>
          <w:jc w:val="center"/>
        </w:trPr>
        <w:tc>
          <w:tcPr>
            <w:tcW w:w="1922" w:type="dxa"/>
            <w:noWrap w:val="0"/>
            <w:tcMar>
              <w:top w:w="16" w:type="dxa"/>
              <w:left w:w="16" w:type="dxa"/>
              <w:right w:w="16" w:type="dxa"/>
            </w:tcMar>
            <w:vAlign w:val="center"/>
          </w:tcPr>
          <w:p w14:paraId="54BD8366">
            <w:pPr>
              <w:adjustRightInd w:val="0"/>
              <w:snapToGrid w:val="0"/>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建设项目</w:t>
            </w:r>
          </w:p>
          <w:p w14:paraId="3B3205FF">
            <w:pPr>
              <w:adjustRightInd w:val="0"/>
              <w:snapToGrid w:val="0"/>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行业类别</w:t>
            </w:r>
          </w:p>
        </w:tc>
        <w:tc>
          <w:tcPr>
            <w:tcW w:w="2347" w:type="dxa"/>
            <w:noWrap w:val="0"/>
            <w:vAlign w:val="center"/>
          </w:tcPr>
          <w:p w14:paraId="3E73BF4D">
            <w:pPr>
              <w:adjustRightInd w:val="0"/>
              <w:snapToGrid w:val="0"/>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四十四</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房地产业97房地产开发、商业综合体、宾馆、酒店、办公用房、标准厂房等</w:t>
            </w:r>
          </w:p>
        </w:tc>
        <w:tc>
          <w:tcPr>
            <w:tcW w:w="2238" w:type="dxa"/>
            <w:noWrap w:val="0"/>
            <w:vAlign w:val="center"/>
          </w:tcPr>
          <w:p w14:paraId="00E1C6A6">
            <w:pPr>
              <w:adjustRightInd w:val="0"/>
              <w:snapToGrid w:val="0"/>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用地面积（m</w:t>
            </w:r>
            <w:r>
              <w:rPr>
                <w:rFonts w:hint="default" w:ascii="Times New Roman" w:hAnsi="Times New Roman" w:cs="Times New Roman"/>
                <w:color w:val="000000" w:themeColor="text1"/>
                <w:vertAlign w:val="superscript"/>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w:t>
            </w:r>
          </w:p>
        </w:tc>
        <w:tc>
          <w:tcPr>
            <w:tcW w:w="2563" w:type="dxa"/>
            <w:noWrap w:val="0"/>
            <w:vAlign w:val="center"/>
          </w:tcPr>
          <w:p w14:paraId="4BF4BB6E">
            <w:pPr>
              <w:adjustRightInd w:val="0"/>
              <w:snapToGrid w:val="0"/>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148111.10</w:t>
            </w:r>
          </w:p>
        </w:tc>
      </w:tr>
      <w:tr w14:paraId="7DBE828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28" w:type="dxa"/>
            <w:left w:w="57" w:type="dxa"/>
            <w:bottom w:w="28" w:type="dxa"/>
            <w:right w:w="57" w:type="dxa"/>
          </w:tblCellMar>
        </w:tblPrEx>
        <w:trPr>
          <w:trHeight w:val="2023" w:hRule="atLeast"/>
          <w:jc w:val="center"/>
        </w:trPr>
        <w:tc>
          <w:tcPr>
            <w:tcW w:w="1922" w:type="dxa"/>
            <w:noWrap w:val="0"/>
            <w:tcMar>
              <w:top w:w="16" w:type="dxa"/>
              <w:left w:w="16" w:type="dxa"/>
              <w:right w:w="16" w:type="dxa"/>
            </w:tcMar>
            <w:vAlign w:val="center"/>
          </w:tcPr>
          <w:p w14:paraId="6AFE11CC">
            <w:pPr>
              <w:adjustRightInd w:val="0"/>
              <w:snapToGrid w:val="0"/>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建设性质</w:t>
            </w:r>
          </w:p>
        </w:tc>
        <w:tc>
          <w:tcPr>
            <w:tcW w:w="2347" w:type="dxa"/>
            <w:noWrap w:val="0"/>
            <w:vAlign w:val="center"/>
          </w:tcPr>
          <w:p w14:paraId="379FCB5E">
            <w:pPr>
              <w:adjustRightInd w:val="0"/>
              <w:snapToGrid w:val="0"/>
              <w:spacing w:line="240" w:lineRule="auto"/>
              <w:ind w:firstLine="0" w:firstLineChars="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sym w:font="Wingdings 2" w:char="0052"/>
            </w:r>
            <w:r>
              <w:rPr>
                <w:rFonts w:hint="default" w:ascii="Times New Roman" w:hAnsi="Times New Roman" w:cs="Times New Roman"/>
                <w:color w:val="000000" w:themeColor="text1"/>
                <w14:textFill>
                  <w14:solidFill>
                    <w14:schemeClr w14:val="tx1"/>
                  </w14:solidFill>
                </w14:textFill>
              </w:rPr>
              <w:t>新建（迁建）</w:t>
            </w:r>
          </w:p>
          <w:p w14:paraId="7C820F6A">
            <w:pPr>
              <w:adjustRightInd w:val="0"/>
              <w:snapToGrid w:val="0"/>
              <w:spacing w:line="240" w:lineRule="auto"/>
              <w:ind w:firstLine="0" w:firstLineChars="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sym w:font="Wingdings 2" w:char="00A3"/>
            </w:r>
            <w:r>
              <w:rPr>
                <w:rFonts w:hint="default" w:ascii="Times New Roman" w:hAnsi="Times New Roman" w:cs="Times New Roman"/>
                <w:color w:val="000000" w:themeColor="text1"/>
                <w14:textFill>
                  <w14:solidFill>
                    <w14:schemeClr w14:val="tx1"/>
                  </w14:solidFill>
                </w14:textFill>
              </w:rPr>
              <w:t>改建</w:t>
            </w:r>
          </w:p>
          <w:p w14:paraId="5397F806">
            <w:pPr>
              <w:adjustRightInd w:val="0"/>
              <w:snapToGrid w:val="0"/>
              <w:spacing w:line="240" w:lineRule="auto"/>
              <w:ind w:firstLine="0" w:firstLineChars="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sym w:font="Wingdings 2" w:char="00A3"/>
            </w:r>
            <w:r>
              <w:rPr>
                <w:rFonts w:hint="default" w:ascii="Times New Roman" w:hAnsi="Times New Roman" w:cs="Times New Roman"/>
                <w:color w:val="000000" w:themeColor="text1"/>
                <w14:textFill>
                  <w14:solidFill>
                    <w14:schemeClr w14:val="tx1"/>
                  </w14:solidFill>
                </w14:textFill>
              </w:rPr>
              <w:t>扩建</w:t>
            </w:r>
          </w:p>
          <w:p w14:paraId="00C59108">
            <w:pPr>
              <w:adjustRightInd w:val="0"/>
              <w:snapToGrid w:val="0"/>
              <w:spacing w:line="240" w:lineRule="auto"/>
              <w:ind w:firstLine="0" w:firstLineChars="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sym w:font="Wingdings 2" w:char="00A3"/>
            </w:r>
            <w:r>
              <w:rPr>
                <w:rFonts w:hint="default" w:ascii="Times New Roman" w:hAnsi="Times New Roman" w:cs="Times New Roman"/>
                <w:color w:val="000000" w:themeColor="text1"/>
                <w14:textFill>
                  <w14:solidFill>
                    <w14:schemeClr w14:val="tx1"/>
                  </w14:solidFill>
                </w14:textFill>
              </w:rPr>
              <w:t>技术改造</w:t>
            </w:r>
          </w:p>
        </w:tc>
        <w:tc>
          <w:tcPr>
            <w:tcW w:w="2238" w:type="dxa"/>
            <w:noWrap w:val="0"/>
            <w:vAlign w:val="center"/>
          </w:tcPr>
          <w:p w14:paraId="377E8BEA">
            <w:pPr>
              <w:adjustRightInd w:val="0"/>
              <w:snapToGrid w:val="0"/>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建设项目</w:t>
            </w:r>
          </w:p>
          <w:p w14:paraId="2DEDA005">
            <w:pPr>
              <w:adjustRightInd w:val="0"/>
              <w:snapToGrid w:val="0"/>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申报情形</w:t>
            </w:r>
          </w:p>
        </w:tc>
        <w:tc>
          <w:tcPr>
            <w:tcW w:w="2563" w:type="dxa"/>
            <w:noWrap w:val="0"/>
            <w:vAlign w:val="center"/>
          </w:tcPr>
          <w:p w14:paraId="2BC05FFB">
            <w:pPr>
              <w:adjustRightInd w:val="0"/>
              <w:snapToGrid w:val="0"/>
              <w:spacing w:line="240" w:lineRule="auto"/>
              <w:ind w:firstLine="0" w:firstLineChars="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sym w:font="Wingdings 2" w:char="0052"/>
            </w:r>
            <w:r>
              <w:rPr>
                <w:rFonts w:hint="default" w:ascii="Times New Roman" w:hAnsi="Times New Roman" w:cs="Times New Roman"/>
                <w:color w:val="000000" w:themeColor="text1"/>
                <w14:textFill>
                  <w14:solidFill>
                    <w14:schemeClr w14:val="tx1"/>
                  </w14:solidFill>
                </w14:textFill>
              </w:rPr>
              <w:t>首次申报项目</w:t>
            </w:r>
          </w:p>
          <w:p w14:paraId="67AFA9FD">
            <w:pPr>
              <w:adjustRightInd w:val="0"/>
              <w:snapToGrid w:val="0"/>
              <w:spacing w:line="240" w:lineRule="auto"/>
              <w:ind w:firstLine="0" w:firstLineChars="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sym w:font="Wingdings 2" w:char="00A3"/>
            </w:r>
            <w:r>
              <w:rPr>
                <w:rFonts w:hint="default" w:ascii="Times New Roman" w:hAnsi="Times New Roman" w:cs="Times New Roman"/>
                <w:color w:val="000000" w:themeColor="text1"/>
                <w14:textFill>
                  <w14:solidFill>
                    <w14:schemeClr w14:val="tx1"/>
                  </w14:solidFill>
                </w14:textFill>
              </w:rPr>
              <w:t>不予批准后再次申报项目</w:t>
            </w:r>
          </w:p>
          <w:p w14:paraId="0291861E">
            <w:pPr>
              <w:adjustRightInd w:val="0"/>
              <w:snapToGrid w:val="0"/>
              <w:spacing w:line="240" w:lineRule="auto"/>
              <w:ind w:firstLine="0" w:firstLineChars="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sym w:font="Wingdings 2" w:char="00A3"/>
            </w:r>
            <w:r>
              <w:rPr>
                <w:rFonts w:hint="default" w:ascii="Times New Roman" w:hAnsi="Times New Roman" w:cs="Times New Roman"/>
                <w:color w:val="000000" w:themeColor="text1"/>
                <w14:textFill>
                  <w14:solidFill>
                    <w14:schemeClr w14:val="tx1"/>
                  </w14:solidFill>
                </w14:textFill>
              </w:rPr>
              <w:t>超五年重新审核项目</w:t>
            </w:r>
          </w:p>
          <w:p w14:paraId="6FD4F032">
            <w:pPr>
              <w:adjustRightInd w:val="0"/>
              <w:snapToGrid w:val="0"/>
              <w:spacing w:line="240" w:lineRule="auto"/>
              <w:ind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sym w:font="Wingdings 2" w:char="00A3"/>
            </w:r>
            <w:r>
              <w:rPr>
                <w:rFonts w:hint="default" w:ascii="Times New Roman" w:hAnsi="Times New Roman" w:cs="Times New Roman"/>
                <w:color w:val="000000" w:themeColor="text1"/>
                <w14:textFill>
                  <w14:solidFill>
                    <w14:schemeClr w14:val="tx1"/>
                  </w14:solidFill>
                </w14:textFill>
              </w:rPr>
              <w:t>重大变动重新报批项目</w:t>
            </w:r>
          </w:p>
        </w:tc>
      </w:tr>
      <w:tr w14:paraId="4757A65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28" w:type="dxa"/>
            <w:left w:w="57" w:type="dxa"/>
            <w:bottom w:w="28" w:type="dxa"/>
            <w:right w:w="57" w:type="dxa"/>
          </w:tblCellMar>
        </w:tblPrEx>
        <w:trPr>
          <w:trHeight w:val="961" w:hRule="atLeast"/>
          <w:jc w:val="center"/>
        </w:trPr>
        <w:tc>
          <w:tcPr>
            <w:tcW w:w="1922" w:type="dxa"/>
            <w:noWrap w:val="0"/>
            <w:tcMar>
              <w:top w:w="16" w:type="dxa"/>
              <w:left w:w="16" w:type="dxa"/>
              <w:right w:w="16" w:type="dxa"/>
            </w:tcMar>
            <w:vAlign w:val="center"/>
          </w:tcPr>
          <w:p w14:paraId="5C3600E8">
            <w:pPr>
              <w:adjustRightInd w:val="0"/>
              <w:snapToGrid w:val="0"/>
              <w:spacing w:line="240" w:lineRule="auto"/>
              <w:ind w:firstLine="0" w:firstLineChars="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项目审批（核准/</w:t>
            </w:r>
          </w:p>
          <w:p w14:paraId="27DCF7B8">
            <w:pPr>
              <w:adjustRightInd w:val="0"/>
              <w:snapToGrid w:val="0"/>
              <w:spacing w:line="240" w:lineRule="auto"/>
              <w:ind w:firstLine="0" w:firstLineChars="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备案）部门</w:t>
            </w:r>
          </w:p>
        </w:tc>
        <w:tc>
          <w:tcPr>
            <w:tcW w:w="2347" w:type="dxa"/>
            <w:noWrap w:val="0"/>
            <w:vAlign w:val="center"/>
          </w:tcPr>
          <w:p w14:paraId="61B2A6AD">
            <w:pPr>
              <w:adjustRightInd w:val="0"/>
              <w:snapToGrid w:val="0"/>
              <w:spacing w:line="240" w:lineRule="auto"/>
              <w:ind w:firstLine="0" w:firstLineChars="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泾源县审批服务管理局</w:t>
            </w:r>
          </w:p>
        </w:tc>
        <w:tc>
          <w:tcPr>
            <w:tcW w:w="2238" w:type="dxa"/>
            <w:noWrap w:val="0"/>
            <w:vAlign w:val="center"/>
          </w:tcPr>
          <w:p w14:paraId="58A08DD6">
            <w:pPr>
              <w:adjustRightInd w:val="0"/>
              <w:snapToGrid w:val="0"/>
              <w:spacing w:line="240" w:lineRule="auto"/>
              <w:ind w:firstLine="0" w:firstLineChars="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项目审批（核准/</w:t>
            </w:r>
          </w:p>
          <w:p w14:paraId="01A27CDC">
            <w:pPr>
              <w:adjustRightInd w:val="0"/>
              <w:snapToGrid w:val="0"/>
              <w:spacing w:line="240" w:lineRule="auto"/>
              <w:ind w:firstLine="0" w:firstLineChars="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备案）文号（选填）</w:t>
            </w:r>
          </w:p>
        </w:tc>
        <w:tc>
          <w:tcPr>
            <w:tcW w:w="2563" w:type="dxa"/>
            <w:noWrap w:val="0"/>
            <w:vAlign w:val="center"/>
          </w:tcPr>
          <w:p w14:paraId="1A52B796">
            <w:pPr>
              <w:adjustRightInd w:val="0"/>
              <w:snapToGrid w:val="0"/>
              <w:spacing w:line="240" w:lineRule="auto"/>
              <w:ind w:firstLine="0" w:firstLineChars="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2408-640424-04-01-939192</w:t>
            </w:r>
          </w:p>
        </w:tc>
      </w:tr>
      <w:tr w14:paraId="45654A2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28" w:type="dxa"/>
            <w:left w:w="57" w:type="dxa"/>
            <w:bottom w:w="28" w:type="dxa"/>
            <w:right w:w="57" w:type="dxa"/>
          </w:tblCellMar>
        </w:tblPrEx>
        <w:trPr>
          <w:trHeight w:val="756" w:hRule="atLeast"/>
          <w:jc w:val="center"/>
        </w:trPr>
        <w:tc>
          <w:tcPr>
            <w:tcW w:w="1922" w:type="dxa"/>
            <w:noWrap w:val="0"/>
            <w:tcMar>
              <w:top w:w="16" w:type="dxa"/>
              <w:left w:w="16" w:type="dxa"/>
              <w:right w:w="16" w:type="dxa"/>
            </w:tcMar>
            <w:vAlign w:val="center"/>
          </w:tcPr>
          <w:p w14:paraId="6039E7A5">
            <w:pPr>
              <w:adjustRightInd w:val="0"/>
              <w:snapToGrid w:val="0"/>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总投资（万元）</w:t>
            </w:r>
          </w:p>
        </w:tc>
        <w:tc>
          <w:tcPr>
            <w:tcW w:w="2347" w:type="dxa"/>
            <w:noWrap w:val="0"/>
            <w:vAlign w:val="center"/>
          </w:tcPr>
          <w:p w14:paraId="59ED05DF">
            <w:pPr>
              <w:keepNext w:val="0"/>
              <w:keepLines w:val="0"/>
              <w:widowControl/>
              <w:suppressLineNumbers w:val="0"/>
              <w:ind w:left="0" w:leftChars="0" w:right="0" w:righ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159638</w:t>
            </w:r>
          </w:p>
        </w:tc>
        <w:tc>
          <w:tcPr>
            <w:tcW w:w="2238" w:type="dxa"/>
            <w:noWrap w:val="0"/>
            <w:tcMar>
              <w:top w:w="16" w:type="dxa"/>
              <w:left w:w="16" w:type="dxa"/>
              <w:right w:w="16" w:type="dxa"/>
            </w:tcMar>
            <w:vAlign w:val="center"/>
          </w:tcPr>
          <w:p w14:paraId="32880F45">
            <w:pPr>
              <w:adjustRightInd w:val="0"/>
              <w:snapToGrid w:val="0"/>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环保投资（万元）</w:t>
            </w:r>
          </w:p>
        </w:tc>
        <w:tc>
          <w:tcPr>
            <w:tcW w:w="2563" w:type="dxa"/>
            <w:noWrap w:val="0"/>
            <w:vAlign w:val="center"/>
          </w:tcPr>
          <w:p w14:paraId="6A51FE8F">
            <w:pPr>
              <w:adjustRightInd w:val="0"/>
              <w:snapToGrid w:val="0"/>
              <w:spacing w:line="240" w:lineRule="auto"/>
              <w:ind w:firstLine="0" w:firstLineChars="0"/>
              <w:jc w:val="center"/>
              <w:rPr>
                <w:rFonts w:hint="default" w:ascii="Times New Roman" w:hAnsi="Times New Roman" w:eastAsia="宋体" w:cs="Times New Roman"/>
                <w:color w:val="000000" w:themeColor="text1"/>
                <w:highlight w:val="yellow"/>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3217</w:t>
            </w:r>
          </w:p>
        </w:tc>
      </w:tr>
      <w:tr w14:paraId="06FE2AD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28" w:type="dxa"/>
            <w:left w:w="57" w:type="dxa"/>
            <w:bottom w:w="28" w:type="dxa"/>
            <w:right w:w="57" w:type="dxa"/>
          </w:tblCellMar>
        </w:tblPrEx>
        <w:trPr>
          <w:trHeight w:val="613" w:hRule="atLeast"/>
          <w:jc w:val="center"/>
        </w:trPr>
        <w:tc>
          <w:tcPr>
            <w:tcW w:w="1922" w:type="dxa"/>
            <w:noWrap w:val="0"/>
            <w:tcMar>
              <w:top w:w="16" w:type="dxa"/>
              <w:left w:w="16" w:type="dxa"/>
              <w:right w:w="16" w:type="dxa"/>
            </w:tcMar>
            <w:vAlign w:val="center"/>
          </w:tcPr>
          <w:p w14:paraId="3B26856B">
            <w:pPr>
              <w:adjustRightInd w:val="0"/>
              <w:snapToGrid w:val="0"/>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环保投资占比（%）</w:t>
            </w:r>
          </w:p>
        </w:tc>
        <w:tc>
          <w:tcPr>
            <w:tcW w:w="2347" w:type="dxa"/>
            <w:noWrap w:val="0"/>
            <w:vAlign w:val="center"/>
          </w:tcPr>
          <w:p w14:paraId="154E2543">
            <w:pPr>
              <w:adjustRightInd w:val="0"/>
              <w:snapToGrid w:val="0"/>
              <w:spacing w:line="240" w:lineRule="auto"/>
              <w:ind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2.02</w:t>
            </w:r>
          </w:p>
        </w:tc>
        <w:tc>
          <w:tcPr>
            <w:tcW w:w="2238" w:type="dxa"/>
            <w:noWrap w:val="0"/>
            <w:tcMar>
              <w:top w:w="16" w:type="dxa"/>
              <w:left w:w="16" w:type="dxa"/>
              <w:right w:w="16" w:type="dxa"/>
            </w:tcMar>
            <w:vAlign w:val="center"/>
          </w:tcPr>
          <w:p w14:paraId="3D1F0960">
            <w:pPr>
              <w:adjustRightInd w:val="0"/>
              <w:snapToGrid w:val="0"/>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施工工期</w:t>
            </w:r>
          </w:p>
        </w:tc>
        <w:tc>
          <w:tcPr>
            <w:tcW w:w="2563" w:type="dxa"/>
            <w:noWrap w:val="0"/>
            <w:vAlign w:val="center"/>
          </w:tcPr>
          <w:p w14:paraId="2DADC05D">
            <w:pPr>
              <w:adjustRightInd w:val="0"/>
              <w:snapToGrid w:val="0"/>
              <w:spacing w:line="240" w:lineRule="auto"/>
              <w:ind w:firstLine="0" w:firstLineChars="0"/>
              <w:jc w:val="center"/>
              <w:rPr>
                <w:rFonts w:hint="default" w:ascii="Times New Roman" w:hAnsi="Times New Roman" w:cs="Times New Roman"/>
                <w:color w:val="000000" w:themeColor="text1"/>
                <w:highlight w:val="yellow"/>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29</w:t>
            </w:r>
            <w:r>
              <w:rPr>
                <w:rFonts w:hint="default" w:ascii="Times New Roman" w:hAnsi="Times New Roman" w:cs="Times New Roman"/>
                <w:color w:val="000000" w:themeColor="text1"/>
                <w:highlight w:val="none"/>
                <w14:textFill>
                  <w14:solidFill>
                    <w14:schemeClr w14:val="tx1"/>
                  </w14:solidFill>
                </w14:textFill>
              </w:rPr>
              <w:t>个月</w:t>
            </w:r>
          </w:p>
        </w:tc>
      </w:tr>
      <w:tr w14:paraId="59E6464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28" w:type="dxa"/>
            <w:left w:w="57" w:type="dxa"/>
            <w:bottom w:w="28" w:type="dxa"/>
            <w:right w:w="57" w:type="dxa"/>
          </w:tblCellMar>
        </w:tblPrEx>
        <w:trPr>
          <w:trHeight w:val="740" w:hRule="atLeast"/>
          <w:jc w:val="center"/>
        </w:trPr>
        <w:tc>
          <w:tcPr>
            <w:tcW w:w="1922" w:type="dxa"/>
            <w:noWrap w:val="0"/>
            <w:tcMar>
              <w:top w:w="16" w:type="dxa"/>
              <w:left w:w="16" w:type="dxa"/>
              <w:right w:w="16" w:type="dxa"/>
            </w:tcMar>
            <w:vAlign w:val="center"/>
          </w:tcPr>
          <w:p w14:paraId="10847125">
            <w:pPr>
              <w:adjustRightInd w:val="0"/>
              <w:snapToGrid w:val="0"/>
              <w:spacing w:line="240" w:lineRule="auto"/>
              <w:ind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是否开工建设</w:t>
            </w:r>
          </w:p>
        </w:tc>
        <w:tc>
          <w:tcPr>
            <w:tcW w:w="7148" w:type="dxa"/>
            <w:gridSpan w:val="3"/>
            <w:noWrap w:val="0"/>
            <w:vAlign w:val="center"/>
          </w:tcPr>
          <w:p w14:paraId="76060062">
            <w:pPr>
              <w:adjustRightInd w:val="0"/>
              <w:snapToGrid w:val="0"/>
              <w:spacing w:line="240" w:lineRule="auto"/>
              <w:ind w:firstLine="0" w:firstLineChars="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sym w:font="Wingdings 2" w:char="0052"/>
            </w:r>
            <w:r>
              <w:rPr>
                <w:rFonts w:hint="default" w:ascii="Times New Roman" w:hAnsi="Times New Roman" w:cs="Times New Roman"/>
                <w:color w:val="000000" w:themeColor="text1"/>
                <w14:textFill>
                  <w14:solidFill>
                    <w14:schemeClr w14:val="tx1"/>
                  </w14:solidFill>
                </w14:textFill>
              </w:rPr>
              <w:t>否</w:t>
            </w:r>
          </w:p>
          <w:p w14:paraId="09A8B67E">
            <w:pPr>
              <w:adjustRightInd w:val="0"/>
              <w:snapToGrid w:val="0"/>
              <w:spacing w:line="240" w:lineRule="auto"/>
              <w:ind w:firstLine="0" w:firstLineChars="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sym w:font="Wingdings 2" w:char="00A3"/>
            </w:r>
            <w:r>
              <w:rPr>
                <w:rFonts w:hint="default" w:ascii="Times New Roman" w:hAnsi="Times New Roman" w:cs="Times New Roman"/>
                <w:color w:val="000000" w:themeColor="text1"/>
                <w14:textFill>
                  <w14:solidFill>
                    <w14:schemeClr w14:val="tx1"/>
                  </w14:solidFill>
                </w14:textFill>
              </w:rPr>
              <w:t>是：</w:t>
            </w:r>
          </w:p>
        </w:tc>
      </w:tr>
      <w:tr w14:paraId="208D5255">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28" w:type="dxa"/>
            <w:left w:w="57" w:type="dxa"/>
            <w:bottom w:w="28" w:type="dxa"/>
            <w:right w:w="57" w:type="dxa"/>
          </w:tblCellMar>
        </w:tblPrEx>
        <w:trPr>
          <w:trHeight w:val="887" w:hRule="atLeast"/>
          <w:jc w:val="center"/>
        </w:trPr>
        <w:tc>
          <w:tcPr>
            <w:tcW w:w="1922" w:type="dxa"/>
            <w:noWrap w:val="0"/>
            <w:tcMar>
              <w:top w:w="16" w:type="dxa"/>
              <w:left w:w="16" w:type="dxa"/>
              <w:right w:w="16" w:type="dxa"/>
            </w:tcMar>
            <w:vAlign w:val="center"/>
          </w:tcPr>
          <w:p w14:paraId="684F24F0">
            <w:pPr>
              <w:autoSpaceDE w:val="0"/>
              <w:autoSpaceDN w:val="0"/>
              <w:adjustRightInd w:val="0"/>
              <w:snapToGrid w:val="0"/>
              <w:spacing w:line="240" w:lineRule="auto"/>
              <w:ind w:firstLine="0" w:firstLineChars="0"/>
              <w:jc w:val="center"/>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专项评价设置情况</w:t>
            </w:r>
          </w:p>
        </w:tc>
        <w:tc>
          <w:tcPr>
            <w:tcW w:w="7148" w:type="dxa"/>
            <w:gridSpan w:val="3"/>
            <w:noWrap w:val="0"/>
            <w:tcMar>
              <w:top w:w="16" w:type="dxa"/>
              <w:left w:w="16" w:type="dxa"/>
              <w:right w:w="16" w:type="dxa"/>
            </w:tcMar>
            <w:vAlign w:val="center"/>
          </w:tcPr>
          <w:p w14:paraId="792E0238">
            <w:pPr>
              <w:autoSpaceDE w:val="0"/>
              <w:autoSpaceDN w:val="0"/>
              <w:adjustRightInd w:val="0"/>
              <w:snapToGrid w:val="0"/>
              <w:spacing w:line="360" w:lineRule="auto"/>
              <w:ind w:left="0" w:leftChars="0" w:firstLine="480" w:firstLineChars="200"/>
              <w:jc w:val="left"/>
              <w:rPr>
                <w:rFonts w:hint="default" w:ascii="Times New Roman" w:hAnsi="Times New Roman" w:eastAsia="宋体" w:cs="Times New Roman"/>
                <w:color w:val="000000" w:themeColor="text1"/>
                <w:kern w:val="0"/>
                <w:lang w:val="en-US" w:eastAsia="zh-CN"/>
                <w14:textFill>
                  <w14:solidFill>
                    <w14:schemeClr w14:val="tx1"/>
                  </w14:solidFill>
                </w14:textFill>
              </w:rPr>
            </w:pPr>
            <w:r>
              <w:rPr>
                <w:rFonts w:hint="default" w:ascii="Times New Roman" w:hAnsi="Times New Roman" w:eastAsia="宋体" w:cs="Times New Roman"/>
                <w:color w:val="000000" w:themeColor="text1"/>
                <w:kern w:val="0"/>
                <w:lang w:val="en-US" w:eastAsia="zh-CN"/>
                <w14:textFill>
                  <w14:solidFill>
                    <w14:schemeClr w14:val="tx1"/>
                  </w14:solidFill>
                </w14:textFill>
              </w:rPr>
              <w:t>根据《建设项目环境影响报告表编制技术指南》（生态影响类）中专项评价设置原则表分析如下：</w:t>
            </w:r>
          </w:p>
          <w:p w14:paraId="3E15F17A">
            <w:pPr>
              <w:adjustRightInd w:val="0"/>
              <w:snapToGrid w:val="0"/>
              <w:spacing w:line="240" w:lineRule="auto"/>
              <w:ind w:firstLine="0" w:firstLineChars="0"/>
              <w:jc w:val="center"/>
              <w:rPr>
                <w:rFonts w:hint="default" w:ascii="Times New Roman" w:hAnsi="Times New Roman" w:eastAsia="楷体" w:cs="Times New Roman"/>
                <w:b/>
                <w:bCs/>
                <w:color w:val="000000" w:themeColor="text1"/>
                <w:sz w:val="24"/>
                <w:lang w:val="en-US" w:eastAsia="zh-CN"/>
                <w14:textFill>
                  <w14:solidFill>
                    <w14:schemeClr w14:val="tx1"/>
                  </w14:solidFill>
                </w14:textFill>
              </w:rPr>
            </w:pPr>
            <w:r>
              <w:rPr>
                <w:rFonts w:hint="default" w:ascii="Times New Roman" w:hAnsi="Times New Roman" w:eastAsia="楷体" w:cs="Times New Roman"/>
                <w:b/>
                <w:bCs/>
                <w:color w:val="000000" w:themeColor="text1"/>
                <w:sz w:val="24"/>
                <w:lang w:val="en-US" w:eastAsia="zh-CN"/>
                <w14:textFill>
                  <w14:solidFill>
                    <w14:schemeClr w14:val="tx1"/>
                  </w14:solidFill>
                </w14:textFill>
              </w:rPr>
              <w:t>表1-1  专项评价设置情况分析表</w:t>
            </w:r>
          </w:p>
          <w:tbl>
            <w:tblPr>
              <w:tblStyle w:val="27"/>
              <w:tblW w:w="705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90"/>
              <w:gridCol w:w="2463"/>
              <w:gridCol w:w="3106"/>
            </w:tblGrid>
            <w:tr w14:paraId="0B6EC3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490" w:type="dxa"/>
                  <w:shd w:val="clear" w:color="auto" w:fill="auto"/>
                  <w:noWrap w:val="0"/>
                  <w:vAlign w:val="center"/>
                </w:tcPr>
                <w:p w14:paraId="2527EF89">
                  <w:pPr>
                    <w:adjustRightInd w:val="0"/>
                    <w:snapToGrid w:val="0"/>
                    <w:spacing w:line="0" w:lineRule="atLeast"/>
                    <w:ind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专项评价类别</w:t>
                  </w:r>
                </w:p>
              </w:tc>
              <w:tc>
                <w:tcPr>
                  <w:tcW w:w="2463" w:type="dxa"/>
                  <w:shd w:val="clear" w:color="auto" w:fill="auto"/>
                  <w:noWrap w:val="0"/>
                  <w:vAlign w:val="center"/>
                </w:tcPr>
                <w:p w14:paraId="5043217C">
                  <w:pPr>
                    <w:adjustRightInd w:val="0"/>
                    <w:snapToGrid w:val="0"/>
                    <w:spacing w:line="0" w:lineRule="atLeast"/>
                    <w:ind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涉及项目类别</w:t>
                  </w:r>
                </w:p>
              </w:tc>
              <w:tc>
                <w:tcPr>
                  <w:tcW w:w="3106" w:type="dxa"/>
                  <w:shd w:val="clear" w:color="auto" w:fill="auto"/>
                  <w:noWrap w:val="0"/>
                  <w:vAlign w:val="center"/>
                </w:tcPr>
                <w:p w14:paraId="299E02DF">
                  <w:pPr>
                    <w:adjustRightInd w:val="0"/>
                    <w:snapToGrid w:val="0"/>
                    <w:spacing w:line="0" w:lineRule="atLeast"/>
                    <w:ind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本项目</w:t>
                  </w:r>
                </w:p>
              </w:tc>
            </w:tr>
            <w:tr w14:paraId="62FC44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74" w:hRule="atLeast"/>
                <w:jc w:val="center"/>
              </w:trPr>
              <w:tc>
                <w:tcPr>
                  <w:tcW w:w="1490" w:type="dxa"/>
                  <w:shd w:val="clear" w:color="auto" w:fill="auto"/>
                  <w:noWrap w:val="0"/>
                  <w:vAlign w:val="center"/>
                </w:tcPr>
                <w:p w14:paraId="0A3F2AB5">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生态</w:t>
                  </w:r>
                </w:p>
              </w:tc>
              <w:tc>
                <w:tcPr>
                  <w:tcW w:w="2463" w:type="dxa"/>
                  <w:shd w:val="clear" w:color="auto" w:fill="auto"/>
                  <w:noWrap w:val="0"/>
                  <w:vAlign w:val="center"/>
                </w:tcPr>
                <w:p w14:paraId="26BCE35A">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涉及环境敏感区（不包括饮用水水源保护区，以居住、医疗卫生、文化教育、科研、行政办公为主要功能的区域，以及文物保护单位）的项目</w:t>
                  </w:r>
                </w:p>
              </w:tc>
              <w:tc>
                <w:tcPr>
                  <w:tcW w:w="3106" w:type="dxa"/>
                  <w:shd w:val="clear" w:color="auto" w:fill="auto"/>
                  <w:noWrap w:val="0"/>
                  <w:vAlign w:val="center"/>
                </w:tcPr>
                <w:p w14:paraId="60415005">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本项目选址</w:t>
                  </w:r>
                  <w:r>
                    <w:rPr>
                      <w:rFonts w:hint="eastAsia" w:cs="Times New Roman"/>
                      <w:color w:val="000000" w:themeColor="text1"/>
                      <w:kern w:val="0"/>
                      <w:sz w:val="21"/>
                      <w:szCs w:val="21"/>
                      <w:highlight w:val="none"/>
                      <w:lang w:val="en-US" w:eastAsia="zh-CN"/>
                      <w14:textFill>
                        <w14:solidFill>
                          <w14:schemeClr w14:val="tx1"/>
                        </w14:solidFill>
                      </w14:textFill>
                    </w:rPr>
                    <w:t>紧邻</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六盘山自治区级自然保护区，距离自然保护区最近距离</w:t>
                  </w:r>
                  <w:r>
                    <w:rPr>
                      <w:rFonts w:hint="eastAsia" w:cs="Times New Roman"/>
                      <w:color w:val="000000" w:themeColor="text1"/>
                      <w:kern w:val="0"/>
                      <w:sz w:val="21"/>
                      <w:szCs w:val="21"/>
                      <w:highlight w:val="none"/>
                      <w:lang w:val="en-US" w:eastAsia="zh-CN"/>
                      <w14:textFill>
                        <w14:solidFill>
                          <w14:schemeClr w14:val="tx1"/>
                        </w14:solidFill>
                      </w14:textFill>
                    </w:rPr>
                    <w:t>不到1</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m，由于本项目生态环境影响评价范围涉及六盘山自治区级自然保护区，综合考虑，需进行生态专项评价</w:t>
                  </w:r>
                </w:p>
              </w:tc>
            </w:tr>
          </w:tbl>
          <w:p w14:paraId="67E665E2">
            <w:pPr>
              <w:autoSpaceDE w:val="0"/>
              <w:autoSpaceDN w:val="0"/>
              <w:adjustRightInd w:val="0"/>
              <w:snapToGrid w:val="0"/>
              <w:spacing w:line="360" w:lineRule="auto"/>
              <w:ind w:left="0" w:leftChars="0" w:right="0" w:rightChars="0" w:firstLine="0" w:firstLineChars="0"/>
              <w:jc w:val="center"/>
              <w:rPr>
                <w:rFonts w:hint="default" w:ascii="Times New Roman" w:hAnsi="Times New Roman" w:eastAsia="宋体" w:cs="Times New Roman"/>
                <w:color w:val="000000" w:themeColor="text1"/>
                <w:kern w:val="0"/>
                <w:lang w:val="en-US" w:eastAsia="zh-CN"/>
                <w14:textFill>
                  <w14:solidFill>
                    <w14:schemeClr w14:val="tx1"/>
                  </w14:solidFill>
                </w14:textFill>
              </w:rPr>
            </w:pPr>
          </w:p>
        </w:tc>
      </w:tr>
      <w:tr w14:paraId="4C8AA85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28" w:type="dxa"/>
            <w:left w:w="57" w:type="dxa"/>
            <w:bottom w:w="28" w:type="dxa"/>
            <w:right w:w="57" w:type="dxa"/>
          </w:tblCellMar>
        </w:tblPrEx>
        <w:trPr>
          <w:trHeight w:val="458" w:hRule="atLeast"/>
          <w:jc w:val="center"/>
        </w:trPr>
        <w:tc>
          <w:tcPr>
            <w:tcW w:w="1922" w:type="dxa"/>
            <w:noWrap w:val="0"/>
            <w:tcMar>
              <w:top w:w="16" w:type="dxa"/>
              <w:left w:w="16" w:type="dxa"/>
              <w:right w:w="16" w:type="dxa"/>
            </w:tcMar>
            <w:vAlign w:val="center"/>
          </w:tcPr>
          <w:p w14:paraId="39DC546D">
            <w:pPr>
              <w:autoSpaceDE w:val="0"/>
              <w:autoSpaceDN w:val="0"/>
              <w:adjustRightInd w:val="0"/>
              <w:snapToGrid w:val="0"/>
              <w:spacing w:line="240" w:lineRule="auto"/>
              <w:ind w:firstLine="0" w:firstLineChars="0"/>
              <w:jc w:val="center"/>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规划情况</w:t>
            </w:r>
          </w:p>
        </w:tc>
        <w:tc>
          <w:tcPr>
            <w:tcW w:w="7148" w:type="dxa"/>
            <w:gridSpan w:val="3"/>
            <w:noWrap w:val="0"/>
            <w:tcMar>
              <w:top w:w="16" w:type="dxa"/>
              <w:left w:w="16" w:type="dxa"/>
              <w:right w:w="16" w:type="dxa"/>
            </w:tcMar>
            <w:vAlign w:val="center"/>
          </w:tcPr>
          <w:p w14:paraId="7964C061">
            <w:pPr>
              <w:autoSpaceDE w:val="0"/>
              <w:autoSpaceDN w:val="0"/>
              <w:adjustRightInd w:val="0"/>
              <w:snapToGrid w:val="0"/>
              <w:spacing w:line="360" w:lineRule="auto"/>
              <w:ind w:left="0" w:leftChars="0" w:right="0" w:rightChars="0" w:firstLine="0" w:firstLineChars="0"/>
              <w:jc w:val="center"/>
              <w:rPr>
                <w:rFonts w:hint="default" w:ascii="Times New Roman" w:hAnsi="Times New Roman" w:eastAsia="微软雅黑" w:cs="Times New Roman"/>
                <w:b/>
                <w:bCs/>
                <w:color w:val="000000" w:themeColor="text1"/>
                <w:kern w:val="0"/>
                <w:lang w:val="en-US" w:eastAsia="zh-CN"/>
                <w14:textFill>
                  <w14:solidFill>
                    <w14:schemeClr w14:val="tx1"/>
                  </w14:solidFill>
                </w14:textFill>
              </w:rPr>
            </w:pPr>
            <w:r>
              <w:rPr>
                <w:rFonts w:hint="default" w:ascii="Times New Roman" w:hAnsi="Times New Roman" w:cs="Times New Roman"/>
                <w:b w:val="0"/>
                <w:bCs w:val="0"/>
                <w:color w:val="000000" w:themeColor="text1"/>
                <w:kern w:val="0"/>
                <w:lang w:val="en-US" w:eastAsia="zh-CN"/>
                <w14:textFill>
                  <w14:solidFill>
                    <w14:schemeClr w14:val="tx1"/>
                  </w14:solidFill>
                </w14:textFill>
              </w:rPr>
              <w:t>无</w:t>
            </w:r>
          </w:p>
        </w:tc>
      </w:tr>
      <w:tr w14:paraId="7100D0B9">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28" w:type="dxa"/>
            <w:left w:w="57" w:type="dxa"/>
            <w:bottom w:w="28" w:type="dxa"/>
            <w:right w:w="57" w:type="dxa"/>
          </w:tblCellMar>
        </w:tblPrEx>
        <w:trPr>
          <w:trHeight w:val="0" w:hRule="atLeast"/>
          <w:jc w:val="center"/>
        </w:trPr>
        <w:tc>
          <w:tcPr>
            <w:tcW w:w="1922" w:type="dxa"/>
            <w:noWrap w:val="0"/>
            <w:tcMar>
              <w:top w:w="16" w:type="dxa"/>
              <w:left w:w="16" w:type="dxa"/>
              <w:right w:w="16" w:type="dxa"/>
            </w:tcMar>
            <w:vAlign w:val="center"/>
          </w:tcPr>
          <w:p w14:paraId="4218E128">
            <w:pPr>
              <w:autoSpaceDE w:val="0"/>
              <w:autoSpaceDN w:val="0"/>
              <w:adjustRightInd w:val="0"/>
              <w:snapToGrid w:val="0"/>
              <w:spacing w:line="240" w:lineRule="auto"/>
              <w:ind w:firstLine="0" w:firstLineChars="0"/>
              <w:jc w:val="center"/>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规划环境影响评价情况</w:t>
            </w:r>
          </w:p>
        </w:tc>
        <w:tc>
          <w:tcPr>
            <w:tcW w:w="7148" w:type="dxa"/>
            <w:gridSpan w:val="3"/>
            <w:noWrap w:val="0"/>
            <w:tcMar>
              <w:top w:w="16" w:type="dxa"/>
              <w:left w:w="16" w:type="dxa"/>
              <w:right w:w="16" w:type="dxa"/>
            </w:tcMar>
            <w:vAlign w:val="center"/>
          </w:tcPr>
          <w:p w14:paraId="751AC887">
            <w:pPr>
              <w:autoSpaceDE w:val="0"/>
              <w:autoSpaceDN w:val="0"/>
              <w:adjustRightInd w:val="0"/>
              <w:snapToGrid w:val="0"/>
              <w:spacing w:line="360" w:lineRule="auto"/>
              <w:ind w:left="0" w:leftChars="0" w:right="0" w:rightChars="0" w:firstLine="0" w:firstLineChars="0"/>
              <w:jc w:val="center"/>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b w:val="0"/>
                <w:bCs w:val="0"/>
                <w:color w:val="000000" w:themeColor="text1"/>
                <w:kern w:val="0"/>
                <w:lang w:val="en-US" w:eastAsia="zh-CN"/>
                <w14:textFill>
                  <w14:solidFill>
                    <w14:schemeClr w14:val="tx1"/>
                  </w14:solidFill>
                </w14:textFill>
              </w:rPr>
              <w:t>无</w:t>
            </w:r>
          </w:p>
        </w:tc>
      </w:tr>
      <w:tr w14:paraId="78243F94">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28" w:type="dxa"/>
            <w:left w:w="57" w:type="dxa"/>
            <w:bottom w:w="28" w:type="dxa"/>
            <w:right w:w="57" w:type="dxa"/>
          </w:tblCellMar>
        </w:tblPrEx>
        <w:trPr>
          <w:trHeight w:val="1024" w:hRule="atLeast"/>
          <w:jc w:val="center"/>
        </w:trPr>
        <w:tc>
          <w:tcPr>
            <w:tcW w:w="1922" w:type="dxa"/>
            <w:noWrap w:val="0"/>
            <w:tcMar>
              <w:top w:w="16" w:type="dxa"/>
              <w:left w:w="16" w:type="dxa"/>
              <w:right w:w="16" w:type="dxa"/>
            </w:tcMar>
            <w:vAlign w:val="center"/>
          </w:tcPr>
          <w:p w14:paraId="5512A1D2">
            <w:pPr>
              <w:autoSpaceDE w:val="0"/>
              <w:autoSpaceDN w:val="0"/>
              <w:adjustRightInd w:val="0"/>
              <w:snapToGrid w:val="0"/>
              <w:spacing w:line="240" w:lineRule="auto"/>
              <w:ind w:firstLine="0" w:firstLineChars="0"/>
              <w:jc w:val="center"/>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规划及</w:t>
            </w:r>
            <w:r>
              <w:rPr>
                <w:rFonts w:hint="default" w:ascii="Times New Roman" w:hAnsi="Times New Roman" w:cs="Times New Roman"/>
                <w:color w:val="000000" w:themeColor="text1"/>
                <w14:textFill>
                  <w14:solidFill>
                    <w14:schemeClr w14:val="tx1"/>
                  </w14:solidFill>
                </w14:textFill>
              </w:rPr>
              <w:t>规划环境影响评价</w:t>
            </w:r>
            <w:r>
              <w:rPr>
                <w:rFonts w:hint="default" w:ascii="Times New Roman" w:hAnsi="Times New Roman" w:cs="Times New Roman"/>
                <w:color w:val="000000" w:themeColor="text1"/>
                <w:kern w:val="0"/>
                <w14:textFill>
                  <w14:solidFill>
                    <w14:schemeClr w14:val="tx1"/>
                  </w14:solidFill>
                </w14:textFill>
              </w:rPr>
              <w:t>符合性分析</w:t>
            </w:r>
          </w:p>
        </w:tc>
        <w:tc>
          <w:tcPr>
            <w:tcW w:w="7148" w:type="dxa"/>
            <w:gridSpan w:val="3"/>
            <w:noWrap w:val="0"/>
            <w:tcMar>
              <w:top w:w="16" w:type="dxa"/>
              <w:left w:w="16" w:type="dxa"/>
              <w:right w:w="16" w:type="dxa"/>
            </w:tcMar>
            <w:vAlign w:val="center"/>
          </w:tcPr>
          <w:p w14:paraId="1A1B6B7F">
            <w:pPr>
              <w:autoSpaceDE w:val="0"/>
              <w:autoSpaceDN w:val="0"/>
              <w:adjustRightInd w:val="0"/>
              <w:snapToGrid w:val="0"/>
              <w:ind w:left="0" w:leftChars="0" w:right="0" w:rightChars="0" w:firstLine="0" w:firstLineChars="0"/>
              <w:jc w:val="center"/>
              <w:rPr>
                <w:rFonts w:hint="default" w:ascii="Times New Roman" w:hAnsi="Times New Roman" w:eastAsia="宋体" w:cs="Times New Roman"/>
                <w:color w:val="000000" w:themeColor="text1"/>
                <w:kern w:val="0"/>
                <w:lang w:val="en-US" w:eastAsia="zh-CN"/>
                <w14:textFill>
                  <w14:solidFill>
                    <w14:schemeClr w14:val="tx1"/>
                  </w14:solidFill>
                </w14:textFill>
              </w:rPr>
            </w:pPr>
            <w:r>
              <w:rPr>
                <w:rFonts w:hint="default" w:ascii="Times New Roman" w:hAnsi="Times New Roman" w:cs="Times New Roman"/>
                <w:color w:val="000000" w:themeColor="text1"/>
                <w:kern w:val="0"/>
                <w:lang w:val="en-US" w:eastAsia="zh-CN"/>
                <w14:textFill>
                  <w14:solidFill>
                    <w14:schemeClr w14:val="tx1"/>
                  </w14:solidFill>
                </w14:textFill>
              </w:rPr>
              <w:t>无</w:t>
            </w:r>
          </w:p>
        </w:tc>
      </w:tr>
      <w:tr w14:paraId="57030A46">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28" w:type="dxa"/>
            <w:left w:w="57" w:type="dxa"/>
            <w:bottom w:w="28" w:type="dxa"/>
            <w:right w:w="57" w:type="dxa"/>
          </w:tblCellMar>
        </w:tblPrEx>
        <w:trPr>
          <w:trHeight w:val="6828" w:hRule="atLeast"/>
          <w:jc w:val="center"/>
        </w:trPr>
        <w:tc>
          <w:tcPr>
            <w:tcW w:w="1922" w:type="dxa"/>
            <w:noWrap w:val="0"/>
            <w:tcMar>
              <w:top w:w="16" w:type="dxa"/>
              <w:left w:w="16" w:type="dxa"/>
              <w:right w:w="16" w:type="dxa"/>
            </w:tcMar>
            <w:vAlign w:val="center"/>
          </w:tcPr>
          <w:p w14:paraId="37DCE8D0">
            <w:pPr>
              <w:autoSpaceDE w:val="0"/>
              <w:autoSpaceDN w:val="0"/>
              <w:adjustRightInd w:val="0"/>
              <w:snapToGrid w:val="0"/>
              <w:spacing w:line="240" w:lineRule="auto"/>
              <w:ind w:firstLine="0" w:firstLineChars="0"/>
              <w:jc w:val="center"/>
              <w:rPr>
                <w:rFonts w:hint="default" w:ascii="Times New Roman" w:hAnsi="Times New Roman" w:cs="Times New Roman"/>
                <w:color w:val="000000" w:themeColor="text1"/>
                <w:kern w:val="0"/>
                <w14:textFill>
                  <w14:solidFill>
                    <w14:schemeClr w14:val="tx1"/>
                  </w14:solidFill>
                </w14:textFill>
              </w:rPr>
            </w:pPr>
            <w:bookmarkStart w:id="1" w:name="_Hlk56690880"/>
            <w:r>
              <w:rPr>
                <w:rFonts w:hint="default" w:ascii="Times New Roman" w:hAnsi="Times New Roman" w:cs="Times New Roman"/>
                <w:color w:val="000000" w:themeColor="text1"/>
                <w:kern w:val="0"/>
                <w14:textFill>
                  <w14:solidFill>
                    <w14:schemeClr w14:val="tx1"/>
                  </w14:solidFill>
                </w14:textFill>
              </w:rPr>
              <w:t>其他符合性分析</w:t>
            </w:r>
            <w:bookmarkEnd w:id="1"/>
          </w:p>
        </w:tc>
        <w:tc>
          <w:tcPr>
            <w:tcW w:w="7148" w:type="dxa"/>
            <w:gridSpan w:val="3"/>
            <w:noWrap w:val="0"/>
            <w:tcMar>
              <w:top w:w="16" w:type="dxa"/>
              <w:left w:w="16" w:type="dxa"/>
              <w:right w:w="16" w:type="dxa"/>
            </w:tcMar>
            <w:vAlign w:val="center"/>
          </w:tcPr>
          <w:p w14:paraId="22004746">
            <w:pPr>
              <w:autoSpaceDE w:val="0"/>
              <w:autoSpaceDN w:val="0"/>
              <w:adjustRightInd w:val="0"/>
              <w:snapToGrid w:val="0"/>
              <w:ind w:firstLine="482"/>
              <w:jc w:val="left"/>
              <w:rPr>
                <w:rFonts w:hint="default" w:ascii="Times New Roman" w:hAnsi="Times New Roman" w:eastAsia="宋体" w:cs="Times New Roman"/>
                <w:b/>
                <w:bCs/>
                <w:color w:val="000000" w:themeColor="text1"/>
                <w:kern w:val="0"/>
                <w:lang w:val="en-US" w:eastAsia="zh-CN"/>
                <w14:textFill>
                  <w14:solidFill>
                    <w14:schemeClr w14:val="tx1"/>
                  </w14:solidFill>
                </w14:textFill>
              </w:rPr>
            </w:pPr>
            <w:r>
              <w:rPr>
                <w:rFonts w:hint="default" w:ascii="Times New Roman" w:hAnsi="Times New Roman" w:eastAsia="宋体" w:cs="Times New Roman"/>
                <w:b/>
                <w:bCs/>
                <w:color w:val="000000" w:themeColor="text1"/>
                <w:kern w:val="0"/>
                <w:lang w:val="en-US" w:eastAsia="zh-CN"/>
                <w14:textFill>
                  <w14:solidFill>
                    <w14:schemeClr w14:val="tx1"/>
                  </w14:solidFill>
                </w14:textFill>
              </w:rPr>
              <w:t>1 与《宁夏回族自治区文化和旅游发展“十四五”规划》符合性分析</w:t>
            </w:r>
          </w:p>
          <w:p w14:paraId="5E5AE042">
            <w:pPr>
              <w:autoSpaceDE w:val="0"/>
              <w:autoSpaceDN w:val="0"/>
              <w:adjustRightInd w:val="0"/>
              <w:snapToGrid w:val="0"/>
              <w:ind w:firstLine="480"/>
              <w:jc w:val="left"/>
              <w:rPr>
                <w:rFonts w:hint="default" w:ascii="Times New Roman" w:hAnsi="Times New Roman" w:eastAsia="宋体" w:cs="Times New Roman"/>
                <w:color w:val="000000" w:themeColor="text1"/>
                <w:kern w:val="0"/>
                <w:lang w:val="en-US" w:eastAsia="zh-CN"/>
                <w14:textFill>
                  <w14:solidFill>
                    <w14:schemeClr w14:val="tx1"/>
                  </w14:solidFill>
                </w14:textFill>
              </w:rPr>
            </w:pPr>
            <w:r>
              <w:rPr>
                <w:rFonts w:hint="default" w:ascii="Times New Roman" w:hAnsi="Times New Roman" w:eastAsia="宋体" w:cs="Times New Roman"/>
                <w:color w:val="000000" w:themeColor="text1"/>
                <w:kern w:val="0"/>
                <w:lang w:val="en-US" w:eastAsia="zh-CN"/>
                <w14:textFill>
                  <w14:solidFill>
                    <w14:schemeClr w14:val="tx1"/>
                  </w14:solidFill>
                </w14:textFill>
              </w:rPr>
              <w:t>《宁夏回族自治区文化和旅游发展“十四五”规划》第二章 总体要求第五节 发展布局中四、促进地市特色发展提出：“推动中心城市突出地域特色，实施特色化、差异化发展，形成特色鲜明、优势互补、协调联动的产业发展态势......固原市围绕“天高云淡六盘山”，打造西北地区知名的避暑康养生态休闲度假胜地，建设生态园林和文化旅游城市......。”</w:t>
            </w:r>
          </w:p>
          <w:p w14:paraId="4F52F24E">
            <w:pPr>
              <w:autoSpaceDE w:val="0"/>
              <w:autoSpaceDN w:val="0"/>
              <w:adjustRightInd w:val="0"/>
              <w:snapToGrid w:val="0"/>
              <w:ind w:firstLine="480"/>
              <w:jc w:val="left"/>
              <w:rPr>
                <w:rFonts w:hint="default" w:ascii="Times New Roman" w:hAnsi="Times New Roman" w:eastAsia="宋体" w:cs="Times New Roman"/>
                <w:color w:val="000000" w:themeColor="text1"/>
                <w:kern w:val="0"/>
                <w:lang w:val="en-US" w:eastAsia="zh-CN"/>
                <w14:textFill>
                  <w14:solidFill>
                    <w14:schemeClr w14:val="tx1"/>
                  </w14:solidFill>
                </w14:textFill>
              </w:rPr>
            </w:pPr>
            <w:r>
              <w:rPr>
                <w:rFonts w:hint="default" w:ascii="Times New Roman" w:hAnsi="Times New Roman" w:eastAsia="宋体" w:cs="Times New Roman"/>
                <w:color w:val="000000" w:themeColor="text1"/>
                <w:kern w:val="0"/>
                <w:lang w:val="en-US" w:eastAsia="zh-CN"/>
                <w14:textFill>
                  <w14:solidFill>
                    <w14:schemeClr w14:val="tx1"/>
                  </w14:solidFill>
                </w14:textFill>
              </w:rPr>
              <w:t>第五章 高质量发展旅游业第一节 定位创新，打造高品质旅游目的地中一、建设大西北旅游目的地提出：“打造大西北休闲度假旅游目的地。把握后疫情时代旅游特点，转变发展理念，引导宁夏旅游业由观光旅游为主转向观光、休闲度假市场并重格局。依托宁夏天蓝、地绿、水美优质休闲度假环境，发挥空气质量与气候优势、生态环境优势、绿色食品产业等优势，大力发展休闲、度假、康养旅游......提升休闲度假设施，丰富休闲度假活动，在周边区域市场打造“微度假+深体验”、在重点客源市场打造“野奢度假”“康养度假”品牌形象，把宁夏建设成为西北休闲度假目的地。”</w:t>
            </w:r>
          </w:p>
          <w:p w14:paraId="678E133B">
            <w:pPr>
              <w:autoSpaceDE w:val="0"/>
              <w:autoSpaceDN w:val="0"/>
              <w:adjustRightInd w:val="0"/>
              <w:snapToGrid w:val="0"/>
              <w:ind w:firstLine="480"/>
              <w:jc w:val="left"/>
              <w:rPr>
                <w:rFonts w:hint="default" w:ascii="Times New Roman" w:hAnsi="Times New Roman" w:eastAsia="宋体" w:cs="Times New Roman"/>
                <w:color w:val="000000" w:themeColor="text1"/>
                <w:kern w:val="0"/>
                <w:lang w:val="en-US" w:eastAsia="zh-CN"/>
                <w14:textFill>
                  <w14:solidFill>
                    <w14:schemeClr w14:val="tx1"/>
                  </w14:solidFill>
                </w14:textFill>
              </w:rPr>
            </w:pPr>
            <w:r>
              <w:rPr>
                <w:rFonts w:hint="default" w:ascii="Times New Roman" w:hAnsi="Times New Roman" w:eastAsia="宋体" w:cs="Times New Roman"/>
                <w:color w:val="000000" w:themeColor="text1"/>
                <w:kern w:val="0"/>
                <w:lang w:val="en-US" w:eastAsia="zh-CN"/>
                <w14:textFill>
                  <w14:solidFill>
                    <w14:schemeClr w14:val="tx1"/>
                  </w14:solidFill>
                </w14:textFill>
              </w:rPr>
              <w:t>第六章 推进文化和旅游全业态融合第一节 促进文化和旅游深度融合中一、以文塑旅，提升旅游的品质和内涵提出：“依托文化文物资源培育旅游产品、提升旅游品位、丰富旅游业态、增强产品吸引力，拓展旅游发展空间。深入挖掘宁夏地域文化特色......支持开发集文化创意、休闲度假、康体养生等主题于一体的文化旅游综合体......。”第三节 促进文化和旅游与相关产业融合中二、促进产品融合提出：“充分发挥文化旅游的创意、体验功能，围绕相关产业开发多元化、特色化旅游产品和线路，增强产业吸引力，扩大产业影响力......鼓励相关产业优化休闲环境，配套精品民宿、度假酒店、度假村、旅游小镇等，发展特色农庄、精品酒庄等休闲度假型产品，培育产业高粘性市场群体。”第四节 大力发展乡村旅游中二、丰富乡村旅游产品供给提出：“依托城市、景区集聚优势发展乡村旅游，在城市周边打造近郊乡村游憩地，开发一批乡村康养、休闲农庄、创意农业、会展培训等项目，满足城市居民休闲消费需求......依托生态资源打造康养型乡村旅游目的地，发展一批生态观光、休闲度假的旅游村镇......。”</w:t>
            </w:r>
          </w:p>
          <w:p w14:paraId="5F4EE86D">
            <w:pPr>
              <w:autoSpaceDE w:val="0"/>
              <w:autoSpaceDN w:val="0"/>
              <w:adjustRightInd w:val="0"/>
              <w:snapToGrid w:val="0"/>
              <w:ind w:firstLine="480"/>
              <w:jc w:val="left"/>
              <w:rPr>
                <w:rFonts w:hint="default" w:ascii="Times New Roman" w:hAnsi="Times New Roman" w:eastAsia="宋体" w:cs="Times New Roman"/>
                <w:color w:val="000000" w:themeColor="text1"/>
                <w:kern w:val="0"/>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highlight w:val="none"/>
                <w:lang w:val="en-US" w:eastAsia="zh-CN"/>
                <w14:textFill>
                  <w14:solidFill>
                    <w14:schemeClr w14:val="tx1"/>
                  </w14:solidFill>
                </w14:textFill>
              </w:rPr>
              <w:t>本项目</w:t>
            </w:r>
            <w:r>
              <w:rPr>
                <w:rFonts w:hint="default" w:ascii="Times New Roman" w:hAnsi="Times New Roman" w:cs="Times New Roman"/>
                <w:color w:val="000000" w:themeColor="text1"/>
                <w:kern w:val="0"/>
                <w:highlight w:val="none"/>
                <w:lang w:val="en-US" w:eastAsia="zh-CN"/>
                <w14:textFill>
                  <w14:solidFill>
                    <w14:schemeClr w14:val="tx1"/>
                  </w14:solidFill>
                </w14:textFill>
              </w:rPr>
              <w:t>位于泾源县黄花乡，建设内容有生态治理部分和产业发展部分，生态治理部分不在本次环境影响评价范围内。本次仅评价产业发展部分，产业发展部分包括：</w:t>
            </w:r>
            <w:r>
              <w:rPr>
                <w:rFonts w:hint="default" w:ascii="Times New Roman" w:hAnsi="Times New Roman" w:cs="Times New Roman"/>
                <w:color w:val="000000" w:themeColor="text1"/>
                <w:kern w:val="0"/>
                <w:lang w:val="en-US" w:eastAsia="zh-CN"/>
                <w14:textFill>
                  <w14:solidFill>
                    <w14:schemeClr w14:val="tx1"/>
                  </w14:solidFill>
                </w14:textFill>
              </w:rPr>
              <w:t>农产品交易、林下经济、文化展示、森林旅游、温泉康养</w:t>
            </w:r>
            <w:r>
              <w:rPr>
                <w:rFonts w:hint="default" w:ascii="Times New Roman" w:hAnsi="Times New Roman" w:cs="Times New Roman"/>
                <w:color w:val="000000" w:themeColor="text1"/>
                <w:kern w:val="0"/>
                <w:highlight w:val="none"/>
                <w:lang w:val="en-US" w:eastAsia="zh-CN"/>
                <w14:textFill>
                  <w14:solidFill>
                    <w14:schemeClr w14:val="tx1"/>
                  </w14:solidFill>
                </w14:textFill>
              </w:rPr>
              <w:t>，是集旅游与康养为一体的项目，符合上述规划要求。</w:t>
            </w:r>
          </w:p>
          <w:p w14:paraId="6D6F6EA4">
            <w:pPr>
              <w:autoSpaceDE w:val="0"/>
              <w:autoSpaceDN w:val="0"/>
              <w:adjustRightInd w:val="0"/>
              <w:snapToGrid w:val="0"/>
              <w:ind w:firstLine="482"/>
              <w:jc w:val="left"/>
              <w:rPr>
                <w:rFonts w:hint="default" w:ascii="Times New Roman" w:hAnsi="Times New Roman" w:eastAsia="宋体" w:cs="Times New Roman"/>
                <w:b/>
                <w:bCs/>
                <w:color w:val="000000" w:themeColor="text1"/>
                <w:kern w:val="0"/>
                <w:lang w:val="en-US" w:eastAsia="zh-CN"/>
                <w14:textFill>
                  <w14:solidFill>
                    <w14:schemeClr w14:val="tx1"/>
                  </w14:solidFill>
                </w14:textFill>
              </w:rPr>
            </w:pPr>
            <w:r>
              <w:rPr>
                <w:rFonts w:hint="default" w:ascii="Times New Roman" w:hAnsi="Times New Roman" w:eastAsia="宋体" w:cs="Times New Roman"/>
                <w:b/>
                <w:bCs/>
                <w:color w:val="000000" w:themeColor="text1"/>
                <w:kern w:val="0"/>
                <w:lang w:val="en-US" w:eastAsia="zh-CN"/>
                <w14:textFill>
                  <w14:solidFill>
                    <w14:schemeClr w14:val="tx1"/>
                  </w14:solidFill>
                </w14:textFill>
              </w:rPr>
              <w:t>2 与《泾源县国民经济和社会发展第十四个五年规划和2035年远景目标纲要》符合性分析</w:t>
            </w:r>
          </w:p>
          <w:p w14:paraId="444D4FE9">
            <w:pPr>
              <w:autoSpaceDE w:val="0"/>
              <w:autoSpaceDN w:val="0"/>
              <w:adjustRightInd w:val="0"/>
              <w:snapToGrid w:val="0"/>
              <w:ind w:firstLine="480"/>
              <w:jc w:val="left"/>
              <w:rPr>
                <w:rFonts w:hint="default" w:ascii="Times New Roman" w:hAnsi="Times New Roman" w:eastAsia="宋体" w:cs="Times New Roman"/>
                <w:b w:val="0"/>
                <w:bCs w:val="0"/>
                <w:color w:val="000000" w:themeColor="text1"/>
                <w:kern w:val="0"/>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lang w:val="en-US" w:eastAsia="zh-CN"/>
                <w14:textFill>
                  <w14:solidFill>
                    <w14:schemeClr w14:val="tx1"/>
                  </w14:solidFill>
                </w14:textFill>
              </w:rPr>
              <w:t xml:space="preserve">《泾源县国民经济和社会发展第十四个五年规划和2035年远景目标纲要》第十章 </w:t>
            </w:r>
            <w:r>
              <w:rPr>
                <w:rFonts w:hint="default" w:ascii="Times New Roman" w:hAnsi="Times New Roman" w:eastAsia="宋体" w:cs="Times New Roman"/>
                <w:color w:val="000000" w:themeColor="text1"/>
                <w:sz w:val="24"/>
                <w:szCs w:val="24"/>
                <w14:textFill>
                  <w14:solidFill>
                    <w14:schemeClr w14:val="tx1"/>
                  </w14:solidFill>
                </w14:textFill>
              </w:rPr>
              <w:t>持续增进民生福祉，共享高质量发展新成果</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第四节 </w:t>
            </w:r>
            <w:r>
              <w:rPr>
                <w:rFonts w:hint="default" w:ascii="Times New Roman" w:hAnsi="Times New Roman" w:eastAsia="宋体" w:cs="Times New Roman"/>
                <w:color w:val="000000" w:themeColor="text1"/>
                <w:sz w:val="24"/>
                <w:szCs w:val="24"/>
                <w14:textFill>
                  <w14:solidFill>
                    <w14:schemeClr w14:val="tx1"/>
                  </w14:solidFill>
                </w14:textFill>
              </w:rPr>
              <w:t>健全社会保障体系</w:t>
            </w:r>
            <w:r>
              <w:rPr>
                <w:rFonts w:hint="default" w:ascii="Times New Roman" w:hAnsi="Times New Roman" w:cs="Times New Roman"/>
                <w:color w:val="000000" w:themeColor="text1"/>
                <w:sz w:val="24"/>
                <w:szCs w:val="24"/>
                <w:lang w:val="en-US" w:eastAsia="zh-CN"/>
                <w14:textFill>
                  <w14:solidFill>
                    <w14:schemeClr w14:val="tx1"/>
                  </w14:solidFill>
                </w14:textFill>
              </w:rPr>
              <w:t>中二、</w:t>
            </w:r>
            <w:r>
              <w:rPr>
                <w:rFonts w:hint="default" w:ascii="Times New Roman" w:hAnsi="Times New Roman" w:eastAsia="宋体" w:cs="Times New Roman"/>
                <w:color w:val="000000" w:themeColor="text1"/>
                <w:sz w:val="24"/>
                <w:szCs w:val="24"/>
                <w14:textFill>
                  <w14:solidFill>
                    <w14:schemeClr w14:val="tx1"/>
                  </w14:solidFill>
                </w14:textFill>
              </w:rPr>
              <w:t>完善健康养老服务</w:t>
            </w:r>
            <w:r>
              <w:rPr>
                <w:rFonts w:hint="default" w:ascii="Times New Roman" w:hAnsi="Times New Roman" w:cs="Times New Roman"/>
                <w:color w:val="000000" w:themeColor="text1"/>
                <w:sz w:val="24"/>
                <w:szCs w:val="24"/>
                <w:lang w:val="en-US" w:eastAsia="zh-CN"/>
                <w14:textFill>
                  <w14:solidFill>
                    <w14:schemeClr w14:val="tx1"/>
                  </w14:solidFill>
                </w14:textFill>
              </w:rPr>
              <w:t>提出：“</w:t>
            </w:r>
            <w:r>
              <w:rPr>
                <w:rFonts w:hint="default" w:ascii="Times New Roman" w:hAnsi="Times New Roman" w:eastAsia="宋体" w:cs="Times New Roman"/>
                <w:color w:val="000000" w:themeColor="text1"/>
                <w:kern w:val="0"/>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探索“医养结合”新模式，重点建设泾源县龙房宫温泉疗养项目、六盘山医养一体化建设项</w:t>
            </w:r>
            <w:r>
              <w:rPr>
                <w:rFonts w:hint="default" w:ascii="Times New Roman" w:hAnsi="Times New Roman" w:eastAsia="宋体" w:cs="Times New Roman"/>
                <w:b w:val="0"/>
                <w:bCs w:val="0"/>
                <w:color w:val="000000" w:themeColor="text1"/>
                <w:kern w:val="0"/>
                <w:lang w:val="en-US" w:eastAsia="zh-CN"/>
                <w14:textFill>
                  <w14:solidFill>
                    <w14:schemeClr w14:val="tx1"/>
                  </w14:solidFill>
                </w14:textFill>
              </w:rPr>
              <w:t>目等，提升养老服务水平......。”</w:t>
            </w:r>
          </w:p>
          <w:p w14:paraId="08BC1D7D">
            <w:pPr>
              <w:autoSpaceDE w:val="0"/>
              <w:autoSpaceDN w:val="0"/>
              <w:adjustRightInd w:val="0"/>
              <w:snapToGrid w:val="0"/>
              <w:ind w:firstLine="480"/>
              <w:jc w:val="left"/>
              <w:rPr>
                <w:rFonts w:hint="default" w:ascii="Times New Roman" w:hAnsi="Times New Roman" w:eastAsia="宋体" w:cs="Times New Roman"/>
                <w:b w:val="0"/>
                <w:bCs w:val="0"/>
                <w:color w:val="000000" w:themeColor="text1"/>
                <w:kern w:val="0"/>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lang w:val="en-US" w:eastAsia="zh-CN"/>
                <w14:textFill>
                  <w14:solidFill>
                    <w14:schemeClr w14:val="tx1"/>
                  </w14:solidFill>
                </w14:textFill>
              </w:rPr>
              <w:t>本项目位于泾源县黄花乡，</w:t>
            </w:r>
            <w:r>
              <w:rPr>
                <w:rFonts w:hint="default" w:ascii="Times New Roman" w:hAnsi="Times New Roman" w:cs="Times New Roman"/>
                <w:b w:val="0"/>
                <w:bCs w:val="0"/>
                <w:color w:val="000000" w:themeColor="text1"/>
                <w:kern w:val="0"/>
                <w:lang w:val="en-US" w:eastAsia="zh-CN"/>
                <w14:textFill>
                  <w14:solidFill>
                    <w14:schemeClr w14:val="tx1"/>
                  </w14:solidFill>
                </w14:textFill>
              </w:rPr>
              <w:t>为</w:t>
            </w:r>
            <w:r>
              <w:rPr>
                <w:rFonts w:hint="default" w:ascii="Times New Roman" w:hAnsi="Times New Roman" w:eastAsia="宋体" w:cs="Times New Roman"/>
                <w:color w:val="000000" w:themeColor="text1"/>
                <w:sz w:val="24"/>
                <w:szCs w:val="24"/>
                <w14:textFill>
                  <w14:solidFill>
                    <w14:schemeClr w14:val="tx1"/>
                  </w14:solidFill>
                </w14:textFill>
              </w:rPr>
              <w:t>泾源县龙房宫温泉疗养项目</w:t>
            </w:r>
            <w:r>
              <w:rPr>
                <w:rFonts w:hint="default" w:ascii="Times New Roman" w:hAnsi="Times New Roman" w:eastAsia="宋体" w:cs="Times New Roman"/>
                <w:b w:val="0"/>
                <w:bCs w:val="0"/>
                <w:color w:val="000000" w:themeColor="text1"/>
                <w:kern w:val="0"/>
                <w:lang w:val="en-US" w:eastAsia="zh-CN"/>
                <w14:textFill>
                  <w14:solidFill>
                    <w14:schemeClr w14:val="tx1"/>
                  </w14:solidFill>
                </w14:textFill>
              </w:rPr>
              <w:t>，建设内容</w:t>
            </w:r>
            <w:r>
              <w:rPr>
                <w:rFonts w:hint="default" w:ascii="Times New Roman" w:hAnsi="Times New Roman" w:cs="Times New Roman"/>
                <w:b w:val="0"/>
                <w:bCs w:val="0"/>
                <w:color w:val="000000" w:themeColor="text1"/>
                <w:kern w:val="0"/>
                <w:lang w:val="en-US" w:eastAsia="zh-CN"/>
                <w14:textFill>
                  <w14:solidFill>
                    <w14:schemeClr w14:val="tx1"/>
                  </w14:solidFill>
                </w14:textFill>
              </w:rPr>
              <w:t>中产业发展部分包括：</w:t>
            </w:r>
            <w:r>
              <w:rPr>
                <w:rFonts w:hint="default" w:ascii="Times New Roman" w:hAnsi="Times New Roman" w:cs="Times New Roman"/>
                <w:color w:val="000000" w:themeColor="text1"/>
                <w:kern w:val="0"/>
                <w:lang w:val="en-US" w:eastAsia="zh-CN"/>
                <w14:textFill>
                  <w14:solidFill>
                    <w14:schemeClr w14:val="tx1"/>
                  </w14:solidFill>
                </w14:textFill>
              </w:rPr>
              <w:t>农产品交易、林下经济、文化展示、森林旅游、温泉康养</w:t>
            </w:r>
            <w:r>
              <w:rPr>
                <w:rFonts w:hint="default" w:ascii="Times New Roman" w:hAnsi="Times New Roman" w:eastAsia="宋体" w:cs="Times New Roman"/>
                <w:b w:val="0"/>
                <w:bCs w:val="0"/>
                <w:color w:val="000000" w:themeColor="text1"/>
                <w:kern w:val="0"/>
                <w:lang w:val="en-US" w:eastAsia="zh-CN"/>
                <w14:textFill>
                  <w14:solidFill>
                    <w14:schemeClr w14:val="tx1"/>
                  </w14:solidFill>
                </w14:textFill>
              </w:rPr>
              <w:t>，符合上述规划要求。</w:t>
            </w:r>
          </w:p>
          <w:p w14:paraId="44BD5874">
            <w:pPr>
              <w:autoSpaceDE w:val="0"/>
              <w:autoSpaceDN w:val="0"/>
              <w:adjustRightInd w:val="0"/>
              <w:snapToGrid w:val="0"/>
              <w:spacing w:line="360" w:lineRule="auto"/>
              <w:ind w:firstLine="482"/>
              <w:jc w:val="left"/>
              <w:rPr>
                <w:rFonts w:hint="default" w:ascii="Times New Roman" w:hAnsi="Times New Roman" w:cs="Times New Roman"/>
                <w:b/>
                <w:bCs/>
                <w:color w:val="000000" w:themeColor="text1"/>
                <w:kern w:val="0"/>
                <w14:textFill>
                  <w14:solidFill>
                    <w14:schemeClr w14:val="tx1"/>
                  </w14:solidFill>
                </w14:textFill>
              </w:rPr>
            </w:pPr>
            <w:r>
              <w:rPr>
                <w:rFonts w:hint="default" w:ascii="Times New Roman" w:hAnsi="Times New Roman" w:cs="Times New Roman"/>
                <w:b/>
                <w:bCs/>
                <w:color w:val="000000" w:themeColor="text1"/>
                <w:kern w:val="0"/>
                <w:lang w:val="en-US" w:eastAsia="zh-CN"/>
                <w14:textFill>
                  <w14:solidFill>
                    <w14:schemeClr w14:val="tx1"/>
                  </w14:solidFill>
                </w14:textFill>
              </w:rPr>
              <w:t xml:space="preserve">3 </w:t>
            </w:r>
            <w:r>
              <w:rPr>
                <w:rFonts w:hint="default" w:ascii="Times New Roman" w:hAnsi="Times New Roman" w:cs="Times New Roman"/>
                <w:b/>
                <w:bCs/>
                <w:color w:val="000000" w:themeColor="text1"/>
                <w:kern w:val="0"/>
                <w14:textFill>
                  <w14:solidFill>
                    <w14:schemeClr w14:val="tx1"/>
                  </w14:solidFill>
                </w14:textFill>
              </w:rPr>
              <w:t>产业政策符合性分析</w:t>
            </w:r>
          </w:p>
          <w:p w14:paraId="17D76C49">
            <w:pPr>
              <w:spacing w:line="360" w:lineRule="auto"/>
              <w:ind w:firstLine="480"/>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拟建项目建设内容包括</w:t>
            </w:r>
            <w:r>
              <w:rPr>
                <w:rFonts w:hint="default" w:ascii="Times New Roman" w:hAnsi="Times New Roman" w:cs="Times New Roman"/>
                <w:color w:val="000000" w:themeColor="text1"/>
                <w:kern w:val="0"/>
                <w:lang w:val="en-US" w:eastAsia="zh-CN"/>
                <w14:textFill>
                  <w14:solidFill>
                    <w14:schemeClr w14:val="tx1"/>
                  </w14:solidFill>
                </w14:textFill>
              </w:rPr>
              <w:t>生态治理部分和产业发展部分，其中生态治理部分不在本次评价范围内，产业发展部分包括：农产品交易、林下经济、文化展示、森林旅游、温泉康养</w:t>
            </w:r>
            <w:r>
              <w:rPr>
                <w:rFonts w:hint="default" w:ascii="Times New Roman" w:hAnsi="Times New Roman" w:eastAsia="宋体" w:cs="Times New Roman"/>
                <w:color w:val="000000" w:themeColor="text1"/>
                <w:kern w:val="0"/>
                <w14:textFill>
                  <w14:solidFill>
                    <w14:schemeClr w14:val="tx1"/>
                  </w14:solidFill>
                </w14:textFill>
              </w:rPr>
              <w:t>。对照国家发展和改革委员会《产业结构调整指导目录（20</w:t>
            </w:r>
            <w:r>
              <w:rPr>
                <w:rFonts w:hint="default" w:ascii="Times New Roman" w:hAnsi="Times New Roman" w:eastAsia="宋体" w:cs="Times New Roman"/>
                <w:color w:val="000000" w:themeColor="text1"/>
                <w:kern w:val="0"/>
                <w:lang w:val="en-US" w:eastAsia="zh-CN"/>
                <w14:textFill>
                  <w14:solidFill>
                    <w14:schemeClr w14:val="tx1"/>
                  </w14:solidFill>
                </w14:textFill>
              </w:rPr>
              <w:t>24</w:t>
            </w:r>
            <w:r>
              <w:rPr>
                <w:rFonts w:hint="default" w:ascii="Times New Roman" w:hAnsi="Times New Roman" w:eastAsia="宋体" w:cs="Times New Roman"/>
                <w:color w:val="000000" w:themeColor="text1"/>
                <w:kern w:val="0"/>
                <w14:textFill>
                  <w14:solidFill>
                    <w14:schemeClr w14:val="tx1"/>
                  </w14:solidFill>
                </w14:textFill>
              </w:rPr>
              <w:t>年本）》，该项目属于鼓励类项目中的</w:t>
            </w:r>
            <w:r>
              <w:rPr>
                <w:rFonts w:hint="default" w:ascii="Times New Roman" w:hAnsi="Times New Roman" w:eastAsia="宋体" w:cs="Times New Roman"/>
                <w:color w:val="000000" w:themeColor="text1"/>
                <w:kern w:val="0"/>
                <w:lang w:eastAsia="zh-CN"/>
                <w14:textFill>
                  <w14:solidFill>
                    <w14:schemeClr w14:val="tx1"/>
                  </w14:solidFill>
                </w14:textFill>
              </w:rPr>
              <w:t>“</w:t>
            </w:r>
            <w:r>
              <w:rPr>
                <w:rFonts w:hint="default" w:ascii="Times New Roman" w:hAnsi="Times New Roman" w:eastAsia="宋体" w:cs="Times New Roman"/>
                <w:color w:val="000000" w:themeColor="text1"/>
                <w:kern w:val="0"/>
                <w:lang w:val="en-US" w:eastAsia="zh-CN"/>
                <w14:textFill>
                  <w14:solidFill>
                    <w14:schemeClr w14:val="tx1"/>
                  </w14:solidFill>
                </w14:textFill>
              </w:rPr>
              <w:t>三十四、旅游业2.旅游新业态：</w:t>
            </w:r>
            <w:r>
              <w:rPr>
                <w:rFonts w:hint="default" w:ascii="Times New Roman" w:hAnsi="Times New Roman" w:eastAsia="宋体" w:cs="Times New Roman"/>
                <w:color w:val="000000" w:themeColor="text1"/>
                <w:kern w:val="0"/>
                <w14:textFill>
                  <w14:solidFill>
                    <w14:schemeClr w14:val="tx1"/>
                  </w14:solidFill>
                </w14:textFill>
              </w:rPr>
              <w:t>文化旅游、康养旅游、乡村旅游、生态旅游、海洋旅游、森林旅游、草原旅游、湿地旅游、湖泊旅游、冰雪旅游、红色旅游、城市旅游、工业旅游、体育旅游、游乐及其他旅游资源综合开发、旅游基础设施建设和运营、旅游信息等服务，智慧旅游、科技旅游、休闲度假旅游、自驾游、低空旅游、邮轮游艇旅游及其他新兴旅游方式服务体系建设</w:t>
            </w:r>
            <w:r>
              <w:rPr>
                <w:rFonts w:hint="default" w:ascii="Times New Roman" w:hAnsi="Times New Roman" w:eastAsia="宋体" w:cs="Times New Roman"/>
                <w:color w:val="000000" w:themeColor="text1"/>
                <w:kern w:val="0"/>
                <w:lang w:eastAsia="zh-CN"/>
                <w14:textFill>
                  <w14:solidFill>
                    <w14:schemeClr w14:val="tx1"/>
                  </w14:solidFill>
                </w14:textFill>
              </w:rPr>
              <w:t>”</w:t>
            </w:r>
            <w:r>
              <w:rPr>
                <w:rFonts w:hint="default" w:ascii="Times New Roman" w:hAnsi="Times New Roman" w:eastAsia="宋体" w:cs="Times New Roman"/>
                <w:color w:val="000000" w:themeColor="text1"/>
                <w:kern w:val="0"/>
                <w14:textFill>
                  <w14:solidFill>
                    <w14:schemeClr w14:val="tx1"/>
                  </w14:solidFill>
                </w14:textFill>
              </w:rPr>
              <w:t>，因此该项目的建设符合国家的产业政策。</w:t>
            </w:r>
          </w:p>
          <w:p w14:paraId="0086804B">
            <w:pPr>
              <w:pStyle w:val="49"/>
              <w:spacing w:before="24" w:after="24" w:line="360" w:lineRule="auto"/>
              <w:ind w:firstLine="482"/>
              <w:jc w:val="left"/>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 xml:space="preserve">4 </w:t>
            </w:r>
            <w:r>
              <w:rPr>
                <w:rFonts w:hint="default" w:ascii="Times New Roman" w:hAnsi="Times New Roman" w:cs="Times New Roman"/>
                <w:b/>
                <w:bCs/>
                <w:color w:val="000000" w:themeColor="text1"/>
                <w:sz w:val="24"/>
                <w:szCs w:val="24"/>
                <w14:textFill>
                  <w14:solidFill>
                    <w14:schemeClr w14:val="tx1"/>
                  </w14:solidFill>
                </w14:textFill>
              </w:rPr>
              <w:t>相关政策符合性分析</w:t>
            </w:r>
          </w:p>
          <w:p w14:paraId="40E78212">
            <w:pPr>
              <w:spacing w:line="360" w:lineRule="auto"/>
              <w:ind w:firstLine="480"/>
              <w:rPr>
                <w:rFonts w:hint="default" w:ascii="Times New Roman" w:hAnsi="Times New Roman" w:eastAsia="宋体" w:cs="Times New Roman"/>
                <w:b/>
                <w:bCs/>
                <w:color w:val="000000" w:themeColor="text1"/>
                <w:kern w:val="0"/>
                <w14:textFill>
                  <w14:solidFill>
                    <w14:schemeClr w14:val="tx1"/>
                  </w14:solidFill>
                </w14:textFill>
              </w:rPr>
            </w:pPr>
            <w:r>
              <w:rPr>
                <w:rFonts w:hint="default" w:ascii="Times New Roman" w:hAnsi="Times New Roman" w:cs="Times New Roman"/>
                <w:b/>
                <w:bCs/>
                <w:color w:val="000000" w:themeColor="text1"/>
                <w:kern w:val="0"/>
                <w:lang w:val="en-US" w:eastAsia="zh-CN"/>
                <w14:textFill>
                  <w14:solidFill>
                    <w14:schemeClr w14:val="tx1"/>
                  </w14:solidFill>
                </w14:textFill>
              </w:rPr>
              <w:t>4</w:t>
            </w:r>
            <w:r>
              <w:rPr>
                <w:rFonts w:hint="default" w:ascii="Times New Roman" w:hAnsi="Times New Roman" w:eastAsia="宋体" w:cs="Times New Roman"/>
                <w:b/>
                <w:bCs/>
                <w:color w:val="000000" w:themeColor="text1"/>
                <w:kern w:val="0"/>
                <w:lang w:val="en-US" w:eastAsia="zh-CN"/>
                <w14:textFill>
                  <w14:solidFill>
                    <w14:schemeClr w14:val="tx1"/>
                  </w14:solidFill>
                </w14:textFill>
              </w:rPr>
              <w:t>.1 与</w:t>
            </w:r>
            <w:r>
              <w:rPr>
                <w:rFonts w:hint="default" w:ascii="Times New Roman" w:hAnsi="Times New Roman" w:eastAsia="宋体" w:cs="Times New Roman"/>
                <w:b/>
                <w:bCs/>
                <w:color w:val="000000" w:themeColor="text1"/>
                <w:kern w:val="0"/>
                <w14:textFill>
                  <w14:solidFill>
                    <w14:schemeClr w14:val="tx1"/>
                  </w14:solidFill>
                </w14:textFill>
              </w:rPr>
              <w:t>《泾源县</w:t>
            </w:r>
            <w:r>
              <w:rPr>
                <w:rFonts w:hint="default" w:ascii="Times New Roman" w:hAnsi="Times New Roman" w:eastAsia="宋体" w:cs="Times New Roman"/>
                <w:b/>
                <w:bCs/>
                <w:color w:val="000000" w:themeColor="text1"/>
                <w:kern w:val="0"/>
                <w:lang w:eastAsia="zh-CN"/>
                <w14:textFill>
                  <w14:solidFill>
                    <w14:schemeClr w14:val="tx1"/>
                  </w14:solidFill>
                </w14:textFill>
              </w:rPr>
              <w:t>“</w:t>
            </w:r>
            <w:r>
              <w:rPr>
                <w:rFonts w:hint="default" w:ascii="Times New Roman" w:hAnsi="Times New Roman" w:eastAsia="宋体" w:cs="Times New Roman"/>
                <w:b/>
                <w:bCs/>
                <w:color w:val="000000" w:themeColor="text1"/>
                <w:kern w:val="0"/>
                <w14:textFill>
                  <w14:solidFill>
                    <w14:schemeClr w14:val="tx1"/>
                  </w14:solidFill>
                </w14:textFill>
              </w:rPr>
              <w:t>十四五</w:t>
            </w:r>
            <w:r>
              <w:rPr>
                <w:rFonts w:hint="default" w:ascii="Times New Roman" w:hAnsi="Times New Roman" w:eastAsia="宋体" w:cs="Times New Roman"/>
                <w:b/>
                <w:bCs/>
                <w:color w:val="000000" w:themeColor="text1"/>
                <w:kern w:val="0"/>
                <w:lang w:eastAsia="zh-CN"/>
                <w14:textFill>
                  <w14:solidFill>
                    <w14:schemeClr w14:val="tx1"/>
                  </w14:solidFill>
                </w14:textFill>
              </w:rPr>
              <w:t>”</w:t>
            </w:r>
            <w:r>
              <w:rPr>
                <w:rFonts w:hint="default" w:ascii="Times New Roman" w:hAnsi="Times New Roman" w:eastAsia="宋体" w:cs="Times New Roman"/>
                <w:b/>
                <w:bCs/>
                <w:color w:val="000000" w:themeColor="text1"/>
                <w:kern w:val="0"/>
                <w14:textFill>
                  <w14:solidFill>
                    <w14:schemeClr w14:val="tx1"/>
                  </w14:solidFill>
                </w14:textFill>
              </w:rPr>
              <w:t>生态环境保护发展规划》符合性分析</w:t>
            </w:r>
          </w:p>
          <w:p w14:paraId="72C1B9F8">
            <w:pPr>
              <w:spacing w:line="360" w:lineRule="auto"/>
              <w:ind w:firstLine="480"/>
              <w:rPr>
                <w:rFonts w:hint="default" w:ascii="Times New Roman" w:hAnsi="Times New Roman" w:eastAsia="宋体" w:cs="Times New Roman"/>
                <w:color w:val="000000" w:themeColor="text1"/>
                <w:kern w:val="0"/>
                <w:lang w:val="en-US" w:eastAsia="zh-CN"/>
                <w14:textFill>
                  <w14:solidFill>
                    <w14:schemeClr w14:val="tx1"/>
                  </w14:solidFill>
                </w14:textFill>
              </w:rPr>
            </w:pPr>
            <w:r>
              <w:rPr>
                <w:rFonts w:hint="default" w:ascii="Times New Roman" w:hAnsi="Times New Roman" w:eastAsia="宋体" w:cs="Times New Roman"/>
                <w:color w:val="000000" w:themeColor="text1"/>
                <w:kern w:val="0"/>
                <w:lang w:val="en-US" w:eastAsia="zh-CN"/>
                <w14:textFill>
                  <w14:solidFill>
                    <w14:schemeClr w14:val="tx1"/>
                  </w14:solidFill>
                </w14:textFill>
              </w:rPr>
              <w:t>《泾源县“十四五”生态环境保护发展规划》四、泾源县生态环境保护“十四五”主要任务（三）强化生态环境约束，竭力推进绿色发展中3.构建高品质的城市空间格局提出：“以创建国家全域旅游示范县为目标，按照“一年夯基础、两年补短板、三年优服务、四年强业态、五年大跨越”的全域旅游发展目标，深入推进“旅游+”战略，以生态休闲避暑、边塞文化体验为主题，以泾源县城南北两条景观服务带为主轴，结合自然地理特征和历史文化特征，做亮乡村游、生态游、度假游、冰雪游、全域旅游等特色品牌。打造一批特色鲜明、设施完备的文化旅游主体功能区和旅游名乡村，构筑一批文化展承、观光游览、生态休闲、康体养生、滑雪度假等文化旅游产业复合廊带，实现景区上A、品牌上榜、服务上星、精品上线、产品上市、收入翻倍。最终实现泾源县旅游产品全域覆盖，打造成为全域旅游和生态旅游集中发展区、西北避暑旅游目的地。”</w:t>
            </w:r>
          </w:p>
          <w:p w14:paraId="5A479411">
            <w:pPr>
              <w:spacing w:line="360" w:lineRule="auto"/>
              <w:ind w:firstLine="480"/>
              <w:rPr>
                <w:rFonts w:hint="default" w:ascii="Times New Roman" w:hAnsi="Times New Roman" w:cs="Times New Roman"/>
                <w:color w:val="000000" w:themeColor="text1"/>
                <w:kern w:val="0"/>
                <w:highlight w:val="yellow"/>
                <w14:textFill>
                  <w14:solidFill>
                    <w14:schemeClr w14:val="tx1"/>
                  </w14:solidFill>
                </w14:textFill>
              </w:rPr>
            </w:pPr>
            <w:r>
              <w:rPr>
                <w:rFonts w:hint="default" w:ascii="Times New Roman" w:hAnsi="Times New Roman" w:eastAsia="宋体" w:cs="Times New Roman"/>
                <w:color w:val="000000" w:themeColor="text1"/>
                <w:kern w:val="0"/>
                <w:lang w:val="en-US" w:eastAsia="zh-CN"/>
                <w14:textFill>
                  <w14:solidFill>
                    <w14:schemeClr w14:val="tx1"/>
                  </w14:solidFill>
                </w14:textFill>
              </w:rPr>
              <w:t>本项目位于泾源县黄花乡，为</w:t>
            </w:r>
            <w:r>
              <w:rPr>
                <w:rFonts w:hint="default" w:ascii="Times New Roman" w:hAnsi="Times New Roman" w:eastAsia="宋体" w:cs="Times New Roman"/>
                <w:color w:val="000000" w:themeColor="text1"/>
                <w:sz w:val="24"/>
                <w:szCs w:val="24"/>
                <w14:textFill>
                  <w14:solidFill>
                    <w14:schemeClr w14:val="tx1"/>
                  </w14:solidFill>
                </w14:textFill>
              </w:rPr>
              <w:t>龙房宫温泉疗养项目</w:t>
            </w:r>
            <w:r>
              <w:rPr>
                <w:rFonts w:hint="default" w:ascii="Times New Roman" w:hAnsi="Times New Roman" w:eastAsia="宋体" w:cs="Times New Roman"/>
                <w:color w:val="000000" w:themeColor="text1"/>
                <w:kern w:val="0"/>
                <w:lang w:val="en-US" w:eastAsia="zh-CN"/>
                <w14:textFill>
                  <w14:solidFill>
                    <w14:schemeClr w14:val="tx1"/>
                  </w14:solidFill>
                </w14:textFill>
              </w:rPr>
              <w:t>，建设内容</w:t>
            </w:r>
            <w:r>
              <w:rPr>
                <w:rFonts w:hint="default" w:ascii="Times New Roman" w:hAnsi="Times New Roman" w:cs="Times New Roman"/>
                <w:color w:val="000000" w:themeColor="text1"/>
                <w:kern w:val="0"/>
                <w:lang w:val="en-US" w:eastAsia="zh-CN"/>
                <w14:textFill>
                  <w14:solidFill>
                    <w14:schemeClr w14:val="tx1"/>
                  </w14:solidFill>
                </w14:textFill>
              </w:rPr>
              <w:t>中产业发展部分包括：农产品交易、林下经济、文化展示、森林旅游、温泉康养</w:t>
            </w:r>
            <w:r>
              <w:rPr>
                <w:rFonts w:hint="default" w:ascii="Times New Roman" w:hAnsi="Times New Roman" w:eastAsia="宋体" w:cs="Times New Roman"/>
                <w:color w:val="000000" w:themeColor="text1"/>
                <w:kern w:val="0"/>
                <w:lang w:val="en-US" w:eastAsia="zh-CN"/>
                <w14:textFill>
                  <w14:solidFill>
                    <w14:schemeClr w14:val="tx1"/>
                  </w14:solidFill>
                </w14:textFill>
              </w:rPr>
              <w:t>，属于集康体养生为一体的文化旅游项目，符合上述规划要求。</w:t>
            </w:r>
          </w:p>
          <w:p w14:paraId="084CBDAD">
            <w:pPr>
              <w:spacing w:line="360" w:lineRule="auto"/>
              <w:ind w:firstLine="480"/>
              <w:rPr>
                <w:rFonts w:hint="default" w:ascii="Times New Roman" w:hAnsi="Times New Roman" w:eastAsia="宋体" w:cs="Times New Roman"/>
                <w:b/>
                <w:bCs/>
                <w:color w:val="000000" w:themeColor="text1"/>
                <w:kern w:val="0"/>
                <w:lang w:val="en-US" w:eastAsia="zh-CN"/>
                <w14:textFill>
                  <w14:solidFill>
                    <w14:schemeClr w14:val="tx1"/>
                  </w14:solidFill>
                </w14:textFill>
              </w:rPr>
            </w:pPr>
            <w:r>
              <w:rPr>
                <w:rFonts w:hint="default" w:ascii="Times New Roman" w:hAnsi="Times New Roman" w:cs="Times New Roman"/>
                <w:b/>
                <w:bCs/>
                <w:color w:val="000000" w:themeColor="text1"/>
                <w:kern w:val="0"/>
                <w:lang w:val="en-US" w:eastAsia="zh-CN"/>
                <w14:textFill>
                  <w14:solidFill>
                    <w14:schemeClr w14:val="tx1"/>
                  </w14:solidFill>
                </w14:textFill>
              </w:rPr>
              <w:t>4</w:t>
            </w:r>
            <w:r>
              <w:rPr>
                <w:rFonts w:hint="default" w:ascii="Times New Roman" w:hAnsi="Times New Roman" w:eastAsia="宋体" w:cs="Times New Roman"/>
                <w:b/>
                <w:bCs/>
                <w:color w:val="000000" w:themeColor="text1"/>
                <w:kern w:val="0"/>
                <w:lang w:val="en-US" w:eastAsia="zh-CN"/>
                <w14:textFill>
                  <w14:solidFill>
                    <w14:schemeClr w14:val="tx1"/>
                  </w14:solidFill>
                </w14:textFill>
              </w:rPr>
              <w:t>.2 与《泾源县“十四五”文化旅游产业发展规划》符合性分析</w:t>
            </w:r>
          </w:p>
          <w:p w14:paraId="71AACB4F">
            <w:pPr>
              <w:widowControl/>
              <w:ind w:firstLine="56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kern w:val="0"/>
                <w:lang w:val="en-US" w:eastAsia="zh-CN"/>
                <w14:textFill>
                  <w14:solidFill>
                    <w14:schemeClr w14:val="tx1"/>
                  </w14:solidFill>
                </w14:textFill>
              </w:rPr>
              <w:t>《泾源县“十四五”文化旅游产业发展规划》第二章 “十三五”主要成就及“十四五”基本战略三、泾源县“十四五”发展基本战略中（四）打造康养度假游提出：“大力</w:t>
            </w:r>
            <w:r>
              <w:rPr>
                <w:rFonts w:hint="default" w:ascii="Times New Roman" w:hAnsi="Times New Roman" w:eastAsia="宋体" w:cs="Times New Roman"/>
                <w:color w:val="000000" w:themeColor="text1"/>
                <w:kern w:val="0"/>
                <w:lang w:val="en-US" w:eastAsia="en-US"/>
                <w14:textFill>
                  <w14:solidFill>
                    <w14:schemeClr w14:val="tx1"/>
                  </w14:solidFill>
                </w14:textFill>
              </w:rPr>
              <w:t>培育开发</w:t>
            </w:r>
            <w:r>
              <w:rPr>
                <w:rFonts w:hint="default" w:ascii="Times New Roman" w:hAnsi="Times New Roman" w:eastAsia="宋体" w:cs="Times New Roman"/>
                <w:color w:val="000000" w:themeColor="text1"/>
                <w:kern w:val="0"/>
                <w:lang w:val="en-US" w:eastAsia="zh-CN"/>
                <w14:textFill>
                  <w14:solidFill>
                    <w14:schemeClr w14:val="tx1"/>
                  </w14:solidFill>
                </w14:textFill>
              </w:rPr>
              <w:t>......</w:t>
            </w:r>
            <w:r>
              <w:rPr>
                <w:rFonts w:hint="default" w:ascii="Times New Roman" w:hAnsi="Times New Roman" w:eastAsia="宋体" w:cs="Times New Roman"/>
                <w:color w:val="000000" w:themeColor="text1"/>
                <w:kern w:val="0"/>
                <w:lang w:val="en-US" w:eastAsia="en-US"/>
                <w14:textFill>
                  <w14:solidFill>
                    <w14:schemeClr w14:val="tx1"/>
                  </w14:solidFill>
                </w14:textFill>
              </w:rPr>
              <w:t>森林康养产品、乡村旅游产品，旅游产品逐步由单一观光型向观光旅游、休闲度假、康体养老、专项特种旅游等多元化综合型转变，</w:t>
            </w:r>
            <w:r>
              <w:rPr>
                <w:rFonts w:hint="default" w:ascii="Times New Roman" w:hAnsi="Times New Roman" w:eastAsia="宋体" w:cs="Times New Roman"/>
                <w:color w:val="000000" w:themeColor="text1"/>
                <w:kern w:val="0"/>
                <w:lang w:val="en-US" w:eastAsia="zh-CN"/>
                <w14:textFill>
                  <w14:solidFill>
                    <w14:schemeClr w14:val="tx1"/>
                  </w14:solidFill>
                </w14:textFill>
              </w:rPr>
              <w:t>逐步</w:t>
            </w:r>
            <w:r>
              <w:rPr>
                <w:rFonts w:hint="default" w:ascii="Times New Roman" w:hAnsi="Times New Roman" w:eastAsia="宋体" w:cs="Times New Roman"/>
                <w:color w:val="000000" w:themeColor="text1"/>
                <w:kern w:val="0"/>
                <w:lang w:val="en-US" w:eastAsia="en-US"/>
                <w14:textFill>
                  <w14:solidFill>
                    <w14:schemeClr w14:val="tx1"/>
                  </w14:solidFill>
                </w14:textFill>
              </w:rPr>
              <w:t>建起特色突出的旅游产品体系</w:t>
            </w:r>
            <w:r>
              <w:rPr>
                <w:rFonts w:hint="default" w:ascii="Times New Roman" w:hAnsi="Times New Roman" w:eastAsia="宋体" w:cs="Times New Roman"/>
                <w:color w:val="000000" w:themeColor="text1"/>
                <w:kern w:val="0"/>
                <w:lang w:val="en-US" w:eastAsia="zh-CN"/>
                <w14:textFill>
                  <w14:solidFill>
                    <w14:schemeClr w14:val="tx1"/>
                  </w14:solidFill>
                </w14:textFill>
              </w:rPr>
              <w:t>。”（六）</w:t>
            </w:r>
            <w:r>
              <w:rPr>
                <w:rFonts w:hint="default" w:ascii="Times New Roman" w:hAnsi="Times New Roman" w:cs="Times New Roman"/>
                <w:color w:val="000000" w:themeColor="text1"/>
                <w:lang w:eastAsia="en-US"/>
                <w14:textFill>
                  <w14:solidFill>
                    <w14:schemeClr w14:val="tx1"/>
                  </w14:solidFill>
                </w14:textFill>
              </w:rPr>
              <w:t>构建文旅融合新格局</w:t>
            </w:r>
            <w:r>
              <w:rPr>
                <w:rFonts w:hint="default" w:ascii="Times New Roman" w:hAnsi="Times New Roman" w:cs="Times New Roman"/>
                <w:color w:val="000000" w:themeColor="text1"/>
                <w:lang w:val="en-US" w:eastAsia="zh-CN"/>
                <w14:textFill>
                  <w14:solidFill>
                    <w14:schemeClr w14:val="tx1"/>
                  </w14:solidFill>
                </w14:textFill>
              </w:rPr>
              <w:t>提出：“</w:t>
            </w:r>
            <w:r>
              <w:rPr>
                <w:rFonts w:hint="default" w:ascii="Times New Roman" w:hAnsi="Times New Roman" w:cs="Times New Roman"/>
                <w:color w:val="000000" w:themeColor="text1"/>
                <w:szCs w:val="28"/>
                <w:lang w:val="en-US" w:eastAsia="zh-CN"/>
                <w14:textFill>
                  <w14:solidFill>
                    <w14:schemeClr w14:val="tx1"/>
                  </w14:solidFill>
                </w14:textFill>
              </w:rPr>
              <w:t>......</w:t>
            </w:r>
            <w:r>
              <w:rPr>
                <w:rFonts w:hint="default" w:ascii="Times New Roman" w:hAnsi="Times New Roman" w:cs="Times New Roman"/>
                <w:color w:val="000000" w:themeColor="text1"/>
                <w:szCs w:val="28"/>
                <w:lang w:eastAsia="en-US"/>
                <w14:textFill>
                  <w14:solidFill>
                    <w14:schemeClr w14:val="tx1"/>
                  </w14:solidFill>
                </w14:textFill>
              </w:rPr>
              <w:t>依托固原市</w:t>
            </w:r>
            <w:r>
              <w:rPr>
                <w:rFonts w:hint="default" w:ascii="Times New Roman" w:hAnsi="Times New Roman" w:cs="Times New Roman"/>
                <w:color w:val="000000" w:themeColor="text1"/>
                <w:szCs w:val="28"/>
                <w14:textFill>
                  <w14:solidFill>
                    <w14:schemeClr w14:val="tx1"/>
                  </w14:solidFill>
                </w14:textFill>
              </w:rPr>
              <w:t>以及泾源县</w:t>
            </w:r>
            <w:r>
              <w:rPr>
                <w:rFonts w:hint="default" w:ascii="Times New Roman" w:hAnsi="Times New Roman" w:cs="Times New Roman"/>
                <w:color w:val="000000" w:themeColor="text1"/>
                <w:szCs w:val="28"/>
                <w:lang w:eastAsia="en-US"/>
                <w14:textFill>
                  <w14:solidFill>
                    <w14:schemeClr w14:val="tx1"/>
                  </w14:solidFill>
                </w14:textFill>
              </w:rPr>
              <w:t>特有景区自然生态资源与人文资源，大力发展康养休闲、科考研学、红色旅游等业态，打造生特色文化旅游带</w:t>
            </w:r>
            <w:r>
              <w:rPr>
                <w:rFonts w:hint="default" w:ascii="Times New Roman" w:hAnsi="Times New Roman" w:cs="Times New Roman"/>
                <w:color w:val="000000" w:themeColor="text1"/>
                <w:szCs w:val="28"/>
                <w:lang w:val="en-US" w:eastAsia="zh-CN"/>
                <w14:textFill>
                  <w14:solidFill>
                    <w14:schemeClr w14:val="tx1"/>
                  </w14:solidFill>
                </w14:textFill>
              </w:rPr>
              <w:t>......</w:t>
            </w:r>
            <w:r>
              <w:rPr>
                <w:rFonts w:hint="default" w:ascii="Times New Roman" w:hAnsi="Times New Roman" w:cs="Times New Roman"/>
                <w:color w:val="000000" w:themeColor="text1"/>
                <w:szCs w:val="28"/>
                <w:lang w:eastAsia="en-US"/>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w:t>
            </w:r>
          </w:p>
          <w:p w14:paraId="397C48E6">
            <w:pPr>
              <w:numPr>
                <w:ilvl w:val="0"/>
                <w:numId w:val="2"/>
              </w:numPr>
              <w:ind w:firstLine="560"/>
              <w:rPr>
                <w:rFonts w:hint="default" w:ascii="Times New Roman" w:hAnsi="Times New Roman" w:cs="Times New Roman"/>
                <w:color w:val="000000" w:themeColor="text1"/>
                <w:lang w:val="en-US" w:eastAsia="zh-CN"/>
                <w14:textFill>
                  <w14:solidFill>
                    <w14:schemeClr w14:val="tx1"/>
                  </w14:solidFill>
                </w14:textFill>
              </w:rPr>
            </w:pPr>
            <w:bookmarkStart w:id="2" w:name="_Toc13171"/>
            <w:r>
              <w:rPr>
                <w:rFonts w:hint="default" w:ascii="Times New Roman" w:hAnsi="Times New Roman" w:eastAsia="宋体" w:cs="Times New Roman"/>
                <w:color w:val="000000" w:themeColor="text1"/>
                <w:kern w:val="0"/>
                <w:lang w:val="en-US" w:eastAsia="zh-CN"/>
                <w14:textFill>
                  <w14:solidFill>
                    <w14:schemeClr w14:val="tx1"/>
                  </w14:solidFill>
                </w14:textFill>
              </w:rPr>
              <w:t>旅游产品体系规划</w:t>
            </w:r>
            <w:bookmarkEnd w:id="2"/>
            <w:bookmarkStart w:id="3" w:name="_Toc10044"/>
            <w:bookmarkStart w:id="4" w:name="_Toc48914341"/>
            <w:bookmarkStart w:id="5" w:name="_Toc48912142"/>
            <w:bookmarkStart w:id="6" w:name="_Toc48911389"/>
            <w:bookmarkStart w:id="7" w:name="_Toc1143"/>
            <w:bookmarkStart w:id="8" w:name="_Toc48912371"/>
            <w:r>
              <w:rPr>
                <w:rFonts w:hint="default" w:ascii="Times New Roman" w:hAnsi="Times New Roman" w:eastAsia="宋体" w:cs="Times New Roman"/>
                <w:color w:val="000000" w:themeColor="text1"/>
                <w:kern w:val="0"/>
                <w:lang w:val="en-US" w:eastAsia="zh-CN"/>
                <w14:textFill>
                  <w14:solidFill>
                    <w14:schemeClr w14:val="tx1"/>
                  </w14:solidFill>
                </w14:textFill>
              </w:rPr>
              <w:t>一、</w:t>
            </w:r>
            <w:bookmarkStart w:id="9" w:name="_Toc28100"/>
            <w:r>
              <w:rPr>
                <w:rFonts w:hint="default" w:ascii="Times New Roman" w:hAnsi="Times New Roman" w:eastAsia="宋体" w:cs="Times New Roman"/>
                <w:color w:val="000000" w:themeColor="text1"/>
                <w:kern w:val="0"/>
                <w:lang w:val="en-US" w:eastAsia="zh-CN"/>
                <w14:textFill>
                  <w14:solidFill>
                    <w14:schemeClr w14:val="tx1"/>
                  </w14:solidFill>
                </w14:textFill>
              </w:rPr>
              <w:t>产品体系幵发的基本思路</w:t>
            </w:r>
            <w:bookmarkEnd w:id="9"/>
            <w:r>
              <w:rPr>
                <w:rFonts w:hint="default" w:ascii="Times New Roman" w:hAnsi="Times New Roman" w:eastAsia="宋体" w:cs="Times New Roman"/>
                <w:color w:val="000000" w:themeColor="text1"/>
                <w:kern w:val="0"/>
                <w:lang w:val="en-US" w:eastAsia="zh-CN"/>
                <w14:textFill>
                  <w14:solidFill>
                    <w14:schemeClr w14:val="tx1"/>
                  </w14:solidFill>
                </w14:textFill>
              </w:rPr>
              <w:t>中（三）打造生态旅游度假区提出：“县城中南部以泾河源特色小镇、兴盛冰雪小镇、胭脂峡山水、龙房宫温泉为主的生态旅游度假区。功能定位：生态观光游憩、康体理疗养生、露营休闲度假、龙文化体验、户外探险运动、地质科考探险、科普教育研学等。”二、旅游产品体系建设中（一）打造国内一流旅游目的地品牌</w:t>
            </w:r>
            <w:r>
              <w:rPr>
                <w:rFonts w:hint="default" w:ascii="Times New Roman" w:hAnsi="Times New Roman" w:cs="Times New Roman"/>
                <w:color w:val="000000" w:themeColor="text1"/>
                <w:kern w:val="0"/>
                <w:lang w:val="en-US" w:eastAsia="zh-CN"/>
                <w14:textFill>
                  <w14:solidFill>
                    <w14:schemeClr w14:val="tx1"/>
                  </w14:solidFill>
                </w14:textFill>
              </w:rPr>
              <w:t>中</w:t>
            </w:r>
            <w:r>
              <w:rPr>
                <w:rFonts w:hint="default" w:ascii="Times New Roman" w:hAnsi="Times New Roman" w:eastAsia="宋体" w:cs="Times New Roman"/>
                <w:color w:val="000000" w:themeColor="text1"/>
                <w:kern w:val="0"/>
                <w:lang w:val="en-US" w:eastAsia="zh-CN"/>
                <w14:textFill>
                  <w14:solidFill>
                    <w14:schemeClr w14:val="tx1"/>
                  </w14:solidFill>
                </w14:textFill>
              </w:rPr>
              <w:t>提出：“依托泾源县旅游资源，按照特色化、品牌化的差异化旅游发展方向，将泾源县建设为以生态康养休闲为主要特色的旅游目的地；打造“旅游+康养”。集聚山水生态、历史文化、中药、气候等要 素资源，打造一批健康旅游产品。支持医疗、养老等行业进入景区、酒店等，与旅游业有机结合，建设一批中医药保健、养生护理、等专项特种旅游产品。”（六）康养旅游产品打造提出：“以绿色康养旅游产品的开发为重点，打造中国的“康养福地”、“避暑胜地”。依托泾河、老龙潭、美丽乡村等优质资源，以老龙潭为核心，整合镇域旅游景观带建设及美丽乡村建设，以清凉避暑、养生度假和休闲娱乐等为主体，以旅游项目建设为抓手，完善避暑、养生、度假、餐饮、住宿、购物等旅游配套服务，丰富休闲康养娱乐等旅游活动，打造集城镇休闲、清凉避暑、生态度假、康体养生、购物娱乐等多功能于一体的生态大景区、国家5A级旅游景区和国内一流的生态乡村休闲旅游胜地。大力发展以提高抵抗能力和免疫力为目标的健康养生产，发展健康与旅游融合发展的新产业、新业态、新模式，打造泾源“文旅+康养”品牌。加强健康旅游示范基地建设，推进泾源健康旅游示范区（基地）建设，开发和推介一批体验性强、参与度广的中医药、康复疗养、休闲养生等健康旅游路线和产品。深入推动体医融合，建立、完善和应用运动处方库，围绕慢性病预防、运动康复、健康促进等目标，推广体医结合服务......重点关注区域的生态环境治理，以“绿水青山就是金山银山”为导向，协调与绿色康养旅游产品的开发之间的矛盾，做到人与自然的和谐相处。依托泾源本地独特康养文化、差异化康养资源形成一系列可持续运营的康养内容，提升现有的“康养圣地”旅游品牌的宣传营销水平，以点带面，以旅游者个体推动旅游者家庭出游，让更多的人接触这一避暑与康养圣地</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w:t>
            </w:r>
          </w:p>
          <w:p w14:paraId="1E38021B">
            <w:pPr>
              <w:spacing w:line="360" w:lineRule="auto"/>
              <w:ind w:firstLine="480"/>
              <w:rPr>
                <w:rFonts w:hint="default" w:ascii="Times New Roman" w:hAnsi="Times New Roman" w:cs="Times New Roman"/>
                <w:color w:val="000000" w:themeColor="text1"/>
                <w:kern w:val="0"/>
                <w:highlight w:val="yellow"/>
                <w14:textFill>
                  <w14:solidFill>
                    <w14:schemeClr w14:val="tx1"/>
                  </w14:solidFill>
                </w14:textFill>
              </w:rPr>
            </w:pPr>
            <w:r>
              <w:rPr>
                <w:rFonts w:hint="default" w:ascii="Times New Roman" w:hAnsi="Times New Roman" w:eastAsia="宋体" w:cs="Times New Roman"/>
                <w:color w:val="000000" w:themeColor="text1"/>
                <w:kern w:val="0"/>
                <w:lang w:val="en-US" w:eastAsia="zh-CN"/>
                <w14:textFill>
                  <w14:solidFill>
                    <w14:schemeClr w14:val="tx1"/>
                  </w14:solidFill>
                </w14:textFill>
              </w:rPr>
              <w:t>本项目位于泾源县黄花乡，为龙房宫温泉疗养项目，建设内容</w:t>
            </w:r>
            <w:r>
              <w:rPr>
                <w:rFonts w:hint="default" w:ascii="Times New Roman" w:hAnsi="Times New Roman" w:cs="Times New Roman"/>
                <w:color w:val="000000" w:themeColor="text1"/>
                <w:kern w:val="0"/>
                <w:lang w:val="en-US" w:eastAsia="zh-CN"/>
                <w14:textFill>
                  <w14:solidFill>
                    <w14:schemeClr w14:val="tx1"/>
                  </w14:solidFill>
                </w14:textFill>
              </w:rPr>
              <w:t>中产业发展部分</w:t>
            </w:r>
            <w:r>
              <w:rPr>
                <w:rFonts w:hint="default" w:ascii="Times New Roman" w:hAnsi="Times New Roman" w:eastAsia="宋体" w:cs="Times New Roman"/>
                <w:color w:val="000000" w:themeColor="text1"/>
                <w:kern w:val="0"/>
                <w:lang w:val="en-US" w:eastAsia="zh-CN"/>
                <w14:textFill>
                  <w14:solidFill>
                    <w14:schemeClr w14:val="tx1"/>
                  </w14:solidFill>
                </w14:textFill>
              </w:rPr>
              <w:t>有</w:t>
            </w:r>
            <w:r>
              <w:rPr>
                <w:rFonts w:hint="default" w:ascii="Times New Roman" w:hAnsi="Times New Roman" w:cs="Times New Roman"/>
                <w:color w:val="000000" w:themeColor="text1"/>
                <w:kern w:val="0"/>
                <w:lang w:val="en-US" w:eastAsia="zh-CN"/>
                <w14:textFill>
                  <w14:solidFill>
                    <w14:schemeClr w14:val="tx1"/>
                  </w14:solidFill>
                </w14:textFill>
              </w:rPr>
              <w:t>农产品交易、林下经济、文化展示、森林旅游、温泉康养</w:t>
            </w:r>
            <w:r>
              <w:rPr>
                <w:rFonts w:hint="default" w:ascii="Times New Roman" w:hAnsi="Times New Roman" w:eastAsia="宋体" w:cs="Times New Roman"/>
                <w:color w:val="000000" w:themeColor="text1"/>
                <w:kern w:val="0"/>
                <w:lang w:val="en-US" w:eastAsia="zh-CN"/>
                <w14:textFill>
                  <w14:solidFill>
                    <w14:schemeClr w14:val="tx1"/>
                  </w14:solidFill>
                </w14:textFill>
              </w:rPr>
              <w:t>，属于“文旅+康养”项目，符合上述规划要求。</w:t>
            </w:r>
          </w:p>
          <w:bookmarkEnd w:id="3"/>
          <w:bookmarkEnd w:id="4"/>
          <w:bookmarkEnd w:id="5"/>
          <w:bookmarkEnd w:id="6"/>
          <w:bookmarkEnd w:id="7"/>
          <w:bookmarkEnd w:id="8"/>
          <w:p w14:paraId="6D2B406B">
            <w:pPr>
              <w:autoSpaceDE w:val="0"/>
              <w:autoSpaceDN w:val="0"/>
              <w:adjustRightInd w:val="0"/>
              <w:snapToGrid w:val="0"/>
              <w:spacing w:line="360" w:lineRule="auto"/>
              <w:ind w:firstLine="482"/>
              <w:jc w:val="left"/>
              <w:rPr>
                <w:rFonts w:hint="default" w:ascii="Times New Roman" w:hAnsi="Times New Roman" w:cs="Times New Roman"/>
                <w:b/>
                <w:bCs/>
                <w:color w:val="000000" w:themeColor="text1"/>
                <w:kern w:val="0"/>
                <w14:textFill>
                  <w14:solidFill>
                    <w14:schemeClr w14:val="tx1"/>
                  </w14:solidFill>
                </w14:textFill>
              </w:rPr>
            </w:pPr>
            <w:r>
              <w:rPr>
                <w:rFonts w:hint="default" w:ascii="Times New Roman" w:hAnsi="Times New Roman" w:cs="Times New Roman"/>
                <w:b/>
                <w:bCs/>
                <w:color w:val="000000" w:themeColor="text1"/>
                <w:kern w:val="0"/>
                <w:lang w:val="en-US" w:eastAsia="zh-CN"/>
                <w14:textFill>
                  <w14:solidFill>
                    <w14:schemeClr w14:val="tx1"/>
                  </w14:solidFill>
                </w14:textFill>
              </w:rPr>
              <w:t xml:space="preserve">5 </w:t>
            </w:r>
            <w:r>
              <w:rPr>
                <w:rFonts w:hint="default" w:ascii="Times New Roman" w:hAnsi="Times New Roman" w:cs="Times New Roman"/>
                <w:b/>
                <w:bCs/>
                <w:color w:val="000000" w:themeColor="text1"/>
                <w:kern w:val="0"/>
                <w14:textFill>
                  <w14:solidFill>
                    <w14:schemeClr w14:val="tx1"/>
                  </w14:solidFill>
                </w14:textFill>
              </w:rPr>
              <w:t>与</w:t>
            </w:r>
            <w:r>
              <w:rPr>
                <w:rFonts w:hint="default" w:ascii="Times New Roman" w:hAnsi="Times New Roman" w:cs="Times New Roman"/>
                <w:b/>
                <w:bCs/>
                <w:color w:val="000000" w:themeColor="text1"/>
                <w:kern w:val="0"/>
                <w:lang w:eastAsia="zh-CN"/>
                <w14:textFill>
                  <w14:solidFill>
                    <w14:schemeClr w14:val="tx1"/>
                  </w14:solidFill>
                </w14:textFill>
              </w:rPr>
              <w:t>“</w:t>
            </w:r>
            <w:r>
              <w:rPr>
                <w:rFonts w:hint="default" w:ascii="Times New Roman" w:hAnsi="Times New Roman" w:cs="Times New Roman"/>
                <w:b/>
                <w:bCs/>
                <w:color w:val="000000" w:themeColor="text1"/>
                <w:kern w:val="0"/>
                <w14:textFill>
                  <w14:solidFill>
                    <w14:schemeClr w14:val="tx1"/>
                  </w14:solidFill>
                </w14:textFill>
              </w:rPr>
              <w:t>三线一单</w:t>
            </w:r>
            <w:r>
              <w:rPr>
                <w:rFonts w:hint="default" w:ascii="Times New Roman" w:hAnsi="Times New Roman" w:cs="Times New Roman"/>
                <w:b/>
                <w:bCs/>
                <w:color w:val="000000" w:themeColor="text1"/>
                <w:kern w:val="0"/>
                <w:lang w:eastAsia="zh-CN"/>
                <w14:textFill>
                  <w14:solidFill>
                    <w14:schemeClr w14:val="tx1"/>
                  </w14:solidFill>
                </w14:textFill>
              </w:rPr>
              <w:t>”</w:t>
            </w:r>
            <w:r>
              <w:rPr>
                <w:rFonts w:hint="default" w:ascii="Times New Roman" w:hAnsi="Times New Roman" w:cs="Times New Roman"/>
                <w:b/>
                <w:bCs/>
                <w:color w:val="000000" w:themeColor="text1"/>
                <w:kern w:val="0"/>
                <w14:textFill>
                  <w14:solidFill>
                    <w14:schemeClr w14:val="tx1"/>
                  </w14:solidFill>
                </w14:textFill>
              </w:rPr>
              <w:t>相符性分析</w:t>
            </w:r>
          </w:p>
          <w:p w14:paraId="5E7126B7">
            <w:pPr>
              <w:autoSpaceDE w:val="0"/>
              <w:autoSpaceDN w:val="0"/>
              <w:adjustRightInd w:val="0"/>
              <w:snapToGrid w:val="0"/>
              <w:spacing w:line="360" w:lineRule="auto"/>
              <w:ind w:firstLine="482"/>
              <w:jc w:val="left"/>
              <w:rPr>
                <w:rFonts w:hint="default" w:ascii="Times New Roman" w:hAnsi="Times New Roman" w:cs="Times New Roman"/>
                <w:b/>
                <w:bCs/>
                <w:color w:val="000000" w:themeColor="text1"/>
                <w:kern w:val="0"/>
                <w14:textFill>
                  <w14:solidFill>
                    <w14:schemeClr w14:val="tx1"/>
                  </w14:solidFill>
                </w14:textFill>
              </w:rPr>
            </w:pPr>
            <w:r>
              <w:rPr>
                <w:rFonts w:hint="default" w:ascii="Times New Roman" w:hAnsi="Times New Roman" w:cs="Times New Roman"/>
                <w:b/>
                <w:bCs/>
                <w:color w:val="000000" w:themeColor="text1"/>
                <w:kern w:val="0"/>
                <w:lang w:val="en-US" w:eastAsia="zh-CN"/>
                <w14:textFill>
                  <w14:solidFill>
                    <w14:schemeClr w14:val="tx1"/>
                  </w14:solidFill>
                </w14:textFill>
              </w:rPr>
              <w:t>5</w:t>
            </w:r>
            <w:r>
              <w:rPr>
                <w:rFonts w:hint="default" w:ascii="Times New Roman" w:hAnsi="Times New Roman" w:cs="Times New Roman"/>
                <w:b/>
                <w:bCs/>
                <w:color w:val="000000" w:themeColor="text1"/>
                <w:kern w:val="0"/>
                <w14:textFill>
                  <w14:solidFill>
                    <w14:schemeClr w14:val="tx1"/>
                  </w14:solidFill>
                </w14:textFill>
              </w:rPr>
              <w:t>.</w:t>
            </w:r>
            <w:r>
              <w:rPr>
                <w:rFonts w:hint="default" w:ascii="Times New Roman" w:hAnsi="Times New Roman" w:cs="Times New Roman"/>
                <w:b/>
                <w:bCs/>
                <w:color w:val="000000" w:themeColor="text1"/>
                <w:kern w:val="0"/>
                <w:lang w:val="en-US" w:eastAsia="zh-CN"/>
                <w14:textFill>
                  <w14:solidFill>
                    <w14:schemeClr w14:val="tx1"/>
                  </w14:solidFill>
                </w14:textFill>
              </w:rPr>
              <w:t xml:space="preserve">1 </w:t>
            </w:r>
            <w:r>
              <w:rPr>
                <w:rFonts w:hint="default" w:ascii="Times New Roman" w:hAnsi="Times New Roman" w:cs="Times New Roman"/>
                <w:b/>
                <w:bCs/>
                <w:color w:val="000000" w:themeColor="text1"/>
                <w:kern w:val="0"/>
                <w14:textFill>
                  <w14:solidFill>
                    <w14:schemeClr w14:val="tx1"/>
                  </w14:solidFill>
                </w14:textFill>
              </w:rPr>
              <w:t>生态保护红线与生态空间</w:t>
            </w:r>
          </w:p>
          <w:p w14:paraId="29468C4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根据《固原市生态环境分区管控方案文本》，固原市生态空间总面积4285.65平方公里。其中生态保护红线面积为2887.56平方公里；除生态保护红线以外的一般生态空间面积1397.22平方公里。</w:t>
            </w:r>
          </w:p>
          <w:p w14:paraId="77B2596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生态保护红线原则上按禁止开发区域的要求进行管理。严禁不符合主体功能定位的各类开发活动，严禁任意改变用途，确保生态保护红线内“生态功能不降低，面积不减少，性质不改变”。</w:t>
            </w:r>
          </w:p>
          <w:p w14:paraId="1980E5C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一般生态空间原则上按照限制开发区域的要求进行管理。严格控制新增建设用地占用一般生态空间。符合区域准入条件的建设项目，涉及占用生态空间中的林地、草原等，按有关法律法规规定办理；涉及占用生态空间中其他未作明确规定的用地，应当加强论证和管理。严格限制农业开发占用生态保护红线之外的生态空间，符合条件的农业开发项目，须依法由市县级及以上地方人民政府统筹安排。有序引导生态空间用途之间的相互转变，鼓励向有利于生态功能提升的方向转变，严格禁止不符合生态保护要求或有损生态功能的相互转换。</w:t>
            </w:r>
          </w:p>
          <w:p w14:paraId="7D36AEAE">
            <w:pPr>
              <w:adjustRightInd w:val="0"/>
              <w:snapToGrid w:val="0"/>
              <w:spacing w:line="360" w:lineRule="auto"/>
              <w:ind w:firstLine="480" w:firstLineChars="200"/>
              <w:rPr>
                <w:rFonts w:hint="default" w:ascii="Times New Roman" w:hAnsi="Times New Roman" w:cs="Times New Roman"/>
                <w:color w:val="000000" w:themeColor="text1"/>
                <w:kern w:val="0"/>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本项目位于</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泾源县黄花乡</w:t>
            </w:r>
            <w:r>
              <w:rPr>
                <w:rFonts w:hint="default" w:ascii="Times New Roman" w:hAnsi="Times New Roman" w:cs="Times New Roman"/>
                <w:color w:val="000000" w:themeColor="text1"/>
                <w:sz w:val="24"/>
                <w:highlight w:val="none"/>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为新建项目，</w:t>
            </w:r>
            <w:r>
              <w:rPr>
                <w:rFonts w:hint="default" w:ascii="Times New Roman" w:hAnsi="Times New Roman" w:cs="Times New Roman"/>
                <w:color w:val="000000" w:themeColor="text1"/>
                <w:sz w:val="24"/>
                <w:highlight w:val="none"/>
                <w14:textFill>
                  <w14:solidFill>
                    <w14:schemeClr w14:val="tx1"/>
                  </w14:solidFill>
                </w14:textFill>
              </w:rPr>
              <w:t>对照</w:t>
            </w:r>
            <w:r>
              <w:rPr>
                <w:rFonts w:hint="default" w:ascii="Times New Roman" w:hAnsi="Times New Roman" w:cs="Times New Roman"/>
                <w:color w:val="000000" w:themeColor="text1"/>
                <w:sz w:val="24"/>
                <w:highlight w:val="none"/>
                <w:lang w:eastAsia="zh-CN"/>
                <w14:textFill>
                  <w14:solidFill>
                    <w14:schemeClr w14:val="tx1"/>
                  </w14:solidFill>
                </w14:textFill>
              </w:rPr>
              <w:t>固原市</w:t>
            </w:r>
            <w:r>
              <w:rPr>
                <w:rFonts w:hint="default" w:ascii="Times New Roman" w:hAnsi="Times New Roman" w:cs="Times New Roman"/>
                <w:color w:val="000000" w:themeColor="text1"/>
                <w:sz w:val="24"/>
                <w:highlight w:val="none"/>
                <w14:textFill>
                  <w14:solidFill>
                    <w14:schemeClr w14:val="tx1"/>
                  </w14:solidFill>
                </w14:textFill>
              </w:rPr>
              <w:t>生态保护红线分布图</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附</w:t>
            </w:r>
            <w:r>
              <w:rPr>
                <w:rFonts w:hint="default" w:ascii="Times New Roman" w:hAnsi="Times New Roman" w:cs="Times New Roman"/>
                <w:color w:val="000000" w:themeColor="text1"/>
                <w:sz w:val="24"/>
                <w:highlight w:val="none"/>
                <w14:textFill>
                  <w14:solidFill>
                    <w14:schemeClr w14:val="tx1"/>
                  </w14:solidFill>
                </w14:textFill>
              </w:rPr>
              <w:t>图1</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，本项目不在</w:t>
            </w:r>
            <w:r>
              <w:rPr>
                <w:rFonts w:hint="default" w:ascii="Times New Roman" w:hAnsi="Times New Roman" w:cs="Times New Roman"/>
                <w:color w:val="000000" w:themeColor="text1"/>
                <w:sz w:val="24"/>
                <w:highlight w:val="none"/>
                <w:lang w:eastAsia="zh-CN"/>
                <w14:textFill>
                  <w14:solidFill>
                    <w14:schemeClr w14:val="tx1"/>
                  </w14:solidFill>
                </w14:textFill>
              </w:rPr>
              <w:t>固原</w:t>
            </w:r>
            <w:r>
              <w:rPr>
                <w:rFonts w:hint="default" w:ascii="Times New Roman" w:hAnsi="Times New Roman" w:cs="Times New Roman"/>
                <w:color w:val="000000" w:themeColor="text1"/>
                <w:sz w:val="24"/>
                <w:highlight w:val="none"/>
                <w:lang w:val="en-US" w:eastAsia="zh-CN"/>
                <w14:textFill>
                  <w14:solidFill>
                    <w14:schemeClr w14:val="tx1"/>
                  </w14:solidFill>
                </w14:textFill>
              </w:rPr>
              <w:t>市</w:t>
            </w:r>
            <w:r>
              <w:rPr>
                <w:rFonts w:hint="default" w:ascii="Times New Roman" w:hAnsi="Times New Roman" w:cs="Times New Roman"/>
                <w:color w:val="000000" w:themeColor="text1"/>
                <w:sz w:val="24"/>
                <w:highlight w:val="none"/>
                <w14:textFill>
                  <w14:solidFill>
                    <w14:schemeClr w14:val="tx1"/>
                  </w14:solidFill>
                </w14:textFill>
              </w:rPr>
              <w:t>生态红线范围内。</w:t>
            </w:r>
          </w:p>
          <w:p w14:paraId="7DEC78BF">
            <w:pPr>
              <w:autoSpaceDE w:val="0"/>
              <w:autoSpaceDN w:val="0"/>
              <w:adjustRightInd w:val="0"/>
              <w:snapToGrid w:val="0"/>
              <w:spacing w:line="360" w:lineRule="auto"/>
              <w:ind w:firstLine="482"/>
              <w:jc w:val="left"/>
              <w:rPr>
                <w:rFonts w:hint="default" w:ascii="Times New Roman" w:hAnsi="Times New Roman" w:cs="Times New Roman"/>
                <w:b/>
                <w:bCs/>
                <w:color w:val="000000" w:themeColor="text1"/>
                <w:kern w:val="0"/>
                <w:highlight w:val="none"/>
                <w14:textFill>
                  <w14:solidFill>
                    <w14:schemeClr w14:val="tx1"/>
                  </w14:solidFill>
                </w14:textFill>
              </w:rPr>
            </w:pPr>
            <w:r>
              <w:rPr>
                <w:rFonts w:hint="default" w:ascii="Times New Roman" w:hAnsi="Times New Roman" w:cs="Times New Roman"/>
                <w:b/>
                <w:bCs/>
                <w:color w:val="000000" w:themeColor="text1"/>
                <w:kern w:val="0"/>
                <w:highlight w:val="none"/>
                <w:lang w:val="en-US" w:eastAsia="zh-CN"/>
                <w14:textFill>
                  <w14:solidFill>
                    <w14:schemeClr w14:val="tx1"/>
                  </w14:solidFill>
                </w14:textFill>
              </w:rPr>
              <w:t>5</w:t>
            </w:r>
            <w:r>
              <w:rPr>
                <w:rFonts w:hint="default" w:ascii="Times New Roman" w:hAnsi="Times New Roman" w:cs="Times New Roman"/>
                <w:b/>
                <w:bCs/>
                <w:color w:val="000000" w:themeColor="text1"/>
                <w:kern w:val="0"/>
                <w:highlight w:val="none"/>
                <w14:textFill>
                  <w14:solidFill>
                    <w14:schemeClr w14:val="tx1"/>
                  </w14:solidFill>
                </w14:textFill>
              </w:rPr>
              <w:t>.</w:t>
            </w:r>
            <w:r>
              <w:rPr>
                <w:rFonts w:hint="default" w:ascii="Times New Roman" w:hAnsi="Times New Roman" w:cs="Times New Roman"/>
                <w:b/>
                <w:bCs/>
                <w:color w:val="000000" w:themeColor="text1"/>
                <w:kern w:val="0"/>
                <w:highlight w:val="none"/>
                <w:lang w:val="en-US" w:eastAsia="zh-CN"/>
                <w14:textFill>
                  <w14:solidFill>
                    <w14:schemeClr w14:val="tx1"/>
                  </w14:solidFill>
                </w14:textFill>
              </w:rPr>
              <w:t xml:space="preserve">2 </w:t>
            </w:r>
            <w:r>
              <w:rPr>
                <w:rFonts w:hint="default" w:ascii="Times New Roman" w:hAnsi="Times New Roman" w:cs="Times New Roman"/>
                <w:b/>
                <w:bCs/>
                <w:color w:val="000000" w:themeColor="text1"/>
                <w:kern w:val="0"/>
                <w:highlight w:val="none"/>
                <w14:textFill>
                  <w14:solidFill>
                    <w14:schemeClr w14:val="tx1"/>
                  </w14:solidFill>
                </w14:textFill>
              </w:rPr>
              <w:t>环境质量底线及分区管控</w:t>
            </w:r>
          </w:p>
          <w:p w14:paraId="16CCCD38">
            <w:pPr>
              <w:autoSpaceDE w:val="0"/>
              <w:autoSpaceDN w:val="0"/>
              <w:adjustRightInd w:val="0"/>
              <w:snapToGrid w:val="0"/>
              <w:spacing w:line="360" w:lineRule="auto"/>
              <w:ind w:firstLine="480"/>
              <w:jc w:val="left"/>
              <w:rPr>
                <w:rFonts w:hint="default" w:ascii="Times New Roman" w:hAnsi="Times New Roman" w:cs="Times New Roman"/>
                <w:color w:val="000000" w:themeColor="text1"/>
                <w:kern w:val="0"/>
                <w:highlight w:val="none"/>
                <w14:textFill>
                  <w14:solidFill>
                    <w14:schemeClr w14:val="tx1"/>
                  </w14:solidFill>
                </w14:textFill>
              </w:rPr>
            </w:pPr>
            <w:r>
              <w:rPr>
                <w:rFonts w:hint="default" w:ascii="Times New Roman" w:hAnsi="Times New Roman" w:cs="Times New Roman"/>
                <w:color w:val="000000" w:themeColor="text1"/>
                <w:kern w:val="0"/>
                <w:highlight w:val="none"/>
                <w:lang w:eastAsia="zh-CN"/>
                <w14:textFill>
                  <w14:solidFill>
                    <w14:schemeClr w14:val="tx1"/>
                  </w14:solidFill>
                </w14:textFill>
              </w:rPr>
              <w:t>（</w:t>
            </w:r>
            <w:r>
              <w:rPr>
                <w:rFonts w:hint="default" w:ascii="Times New Roman" w:hAnsi="Times New Roman" w:cs="Times New Roman"/>
                <w:color w:val="000000" w:themeColor="text1"/>
                <w:kern w:val="0"/>
                <w:highlight w:val="none"/>
                <w:lang w:val="en-US" w:eastAsia="zh-CN"/>
                <w14:textFill>
                  <w14:solidFill>
                    <w14:schemeClr w14:val="tx1"/>
                  </w14:solidFill>
                </w14:textFill>
              </w:rPr>
              <w:t>1</w:t>
            </w:r>
            <w:r>
              <w:rPr>
                <w:rFonts w:hint="default" w:ascii="Times New Roman" w:hAnsi="Times New Roman" w:cs="Times New Roman"/>
                <w:color w:val="000000" w:themeColor="text1"/>
                <w:kern w:val="0"/>
                <w:highlight w:val="none"/>
                <w:lang w:eastAsia="zh-CN"/>
                <w14:textFill>
                  <w14:solidFill>
                    <w14:schemeClr w14:val="tx1"/>
                  </w14:solidFill>
                </w14:textFill>
              </w:rPr>
              <w:t>）</w:t>
            </w:r>
            <w:r>
              <w:rPr>
                <w:rFonts w:hint="default" w:ascii="Times New Roman" w:hAnsi="Times New Roman" w:cs="Times New Roman"/>
                <w:color w:val="000000" w:themeColor="text1"/>
                <w:kern w:val="0"/>
                <w:highlight w:val="none"/>
                <w14:textFill>
                  <w14:solidFill>
                    <w14:schemeClr w14:val="tx1"/>
                  </w14:solidFill>
                </w14:textFill>
              </w:rPr>
              <w:t>水环境底线及分区管控</w:t>
            </w:r>
          </w:p>
          <w:p w14:paraId="3158D438">
            <w:p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根据《固原市生态环境分区管控方案文本》，</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固原市水环境管控分区共分为三大类：水环境优先保护区、水环境重点管控区（含水环境工业污染源重点管控区、水环境农业污染源重点管控区、水环境城镇生活污染源重点管控区）和水环境一般管控区。</w:t>
            </w:r>
          </w:p>
          <w:p w14:paraId="29BECC62">
            <w:pPr>
              <w:adjustRightInd w:val="0"/>
              <w:spacing w:line="360" w:lineRule="auto"/>
              <w:ind w:firstLine="480" w:firstLineChars="200"/>
              <w:rPr>
                <w:rFonts w:hint="default" w:ascii="Times New Roman" w:hAnsi="Times New Roman" w:eastAsia="宋体" w:cs="Times New Roman"/>
                <w:color w:val="000000" w:themeColor="text1"/>
                <w:kern w:val="0"/>
                <w:sz w:val="24"/>
                <w:szCs w:val="32"/>
                <w:highlight w:val="none"/>
                <w:lang w:val="en-US" w:eastAsia="zh-CN"/>
                <w14:textFill>
                  <w14:solidFill>
                    <w14:schemeClr w14:val="tx1"/>
                  </w14:solidFill>
                </w14:textFill>
              </w:rPr>
            </w:pPr>
            <w:r>
              <w:rPr>
                <w:rFonts w:hint="default" w:ascii="Times New Roman" w:hAnsi="Times New Roman" w:cs="Times New Roman"/>
                <w:color w:val="000000" w:themeColor="text1"/>
                <w:kern w:val="16"/>
                <w:sz w:val="24"/>
                <w:highlight w:val="none"/>
                <w14:textFill>
                  <w14:solidFill>
                    <w14:schemeClr w14:val="tx1"/>
                  </w14:solidFill>
                </w14:textFill>
              </w:rPr>
              <w:t>本项目</w:t>
            </w:r>
            <w:r>
              <w:rPr>
                <w:rFonts w:hint="default" w:ascii="Times New Roman" w:hAnsi="Times New Roman" w:cs="Times New Roman"/>
                <w:color w:val="000000" w:themeColor="text1"/>
                <w:kern w:val="16"/>
                <w:sz w:val="24"/>
                <w:highlight w:val="none"/>
                <w:lang w:val="en-US" w:eastAsia="zh-CN"/>
                <w14:textFill>
                  <w14:solidFill>
                    <w14:schemeClr w14:val="tx1"/>
                  </w14:solidFill>
                </w14:textFill>
              </w:rPr>
              <w:t>拟建地点</w:t>
            </w:r>
            <w:r>
              <w:rPr>
                <w:rFonts w:hint="default" w:ascii="Times New Roman" w:hAnsi="Times New Roman" w:cs="Times New Roman"/>
                <w:color w:val="000000" w:themeColor="text1"/>
                <w:kern w:val="16"/>
                <w:sz w:val="24"/>
                <w:highlight w:val="none"/>
                <w14:textFill>
                  <w14:solidFill>
                    <w14:schemeClr w14:val="tx1"/>
                  </w14:solidFill>
                </w14:textFill>
              </w:rPr>
              <w:t>位于</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泾源县黄花乡</w:t>
            </w:r>
            <w:r>
              <w:rPr>
                <w:rFonts w:hint="default" w:ascii="Times New Roman" w:hAnsi="Times New Roman" w:cs="Times New Roman"/>
                <w:color w:val="000000" w:themeColor="text1"/>
                <w:kern w:val="16"/>
                <w:sz w:val="24"/>
                <w:highlight w:val="none"/>
                <w14:textFill>
                  <w14:solidFill>
                    <w14:schemeClr w14:val="tx1"/>
                  </w14:solidFill>
                </w14:textFill>
              </w:rPr>
              <w:t>，根据宁夏</w:t>
            </w:r>
            <w:r>
              <w:rPr>
                <w:rFonts w:hint="default" w:ascii="Times New Roman" w:hAnsi="Times New Roman" w:cs="Times New Roman"/>
                <w:color w:val="000000" w:themeColor="text1"/>
                <w:kern w:val="16"/>
                <w:sz w:val="24"/>
                <w:highlight w:val="none"/>
                <w:lang w:eastAsia="zh-CN"/>
                <w14:textFill>
                  <w14:solidFill>
                    <w14:schemeClr w14:val="tx1"/>
                  </w14:solidFill>
                </w14:textFill>
              </w:rPr>
              <w:t>固原</w:t>
            </w:r>
            <w:r>
              <w:rPr>
                <w:rFonts w:hint="default" w:ascii="Times New Roman" w:hAnsi="Times New Roman" w:cs="Times New Roman"/>
                <w:color w:val="000000" w:themeColor="text1"/>
                <w:kern w:val="16"/>
                <w:sz w:val="24"/>
                <w:highlight w:val="none"/>
                <w14:textFill>
                  <w14:solidFill>
                    <w14:schemeClr w14:val="tx1"/>
                  </w14:solidFill>
                </w14:textFill>
              </w:rPr>
              <w:t>市水环境分区管控与本项目位置关系图（</w:t>
            </w:r>
            <w:r>
              <w:rPr>
                <w:rFonts w:hint="default" w:ascii="Times New Roman" w:hAnsi="Times New Roman" w:cs="Times New Roman"/>
                <w:color w:val="000000" w:themeColor="text1"/>
                <w:sz w:val="24"/>
                <w:szCs w:val="32"/>
                <w:highlight w:val="none"/>
                <w14:textFill>
                  <w14:solidFill>
                    <w14:schemeClr w14:val="tx1"/>
                  </w14:solidFill>
                </w14:textFill>
              </w:rPr>
              <w:t>附图</w:t>
            </w:r>
            <w:r>
              <w:rPr>
                <w:rFonts w:hint="default" w:ascii="Times New Roman" w:hAnsi="Times New Roman" w:cs="Times New Roman"/>
                <w:color w:val="000000" w:themeColor="text1"/>
                <w:sz w:val="24"/>
                <w:szCs w:val="32"/>
                <w:highlight w:val="none"/>
                <w:lang w:val="en-US" w:eastAsia="zh-CN"/>
                <w14:textFill>
                  <w14:solidFill>
                    <w14:schemeClr w14:val="tx1"/>
                  </w14:solidFill>
                </w14:textFill>
              </w:rPr>
              <w:t>2</w:t>
            </w:r>
            <w:r>
              <w:rPr>
                <w:rFonts w:hint="default" w:ascii="Times New Roman" w:hAnsi="Times New Roman" w:cs="Times New Roman"/>
                <w:color w:val="000000" w:themeColor="text1"/>
                <w:kern w:val="16"/>
                <w:sz w:val="24"/>
                <w:highlight w:val="none"/>
                <w14:textFill>
                  <w14:solidFill>
                    <w14:schemeClr w14:val="tx1"/>
                  </w14:solidFill>
                </w14:textFill>
              </w:rPr>
              <w:t>）</w:t>
            </w:r>
            <w:r>
              <w:rPr>
                <w:rFonts w:hint="default" w:ascii="Times New Roman" w:hAnsi="Times New Roman" w:cs="Times New Roman"/>
                <w:color w:val="000000" w:themeColor="text1"/>
                <w:sz w:val="24"/>
                <w:szCs w:val="32"/>
                <w:highlight w:val="none"/>
                <w14:textFill>
                  <w14:solidFill>
                    <w14:schemeClr w14:val="tx1"/>
                  </w14:solidFill>
                </w14:textFill>
              </w:rPr>
              <w:t>可知，</w:t>
            </w:r>
            <w:r>
              <w:rPr>
                <w:rFonts w:hint="default" w:ascii="Times New Roman" w:hAnsi="Times New Roman" w:eastAsia="宋体" w:cs="Times New Roman"/>
                <w:b w:val="0"/>
                <w:color w:val="000000" w:themeColor="text1"/>
                <w:kern w:val="0"/>
                <w:sz w:val="24"/>
                <w:szCs w:val="24"/>
                <w:highlight w:val="none"/>
                <w:lang w:val="en-US" w:eastAsia="zh-CN"/>
                <w14:textFill>
                  <w14:solidFill>
                    <w14:schemeClr w14:val="tx1"/>
                  </w14:solidFill>
                </w14:textFill>
              </w:rPr>
              <w:t>本项目位于水环境一般管控区。根据水环境一般管控区要求：对于水环境优先保护区、重点管控区以外，现状水质达标的控制断面所对应的一般管控区，应落实《中华人民共和国水污染防治法》等相关法律法规的总体要求，加强水资源节约和保护，积极推动水生态修复治理，持续深入推进水污染防治，改善水环境质量。</w:t>
            </w:r>
          </w:p>
          <w:p w14:paraId="3B7E437E">
            <w:pPr>
              <w:autoSpaceDE w:val="0"/>
              <w:autoSpaceDN w:val="0"/>
              <w:adjustRightInd w:val="0"/>
              <w:snapToGrid w:val="0"/>
              <w:spacing w:line="360" w:lineRule="auto"/>
              <w:ind w:firstLine="480"/>
              <w:jc w:val="left"/>
              <w:rPr>
                <w:rFonts w:hint="default" w:ascii="Times New Roman" w:hAnsi="Times New Roman" w:cs="Times New Roman"/>
                <w:color w:val="000000" w:themeColor="text1"/>
                <w:kern w:val="0"/>
                <w:highlight w:val="none"/>
                <w14:textFill>
                  <w14:solidFill>
                    <w14:schemeClr w14:val="tx1"/>
                  </w14:solidFill>
                </w14:textFill>
              </w:rPr>
            </w:pPr>
            <w:r>
              <w:rPr>
                <w:rFonts w:hint="default" w:ascii="Times New Roman" w:hAnsi="Times New Roman" w:cs="Times New Roman"/>
                <w:color w:val="000000" w:themeColor="text1"/>
                <w:kern w:val="0"/>
                <w:highlight w:val="none"/>
                <w:lang w:eastAsia="zh-CN"/>
                <w14:textFill>
                  <w14:solidFill>
                    <w14:schemeClr w14:val="tx1"/>
                  </w14:solidFill>
                </w14:textFill>
              </w:rPr>
              <w:t>（</w:t>
            </w:r>
            <w:r>
              <w:rPr>
                <w:rFonts w:hint="default" w:ascii="Times New Roman" w:hAnsi="Times New Roman" w:cs="Times New Roman"/>
                <w:color w:val="000000" w:themeColor="text1"/>
                <w:kern w:val="0"/>
                <w:highlight w:val="none"/>
                <w:lang w:val="en-US" w:eastAsia="zh-CN"/>
                <w14:textFill>
                  <w14:solidFill>
                    <w14:schemeClr w14:val="tx1"/>
                  </w14:solidFill>
                </w14:textFill>
              </w:rPr>
              <w:t>2</w:t>
            </w:r>
            <w:r>
              <w:rPr>
                <w:rFonts w:hint="default" w:ascii="Times New Roman" w:hAnsi="Times New Roman" w:cs="Times New Roman"/>
                <w:color w:val="000000" w:themeColor="text1"/>
                <w:kern w:val="0"/>
                <w:highlight w:val="none"/>
                <w:lang w:eastAsia="zh-CN"/>
                <w14:textFill>
                  <w14:solidFill>
                    <w14:schemeClr w14:val="tx1"/>
                  </w14:solidFill>
                </w14:textFill>
              </w:rPr>
              <w:t>）</w:t>
            </w:r>
            <w:r>
              <w:rPr>
                <w:rFonts w:hint="default" w:ascii="Times New Roman" w:hAnsi="Times New Roman" w:cs="Times New Roman"/>
                <w:color w:val="000000" w:themeColor="text1"/>
                <w:kern w:val="0"/>
                <w:highlight w:val="none"/>
                <w14:textFill>
                  <w14:solidFill>
                    <w14:schemeClr w14:val="tx1"/>
                  </w14:solidFill>
                </w14:textFill>
              </w:rPr>
              <w:t>大气环境底线及分区管控</w:t>
            </w:r>
          </w:p>
          <w:p w14:paraId="703DB153">
            <w:pPr>
              <w:adjustRightInd w:val="0"/>
              <w:spacing w:line="360" w:lineRule="auto"/>
              <w:ind w:firstLine="480" w:firstLineChars="200"/>
              <w:rPr>
                <w:rFonts w:hint="default" w:ascii="Times New Roman" w:hAnsi="Times New Roman" w:eastAsia="宋体" w:cs="Times New Roman"/>
                <w:b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kern w:val="0"/>
                <w:sz w:val="24"/>
                <w:szCs w:val="24"/>
                <w:highlight w:val="none"/>
                <w:lang w:val="en-US" w:eastAsia="zh-CN"/>
                <w14:textFill>
                  <w14:solidFill>
                    <w14:schemeClr w14:val="tx1"/>
                  </w14:solidFill>
                </w14:textFill>
              </w:rPr>
              <w:t>根据《固原市生态环境分区管控方案文本》，固原市划分为大气环境优先保护区、大气环境重点管控区和大气环境一般管控区，实施分类管理。</w:t>
            </w:r>
          </w:p>
          <w:p w14:paraId="34B38F9A">
            <w:pPr>
              <w:adjustRightInd w:val="0"/>
              <w:snapToGrid w:val="0"/>
              <w:spacing w:line="360" w:lineRule="auto"/>
              <w:ind w:firstLine="480"/>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kern w:val="16"/>
                <w:sz w:val="24"/>
                <w:highlight w:val="none"/>
                <w14:textFill>
                  <w14:solidFill>
                    <w14:schemeClr w14:val="tx1"/>
                  </w14:solidFill>
                </w14:textFill>
              </w:rPr>
              <w:t>本项目位于</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泾源县黄花乡</w:t>
            </w:r>
            <w:r>
              <w:rPr>
                <w:rFonts w:hint="default" w:ascii="Times New Roman" w:hAnsi="Times New Roman" w:cs="Times New Roman"/>
                <w:color w:val="000000" w:themeColor="text1"/>
                <w:kern w:val="16"/>
                <w:sz w:val="24"/>
                <w:highlight w:val="none"/>
                <w14:textFill>
                  <w14:solidFill>
                    <w14:schemeClr w14:val="tx1"/>
                  </w14:solidFill>
                </w14:textFill>
              </w:rPr>
              <w:t>，根据宁夏</w:t>
            </w:r>
            <w:r>
              <w:rPr>
                <w:rFonts w:hint="default" w:ascii="Times New Roman" w:hAnsi="Times New Roman" w:cs="Times New Roman"/>
                <w:color w:val="000000" w:themeColor="text1"/>
                <w:kern w:val="16"/>
                <w:sz w:val="24"/>
                <w:highlight w:val="none"/>
                <w:lang w:eastAsia="zh-CN"/>
                <w14:textFill>
                  <w14:solidFill>
                    <w14:schemeClr w14:val="tx1"/>
                  </w14:solidFill>
                </w14:textFill>
              </w:rPr>
              <w:t>固原市</w:t>
            </w:r>
            <w:r>
              <w:rPr>
                <w:rFonts w:hint="default" w:ascii="Times New Roman" w:hAnsi="Times New Roman" w:cs="Times New Roman"/>
                <w:color w:val="000000" w:themeColor="text1"/>
                <w:kern w:val="16"/>
                <w:sz w:val="24"/>
                <w:highlight w:val="none"/>
                <w14:textFill>
                  <w14:solidFill>
                    <w14:schemeClr w14:val="tx1"/>
                  </w14:solidFill>
                </w14:textFill>
              </w:rPr>
              <w:t>大气环境分区管控与本项目位置关系图（</w:t>
            </w:r>
            <w:r>
              <w:rPr>
                <w:rFonts w:hint="default" w:ascii="Times New Roman" w:hAnsi="Times New Roman" w:cs="Times New Roman"/>
                <w:color w:val="000000" w:themeColor="text1"/>
                <w:sz w:val="24"/>
                <w:szCs w:val="32"/>
                <w:highlight w:val="none"/>
                <w14:textFill>
                  <w14:solidFill>
                    <w14:schemeClr w14:val="tx1"/>
                  </w14:solidFill>
                </w14:textFill>
              </w:rPr>
              <w:t>附图</w:t>
            </w:r>
            <w:r>
              <w:rPr>
                <w:rFonts w:hint="default" w:ascii="Times New Roman" w:hAnsi="Times New Roman" w:cs="Times New Roman"/>
                <w:color w:val="000000" w:themeColor="text1"/>
                <w:sz w:val="24"/>
                <w:szCs w:val="32"/>
                <w:highlight w:val="none"/>
                <w:lang w:val="en-US" w:eastAsia="zh-CN"/>
                <w14:textFill>
                  <w14:solidFill>
                    <w14:schemeClr w14:val="tx1"/>
                  </w14:solidFill>
                </w14:textFill>
              </w:rPr>
              <w:t>3</w:t>
            </w:r>
            <w:r>
              <w:rPr>
                <w:rFonts w:hint="default" w:ascii="Times New Roman" w:hAnsi="Times New Roman" w:cs="Times New Roman"/>
                <w:color w:val="000000" w:themeColor="text1"/>
                <w:sz w:val="24"/>
                <w:szCs w:val="32"/>
                <w:highlight w:val="none"/>
                <w14:textFill>
                  <w14:solidFill>
                    <w14:schemeClr w14:val="tx1"/>
                  </w14:solidFill>
                </w14:textFill>
              </w:rPr>
              <w:t>）</w:t>
            </w:r>
            <w:r>
              <w:rPr>
                <w:rFonts w:hint="default" w:ascii="Times New Roman" w:hAnsi="Times New Roman" w:cs="Times New Roman"/>
                <w:color w:val="000000" w:themeColor="text1"/>
                <w:kern w:val="16"/>
                <w:sz w:val="24"/>
                <w:highlight w:val="none"/>
                <w14:textFill>
                  <w14:solidFill>
                    <w14:schemeClr w14:val="tx1"/>
                  </w14:solidFill>
                </w14:textFill>
              </w:rPr>
              <w:t>可知</w:t>
            </w:r>
            <w:r>
              <w:rPr>
                <w:rFonts w:hint="default" w:ascii="Times New Roman" w:hAnsi="Times New Roman" w:cs="Times New Roman"/>
                <w:color w:val="000000" w:themeColor="text1"/>
                <w:sz w:val="24"/>
                <w:szCs w:val="32"/>
                <w:highlight w:val="none"/>
                <w14:textFill>
                  <w14:solidFill>
                    <w14:schemeClr w14:val="tx1"/>
                  </w14:solidFill>
                </w14:textFill>
              </w:rPr>
              <w:t>，本项</w:t>
            </w:r>
            <w:r>
              <w:rPr>
                <w:rFonts w:hint="default" w:ascii="Times New Roman" w:hAnsi="Times New Roman" w:cs="Times New Roman"/>
                <w:color w:val="000000" w:themeColor="text1"/>
                <w:sz w:val="24"/>
                <w:szCs w:val="32"/>
                <w14:textFill>
                  <w14:solidFill>
                    <w14:schemeClr w14:val="tx1"/>
                  </w14:solidFill>
                </w14:textFill>
              </w:rPr>
              <w:t>目位于大气</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环境一般管控区。根据大气环境一般管控区要求：落实《中华人民共和国大气污染防治法》等相关法律法规的一般要求，在满足区域基本的污染物排放标准和污染防治要求基础上，进一步采用更清洁的生产方式和更有效的污染治理措施，推动区域环境空气质量持续改善。毗邻大气环境优先保护区的新建项目，还应特别注意污染物排放对优先保护区的影响，应优化选址方案或采取有效的污染防治措施，避免对一类区空气质量造成不利影响。</w:t>
            </w:r>
          </w:p>
          <w:p w14:paraId="2C004F2A">
            <w:pPr>
              <w:pStyle w:val="71"/>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000000" w:themeColor="text1"/>
                <w:kern w:val="2"/>
                <w:sz w:val="24"/>
                <w:szCs w:val="3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32"/>
                <w:highlight w:val="none"/>
                <w:lang w:val="en-US" w:eastAsia="zh-CN" w:bidi="ar-SA"/>
                <w14:textFill>
                  <w14:solidFill>
                    <w14:schemeClr w14:val="tx1"/>
                  </w14:solidFill>
                </w14:textFill>
              </w:rPr>
              <w:t>根据《环境影响评价技术导则 大气环境》（HJ2.2-2018）的规定，项目所在区域环境空气质量达标判定，优先采用国家或地方生态环境主管部门公开发布的评价基准年环境质量公告或环境质量报告中的数据或结论。本次评价采用《2023年宁夏生态环境质量状况公报》中固原市数据（PM</w:t>
            </w:r>
            <w:r>
              <w:rPr>
                <w:rFonts w:hint="default" w:ascii="Times New Roman" w:hAnsi="Times New Roman" w:eastAsia="宋体" w:cs="Times New Roman"/>
                <w:color w:val="000000" w:themeColor="text1"/>
                <w:kern w:val="2"/>
                <w:sz w:val="24"/>
                <w:szCs w:val="32"/>
                <w:highlight w:val="none"/>
                <w:vertAlign w:val="subscript"/>
                <w:lang w:val="en-US" w:eastAsia="zh-CN" w:bidi="ar-SA"/>
                <w14:textFill>
                  <w14:solidFill>
                    <w14:schemeClr w14:val="tx1"/>
                  </w14:solidFill>
                </w14:textFill>
              </w:rPr>
              <w:t>10</w:t>
            </w:r>
            <w:r>
              <w:rPr>
                <w:rFonts w:hint="default" w:ascii="Times New Roman" w:hAnsi="Times New Roman" w:eastAsia="宋体" w:cs="Times New Roman"/>
                <w:color w:val="000000" w:themeColor="text1"/>
                <w:kern w:val="2"/>
                <w:sz w:val="24"/>
                <w:szCs w:val="32"/>
                <w:highlight w:val="none"/>
                <w:lang w:val="en-US" w:eastAsia="zh-CN" w:bidi="ar-SA"/>
                <w14:textFill>
                  <w14:solidFill>
                    <w14:schemeClr w14:val="tx1"/>
                  </w14:solidFill>
                </w14:textFill>
              </w:rPr>
              <w:t>、PM</w:t>
            </w:r>
            <w:r>
              <w:rPr>
                <w:rFonts w:hint="default" w:ascii="Times New Roman" w:hAnsi="Times New Roman" w:eastAsia="宋体" w:cs="Times New Roman"/>
                <w:color w:val="000000" w:themeColor="text1"/>
                <w:kern w:val="2"/>
                <w:sz w:val="24"/>
                <w:szCs w:val="32"/>
                <w:highlight w:val="none"/>
                <w:vertAlign w:val="subscript"/>
                <w:lang w:val="en-US" w:eastAsia="zh-CN" w:bidi="ar-SA"/>
                <w14:textFill>
                  <w14:solidFill>
                    <w14:schemeClr w14:val="tx1"/>
                  </w14:solidFill>
                </w14:textFill>
              </w:rPr>
              <w:t>2.5</w:t>
            </w:r>
            <w:r>
              <w:rPr>
                <w:rFonts w:hint="default" w:ascii="Times New Roman" w:hAnsi="Times New Roman" w:eastAsia="宋体" w:cs="Times New Roman"/>
                <w:color w:val="000000" w:themeColor="text1"/>
                <w:kern w:val="2"/>
                <w:sz w:val="24"/>
                <w:szCs w:val="32"/>
                <w:highlight w:val="none"/>
                <w:lang w:val="en-US" w:eastAsia="zh-CN" w:bidi="ar-SA"/>
                <w14:textFill>
                  <w14:solidFill>
                    <w14:schemeClr w14:val="tx1"/>
                  </w14:solidFill>
                </w14:textFill>
              </w:rPr>
              <w:t>为剔除沙尘天气后）进行区域环境空气质量达标情况判定，评价区范围内PM</w:t>
            </w:r>
            <w:r>
              <w:rPr>
                <w:rFonts w:hint="default" w:ascii="Times New Roman" w:hAnsi="Times New Roman" w:eastAsia="宋体" w:cs="Times New Roman"/>
                <w:color w:val="000000" w:themeColor="text1"/>
                <w:kern w:val="2"/>
                <w:sz w:val="24"/>
                <w:szCs w:val="32"/>
                <w:highlight w:val="none"/>
                <w:vertAlign w:val="subscript"/>
                <w:lang w:val="en-US" w:eastAsia="zh-CN" w:bidi="ar-SA"/>
                <w14:textFill>
                  <w14:solidFill>
                    <w14:schemeClr w14:val="tx1"/>
                  </w14:solidFill>
                </w14:textFill>
              </w:rPr>
              <w:t>10</w:t>
            </w:r>
            <w:r>
              <w:rPr>
                <w:rFonts w:hint="default" w:ascii="Times New Roman" w:hAnsi="Times New Roman" w:eastAsia="宋体" w:cs="Times New Roman"/>
                <w:color w:val="000000" w:themeColor="text1"/>
                <w:kern w:val="2"/>
                <w:sz w:val="24"/>
                <w:szCs w:val="32"/>
                <w:highlight w:val="none"/>
                <w:lang w:val="en-US" w:eastAsia="zh-CN" w:bidi="ar-SA"/>
                <w14:textFill>
                  <w14:solidFill>
                    <w14:schemeClr w14:val="tx1"/>
                  </w14:solidFill>
                </w14:textFill>
              </w:rPr>
              <w:t>、PM</w:t>
            </w:r>
            <w:r>
              <w:rPr>
                <w:rFonts w:hint="default" w:ascii="Times New Roman" w:hAnsi="Times New Roman" w:eastAsia="宋体" w:cs="Times New Roman"/>
                <w:color w:val="000000" w:themeColor="text1"/>
                <w:kern w:val="2"/>
                <w:sz w:val="24"/>
                <w:szCs w:val="32"/>
                <w:highlight w:val="none"/>
                <w:vertAlign w:val="subscript"/>
                <w:lang w:val="en-US" w:eastAsia="zh-CN" w:bidi="ar-SA"/>
                <w14:textFill>
                  <w14:solidFill>
                    <w14:schemeClr w14:val="tx1"/>
                  </w14:solidFill>
                </w14:textFill>
              </w:rPr>
              <w:t>2.5</w:t>
            </w:r>
            <w:r>
              <w:rPr>
                <w:rFonts w:hint="default" w:ascii="Times New Roman" w:hAnsi="Times New Roman" w:eastAsia="宋体" w:cs="Times New Roman"/>
                <w:color w:val="000000" w:themeColor="text1"/>
                <w:kern w:val="2"/>
                <w:sz w:val="24"/>
                <w:szCs w:val="32"/>
                <w:highlight w:val="none"/>
                <w:lang w:val="en-US" w:eastAsia="zh-CN" w:bidi="ar-SA"/>
                <w14:textFill>
                  <w14:solidFill>
                    <w14:schemeClr w14:val="tx1"/>
                  </w14:solidFill>
                </w14:textFill>
              </w:rPr>
              <w:t>、SO</w:t>
            </w:r>
            <w:r>
              <w:rPr>
                <w:rFonts w:hint="default" w:ascii="Times New Roman" w:hAnsi="Times New Roman" w:eastAsia="宋体" w:cs="Times New Roman"/>
                <w:color w:val="000000" w:themeColor="text1"/>
                <w:kern w:val="2"/>
                <w:sz w:val="24"/>
                <w:szCs w:val="32"/>
                <w:highlight w:val="none"/>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32"/>
                <w:highlight w:val="none"/>
                <w:lang w:val="en-US" w:eastAsia="zh-CN" w:bidi="ar-SA"/>
                <w14:textFill>
                  <w14:solidFill>
                    <w14:schemeClr w14:val="tx1"/>
                  </w14:solidFill>
                </w14:textFill>
              </w:rPr>
              <w:t>、NO</w:t>
            </w:r>
            <w:r>
              <w:rPr>
                <w:rFonts w:hint="default" w:ascii="Times New Roman" w:hAnsi="Times New Roman" w:eastAsia="宋体" w:cs="Times New Roman"/>
                <w:color w:val="000000" w:themeColor="text1"/>
                <w:kern w:val="2"/>
                <w:sz w:val="24"/>
                <w:szCs w:val="32"/>
                <w:highlight w:val="none"/>
                <w:vertAlign w:val="sub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32"/>
                <w:highlight w:val="none"/>
                <w:lang w:val="en-US" w:eastAsia="zh-CN" w:bidi="ar-SA"/>
                <w14:textFill>
                  <w14:solidFill>
                    <w14:schemeClr w14:val="tx1"/>
                  </w14:solidFill>
                </w14:textFill>
              </w:rPr>
              <w:t>、的年平均质量浓度、CO 24小时平均第95百分位数、O</w:t>
            </w:r>
            <w:r>
              <w:rPr>
                <w:rFonts w:hint="default" w:ascii="Times New Roman" w:hAnsi="Times New Roman" w:eastAsia="宋体" w:cs="Times New Roman"/>
                <w:color w:val="000000" w:themeColor="text1"/>
                <w:kern w:val="2"/>
                <w:sz w:val="24"/>
                <w:szCs w:val="32"/>
                <w:highlight w:val="none"/>
                <w:vertAlign w:val="sub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32"/>
                <w:highlight w:val="none"/>
                <w:lang w:val="en-US" w:eastAsia="zh-CN" w:bidi="ar-SA"/>
                <w14:textFill>
                  <w14:solidFill>
                    <w14:schemeClr w14:val="tx1"/>
                  </w14:solidFill>
                </w14:textFill>
              </w:rPr>
              <w:t>日最大8小时平均值第90百分位数均满足《环境空气质量标准》（GB3095-2012）及2018年修改单中的二级标准，根据《环境影响评价技术导则大气环境》（HJ2.2-2018）6.4.1.1的要求，六项污染物全部达标即为城市环境空气质量达标，因此，本项目所在区域环境空气质量为达标区，符合大气环境底线要求。</w:t>
            </w:r>
          </w:p>
          <w:p w14:paraId="380BABB7">
            <w:pPr>
              <w:adjustRightInd w:val="0"/>
              <w:snapToGrid w:val="0"/>
              <w:spacing w:line="360" w:lineRule="auto"/>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土壤污染风险防控底线及分区管控</w:t>
            </w:r>
          </w:p>
          <w:p w14:paraId="283B0680">
            <w:pPr>
              <w:overflowPunct w:val="0"/>
              <w:adjustRightInd w:val="0"/>
              <w:snapToGrid w:val="0"/>
              <w:spacing w:line="360" w:lineRule="auto"/>
              <w:ind w:firstLine="480" w:firstLineChars="200"/>
              <w:rPr>
                <w:rFonts w:hint="default" w:ascii="Times New Roman" w:hAnsi="Times New Roman" w:cs="Times New Roman"/>
                <w:b/>
                <w:bCs/>
                <w:color w:val="000000" w:themeColor="text1"/>
                <w:sz w:val="24"/>
                <w:szCs w:val="32"/>
                <w:highlight w:val="yellow"/>
                <w14:textFill>
                  <w14:solidFill>
                    <w14:schemeClr w14:val="tx1"/>
                  </w14:solidFill>
                </w14:textFill>
              </w:rPr>
            </w:pPr>
            <w:r>
              <w:rPr>
                <w:rFonts w:hint="default" w:ascii="Times New Roman" w:hAnsi="Times New Roman" w:cs="Times New Roman"/>
                <w:color w:val="000000" w:themeColor="text1"/>
                <w:kern w:val="0"/>
                <w:sz w:val="24"/>
                <w:szCs w:val="32"/>
                <w14:textFill>
                  <w14:solidFill>
                    <w14:schemeClr w14:val="tx1"/>
                  </w14:solidFill>
                </w14:textFill>
              </w:rPr>
              <w:t>本项目</w:t>
            </w:r>
            <w:r>
              <w:rPr>
                <w:rFonts w:hint="default" w:ascii="Times New Roman" w:hAnsi="Times New Roman" w:cs="Times New Roman"/>
                <w:color w:val="000000" w:themeColor="text1"/>
                <w:kern w:val="0"/>
                <w:sz w:val="24"/>
                <w:szCs w:val="32"/>
                <w:lang w:val="en-US" w:eastAsia="zh-CN"/>
                <w14:textFill>
                  <w14:solidFill>
                    <w14:schemeClr w14:val="tx1"/>
                  </w14:solidFill>
                </w14:textFill>
              </w:rPr>
              <w:t>建设地点紧邻</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泾源县黄花乡</w:t>
            </w:r>
            <w:r>
              <w:rPr>
                <w:rFonts w:hint="default" w:ascii="Times New Roman" w:hAnsi="Times New Roman" w:cs="Times New Roman"/>
                <w:color w:val="000000" w:themeColor="text1"/>
                <w:sz w:val="24"/>
                <w:szCs w:val="24"/>
                <w:lang w:val="en-US" w:eastAsia="zh-CN"/>
                <w14:textFill>
                  <w14:solidFill>
                    <w14:schemeClr w14:val="tx1"/>
                  </w14:solidFill>
                </w14:textFill>
              </w:rPr>
              <w:t>六盘山自治区级自然保护区南侧</w:t>
            </w:r>
            <w:r>
              <w:rPr>
                <w:rFonts w:hint="default" w:ascii="Times New Roman" w:hAnsi="Times New Roman" w:cs="Times New Roman"/>
                <w:color w:val="000000" w:themeColor="text1"/>
                <w:kern w:val="16"/>
                <w:sz w:val="24"/>
                <w14:textFill>
                  <w14:solidFill>
                    <w14:schemeClr w14:val="tx1"/>
                  </w14:solidFill>
                </w14:textFill>
              </w:rPr>
              <w:t>，</w:t>
            </w:r>
            <w:r>
              <w:rPr>
                <w:rFonts w:hint="default" w:ascii="Times New Roman" w:hAnsi="Times New Roman" w:cs="Times New Roman"/>
                <w:color w:val="000000" w:themeColor="text1"/>
                <w:kern w:val="0"/>
                <w:sz w:val="24"/>
                <w:szCs w:val="32"/>
                <w14:textFill>
                  <w14:solidFill>
                    <w14:schemeClr w14:val="tx1"/>
                  </w14:solidFill>
                </w14:textFill>
              </w:rPr>
              <w:t>根据</w:t>
            </w:r>
            <w:r>
              <w:rPr>
                <w:rFonts w:hint="default" w:ascii="Times New Roman" w:hAnsi="Times New Roman" w:cs="Times New Roman"/>
                <w:color w:val="000000" w:themeColor="text1"/>
                <w:sz w:val="24"/>
                <w:szCs w:val="32"/>
                <w:lang w:eastAsia="zh-CN"/>
                <w14:textFill>
                  <w14:solidFill>
                    <w14:schemeClr w14:val="tx1"/>
                  </w14:solidFill>
                </w14:textFill>
              </w:rPr>
              <w:t>固原</w:t>
            </w:r>
            <w:r>
              <w:rPr>
                <w:rFonts w:hint="default" w:ascii="Times New Roman" w:hAnsi="Times New Roman" w:cs="Times New Roman"/>
                <w:color w:val="000000" w:themeColor="text1"/>
                <w:sz w:val="24"/>
                <w:szCs w:val="32"/>
                <w14:textFill>
                  <w14:solidFill>
                    <w14:schemeClr w14:val="tx1"/>
                  </w14:solidFill>
                </w14:textFill>
              </w:rPr>
              <w:t>市土壤污染风险分区管控与</w:t>
            </w:r>
            <w:r>
              <w:rPr>
                <w:rFonts w:hint="default" w:ascii="Times New Roman" w:hAnsi="Times New Roman" w:cs="Times New Roman"/>
                <w:color w:val="000000" w:themeColor="text1"/>
                <w:kern w:val="0"/>
                <w:sz w:val="24"/>
                <w:szCs w:val="32"/>
                <w14:textFill>
                  <w14:solidFill>
                    <w14:schemeClr w14:val="tx1"/>
                  </w14:solidFill>
                </w14:textFill>
              </w:rPr>
              <w:t>本</w:t>
            </w:r>
            <w:r>
              <w:rPr>
                <w:rFonts w:hint="default" w:ascii="Times New Roman" w:hAnsi="Times New Roman" w:cs="Times New Roman"/>
                <w:color w:val="000000" w:themeColor="text1"/>
                <w:sz w:val="24"/>
                <w:szCs w:val="32"/>
                <w14:textFill>
                  <w14:solidFill>
                    <w14:schemeClr w14:val="tx1"/>
                  </w14:solidFill>
                </w14:textFill>
              </w:rPr>
              <w:t>项目位置关系</w:t>
            </w:r>
            <w:r>
              <w:rPr>
                <w:rFonts w:hint="default" w:ascii="Times New Roman" w:hAnsi="Times New Roman" w:cs="Times New Roman"/>
                <w:color w:val="000000" w:themeColor="text1"/>
                <w:sz w:val="24"/>
                <w:szCs w:val="32"/>
                <w:highlight w:val="none"/>
                <w14:textFill>
                  <w14:solidFill>
                    <w14:schemeClr w14:val="tx1"/>
                  </w14:solidFill>
                </w14:textFill>
              </w:rPr>
              <w:t>图（</w:t>
            </w:r>
            <w:r>
              <w:rPr>
                <w:rFonts w:hint="default" w:ascii="Times New Roman" w:hAnsi="Times New Roman" w:cs="Times New Roman"/>
                <w:color w:val="000000" w:themeColor="text1"/>
                <w:kern w:val="0"/>
                <w:sz w:val="24"/>
                <w:szCs w:val="32"/>
                <w:highlight w:val="none"/>
                <w14:textFill>
                  <w14:solidFill>
                    <w14:schemeClr w14:val="tx1"/>
                  </w14:solidFill>
                </w14:textFill>
              </w:rPr>
              <w:t>附图</w:t>
            </w:r>
            <w:r>
              <w:rPr>
                <w:rFonts w:hint="default" w:ascii="Times New Roman" w:hAnsi="Times New Roman" w:cs="Times New Roman"/>
                <w:color w:val="000000" w:themeColor="text1"/>
                <w:kern w:val="0"/>
                <w:sz w:val="24"/>
                <w:szCs w:val="32"/>
                <w:highlight w:val="none"/>
                <w:lang w:val="en-US" w:eastAsia="zh-CN"/>
                <w14:textFill>
                  <w14:solidFill>
                    <w14:schemeClr w14:val="tx1"/>
                  </w14:solidFill>
                </w14:textFill>
              </w:rPr>
              <w:t>4</w:t>
            </w:r>
            <w:r>
              <w:rPr>
                <w:rFonts w:hint="default" w:ascii="Times New Roman" w:hAnsi="Times New Roman" w:cs="Times New Roman"/>
                <w:color w:val="000000" w:themeColor="text1"/>
                <w:sz w:val="24"/>
                <w:szCs w:val="32"/>
                <w:highlight w:val="none"/>
                <w14:textFill>
                  <w14:solidFill>
                    <w14:schemeClr w14:val="tx1"/>
                  </w14:solidFill>
                </w14:textFill>
              </w:rPr>
              <w:t>）</w:t>
            </w:r>
            <w:r>
              <w:rPr>
                <w:rFonts w:hint="default" w:ascii="Times New Roman" w:hAnsi="Times New Roman" w:cs="Times New Roman"/>
                <w:color w:val="000000" w:themeColor="text1"/>
                <w:kern w:val="0"/>
                <w:sz w:val="24"/>
                <w:szCs w:val="32"/>
                <w:highlight w:val="none"/>
                <w14:textFill>
                  <w14:solidFill>
                    <w14:schemeClr w14:val="tx1"/>
                  </w14:solidFill>
                </w14:textFill>
              </w:rPr>
              <w:t>可知</w:t>
            </w:r>
            <w:r>
              <w:rPr>
                <w:rFonts w:hint="default" w:ascii="Times New Roman" w:hAnsi="Times New Roman" w:cs="Times New Roman"/>
                <w:color w:val="000000" w:themeColor="text1"/>
                <w:kern w:val="0"/>
                <w:sz w:val="24"/>
                <w:szCs w:val="32"/>
                <w14:textFill>
                  <w14:solidFill>
                    <w14:schemeClr w14:val="tx1"/>
                  </w14:solidFill>
                </w14:textFill>
              </w:rPr>
              <w:t>，</w:t>
            </w:r>
            <w:r>
              <w:rPr>
                <w:rFonts w:hint="default" w:ascii="Times New Roman" w:hAnsi="Times New Roman" w:eastAsia="宋体" w:cs="Times New Roman"/>
                <w:b w:val="0"/>
                <w:color w:val="000000" w:themeColor="text1"/>
                <w:kern w:val="0"/>
                <w:sz w:val="24"/>
                <w:szCs w:val="24"/>
                <w:lang w:val="en-US" w:eastAsia="zh-CN"/>
                <w14:textFill>
                  <w14:solidFill>
                    <w14:schemeClr w14:val="tx1"/>
                  </w14:solidFill>
                </w14:textFill>
              </w:rPr>
              <w:t>本项目位于土壤环境一般管控区。根据土壤环境分区一般管控区要求：禁止在居民区、学校、医疗和养老机构等周边新建有色金属冶炼、焦化等行业企业。排放重点污染物的建设项目，在开展环境影响评价时，要增加对土壤环境影响的评价内容，并提出防范土壤污染的具体措施；需要建设的土壤污染防治设施，要与主体工程同时设计、同时施工、同时投产使用。</w:t>
            </w:r>
            <w:r>
              <w:rPr>
                <w:rFonts w:hint="default" w:ascii="Times New Roman" w:hAnsi="Times New Roman" w:cs="Times New Roman"/>
                <w:color w:val="000000" w:themeColor="text1"/>
                <w:kern w:val="0"/>
                <w:sz w:val="24"/>
                <w:szCs w:val="32"/>
                <w14:textFill>
                  <w14:solidFill>
                    <w14:schemeClr w14:val="tx1"/>
                  </w14:solidFill>
                </w14:textFill>
              </w:rPr>
              <w:t>本项目</w:t>
            </w:r>
            <w:r>
              <w:rPr>
                <w:rFonts w:hint="default" w:ascii="Times New Roman" w:hAnsi="Times New Roman" w:cs="Times New Roman"/>
                <w:color w:val="000000" w:themeColor="text1"/>
                <w:kern w:val="0"/>
                <w:sz w:val="24"/>
                <w:szCs w:val="32"/>
                <w:lang w:val="en-US" w:eastAsia="zh-CN"/>
                <w14:textFill>
                  <w14:solidFill>
                    <w14:schemeClr w14:val="tx1"/>
                  </w14:solidFill>
                </w14:textFill>
              </w:rPr>
              <w:t>不属于</w:t>
            </w:r>
            <w:r>
              <w:rPr>
                <w:rFonts w:hint="default" w:ascii="Times New Roman" w:hAnsi="Times New Roman" w:cs="Times New Roman"/>
                <w:color w:val="000000" w:themeColor="text1"/>
                <w:kern w:val="0"/>
                <w:sz w:val="24"/>
                <w:szCs w:val="32"/>
                <w14:textFill>
                  <w14:solidFill>
                    <w14:schemeClr w14:val="tx1"/>
                  </w14:solidFill>
                </w14:textFill>
              </w:rPr>
              <w:t>有色金属冶炼、焦化等行业企业</w:t>
            </w:r>
            <w:r>
              <w:rPr>
                <w:rFonts w:hint="default" w:ascii="Times New Roman" w:hAnsi="Times New Roman" w:cs="Times New Roman"/>
                <w:color w:val="000000" w:themeColor="text1"/>
                <w:kern w:val="0"/>
                <w:sz w:val="24"/>
                <w:szCs w:val="32"/>
                <w:lang w:eastAsia="zh-CN"/>
                <w14:textFill>
                  <w14:solidFill>
                    <w14:schemeClr w14:val="tx1"/>
                  </w14:solidFill>
                </w14:textFill>
              </w:rPr>
              <w:t>，</w:t>
            </w:r>
            <w:r>
              <w:rPr>
                <w:rFonts w:hint="default" w:ascii="Times New Roman" w:hAnsi="Times New Roman" w:cs="Times New Roman"/>
                <w:color w:val="000000" w:themeColor="text1"/>
                <w:kern w:val="0"/>
                <w:sz w:val="24"/>
                <w:szCs w:val="32"/>
                <w14:textFill>
                  <w14:solidFill>
                    <w14:schemeClr w14:val="tx1"/>
                  </w14:solidFill>
                </w14:textFill>
              </w:rPr>
              <w:t>不</w:t>
            </w:r>
            <w:r>
              <w:rPr>
                <w:rFonts w:hint="default" w:ascii="Times New Roman" w:hAnsi="Times New Roman" w:cs="Times New Roman"/>
                <w:color w:val="000000" w:themeColor="text1"/>
                <w:kern w:val="0"/>
                <w:sz w:val="24"/>
                <w:szCs w:val="32"/>
                <w:highlight w:val="none"/>
                <w14:textFill>
                  <w14:solidFill>
                    <w14:schemeClr w14:val="tx1"/>
                  </w14:solidFill>
                </w14:textFill>
              </w:rPr>
              <w:t>排放土壤重点污染物，符</w:t>
            </w:r>
            <w:r>
              <w:rPr>
                <w:rFonts w:hint="default" w:ascii="Times New Roman" w:hAnsi="Times New Roman" w:cs="Times New Roman"/>
                <w:color w:val="000000" w:themeColor="text1"/>
                <w:kern w:val="0"/>
                <w:sz w:val="24"/>
                <w:szCs w:val="32"/>
                <w14:textFill>
                  <w14:solidFill>
                    <w14:schemeClr w14:val="tx1"/>
                  </w14:solidFill>
                </w14:textFill>
              </w:rPr>
              <w:t>合土壤环境一般管控区要求。</w:t>
            </w:r>
          </w:p>
          <w:p w14:paraId="37ED074D">
            <w:pPr>
              <w:spacing w:line="360" w:lineRule="auto"/>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综上分析，</w:t>
            </w:r>
            <w:r>
              <w:rPr>
                <w:rFonts w:hint="default" w:ascii="Times New Roman" w:hAnsi="Times New Roman" w:cs="Times New Roman"/>
                <w:color w:val="000000" w:themeColor="text1"/>
                <w:highlight w:val="none"/>
                <w14:textFill>
                  <w14:solidFill>
                    <w14:schemeClr w14:val="tx1"/>
                  </w14:solidFill>
                </w14:textFill>
              </w:rPr>
              <w:t>本项目为</w:t>
            </w:r>
            <w:r>
              <w:rPr>
                <w:rFonts w:hint="default" w:ascii="Times New Roman" w:hAnsi="Times New Roman" w:cs="Times New Roman"/>
                <w:color w:val="000000" w:themeColor="text1"/>
                <w:highlight w:val="none"/>
                <w:lang w:val="en-US" w:eastAsia="zh-CN"/>
                <w14:textFill>
                  <w14:solidFill>
                    <w14:schemeClr w14:val="tx1"/>
                  </w14:solidFill>
                </w14:textFill>
              </w:rPr>
              <w:t>房地产建设</w:t>
            </w:r>
            <w:r>
              <w:rPr>
                <w:rFonts w:hint="default" w:ascii="Times New Roman" w:hAnsi="Times New Roman" w:cs="Times New Roman"/>
                <w:color w:val="000000" w:themeColor="text1"/>
                <w:highlight w:val="none"/>
                <w:lang w:eastAsia="zh-CN"/>
                <w14:textFill>
                  <w14:solidFill>
                    <w14:schemeClr w14:val="tx1"/>
                  </w14:solidFill>
                </w14:textFill>
              </w:rPr>
              <w:t>项目</w:t>
            </w:r>
            <w:r>
              <w:rPr>
                <w:rFonts w:hint="default" w:ascii="Times New Roman" w:hAnsi="Times New Roman" w:cs="Times New Roman"/>
                <w:color w:val="000000" w:themeColor="text1"/>
                <w:highlight w:val="none"/>
                <w14:textFill>
                  <w14:solidFill>
                    <w14:schemeClr w14:val="tx1"/>
                  </w14:solidFill>
                </w14:textFill>
              </w:rPr>
              <w:t>，施工过程产生的废气、废水、固废、噪声采取有效措施后，不会对周边环境造成影响，项目运营后</w:t>
            </w:r>
            <w:r>
              <w:rPr>
                <w:rFonts w:hint="default" w:ascii="Times New Roman" w:hAnsi="Times New Roman" w:cs="Times New Roman"/>
                <w:color w:val="000000" w:themeColor="text1"/>
                <w:highlight w:val="none"/>
                <w:lang w:val="en-US" w:eastAsia="zh-CN"/>
                <w14:textFill>
                  <w14:solidFill>
                    <w14:schemeClr w14:val="tx1"/>
                  </w14:solidFill>
                </w14:textFill>
              </w:rPr>
              <w:t>产生的污染物经治理后，不会对周边环境造成不利影响</w:t>
            </w:r>
            <w:r>
              <w:rPr>
                <w:rFonts w:hint="default" w:ascii="Times New Roman" w:hAnsi="Times New Roman" w:cs="Times New Roman"/>
                <w:color w:val="000000" w:themeColor="text1"/>
                <w:highlight w:val="none"/>
                <w14:textFill>
                  <w14:solidFill>
                    <w14:schemeClr w14:val="tx1"/>
                  </w14:solidFill>
                </w14:textFill>
              </w:rPr>
              <w:t>。综上，项目符合环境质量底线要求。</w:t>
            </w:r>
          </w:p>
          <w:p w14:paraId="20DFD7C2">
            <w:pPr>
              <w:autoSpaceDE w:val="0"/>
              <w:autoSpaceDN w:val="0"/>
              <w:adjustRightInd w:val="0"/>
              <w:snapToGrid w:val="0"/>
              <w:spacing w:line="360" w:lineRule="auto"/>
              <w:ind w:firstLine="482"/>
              <w:jc w:val="left"/>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b/>
                <w:bCs/>
                <w:color w:val="000000" w:themeColor="text1"/>
                <w:kern w:val="0"/>
                <w:lang w:val="en-US" w:eastAsia="zh-CN"/>
                <w14:textFill>
                  <w14:solidFill>
                    <w14:schemeClr w14:val="tx1"/>
                  </w14:solidFill>
                </w14:textFill>
              </w:rPr>
              <w:t>5</w:t>
            </w:r>
            <w:r>
              <w:rPr>
                <w:rFonts w:hint="default" w:ascii="Times New Roman" w:hAnsi="Times New Roman" w:cs="Times New Roman"/>
                <w:b/>
                <w:bCs/>
                <w:color w:val="000000" w:themeColor="text1"/>
                <w:kern w:val="0"/>
                <w14:textFill>
                  <w14:solidFill>
                    <w14:schemeClr w14:val="tx1"/>
                  </w14:solidFill>
                </w14:textFill>
              </w:rPr>
              <w:t>.</w:t>
            </w:r>
            <w:r>
              <w:rPr>
                <w:rFonts w:hint="default" w:ascii="Times New Roman" w:hAnsi="Times New Roman" w:cs="Times New Roman"/>
                <w:b/>
                <w:bCs/>
                <w:color w:val="000000" w:themeColor="text1"/>
                <w:kern w:val="0"/>
                <w:lang w:val="en-US" w:eastAsia="zh-CN"/>
                <w14:textFill>
                  <w14:solidFill>
                    <w14:schemeClr w14:val="tx1"/>
                  </w14:solidFill>
                </w14:textFill>
              </w:rPr>
              <w:t xml:space="preserve">3 </w:t>
            </w:r>
            <w:r>
              <w:rPr>
                <w:rFonts w:hint="default" w:ascii="Times New Roman" w:hAnsi="Times New Roman" w:cs="Times New Roman"/>
                <w:b/>
                <w:bCs/>
                <w:color w:val="000000" w:themeColor="text1"/>
                <w:kern w:val="0"/>
                <w14:textFill>
                  <w14:solidFill>
                    <w14:schemeClr w14:val="tx1"/>
                  </w14:solidFill>
                </w14:textFill>
              </w:rPr>
              <w:t>资源利用上线及分区管控</w:t>
            </w:r>
          </w:p>
          <w:p w14:paraId="221A375E">
            <w:pPr>
              <w:autoSpaceDE w:val="0"/>
              <w:autoSpaceDN w:val="0"/>
              <w:adjustRightInd w:val="0"/>
              <w:snapToGrid w:val="0"/>
              <w:spacing w:line="360" w:lineRule="auto"/>
              <w:ind w:firstLine="480"/>
              <w:jc w:val="lef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kern w:val="0"/>
                <w:highlight w:val="none"/>
                <w14:textFill>
                  <w14:solidFill>
                    <w14:schemeClr w14:val="tx1"/>
                  </w14:solidFill>
                </w14:textFill>
              </w:rPr>
              <w:t>本项目</w:t>
            </w:r>
            <w:r>
              <w:rPr>
                <w:rFonts w:hint="default" w:ascii="Times New Roman" w:hAnsi="Times New Roman" w:cs="Times New Roman"/>
                <w:color w:val="000000" w:themeColor="text1"/>
                <w:kern w:val="0"/>
                <w:highlight w:val="none"/>
                <w:lang w:val="en-US" w:eastAsia="zh-CN"/>
                <w14:textFill>
                  <w14:solidFill>
                    <w14:schemeClr w14:val="tx1"/>
                  </w14:solidFill>
                </w14:textFill>
              </w:rPr>
              <w:t>属于房地产业，</w:t>
            </w:r>
            <w:r>
              <w:rPr>
                <w:rFonts w:hint="default" w:ascii="Times New Roman" w:hAnsi="Times New Roman" w:cs="Times New Roman"/>
                <w:color w:val="000000" w:themeColor="text1"/>
                <w:kern w:val="0"/>
                <w:highlight w:val="none"/>
                <w14:textFill>
                  <w14:solidFill>
                    <w14:schemeClr w14:val="tx1"/>
                  </w14:solidFill>
                </w14:textFill>
              </w:rPr>
              <w:t>建设</w:t>
            </w:r>
            <w:r>
              <w:rPr>
                <w:rFonts w:hint="default" w:ascii="Times New Roman" w:hAnsi="Times New Roman" w:cs="Times New Roman"/>
                <w:color w:val="000000" w:themeColor="text1"/>
                <w:kern w:val="0"/>
                <w:highlight w:val="none"/>
                <w:lang w:val="en-US" w:eastAsia="zh-CN"/>
                <w14:textFill>
                  <w14:solidFill>
                    <w14:schemeClr w14:val="tx1"/>
                  </w14:solidFill>
                </w14:textFill>
              </w:rPr>
              <w:t>和运营</w:t>
            </w:r>
            <w:r>
              <w:rPr>
                <w:rFonts w:hint="default" w:ascii="Times New Roman" w:hAnsi="Times New Roman" w:cs="Times New Roman"/>
                <w:color w:val="000000" w:themeColor="text1"/>
                <w:kern w:val="0"/>
                <w:highlight w:val="none"/>
                <w14:textFill>
                  <w14:solidFill>
                    <w14:schemeClr w14:val="tx1"/>
                  </w14:solidFill>
                </w14:textFill>
              </w:rPr>
              <w:t>过程中</w:t>
            </w:r>
            <w:r>
              <w:rPr>
                <w:rFonts w:hint="default" w:ascii="Times New Roman" w:hAnsi="Times New Roman" w:cs="Times New Roman"/>
                <w:color w:val="000000" w:themeColor="text1"/>
                <w:kern w:val="0"/>
                <w:highlight w:val="none"/>
                <w:lang w:val="en-US" w:eastAsia="zh-CN"/>
                <w14:textFill>
                  <w14:solidFill>
                    <w14:schemeClr w14:val="tx1"/>
                  </w14:solidFill>
                </w14:textFill>
              </w:rPr>
              <w:t>会</w:t>
            </w:r>
            <w:r>
              <w:rPr>
                <w:rFonts w:hint="default" w:ascii="Times New Roman" w:hAnsi="Times New Roman" w:cs="Times New Roman"/>
                <w:color w:val="000000" w:themeColor="text1"/>
                <w:kern w:val="0"/>
                <w:highlight w:val="none"/>
                <w14:textFill>
                  <w14:solidFill>
                    <w14:schemeClr w14:val="tx1"/>
                  </w14:solidFill>
                </w14:textFill>
              </w:rPr>
              <w:t>消耗一定的</w:t>
            </w:r>
            <w:r>
              <w:rPr>
                <w:rFonts w:hint="default" w:ascii="Times New Roman" w:hAnsi="Times New Roman" w:cs="Times New Roman"/>
                <w:color w:val="000000" w:themeColor="text1"/>
                <w:kern w:val="0"/>
                <w:highlight w:val="none"/>
                <w:lang w:val="en-US" w:eastAsia="zh-CN"/>
                <w14:textFill>
                  <w14:solidFill>
                    <w14:schemeClr w14:val="tx1"/>
                  </w14:solidFill>
                </w14:textFill>
              </w:rPr>
              <w:t>水、电</w:t>
            </w:r>
            <w:r>
              <w:rPr>
                <w:rFonts w:hint="default" w:ascii="Times New Roman" w:hAnsi="Times New Roman" w:cs="Times New Roman"/>
                <w:color w:val="000000" w:themeColor="text1"/>
                <w:kern w:val="0"/>
                <w:highlight w:val="none"/>
                <w:lang w:eastAsia="zh-CN"/>
                <w14:textFill>
                  <w14:solidFill>
                    <w14:schemeClr w14:val="tx1"/>
                  </w14:solidFill>
                </w14:textFill>
              </w:rPr>
              <w:t>。</w:t>
            </w:r>
            <w:r>
              <w:rPr>
                <w:rFonts w:hint="default" w:ascii="Times New Roman" w:hAnsi="Times New Roman" w:cs="Times New Roman"/>
                <w:color w:val="000000" w:themeColor="text1"/>
                <w:kern w:val="0"/>
                <w:highlight w:val="none"/>
                <w:lang w:val="en-US" w:eastAsia="zh-CN"/>
                <w14:textFill>
                  <w14:solidFill>
                    <w14:schemeClr w14:val="tx1"/>
                  </w14:solidFill>
                </w14:textFill>
              </w:rPr>
              <w:t>项目用水由当地市政管网供给，用电由当地供电所提供，项目的建设运营在区域资源利用上线的承受范围之内，符合区域资源利用上线的要求。</w:t>
            </w:r>
          </w:p>
          <w:p w14:paraId="5E9E9D55">
            <w:pPr>
              <w:autoSpaceDE w:val="0"/>
              <w:autoSpaceDN w:val="0"/>
              <w:adjustRightInd w:val="0"/>
              <w:snapToGrid w:val="0"/>
              <w:spacing w:line="360" w:lineRule="auto"/>
              <w:ind w:firstLine="482"/>
              <w:jc w:val="left"/>
              <w:rPr>
                <w:rFonts w:hint="default" w:ascii="Times New Roman" w:hAnsi="Times New Roman" w:cs="Times New Roman"/>
                <w:b/>
                <w:bCs/>
                <w:color w:val="000000" w:themeColor="text1"/>
                <w:kern w:val="0"/>
                <w14:textFill>
                  <w14:solidFill>
                    <w14:schemeClr w14:val="tx1"/>
                  </w14:solidFill>
                </w14:textFill>
              </w:rPr>
            </w:pPr>
            <w:r>
              <w:rPr>
                <w:rFonts w:hint="default" w:ascii="Times New Roman" w:hAnsi="Times New Roman" w:cs="Times New Roman"/>
                <w:b/>
                <w:bCs/>
                <w:color w:val="000000" w:themeColor="text1"/>
                <w:kern w:val="0"/>
                <w:lang w:val="en-US" w:eastAsia="zh-CN"/>
                <w14:textFill>
                  <w14:solidFill>
                    <w14:schemeClr w14:val="tx1"/>
                  </w14:solidFill>
                </w14:textFill>
              </w:rPr>
              <w:t>5</w:t>
            </w:r>
            <w:r>
              <w:rPr>
                <w:rFonts w:hint="default" w:ascii="Times New Roman" w:hAnsi="Times New Roman" w:cs="Times New Roman"/>
                <w:b/>
                <w:bCs/>
                <w:color w:val="000000" w:themeColor="text1"/>
                <w:kern w:val="0"/>
                <w14:textFill>
                  <w14:solidFill>
                    <w14:schemeClr w14:val="tx1"/>
                  </w14:solidFill>
                </w14:textFill>
              </w:rPr>
              <w:t>.4</w:t>
            </w:r>
            <w:r>
              <w:rPr>
                <w:rFonts w:hint="default" w:ascii="Times New Roman" w:hAnsi="Times New Roman" w:cs="Times New Roman"/>
                <w:b/>
                <w:bCs/>
                <w:color w:val="000000" w:themeColor="text1"/>
                <w:kern w:val="0"/>
                <w:lang w:val="en-US" w:eastAsia="zh-CN"/>
                <w14:textFill>
                  <w14:solidFill>
                    <w14:schemeClr w14:val="tx1"/>
                  </w14:solidFill>
                </w14:textFill>
              </w:rPr>
              <w:t xml:space="preserve"> </w:t>
            </w:r>
            <w:r>
              <w:rPr>
                <w:rFonts w:hint="default" w:ascii="Times New Roman" w:hAnsi="Times New Roman" w:cs="Times New Roman"/>
                <w:b/>
                <w:bCs/>
                <w:color w:val="000000" w:themeColor="text1"/>
                <w:kern w:val="0"/>
                <w14:textFill>
                  <w14:solidFill>
                    <w14:schemeClr w14:val="tx1"/>
                  </w14:solidFill>
                </w14:textFill>
              </w:rPr>
              <w:t>环境管控单元与准入清单</w:t>
            </w:r>
          </w:p>
          <w:p w14:paraId="550AA263">
            <w:pPr>
              <w:adjustRightInd w:val="0"/>
              <w:spacing w:line="360" w:lineRule="auto"/>
              <w:ind w:firstLine="480" w:firstLineChars="200"/>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对照固原市环境管控单元分布与本项目位置关</w:t>
            </w: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系图（附图5），本项目所在位置属于优先保护单</w:t>
            </w:r>
            <w:r>
              <w:rPr>
                <w:rFonts w:hint="default" w:ascii="Times New Roman" w:hAnsi="Times New Roman" w:eastAsia="宋体" w:cs="Times New Roman"/>
                <w:color w:val="000000" w:themeColor="text1"/>
                <w:kern w:val="0"/>
                <w:highlight w:val="none"/>
                <w:lang w:val="en-US" w:eastAsia="zh-CN"/>
                <w14:textFill>
                  <w14:solidFill>
                    <w14:schemeClr w14:val="tx1"/>
                  </w14:solidFill>
                </w14:textFill>
              </w:rPr>
              <w:t>元。</w:t>
            </w:r>
            <w:r>
              <w:rPr>
                <w:rFonts w:hint="default" w:ascii="Times New Roman" w:hAnsi="Times New Roman" w:eastAsia="宋体" w:cs="Times New Roman"/>
                <w:color w:val="000000" w:themeColor="text1"/>
                <w:kern w:val="0"/>
                <w14:textFill>
                  <w14:solidFill>
                    <w14:schemeClr w14:val="tx1"/>
                  </w14:solidFill>
                </w14:textFill>
              </w:rPr>
              <w:t>优先保护单元以严格保护生态环境、严格限制产业发展为导向，禁止或限制大规模的工业开发和城镇建设。</w:t>
            </w:r>
          </w:p>
          <w:p w14:paraId="638DC1AB">
            <w:pPr>
              <w:pStyle w:val="18"/>
              <w:ind w:firstLine="48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对照本项目位置</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和</w:t>
            </w:r>
            <w:r>
              <w:rPr>
                <w:rFonts w:hint="default" w:ascii="Times New Roman" w:hAnsi="Times New Roman" w:cs="Times New Roman"/>
                <w:color w:val="000000" w:themeColor="text1"/>
                <w:sz w:val="24"/>
                <w:szCs w:val="24"/>
                <w:highlight w:val="none"/>
                <w:lang w:eastAsia="zh-CN"/>
                <w14:textFill>
                  <w14:solidFill>
                    <w14:schemeClr w14:val="tx1"/>
                  </w14:solidFill>
                </w14:textFill>
              </w:rPr>
              <w:t>《固原</w:t>
            </w:r>
            <w:r>
              <w:rPr>
                <w:rFonts w:hint="default" w:ascii="Times New Roman" w:hAnsi="Times New Roman" w:cs="Times New Roman"/>
                <w:color w:val="000000" w:themeColor="text1"/>
                <w:sz w:val="24"/>
                <w:szCs w:val="24"/>
                <w:highlight w:val="none"/>
                <w14:textFill>
                  <w14:solidFill>
                    <w14:schemeClr w14:val="tx1"/>
                  </w14:solidFill>
                </w14:textFill>
              </w:rPr>
              <w:t>市</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生态环境总体准入要求》《固原市环境管控单元生态环境准入清单》</w:t>
            </w:r>
            <w:r>
              <w:rPr>
                <w:rFonts w:hint="default" w:ascii="Times New Roman" w:hAnsi="Times New Roman" w:cs="Times New Roman"/>
                <w:color w:val="000000" w:themeColor="text1"/>
                <w:sz w:val="24"/>
                <w:szCs w:val="24"/>
                <w:highlight w:val="none"/>
                <w:lang w:eastAsia="zh-CN"/>
                <w14:textFill>
                  <w14:solidFill>
                    <w14:schemeClr w14:val="tx1"/>
                  </w14:solidFill>
                </w14:textFill>
              </w:rPr>
              <w:t>及</w:t>
            </w:r>
            <w:r>
              <w:rPr>
                <w:rFonts w:hint="default" w:ascii="Times New Roman" w:hAnsi="Times New Roman" w:cs="Times New Roman"/>
                <w:color w:val="000000" w:themeColor="text1"/>
                <w:sz w:val="24"/>
                <w:highlight w:val="none"/>
                <w:lang w:eastAsia="zh-CN"/>
                <w14:textFill>
                  <w14:solidFill>
                    <w14:schemeClr w14:val="tx1"/>
                  </w14:solidFill>
                </w14:textFill>
              </w:rPr>
              <w:t>《泾源县国家重点生态功能区产业准入负面清单（试行版）》</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本项目与固原</w:t>
            </w:r>
            <w:r>
              <w:rPr>
                <w:rFonts w:hint="default" w:ascii="Times New Roman" w:hAnsi="Times New Roman" w:cs="Times New Roman"/>
                <w:bCs/>
                <w:color w:val="000000" w:themeColor="text1"/>
                <w:sz w:val="24"/>
                <w14:textFill>
                  <w14:solidFill>
                    <w14:schemeClr w14:val="tx1"/>
                  </w14:solidFill>
                </w14:textFill>
              </w:rPr>
              <w:t>市</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lang w:val="en-US" w:eastAsia="zh-CN"/>
                <w14:textFill>
                  <w14:solidFill>
                    <w14:schemeClr w14:val="tx1"/>
                  </w14:solidFill>
                </w14:textFill>
              </w:rPr>
              <w:t>泾源县</w:t>
            </w:r>
            <w:r>
              <w:rPr>
                <w:rFonts w:hint="default" w:ascii="Times New Roman" w:hAnsi="Times New Roman" w:cs="Times New Roman"/>
                <w:bCs/>
                <w:color w:val="000000" w:themeColor="text1"/>
                <w:sz w:val="24"/>
                <w14:textFill>
                  <w14:solidFill>
                    <w14:schemeClr w14:val="tx1"/>
                  </w14:solidFill>
                </w14:textFill>
              </w:rPr>
              <w:t>环境管控中的相关要求符合性分析见表1-</w:t>
            </w:r>
            <w:r>
              <w:rPr>
                <w:rFonts w:hint="eastAsia" w:cs="Times New Roman"/>
                <w:bCs/>
                <w:color w:val="000000" w:themeColor="text1"/>
                <w:sz w:val="24"/>
                <w:lang w:val="en-US" w:eastAsia="zh-CN"/>
                <w14:textFill>
                  <w14:solidFill>
                    <w14:schemeClr w14:val="tx1"/>
                  </w14:solidFill>
                </w14:textFill>
              </w:rPr>
              <w:t>2</w:t>
            </w:r>
            <w:r>
              <w:rPr>
                <w:rFonts w:hint="default" w:ascii="Times New Roman" w:hAnsi="Times New Roman" w:cs="Times New Roman"/>
                <w:bCs/>
                <w:color w:val="000000" w:themeColor="text1"/>
                <w:sz w:val="24"/>
                <w:lang w:val="en-US" w:eastAsia="zh-CN"/>
                <w14:textFill>
                  <w14:solidFill>
                    <w14:schemeClr w14:val="tx1"/>
                  </w14:solidFill>
                </w14:textFill>
              </w:rPr>
              <w:t>、表1-</w:t>
            </w:r>
            <w:r>
              <w:rPr>
                <w:rFonts w:hint="eastAsia" w:cs="Times New Roman"/>
                <w:bCs/>
                <w:color w:val="000000" w:themeColor="text1"/>
                <w:sz w:val="24"/>
                <w:lang w:val="en-US" w:eastAsia="zh-CN"/>
                <w14:textFill>
                  <w14:solidFill>
                    <w14:schemeClr w14:val="tx1"/>
                  </w14:solidFill>
                </w14:textFill>
              </w:rPr>
              <w:t>3</w:t>
            </w:r>
            <w:r>
              <w:rPr>
                <w:rFonts w:hint="default" w:ascii="Times New Roman" w:hAnsi="Times New Roman" w:cs="Times New Roman"/>
                <w:bCs/>
                <w:color w:val="000000" w:themeColor="text1"/>
                <w:sz w:val="24"/>
                <w14:textFill>
                  <w14:solidFill>
                    <w14:schemeClr w14:val="tx1"/>
                  </w14:solidFill>
                </w14:textFill>
              </w:rPr>
              <w:t>。</w:t>
            </w:r>
          </w:p>
          <w:p w14:paraId="408EE7F8">
            <w:pPr>
              <w:pStyle w:val="63"/>
              <w:spacing w:line="240" w:lineRule="auto"/>
              <w:ind w:firstLine="0" w:firstLineChars="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表1-</w:t>
            </w:r>
            <w:r>
              <w:rPr>
                <w:rFonts w:hint="eastAsia"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 xml:space="preserve">  固原市生态环境总体准入要求</w:t>
            </w:r>
          </w:p>
          <w:tbl>
            <w:tblPr>
              <w:tblStyle w:val="27"/>
              <w:tblW w:w="703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50"/>
              <w:gridCol w:w="1132"/>
              <w:gridCol w:w="3690"/>
              <w:gridCol w:w="1867"/>
            </w:tblGrid>
            <w:tr w14:paraId="0A47D1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482" w:type="dxa"/>
                  <w:gridSpan w:val="2"/>
                  <w:tcBorders>
                    <w:tl2br w:val="nil"/>
                    <w:tr2bl w:val="nil"/>
                  </w:tcBorders>
                  <w:noWrap w:val="0"/>
                  <w:vAlign w:val="center"/>
                </w:tcPr>
                <w:p w14:paraId="42F87B91">
                  <w:pPr>
                    <w:adjustRightInd w:val="0"/>
                    <w:snapToGrid w:val="0"/>
                    <w:spacing w:line="0" w:lineRule="atLeast"/>
                    <w:ind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管控维度</w:t>
                  </w:r>
                </w:p>
              </w:tc>
              <w:tc>
                <w:tcPr>
                  <w:tcW w:w="3690" w:type="dxa"/>
                  <w:tcBorders>
                    <w:tl2br w:val="nil"/>
                    <w:tr2bl w:val="nil"/>
                  </w:tcBorders>
                  <w:noWrap w:val="0"/>
                  <w:vAlign w:val="center"/>
                </w:tcPr>
                <w:p w14:paraId="3A35E892">
                  <w:pPr>
                    <w:adjustRightInd w:val="0"/>
                    <w:snapToGrid w:val="0"/>
                    <w:spacing w:line="0" w:lineRule="atLeast"/>
                    <w:ind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准入要求</w:t>
                  </w:r>
                </w:p>
              </w:tc>
              <w:tc>
                <w:tcPr>
                  <w:tcW w:w="1867" w:type="dxa"/>
                  <w:tcBorders>
                    <w:tl2br w:val="nil"/>
                    <w:tr2bl w:val="nil"/>
                  </w:tcBorders>
                  <w:noWrap w:val="0"/>
                  <w:vAlign w:val="center"/>
                </w:tcPr>
                <w:p w14:paraId="5CD89595">
                  <w:pPr>
                    <w:adjustRightInd w:val="0"/>
                    <w:snapToGrid w:val="0"/>
                    <w:spacing w:line="0" w:lineRule="atLeast"/>
                    <w:ind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符合性分析</w:t>
                  </w:r>
                </w:p>
              </w:tc>
            </w:tr>
            <w:tr w14:paraId="64CAC7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350" w:type="dxa"/>
                  <w:vMerge w:val="restart"/>
                  <w:tcBorders>
                    <w:tl2br w:val="nil"/>
                    <w:tr2bl w:val="nil"/>
                  </w:tcBorders>
                  <w:noWrap w:val="0"/>
                  <w:vAlign w:val="center"/>
                </w:tcPr>
                <w:p w14:paraId="53F7DBC6">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1</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空间布局约束</w:t>
                  </w:r>
                </w:p>
              </w:tc>
              <w:tc>
                <w:tcPr>
                  <w:tcW w:w="1132" w:type="dxa"/>
                  <w:vMerge w:val="restart"/>
                  <w:tcBorders>
                    <w:tl2br w:val="nil"/>
                    <w:tr2bl w:val="nil"/>
                  </w:tcBorders>
                  <w:noWrap w:val="0"/>
                  <w:vAlign w:val="center"/>
                </w:tcPr>
                <w:p w14:paraId="06FF3BC1">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A1.1</w:t>
                  </w:r>
                </w:p>
                <w:p w14:paraId="0CCC73B9">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禁止开发建设活动的要求</w:t>
                  </w:r>
                </w:p>
              </w:tc>
              <w:tc>
                <w:tcPr>
                  <w:tcW w:w="3690" w:type="dxa"/>
                  <w:tcBorders>
                    <w:tl2br w:val="nil"/>
                    <w:tr2bl w:val="nil"/>
                  </w:tcBorders>
                  <w:noWrap w:val="0"/>
                  <w:vAlign w:val="center"/>
                </w:tcPr>
                <w:p w14:paraId="21EF1800">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严禁产能过剩行业新增产能，各开发区主导产业产值占比达到60%以上，严防发达地区淘汰退出的高污染企业落户固原。</w:t>
                  </w:r>
                </w:p>
              </w:tc>
              <w:tc>
                <w:tcPr>
                  <w:tcW w:w="1867" w:type="dxa"/>
                  <w:tcBorders>
                    <w:tl2br w:val="nil"/>
                    <w:tr2bl w:val="nil"/>
                  </w:tcBorders>
                  <w:noWrap w:val="0"/>
                  <w:vAlign w:val="center"/>
                </w:tcPr>
                <w:p w14:paraId="179C73DF">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本项目不涉及</w:t>
                  </w:r>
                </w:p>
              </w:tc>
            </w:tr>
            <w:tr w14:paraId="0E1491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350" w:type="dxa"/>
                  <w:vMerge w:val="continue"/>
                  <w:tcBorders>
                    <w:tl2br w:val="nil"/>
                    <w:tr2bl w:val="nil"/>
                  </w:tcBorders>
                  <w:noWrap w:val="0"/>
                  <w:vAlign w:val="center"/>
                </w:tcPr>
                <w:p w14:paraId="721F1D79">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132" w:type="dxa"/>
                  <w:vMerge w:val="continue"/>
                  <w:tcBorders>
                    <w:tl2br w:val="nil"/>
                    <w:tr2bl w:val="nil"/>
                  </w:tcBorders>
                  <w:noWrap w:val="0"/>
                  <w:vAlign w:val="center"/>
                </w:tcPr>
                <w:p w14:paraId="01659381">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3690" w:type="dxa"/>
                  <w:tcBorders>
                    <w:tl2br w:val="nil"/>
                    <w:tr2bl w:val="nil"/>
                  </w:tcBorders>
                  <w:noWrap w:val="0"/>
                  <w:vAlign w:val="center"/>
                </w:tcPr>
                <w:p w14:paraId="1206D022">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严禁在</w:t>
                  </w:r>
                  <w:r>
                    <w:rPr>
                      <w:rFonts w:hint="eastAsia" w:cs="Times New Roman"/>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七河</w:t>
                  </w:r>
                  <w:r>
                    <w:rPr>
                      <w:rFonts w:hint="eastAsia" w:cs="Times New Roman"/>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及其重点支流临岸1公里范围内新建</w:t>
                  </w:r>
                  <w:r>
                    <w:rPr>
                      <w:rFonts w:hint="eastAsia" w:cs="Times New Roman"/>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两高一资</w:t>
                  </w:r>
                  <w:r>
                    <w:rPr>
                      <w:rFonts w:hint="eastAsia" w:cs="Times New Roman"/>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项目及相关产业园区。</w:t>
                  </w:r>
                </w:p>
              </w:tc>
              <w:tc>
                <w:tcPr>
                  <w:tcW w:w="1867" w:type="dxa"/>
                  <w:tcBorders>
                    <w:tl2br w:val="nil"/>
                    <w:tr2bl w:val="nil"/>
                  </w:tcBorders>
                  <w:noWrap w:val="0"/>
                  <w:vAlign w:val="center"/>
                </w:tcPr>
                <w:p w14:paraId="6C01D651">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本项目不属于</w:t>
                  </w:r>
                  <w:r>
                    <w:rPr>
                      <w:rFonts w:hint="eastAsia" w:cs="Times New Roman"/>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两高一资</w:t>
                  </w:r>
                  <w:r>
                    <w:rPr>
                      <w:rFonts w:hint="eastAsia" w:cs="Times New Roman"/>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项目</w:t>
                  </w:r>
                </w:p>
              </w:tc>
            </w:tr>
            <w:tr w14:paraId="356B9A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350" w:type="dxa"/>
                  <w:vMerge w:val="continue"/>
                  <w:tcBorders>
                    <w:tl2br w:val="nil"/>
                    <w:tr2bl w:val="nil"/>
                  </w:tcBorders>
                  <w:noWrap w:val="0"/>
                  <w:vAlign w:val="center"/>
                </w:tcPr>
                <w:p w14:paraId="28D650BE">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1132" w:type="dxa"/>
                  <w:vMerge w:val="continue"/>
                  <w:tcBorders>
                    <w:tl2br w:val="nil"/>
                    <w:tr2bl w:val="nil"/>
                  </w:tcBorders>
                  <w:noWrap w:val="0"/>
                  <w:vAlign w:val="center"/>
                </w:tcPr>
                <w:p w14:paraId="3F916A5B">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3690" w:type="dxa"/>
                  <w:tcBorders>
                    <w:tl2br w:val="nil"/>
                    <w:tr2bl w:val="nil"/>
                  </w:tcBorders>
                  <w:noWrap w:val="0"/>
                  <w:vAlign w:val="center"/>
                </w:tcPr>
                <w:p w14:paraId="37332F2C">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城市建成区一律禁止新建35蒸吨/小时以下燃煤锅炉。</w:t>
                  </w:r>
                </w:p>
              </w:tc>
              <w:tc>
                <w:tcPr>
                  <w:tcW w:w="1867" w:type="dxa"/>
                  <w:tcBorders>
                    <w:tl2br w:val="nil"/>
                    <w:tr2bl w:val="nil"/>
                  </w:tcBorders>
                  <w:noWrap w:val="0"/>
                  <w:vAlign w:val="center"/>
                </w:tcPr>
                <w:p w14:paraId="1E2112AC">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本项目不新增锅炉</w:t>
                  </w:r>
                </w:p>
              </w:tc>
            </w:tr>
            <w:tr w14:paraId="13AAC7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07" w:hRule="atLeast"/>
                <w:jc w:val="center"/>
              </w:trPr>
              <w:tc>
                <w:tcPr>
                  <w:tcW w:w="350" w:type="dxa"/>
                  <w:vMerge w:val="continue"/>
                  <w:tcBorders>
                    <w:tl2br w:val="nil"/>
                    <w:tr2bl w:val="nil"/>
                  </w:tcBorders>
                  <w:noWrap w:val="0"/>
                  <w:vAlign w:val="center"/>
                </w:tcPr>
                <w:p w14:paraId="131DF9C4">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132" w:type="dxa"/>
                  <w:tcBorders>
                    <w:tl2br w:val="nil"/>
                    <w:tr2bl w:val="nil"/>
                  </w:tcBorders>
                  <w:noWrap w:val="0"/>
                  <w:vAlign w:val="center"/>
                </w:tcPr>
                <w:p w14:paraId="74032856">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A1.2</w:t>
                  </w:r>
                </w:p>
                <w:p w14:paraId="71A140EA">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限制开发建设活动的要求</w:t>
                  </w:r>
                </w:p>
              </w:tc>
              <w:tc>
                <w:tcPr>
                  <w:tcW w:w="3690" w:type="dxa"/>
                  <w:tcBorders>
                    <w:tl2br w:val="nil"/>
                    <w:tr2bl w:val="nil"/>
                  </w:tcBorders>
                  <w:noWrap w:val="0"/>
                  <w:vAlign w:val="center"/>
                </w:tcPr>
                <w:p w14:paraId="1F0CEBB0">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严格控制在优先保护类耕地集中区域新建有色金属冶炼、石油化工、化工、焦化、电镀、制革等行业企业。</w:t>
                  </w:r>
                </w:p>
              </w:tc>
              <w:tc>
                <w:tcPr>
                  <w:tcW w:w="1867" w:type="dxa"/>
                  <w:tcBorders>
                    <w:tl2br w:val="nil"/>
                    <w:tr2bl w:val="nil"/>
                  </w:tcBorders>
                  <w:noWrap w:val="0"/>
                  <w:vAlign w:val="center"/>
                </w:tcPr>
                <w:p w14:paraId="028CBC8A">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本项目为房地产业，不属于有色金属冶炼、石油化工、化工、焦化、电镀、制革等行业企业</w:t>
                  </w:r>
                </w:p>
              </w:tc>
            </w:tr>
            <w:tr w14:paraId="160104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350" w:type="dxa"/>
                  <w:vMerge w:val="continue"/>
                  <w:tcBorders>
                    <w:tl2br w:val="nil"/>
                    <w:tr2bl w:val="nil"/>
                  </w:tcBorders>
                  <w:noWrap w:val="0"/>
                  <w:vAlign w:val="center"/>
                </w:tcPr>
                <w:p w14:paraId="0028650D">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132" w:type="dxa"/>
                  <w:vMerge w:val="restart"/>
                  <w:tcBorders>
                    <w:tl2br w:val="nil"/>
                    <w:tr2bl w:val="nil"/>
                  </w:tcBorders>
                  <w:noWrap w:val="0"/>
                  <w:vAlign w:val="center"/>
                </w:tcPr>
                <w:p w14:paraId="69E103E1">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A1.3</w:t>
                  </w:r>
                </w:p>
                <w:p w14:paraId="1108D37F">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不符合空间布局要求活动的退出要求</w:t>
                  </w:r>
                </w:p>
              </w:tc>
              <w:tc>
                <w:tcPr>
                  <w:tcW w:w="3690" w:type="dxa"/>
                  <w:tcBorders>
                    <w:tl2br w:val="nil"/>
                    <w:tr2bl w:val="nil"/>
                  </w:tcBorders>
                  <w:noWrap w:val="0"/>
                  <w:vAlign w:val="center"/>
                </w:tcPr>
                <w:p w14:paraId="54D840F9">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在一定过渡期并给予合理补偿的基础上，依法依规关闭或搬迁禁养区内确需关闭或搬迁的畜禽规模养殖场（园区）。</w:t>
                  </w:r>
                </w:p>
              </w:tc>
              <w:tc>
                <w:tcPr>
                  <w:tcW w:w="1867" w:type="dxa"/>
                  <w:tcBorders>
                    <w:tl2br w:val="nil"/>
                    <w:tr2bl w:val="nil"/>
                  </w:tcBorders>
                  <w:noWrap w:val="0"/>
                  <w:vAlign w:val="center"/>
                </w:tcPr>
                <w:p w14:paraId="0CBFA08D">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本项目不涉及</w:t>
                  </w:r>
                </w:p>
              </w:tc>
            </w:tr>
            <w:tr w14:paraId="0D8E4A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36" w:hRule="atLeast"/>
                <w:jc w:val="center"/>
              </w:trPr>
              <w:tc>
                <w:tcPr>
                  <w:tcW w:w="350" w:type="dxa"/>
                  <w:vMerge w:val="continue"/>
                  <w:tcBorders>
                    <w:tl2br w:val="nil"/>
                    <w:tr2bl w:val="nil"/>
                  </w:tcBorders>
                  <w:noWrap w:val="0"/>
                  <w:vAlign w:val="center"/>
                </w:tcPr>
                <w:p w14:paraId="58C71916">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132" w:type="dxa"/>
                  <w:vMerge w:val="continue"/>
                  <w:tcBorders>
                    <w:tl2br w:val="nil"/>
                    <w:tr2bl w:val="nil"/>
                  </w:tcBorders>
                  <w:noWrap w:val="0"/>
                  <w:vAlign w:val="center"/>
                </w:tcPr>
                <w:p w14:paraId="46EF3C89">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3690" w:type="dxa"/>
                  <w:tcBorders>
                    <w:tl2br w:val="nil"/>
                    <w:tr2bl w:val="nil"/>
                  </w:tcBorders>
                  <w:noWrap w:val="0"/>
                  <w:vAlign w:val="center"/>
                </w:tcPr>
                <w:p w14:paraId="6579E58A">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对违反资源环境法律法规、规划，污染环境、破坏生态、乱采滥挖的露天矿山，依法予以关闭。对污染治理不规范的露天矿山，按照</w:t>
                  </w:r>
                  <w:r>
                    <w:rPr>
                      <w:rFonts w:hint="eastAsia"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一矿一策</w:t>
                  </w:r>
                  <w:r>
                    <w:rPr>
                      <w:rFonts w:hint="eastAsia"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制定整治方案，依法责令停产整治。</w:t>
                  </w:r>
                </w:p>
              </w:tc>
              <w:tc>
                <w:tcPr>
                  <w:tcW w:w="1867" w:type="dxa"/>
                  <w:tcBorders>
                    <w:tl2br w:val="nil"/>
                    <w:tr2bl w:val="nil"/>
                  </w:tcBorders>
                  <w:noWrap w:val="0"/>
                  <w:vAlign w:val="center"/>
                </w:tcPr>
                <w:p w14:paraId="68F14583">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本项目不涉及</w:t>
                  </w:r>
                </w:p>
              </w:tc>
            </w:tr>
            <w:tr w14:paraId="31BAC6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350" w:type="dxa"/>
                  <w:vMerge w:val="continue"/>
                  <w:tcBorders>
                    <w:tl2br w:val="nil"/>
                    <w:tr2bl w:val="nil"/>
                  </w:tcBorders>
                  <w:noWrap w:val="0"/>
                  <w:vAlign w:val="center"/>
                </w:tcPr>
                <w:p w14:paraId="49CCEFC2">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132" w:type="dxa"/>
                  <w:vMerge w:val="continue"/>
                  <w:tcBorders>
                    <w:tl2br w:val="nil"/>
                    <w:tr2bl w:val="nil"/>
                  </w:tcBorders>
                  <w:noWrap w:val="0"/>
                  <w:vAlign w:val="center"/>
                </w:tcPr>
                <w:p w14:paraId="268DCE5C">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p>
              </w:tc>
              <w:tc>
                <w:tcPr>
                  <w:tcW w:w="3690" w:type="dxa"/>
                  <w:tcBorders>
                    <w:tl2br w:val="nil"/>
                    <w:tr2bl w:val="nil"/>
                  </w:tcBorders>
                  <w:noWrap w:val="0"/>
                  <w:vAlign w:val="center"/>
                </w:tcPr>
                <w:p w14:paraId="1D05ED97">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对六盘山水源核心区，坚决退出旅游项目，严禁游客进入。</w:t>
                  </w:r>
                </w:p>
              </w:tc>
              <w:tc>
                <w:tcPr>
                  <w:tcW w:w="1867" w:type="dxa"/>
                  <w:tcBorders>
                    <w:tl2br w:val="nil"/>
                    <w:tr2bl w:val="nil"/>
                  </w:tcBorders>
                  <w:noWrap w:val="0"/>
                  <w:vAlign w:val="center"/>
                </w:tcPr>
                <w:p w14:paraId="0250B447">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本项目</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建设地点不在六盘山水源核心区内</w:t>
                  </w:r>
                </w:p>
              </w:tc>
            </w:tr>
            <w:tr w14:paraId="495717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350" w:type="dxa"/>
                  <w:vMerge w:val="continue"/>
                  <w:tcBorders>
                    <w:tl2br w:val="nil"/>
                    <w:tr2bl w:val="nil"/>
                  </w:tcBorders>
                  <w:noWrap w:val="0"/>
                  <w:vAlign w:val="center"/>
                </w:tcPr>
                <w:p w14:paraId="2C15C4ED">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132" w:type="dxa"/>
                  <w:vMerge w:val="continue"/>
                  <w:tcBorders>
                    <w:tl2br w:val="nil"/>
                    <w:tr2bl w:val="nil"/>
                  </w:tcBorders>
                  <w:noWrap w:val="0"/>
                  <w:vAlign w:val="center"/>
                </w:tcPr>
                <w:p w14:paraId="3A337297">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p>
              </w:tc>
              <w:tc>
                <w:tcPr>
                  <w:tcW w:w="3690" w:type="dxa"/>
                  <w:tcBorders>
                    <w:tl2br w:val="nil"/>
                    <w:tr2bl w:val="nil"/>
                  </w:tcBorders>
                  <w:noWrap w:val="0"/>
                  <w:vAlign w:val="center"/>
                </w:tcPr>
                <w:p w14:paraId="42A95C92">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淘汰不符合国家规定的燃煤锅炉，实现市、县（区）城区清洁取暖全覆盖。</w:t>
                  </w:r>
                </w:p>
              </w:tc>
              <w:tc>
                <w:tcPr>
                  <w:tcW w:w="1867" w:type="dxa"/>
                  <w:tcBorders>
                    <w:tl2br w:val="nil"/>
                    <w:tr2bl w:val="nil"/>
                  </w:tcBorders>
                  <w:noWrap w:val="0"/>
                  <w:vAlign w:val="center"/>
                </w:tcPr>
                <w:p w14:paraId="2ED9FA3E">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本项目全部采用空气热源泵作为热源采暖</w:t>
                  </w:r>
                </w:p>
              </w:tc>
            </w:tr>
            <w:tr w14:paraId="08300A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72" w:hRule="atLeast"/>
                <w:jc w:val="center"/>
              </w:trPr>
              <w:tc>
                <w:tcPr>
                  <w:tcW w:w="350" w:type="dxa"/>
                  <w:vMerge w:val="restart"/>
                  <w:tcBorders>
                    <w:tl2br w:val="nil"/>
                    <w:tr2bl w:val="nil"/>
                  </w:tcBorders>
                  <w:noWrap w:val="0"/>
                  <w:vAlign w:val="center"/>
                </w:tcPr>
                <w:p w14:paraId="7AB2CEC1">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A2污染物排放管控</w:t>
                  </w:r>
                </w:p>
              </w:tc>
              <w:tc>
                <w:tcPr>
                  <w:tcW w:w="1132" w:type="dxa"/>
                  <w:vMerge w:val="restart"/>
                  <w:tcBorders>
                    <w:tl2br w:val="nil"/>
                    <w:tr2bl w:val="nil"/>
                  </w:tcBorders>
                  <w:noWrap w:val="0"/>
                  <w:vAlign w:val="center"/>
                </w:tcPr>
                <w:p w14:paraId="61802030">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A2.1</w:t>
                  </w:r>
                </w:p>
                <w:p w14:paraId="5C22D436">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允许排放量要求</w:t>
                  </w:r>
                </w:p>
              </w:tc>
              <w:tc>
                <w:tcPr>
                  <w:tcW w:w="3690" w:type="dxa"/>
                  <w:tcBorders>
                    <w:tl2br w:val="nil"/>
                    <w:tr2bl w:val="nil"/>
                  </w:tcBorders>
                  <w:noWrap w:val="0"/>
                  <w:vAlign w:val="center"/>
                </w:tcPr>
                <w:p w14:paraId="7122EF29">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化学需氧量、氨氮、氮氧化物、挥发性有机物减排量完成自治区下达任务。</w:t>
                  </w:r>
                </w:p>
              </w:tc>
              <w:tc>
                <w:tcPr>
                  <w:tcW w:w="1867" w:type="dxa"/>
                  <w:tcBorders>
                    <w:tl2br w:val="nil"/>
                    <w:tr2bl w:val="nil"/>
                  </w:tcBorders>
                  <w:noWrap w:val="0"/>
                  <w:vAlign w:val="center"/>
                </w:tcPr>
                <w:p w14:paraId="67560600">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本项目</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废水全部回用于项目区绿化、</w:t>
                  </w:r>
                  <w:r>
                    <w:rPr>
                      <w:rFonts w:hint="default" w:ascii="Times New Roman" w:hAnsi="Times New Roman" w:cs="Times New Roman"/>
                      <w:color w:val="000000" w:themeColor="text1"/>
                      <w:kern w:val="24"/>
                      <w:sz w:val="21"/>
                      <w:szCs w:val="21"/>
                      <w:highlight w:val="none"/>
                      <w:lang w:val="en-US" w:eastAsia="zh-CN"/>
                      <w14:textFill>
                        <w14:solidFill>
                          <w14:schemeClr w14:val="tx1"/>
                        </w14:solidFill>
                      </w14:textFill>
                    </w:rPr>
                    <w:t>道路清扫及景观环境</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，无外排废水</w:t>
                  </w:r>
                </w:p>
              </w:tc>
            </w:tr>
            <w:tr w14:paraId="7370D6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350" w:type="dxa"/>
                  <w:vMerge w:val="continue"/>
                  <w:tcBorders>
                    <w:tl2br w:val="nil"/>
                    <w:tr2bl w:val="nil"/>
                  </w:tcBorders>
                  <w:noWrap w:val="0"/>
                  <w:vAlign w:val="center"/>
                </w:tcPr>
                <w:p w14:paraId="10EB0718">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132" w:type="dxa"/>
                  <w:vMerge w:val="continue"/>
                  <w:tcBorders>
                    <w:tl2br w:val="nil"/>
                    <w:tr2bl w:val="nil"/>
                  </w:tcBorders>
                  <w:noWrap w:val="0"/>
                  <w:vAlign w:val="center"/>
                </w:tcPr>
                <w:p w14:paraId="4CF92BCC">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p>
              </w:tc>
              <w:tc>
                <w:tcPr>
                  <w:tcW w:w="3690" w:type="dxa"/>
                  <w:tcBorders>
                    <w:tl2br w:val="nil"/>
                    <w:tr2bl w:val="nil"/>
                  </w:tcBorders>
                  <w:noWrap w:val="0"/>
                  <w:vAlign w:val="center"/>
                </w:tcPr>
                <w:p w14:paraId="1776CEAD">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严格重金属排放项目准入，坚持</w:t>
                  </w:r>
                  <w:r>
                    <w:rPr>
                      <w:rFonts w:hint="eastAsia"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减量置换</w:t>
                  </w:r>
                  <w:r>
                    <w:rPr>
                      <w:rFonts w:hint="eastAsia"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或</w:t>
                  </w:r>
                  <w:r>
                    <w:rPr>
                      <w:rFonts w:hint="eastAsia"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等量置换</w:t>
                  </w:r>
                  <w:r>
                    <w:rPr>
                      <w:rFonts w:hint="eastAsia"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原则。</w:t>
                  </w:r>
                </w:p>
              </w:tc>
              <w:tc>
                <w:tcPr>
                  <w:tcW w:w="1867" w:type="dxa"/>
                  <w:tcBorders>
                    <w:tl2br w:val="nil"/>
                    <w:tr2bl w:val="nil"/>
                  </w:tcBorders>
                  <w:noWrap w:val="0"/>
                  <w:vAlign w:val="center"/>
                </w:tcPr>
                <w:p w14:paraId="66403014">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本项目不涉及</w:t>
                  </w:r>
                </w:p>
              </w:tc>
            </w:tr>
            <w:tr w14:paraId="458427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350" w:type="dxa"/>
                  <w:vMerge w:val="continue"/>
                  <w:tcBorders>
                    <w:tl2br w:val="nil"/>
                    <w:tr2bl w:val="nil"/>
                  </w:tcBorders>
                  <w:noWrap w:val="0"/>
                  <w:vAlign w:val="center"/>
                </w:tcPr>
                <w:p w14:paraId="0EED6631">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132" w:type="dxa"/>
                  <w:vMerge w:val="continue"/>
                  <w:tcBorders>
                    <w:tl2br w:val="nil"/>
                    <w:tr2bl w:val="nil"/>
                  </w:tcBorders>
                  <w:noWrap w:val="0"/>
                  <w:vAlign w:val="center"/>
                </w:tcPr>
                <w:p w14:paraId="0FDEA523">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p>
              </w:tc>
              <w:tc>
                <w:tcPr>
                  <w:tcW w:w="3690" w:type="dxa"/>
                  <w:tcBorders>
                    <w:tl2br w:val="nil"/>
                    <w:tr2bl w:val="nil"/>
                  </w:tcBorders>
                  <w:noWrap w:val="0"/>
                  <w:vAlign w:val="center"/>
                </w:tcPr>
                <w:p w14:paraId="517C30AC">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在</w:t>
                  </w:r>
                  <w:r>
                    <w:rPr>
                      <w:rFonts w:hint="eastAsia"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五河</w:t>
                  </w:r>
                  <w:r>
                    <w:rPr>
                      <w:rFonts w:hint="eastAsia"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干流已覆盖集污管网的区域配套建设污水处理设施，确保所有建制镇和中心村污水处理全覆盖。</w:t>
                  </w:r>
                </w:p>
              </w:tc>
              <w:tc>
                <w:tcPr>
                  <w:tcW w:w="1867" w:type="dxa"/>
                  <w:tcBorders>
                    <w:tl2br w:val="nil"/>
                    <w:tr2bl w:val="nil"/>
                  </w:tcBorders>
                  <w:noWrap w:val="0"/>
                  <w:vAlign w:val="center"/>
                </w:tcPr>
                <w:p w14:paraId="1DD5C46B">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本项目</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不涉及</w:t>
                  </w:r>
                </w:p>
              </w:tc>
            </w:tr>
            <w:tr w14:paraId="0FC5FE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350" w:type="dxa"/>
                  <w:vMerge w:val="continue"/>
                  <w:tcBorders>
                    <w:tl2br w:val="nil"/>
                    <w:tr2bl w:val="nil"/>
                  </w:tcBorders>
                  <w:noWrap w:val="0"/>
                  <w:vAlign w:val="center"/>
                </w:tcPr>
                <w:p w14:paraId="054BFB8F">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132" w:type="dxa"/>
                  <w:vMerge w:val="continue"/>
                  <w:tcBorders>
                    <w:tl2br w:val="nil"/>
                    <w:tr2bl w:val="nil"/>
                  </w:tcBorders>
                  <w:noWrap w:val="0"/>
                  <w:vAlign w:val="center"/>
                </w:tcPr>
                <w:p w14:paraId="0DA4C815">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p>
              </w:tc>
              <w:tc>
                <w:tcPr>
                  <w:tcW w:w="3690" w:type="dxa"/>
                  <w:tcBorders>
                    <w:tl2br w:val="nil"/>
                    <w:tr2bl w:val="nil"/>
                  </w:tcBorders>
                  <w:noWrap w:val="0"/>
                  <w:vAlign w:val="center"/>
                </w:tcPr>
                <w:p w14:paraId="421E76FC">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火电、水泥等重点行业及燃煤锅炉，严格按照大气污染物排放标准及特别排放限值要求执行。</w:t>
                  </w:r>
                </w:p>
              </w:tc>
              <w:tc>
                <w:tcPr>
                  <w:tcW w:w="1867" w:type="dxa"/>
                  <w:tcBorders>
                    <w:tl2br w:val="nil"/>
                    <w:tr2bl w:val="nil"/>
                  </w:tcBorders>
                  <w:noWrap w:val="0"/>
                  <w:vAlign w:val="center"/>
                </w:tcPr>
                <w:p w14:paraId="0B853F41">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本项目不涉及</w:t>
                  </w:r>
                </w:p>
              </w:tc>
            </w:tr>
            <w:tr w14:paraId="4EB559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56" w:hRule="atLeast"/>
                <w:jc w:val="center"/>
              </w:trPr>
              <w:tc>
                <w:tcPr>
                  <w:tcW w:w="350" w:type="dxa"/>
                  <w:vMerge w:val="continue"/>
                  <w:tcBorders>
                    <w:tl2br w:val="nil"/>
                    <w:tr2bl w:val="nil"/>
                  </w:tcBorders>
                  <w:noWrap w:val="0"/>
                  <w:vAlign w:val="center"/>
                </w:tcPr>
                <w:p w14:paraId="6230AB57">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132" w:type="dxa"/>
                  <w:vMerge w:val="continue"/>
                  <w:tcBorders>
                    <w:tl2br w:val="nil"/>
                    <w:tr2bl w:val="nil"/>
                  </w:tcBorders>
                  <w:noWrap w:val="0"/>
                  <w:vAlign w:val="center"/>
                </w:tcPr>
                <w:p w14:paraId="291DD3A9">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p>
              </w:tc>
              <w:tc>
                <w:tcPr>
                  <w:tcW w:w="3690" w:type="dxa"/>
                  <w:tcBorders>
                    <w:tl2br w:val="nil"/>
                    <w:tr2bl w:val="nil"/>
                  </w:tcBorders>
                  <w:noWrap w:val="0"/>
                  <w:vAlign w:val="center"/>
                </w:tcPr>
                <w:p w14:paraId="6265102A">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到2025年，全市工业固体废弃物综合利用率达到80%，中水利用率达到85%以上。</w:t>
                  </w:r>
                </w:p>
              </w:tc>
              <w:tc>
                <w:tcPr>
                  <w:tcW w:w="1867" w:type="dxa"/>
                  <w:tcBorders>
                    <w:tl2br w:val="nil"/>
                    <w:tr2bl w:val="nil"/>
                  </w:tcBorders>
                  <w:noWrap w:val="0"/>
                  <w:vAlign w:val="center"/>
                </w:tcPr>
                <w:p w14:paraId="11C3D7D5">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本项目</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施工期和运营期产生的固体废物，集中收集后交由环卫部门统一处理和委托有资质的相关单位处理；本项目废水全部回用于项目区绿化、</w:t>
                  </w:r>
                  <w:r>
                    <w:rPr>
                      <w:rFonts w:hint="default" w:ascii="Times New Roman" w:hAnsi="Times New Roman" w:cs="Times New Roman"/>
                      <w:color w:val="000000" w:themeColor="text1"/>
                      <w:kern w:val="24"/>
                      <w:sz w:val="21"/>
                      <w:szCs w:val="21"/>
                      <w:highlight w:val="none"/>
                      <w:lang w:val="en-US" w:eastAsia="zh-CN"/>
                      <w14:textFill>
                        <w14:solidFill>
                          <w14:schemeClr w14:val="tx1"/>
                        </w14:solidFill>
                      </w14:textFill>
                    </w:rPr>
                    <w:t>道路清扫及景观环境</w:t>
                  </w:r>
                </w:p>
              </w:tc>
            </w:tr>
            <w:tr w14:paraId="1819D7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350" w:type="dxa"/>
                  <w:vMerge w:val="continue"/>
                  <w:tcBorders>
                    <w:tl2br w:val="nil"/>
                    <w:tr2bl w:val="nil"/>
                  </w:tcBorders>
                  <w:noWrap w:val="0"/>
                  <w:vAlign w:val="center"/>
                </w:tcPr>
                <w:p w14:paraId="486CBC6E">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132" w:type="dxa"/>
                  <w:vMerge w:val="continue"/>
                  <w:tcBorders>
                    <w:tl2br w:val="nil"/>
                    <w:tr2bl w:val="nil"/>
                  </w:tcBorders>
                  <w:noWrap w:val="0"/>
                  <w:vAlign w:val="center"/>
                </w:tcPr>
                <w:p w14:paraId="7575938C">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p>
              </w:tc>
              <w:tc>
                <w:tcPr>
                  <w:tcW w:w="3690" w:type="dxa"/>
                  <w:tcBorders>
                    <w:tl2br w:val="nil"/>
                    <w:tr2bl w:val="nil"/>
                  </w:tcBorders>
                  <w:noWrap w:val="0"/>
                  <w:vAlign w:val="center"/>
                </w:tcPr>
                <w:p w14:paraId="79842570">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到2025年，65蒸吨/小时及以上燃煤锅炉(含电力)全面实现超低排放；所有燃气锅炉氮氧化物排放浓度低于50毫克/立方米。</w:t>
                  </w:r>
                </w:p>
              </w:tc>
              <w:tc>
                <w:tcPr>
                  <w:tcW w:w="1867" w:type="dxa"/>
                  <w:tcBorders>
                    <w:tl2br w:val="nil"/>
                    <w:tr2bl w:val="nil"/>
                  </w:tcBorders>
                  <w:noWrap w:val="0"/>
                  <w:vAlign w:val="center"/>
                </w:tcPr>
                <w:p w14:paraId="26A6EEAF">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本项目不涉及</w:t>
                  </w:r>
                </w:p>
              </w:tc>
            </w:tr>
            <w:tr w14:paraId="571FA8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36" w:hRule="atLeast"/>
                <w:jc w:val="center"/>
              </w:trPr>
              <w:tc>
                <w:tcPr>
                  <w:tcW w:w="350" w:type="dxa"/>
                  <w:vMerge w:val="continue"/>
                  <w:tcBorders>
                    <w:tl2br w:val="nil"/>
                    <w:tr2bl w:val="nil"/>
                  </w:tcBorders>
                  <w:noWrap w:val="0"/>
                  <w:vAlign w:val="center"/>
                </w:tcPr>
                <w:p w14:paraId="346353A5">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132" w:type="dxa"/>
                  <w:tcBorders>
                    <w:tl2br w:val="nil"/>
                    <w:tr2bl w:val="nil"/>
                  </w:tcBorders>
                  <w:noWrap w:val="0"/>
                  <w:vAlign w:val="center"/>
                </w:tcPr>
                <w:p w14:paraId="0C934DE4">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A2.2</w:t>
                  </w:r>
                </w:p>
                <w:p w14:paraId="7AC9823D">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现有源提标升级改造</w:t>
                  </w:r>
                </w:p>
              </w:tc>
              <w:tc>
                <w:tcPr>
                  <w:tcW w:w="3690" w:type="dxa"/>
                  <w:tcBorders>
                    <w:tl2br w:val="nil"/>
                    <w:tr2bl w:val="nil"/>
                  </w:tcBorders>
                  <w:noWrap w:val="0"/>
                  <w:vAlign w:val="center"/>
                </w:tcPr>
                <w:p w14:paraId="4C0D3F4B">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探索畜禽养殖</w:t>
                  </w:r>
                  <w:r>
                    <w:rPr>
                      <w:rFonts w:hint="eastAsia"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出户入园</w:t>
                  </w:r>
                  <w:r>
                    <w:rPr>
                      <w:rFonts w:hint="eastAsia"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模式，落实</w:t>
                  </w:r>
                  <w:r>
                    <w:rPr>
                      <w:rFonts w:hint="eastAsia"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一控两减三利用</w:t>
                  </w:r>
                  <w:r>
                    <w:rPr>
                      <w:rFonts w:hint="eastAsia"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，减少化肥和农药使用量；实现畜禽粪便、农作物秸秆、农膜资源化利用，到2025年，农业废弃物综合利用率达到94%以上。</w:t>
                  </w:r>
                </w:p>
              </w:tc>
              <w:tc>
                <w:tcPr>
                  <w:tcW w:w="1867" w:type="dxa"/>
                  <w:tcBorders>
                    <w:tl2br w:val="nil"/>
                    <w:tr2bl w:val="nil"/>
                  </w:tcBorders>
                  <w:noWrap w:val="0"/>
                  <w:vAlign w:val="center"/>
                </w:tcPr>
                <w:p w14:paraId="172AF529">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本项目不涉及</w:t>
                  </w:r>
                </w:p>
              </w:tc>
            </w:tr>
            <w:tr w14:paraId="08DC63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0" w:type="dxa"/>
                  <w:vMerge w:val="restart"/>
                  <w:tcBorders>
                    <w:tl2br w:val="nil"/>
                    <w:tr2bl w:val="nil"/>
                  </w:tcBorders>
                  <w:noWrap w:val="0"/>
                  <w:vAlign w:val="center"/>
                </w:tcPr>
                <w:p w14:paraId="0F9D47C0">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A3</w:t>
                  </w:r>
                </w:p>
                <w:p w14:paraId="4E6FBC74">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环境风险防控</w:t>
                  </w:r>
                </w:p>
              </w:tc>
              <w:tc>
                <w:tcPr>
                  <w:tcW w:w="1132" w:type="dxa"/>
                  <w:vMerge w:val="restart"/>
                  <w:tcBorders>
                    <w:tl2br w:val="nil"/>
                    <w:tr2bl w:val="nil"/>
                  </w:tcBorders>
                  <w:noWrap w:val="0"/>
                  <w:vAlign w:val="center"/>
                </w:tcPr>
                <w:p w14:paraId="37981F54">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A3.1</w:t>
                  </w:r>
                </w:p>
                <w:p w14:paraId="69E21548">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联防联控要求</w:t>
                  </w:r>
                </w:p>
              </w:tc>
              <w:tc>
                <w:tcPr>
                  <w:tcW w:w="3690" w:type="dxa"/>
                  <w:tcBorders>
                    <w:tl2br w:val="nil"/>
                    <w:tr2bl w:val="nil"/>
                  </w:tcBorders>
                  <w:noWrap w:val="0"/>
                  <w:vAlign w:val="center"/>
                </w:tcPr>
                <w:p w14:paraId="253FB455">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开展医疗、化工、石油开采和汽修等重点行业涉及危险废物排查整治，建立健全环境风险重点管控单位名录，严控危险废物贮存环节环境风险，严禁超期、超量贮存各类危险废物。</w:t>
                  </w:r>
                </w:p>
              </w:tc>
              <w:tc>
                <w:tcPr>
                  <w:tcW w:w="1867" w:type="dxa"/>
                  <w:tcBorders>
                    <w:tl2br w:val="nil"/>
                    <w:tr2bl w:val="nil"/>
                  </w:tcBorders>
                  <w:noWrap w:val="0"/>
                  <w:vAlign w:val="center"/>
                </w:tcPr>
                <w:p w14:paraId="12C23FBA">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本项目</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运营过程中产生的危险废物分类收集暂存于医疗废物暂存间，定期交由有资质的单位处理</w:t>
                  </w:r>
                </w:p>
              </w:tc>
            </w:tr>
            <w:tr w14:paraId="1F0345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8" w:hRule="atLeast"/>
                <w:jc w:val="center"/>
              </w:trPr>
              <w:tc>
                <w:tcPr>
                  <w:tcW w:w="350" w:type="dxa"/>
                  <w:vMerge w:val="continue"/>
                  <w:tcBorders>
                    <w:tl2br w:val="nil"/>
                    <w:tr2bl w:val="nil"/>
                  </w:tcBorders>
                  <w:noWrap w:val="0"/>
                  <w:vAlign w:val="center"/>
                </w:tcPr>
                <w:p w14:paraId="075F13A1">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132" w:type="dxa"/>
                  <w:vMerge w:val="continue"/>
                  <w:tcBorders>
                    <w:tl2br w:val="nil"/>
                    <w:tr2bl w:val="nil"/>
                  </w:tcBorders>
                  <w:noWrap w:val="0"/>
                  <w:vAlign w:val="center"/>
                </w:tcPr>
                <w:p w14:paraId="62E512A4">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p>
              </w:tc>
              <w:tc>
                <w:tcPr>
                  <w:tcW w:w="3690" w:type="dxa"/>
                  <w:tcBorders>
                    <w:tl2br w:val="nil"/>
                    <w:tr2bl w:val="nil"/>
                  </w:tcBorders>
                  <w:noWrap w:val="0"/>
                  <w:vAlign w:val="center"/>
                </w:tcPr>
                <w:p w14:paraId="405CD22A">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以环境风险较高的饮用水水源地保护区、交通干道和集中式污染处理设施等为重点，提高防范环境风险能力，规范化集中式污染处理设施日常运行维护，建设应急导流槽、事故调蓄池、应急闸坝等事故排水收集截留设施等预防性设施。</w:t>
                  </w:r>
                </w:p>
              </w:tc>
              <w:tc>
                <w:tcPr>
                  <w:tcW w:w="1867" w:type="dxa"/>
                  <w:tcBorders>
                    <w:tl2br w:val="nil"/>
                    <w:tr2bl w:val="nil"/>
                  </w:tcBorders>
                  <w:noWrap w:val="0"/>
                  <w:vAlign w:val="center"/>
                </w:tcPr>
                <w:p w14:paraId="32FB6225">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本项目</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不涉及</w:t>
                  </w:r>
                </w:p>
              </w:tc>
            </w:tr>
            <w:tr w14:paraId="21681E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33" w:hRule="atLeast"/>
                <w:jc w:val="center"/>
              </w:trPr>
              <w:tc>
                <w:tcPr>
                  <w:tcW w:w="350" w:type="dxa"/>
                  <w:vMerge w:val="continue"/>
                  <w:tcBorders>
                    <w:tl2br w:val="nil"/>
                    <w:tr2bl w:val="nil"/>
                  </w:tcBorders>
                  <w:noWrap w:val="0"/>
                  <w:vAlign w:val="center"/>
                </w:tcPr>
                <w:p w14:paraId="1EE97BA3">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132" w:type="dxa"/>
                  <w:vMerge w:val="continue"/>
                  <w:tcBorders>
                    <w:tl2br w:val="nil"/>
                    <w:tr2bl w:val="nil"/>
                  </w:tcBorders>
                  <w:noWrap w:val="0"/>
                  <w:vAlign w:val="center"/>
                </w:tcPr>
                <w:p w14:paraId="6BEF6044">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p>
              </w:tc>
              <w:tc>
                <w:tcPr>
                  <w:tcW w:w="3690" w:type="dxa"/>
                  <w:tcBorders>
                    <w:tl2br w:val="nil"/>
                    <w:tr2bl w:val="nil"/>
                  </w:tcBorders>
                  <w:noWrap w:val="0"/>
                  <w:vAlign w:val="center"/>
                </w:tcPr>
                <w:p w14:paraId="39107D49">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健全突发环境事件应急预案体系，推进跨区域、跨流域环境应急联动。</w:t>
                  </w:r>
                </w:p>
              </w:tc>
              <w:tc>
                <w:tcPr>
                  <w:tcW w:w="1867" w:type="dxa"/>
                  <w:tcBorders>
                    <w:tl2br w:val="nil"/>
                    <w:tr2bl w:val="nil"/>
                  </w:tcBorders>
                  <w:noWrap w:val="0"/>
                  <w:vAlign w:val="center"/>
                </w:tcPr>
                <w:p w14:paraId="5F3BF134">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本项目</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建成后</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会</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编制</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突发环境事件应急预案，满足环境风险防控要求</w:t>
                  </w:r>
                </w:p>
              </w:tc>
            </w:tr>
            <w:tr w14:paraId="2B61E7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350" w:type="dxa"/>
                  <w:vMerge w:val="restart"/>
                  <w:tcBorders>
                    <w:tl2br w:val="nil"/>
                    <w:tr2bl w:val="nil"/>
                  </w:tcBorders>
                  <w:noWrap w:val="0"/>
                  <w:vAlign w:val="center"/>
                </w:tcPr>
                <w:p w14:paraId="6B8FA2C0">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A4</w:t>
                  </w:r>
                </w:p>
                <w:p w14:paraId="7EA0D163">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资源利用效率要求</w:t>
                  </w:r>
                </w:p>
              </w:tc>
              <w:tc>
                <w:tcPr>
                  <w:tcW w:w="1132" w:type="dxa"/>
                  <w:vMerge w:val="restart"/>
                  <w:tcBorders>
                    <w:tl2br w:val="nil"/>
                    <w:tr2bl w:val="nil"/>
                  </w:tcBorders>
                  <w:noWrap w:val="0"/>
                  <w:vAlign w:val="center"/>
                </w:tcPr>
                <w:p w14:paraId="1755CD9A">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A4.1</w:t>
                  </w:r>
                </w:p>
                <w:p w14:paraId="5A66257E">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能源利用总量及效率要求</w:t>
                  </w:r>
                </w:p>
              </w:tc>
              <w:tc>
                <w:tcPr>
                  <w:tcW w:w="3690" w:type="dxa"/>
                  <w:tcBorders>
                    <w:tl2br w:val="nil"/>
                    <w:tr2bl w:val="nil"/>
                  </w:tcBorders>
                  <w:noWrap w:val="0"/>
                  <w:vAlign w:val="center"/>
                </w:tcPr>
                <w:p w14:paraId="45FD899D">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实行煤炭消费总量控制，严控高耗煤行业新增项目。</w:t>
                  </w:r>
                </w:p>
              </w:tc>
              <w:tc>
                <w:tcPr>
                  <w:tcW w:w="1867" w:type="dxa"/>
                  <w:tcBorders>
                    <w:tl2br w:val="nil"/>
                    <w:tr2bl w:val="nil"/>
                  </w:tcBorders>
                  <w:noWrap w:val="0"/>
                  <w:vAlign w:val="center"/>
                </w:tcPr>
                <w:p w14:paraId="32D44ADF">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本项目不涉及使用煤炭，不属于高耗煤行业</w:t>
                  </w:r>
                </w:p>
              </w:tc>
            </w:tr>
            <w:tr w14:paraId="5E69C8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350" w:type="dxa"/>
                  <w:vMerge w:val="continue"/>
                  <w:tcBorders>
                    <w:tl2br w:val="nil"/>
                    <w:tr2bl w:val="nil"/>
                  </w:tcBorders>
                  <w:noWrap w:val="0"/>
                  <w:vAlign w:val="center"/>
                </w:tcPr>
                <w:p w14:paraId="039CF813">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132" w:type="dxa"/>
                  <w:vMerge w:val="continue"/>
                  <w:tcBorders>
                    <w:tl2br w:val="nil"/>
                    <w:tr2bl w:val="nil"/>
                  </w:tcBorders>
                  <w:noWrap w:val="0"/>
                  <w:vAlign w:val="center"/>
                </w:tcPr>
                <w:p w14:paraId="4537E7E3">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p>
              </w:tc>
              <w:tc>
                <w:tcPr>
                  <w:tcW w:w="3690" w:type="dxa"/>
                  <w:tcBorders>
                    <w:tl2br w:val="nil"/>
                    <w:tr2bl w:val="nil"/>
                  </w:tcBorders>
                  <w:noWrap w:val="0"/>
                  <w:vAlign w:val="center"/>
                </w:tcPr>
                <w:p w14:paraId="6B7D9BA5">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到2025年，全市单位地区生产总值能耗降低基本目标为13%，激励目标为14%。</w:t>
                  </w:r>
                </w:p>
              </w:tc>
              <w:tc>
                <w:tcPr>
                  <w:tcW w:w="1867" w:type="dxa"/>
                  <w:tcBorders>
                    <w:tl2br w:val="nil"/>
                    <w:tr2bl w:val="nil"/>
                  </w:tcBorders>
                  <w:noWrap w:val="0"/>
                  <w:vAlign w:val="center"/>
                </w:tcPr>
                <w:p w14:paraId="323A1153">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本项目不涉及</w:t>
                  </w:r>
                </w:p>
              </w:tc>
            </w:tr>
            <w:tr w14:paraId="44132D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9" w:hRule="atLeast"/>
                <w:jc w:val="center"/>
              </w:trPr>
              <w:tc>
                <w:tcPr>
                  <w:tcW w:w="350" w:type="dxa"/>
                  <w:vMerge w:val="continue"/>
                  <w:tcBorders>
                    <w:tl2br w:val="nil"/>
                    <w:tr2bl w:val="nil"/>
                  </w:tcBorders>
                  <w:noWrap w:val="0"/>
                  <w:vAlign w:val="center"/>
                </w:tcPr>
                <w:p w14:paraId="5AB5B9AD">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132" w:type="dxa"/>
                  <w:tcBorders>
                    <w:tl2br w:val="nil"/>
                    <w:tr2bl w:val="nil"/>
                  </w:tcBorders>
                  <w:noWrap w:val="0"/>
                  <w:vAlign w:val="center"/>
                </w:tcPr>
                <w:p w14:paraId="613DFC21">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A4.2</w:t>
                  </w:r>
                </w:p>
                <w:p w14:paraId="0537A317">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水资源利用总量及效率要求</w:t>
                  </w:r>
                </w:p>
              </w:tc>
              <w:tc>
                <w:tcPr>
                  <w:tcW w:w="3690" w:type="dxa"/>
                  <w:tcBorders>
                    <w:tl2br w:val="nil"/>
                    <w:tr2bl w:val="nil"/>
                  </w:tcBorders>
                  <w:noWrap w:val="0"/>
                  <w:vAlign w:val="center"/>
                </w:tcPr>
                <w:p w14:paraId="0A429578">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落实节水指标纳入县（区）政绩考核，对水资源超载地区实行用水和项目</w:t>
                  </w:r>
                  <w:r>
                    <w:rPr>
                      <w:rFonts w:hint="eastAsia"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双限批</w:t>
                  </w:r>
                  <w:r>
                    <w:rPr>
                      <w:rFonts w:hint="eastAsia" w:cs="Times New Roman"/>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，到2025年全市用水总量控制在2.90亿立方米，单位GDP用水量较2020年下降13%。积极推广农业成套综合节水技术，到2025年农田灌溉水有效利用系数达到0.79。</w:t>
                  </w:r>
                </w:p>
              </w:tc>
              <w:tc>
                <w:tcPr>
                  <w:tcW w:w="1867" w:type="dxa"/>
                  <w:tcBorders>
                    <w:tl2br w:val="nil"/>
                    <w:tr2bl w:val="nil"/>
                  </w:tcBorders>
                  <w:noWrap w:val="0"/>
                  <w:vAlign w:val="center"/>
                </w:tcPr>
                <w:p w14:paraId="3CA31B87">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本项目运营期</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加强管理，秉持节约用水的原则，用水总量满足要求</w:t>
                  </w:r>
                </w:p>
              </w:tc>
            </w:tr>
          </w:tbl>
          <w:p w14:paraId="561E670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1"/>
                <w:szCs w:val="21"/>
                <w:lang w:val="zh-CN" w:eastAsia="zh-CN"/>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由上表可知</w:t>
            </w:r>
            <w:r>
              <w:rPr>
                <w:rFonts w:hint="default" w:ascii="Times New Roman" w:hAnsi="Times New Roman" w:cs="Times New Roman"/>
                <w:color w:val="000000" w:themeColor="text1"/>
                <w:sz w:val="24"/>
                <w:highlight w:val="none"/>
                <w14:textFill>
                  <w14:solidFill>
                    <w14:schemeClr w14:val="tx1"/>
                  </w14:solidFill>
                </w14:textFill>
              </w:rPr>
              <w:t>，本项目</w:t>
            </w:r>
            <w:r>
              <w:rPr>
                <w:rFonts w:hint="default" w:ascii="Times New Roman" w:hAnsi="Times New Roman" w:cs="Times New Roman"/>
                <w:color w:val="000000" w:themeColor="text1"/>
                <w:sz w:val="24"/>
                <w:highlight w:val="none"/>
                <w:lang w:val="en-US" w:eastAsia="zh-CN"/>
                <w14:textFill>
                  <w14:solidFill>
                    <w14:schemeClr w14:val="tx1"/>
                  </w14:solidFill>
                </w14:textFill>
              </w:rPr>
              <w:t>的实施符合</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固原市生态</w:t>
            </w:r>
            <w:r>
              <w:rPr>
                <w:rFonts w:hint="default" w:ascii="Times New Roman" w:hAnsi="Times New Roman" w:cs="Times New Roman"/>
                <w:color w:val="000000" w:themeColor="text1"/>
                <w:sz w:val="24"/>
                <w:highlight w:val="none"/>
                <w14:textFill>
                  <w14:solidFill>
                    <w14:schemeClr w14:val="tx1"/>
                  </w14:solidFill>
                </w14:textFill>
              </w:rPr>
              <w:t>环境</w:t>
            </w:r>
            <w:r>
              <w:rPr>
                <w:rFonts w:hint="default" w:ascii="Times New Roman" w:hAnsi="Times New Roman" w:cs="Times New Roman"/>
                <w:color w:val="000000" w:themeColor="text1"/>
                <w:sz w:val="24"/>
                <w:highlight w:val="none"/>
                <w:lang w:val="en-US" w:eastAsia="zh-CN"/>
                <w14:textFill>
                  <w14:solidFill>
                    <w14:schemeClr w14:val="tx1"/>
                  </w14:solidFill>
                </w14:textFill>
              </w:rPr>
              <w:t>总体</w:t>
            </w:r>
            <w:r>
              <w:rPr>
                <w:rFonts w:hint="default" w:ascii="Times New Roman" w:hAnsi="Times New Roman" w:cs="Times New Roman"/>
                <w:color w:val="000000" w:themeColor="text1"/>
                <w:sz w:val="24"/>
                <w:highlight w:val="none"/>
                <w14:textFill>
                  <w14:solidFill>
                    <w14:schemeClr w14:val="tx1"/>
                  </w14:solidFill>
                </w14:textFill>
              </w:rPr>
              <w:t>准入</w:t>
            </w:r>
            <w:r>
              <w:rPr>
                <w:rFonts w:hint="default" w:ascii="Times New Roman" w:hAnsi="Times New Roman" w:cs="Times New Roman"/>
                <w:color w:val="000000" w:themeColor="text1"/>
                <w:sz w:val="24"/>
                <w:highlight w:val="none"/>
                <w:lang w:val="en-US" w:eastAsia="zh-CN"/>
                <w14:textFill>
                  <w14:solidFill>
                    <w14:schemeClr w14:val="tx1"/>
                  </w14:solidFill>
                </w14:textFill>
              </w:rPr>
              <w:t>要求</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w:t>
            </w:r>
          </w:p>
          <w:p w14:paraId="2C69E4B9">
            <w:pPr>
              <w:pStyle w:val="63"/>
              <w:spacing w:line="240" w:lineRule="auto"/>
              <w:ind w:firstLine="0" w:firstLineChars="0"/>
              <w:rPr>
                <w:rFonts w:hint="default" w:ascii="Times New Roman" w:hAnsi="Times New Roman" w:eastAsia="宋体" w:cs="Times New Roman"/>
                <w:color w:val="000000" w:themeColor="text1"/>
                <w:sz w:val="21"/>
                <w:szCs w:val="21"/>
                <w:lang w:val="zh-CN" w:eastAsia="zh-CN"/>
                <w14:textFill>
                  <w14:solidFill>
                    <w14:schemeClr w14:val="tx1"/>
                  </w14:solidFill>
                </w14:textFill>
              </w:rPr>
            </w:pPr>
            <w:r>
              <w:rPr>
                <w:rFonts w:hint="default" w:ascii="Times New Roman" w:hAnsi="Times New Roman" w:eastAsia="宋体" w:cs="Times New Roman"/>
                <w:color w:val="000000" w:themeColor="text1"/>
                <w:sz w:val="21"/>
                <w:szCs w:val="21"/>
                <w:lang w:val="zh-CN" w:eastAsia="zh-CN"/>
                <w14:textFill>
                  <w14:solidFill>
                    <w14:schemeClr w14:val="tx1"/>
                  </w14:solidFill>
                </w14:textFill>
              </w:rPr>
              <w:t>表1-</w:t>
            </w:r>
            <w:r>
              <w:rPr>
                <w:rFonts w:hint="eastAsia"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zh-CN"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与固原市环境管控单元生态环境准入清单符合性一览表</w:t>
            </w:r>
          </w:p>
          <w:tbl>
            <w:tblPr>
              <w:tblStyle w:val="28"/>
              <w:tblW w:w="705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891"/>
              <w:gridCol w:w="3205"/>
              <w:gridCol w:w="1844"/>
            </w:tblGrid>
            <w:tr w14:paraId="7FDE2D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9" w:type="dxa"/>
                  <w:noWrap w:val="0"/>
                  <w:vAlign w:val="center"/>
                </w:tcPr>
                <w:p w14:paraId="32E5DC72">
                  <w:pPr>
                    <w:adjustRightInd w:val="0"/>
                    <w:snapToGrid w:val="0"/>
                    <w:spacing w:line="0" w:lineRule="atLeast"/>
                    <w:ind w:left="0" w:leftChars="0" w:right="0" w:rightChars="0"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环境管控单元名称</w:t>
                  </w:r>
                </w:p>
              </w:tc>
              <w:tc>
                <w:tcPr>
                  <w:tcW w:w="4096" w:type="dxa"/>
                  <w:gridSpan w:val="2"/>
                  <w:noWrap w:val="0"/>
                  <w:vAlign w:val="center"/>
                </w:tcPr>
                <w:p w14:paraId="549E47DE">
                  <w:pPr>
                    <w:adjustRightInd w:val="0"/>
                    <w:snapToGrid w:val="0"/>
                    <w:spacing w:line="0" w:lineRule="atLeast"/>
                    <w:ind w:left="0" w:leftChars="0" w:right="0" w:rightChars="0"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“三线一单”生态环境准入清单编制要求</w:t>
                  </w:r>
                </w:p>
              </w:tc>
              <w:tc>
                <w:tcPr>
                  <w:tcW w:w="1844" w:type="dxa"/>
                  <w:noWrap w:val="0"/>
                  <w:vAlign w:val="center"/>
                </w:tcPr>
                <w:p w14:paraId="5FD6391B">
                  <w:pPr>
                    <w:adjustRightInd w:val="0"/>
                    <w:snapToGrid w:val="0"/>
                    <w:spacing w:line="0" w:lineRule="atLeast"/>
                    <w:ind w:left="0" w:leftChars="0" w:right="0" w:rightChars="0"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符合性分析</w:t>
                  </w:r>
                </w:p>
              </w:tc>
            </w:tr>
            <w:tr w14:paraId="60FDFE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119" w:type="dxa"/>
                  <w:vMerge w:val="restart"/>
                  <w:noWrap w:val="0"/>
                  <w:vAlign w:val="center"/>
                </w:tcPr>
                <w:p w14:paraId="5C49C666">
                  <w:pPr>
                    <w:adjustRightInd w:val="0"/>
                    <w:snapToGrid w:val="0"/>
                    <w:spacing w:line="0" w:lineRule="atLeast"/>
                    <w:ind w:left="0" w:leftChars="0" w:right="0" w:rightChars="0"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ZH64042410014</w:t>
                  </w:r>
                </w:p>
                <w:p w14:paraId="2CB83627">
                  <w:pPr>
                    <w:adjustRightInd w:val="0"/>
                    <w:snapToGrid w:val="0"/>
                    <w:spacing w:line="0" w:lineRule="atLeast"/>
                    <w:ind w:left="0" w:leftChars="0" w:right="0" w:rightChars="0" w:firstLine="0" w:firstLineChars="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泾源县优先保护单元6</w:t>
                  </w:r>
                </w:p>
              </w:tc>
              <w:tc>
                <w:tcPr>
                  <w:tcW w:w="891" w:type="dxa"/>
                  <w:shd w:val="clear" w:color="auto" w:fill="auto"/>
                  <w:noWrap w:val="0"/>
                  <w:vAlign w:val="center"/>
                </w:tcPr>
                <w:p w14:paraId="1B07A901">
                  <w:pPr>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空间布局约束</w:t>
                  </w:r>
                </w:p>
              </w:tc>
              <w:tc>
                <w:tcPr>
                  <w:tcW w:w="3205" w:type="dxa"/>
                  <w:shd w:val="clear" w:color="auto" w:fill="auto"/>
                  <w:noWrap w:val="0"/>
                  <w:vAlign w:val="center"/>
                </w:tcPr>
                <w:p w14:paraId="707256D8">
                  <w:pPr>
                    <w:numPr>
                      <w:ilvl w:val="0"/>
                      <w:numId w:val="3"/>
                    </w:numPr>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禁止在二十五度以上陡坡地开垦种植农作物。</w:t>
                  </w:r>
                </w:p>
                <w:p w14:paraId="743B4AB8">
                  <w:pPr>
                    <w:numPr>
                      <w:ilvl w:val="0"/>
                      <w:numId w:val="3"/>
                    </w:numPr>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生态保护红线内，除国家重大战略项目以及对生态功能不造成破坏的十类有限人为活动之外，严格禁止各类开发性、生产性建设活动。一般生态空间内，在生态保护红线正面清单的基础上，仅允许开展生态修复等对生态环境扰动较小、不损害或有利于提升生态功能的开发项目。生态保护红线和一般生态空间以外的其他区域，除国家、自治区重大战略规划项目和不可避让生态红线的十类建设项目外，禁止新建排放污染物的各类工业和规模化养殖项目。</w:t>
                  </w:r>
                </w:p>
              </w:tc>
              <w:tc>
                <w:tcPr>
                  <w:tcW w:w="1844" w:type="dxa"/>
                  <w:shd w:val="clear" w:color="auto" w:fill="auto"/>
                  <w:noWrap w:val="0"/>
                  <w:vAlign w:val="center"/>
                </w:tcPr>
                <w:p w14:paraId="3DCF45F0">
                  <w:pPr>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本项目</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建设地点</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位于</w:t>
                  </w: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生态保护红线和一般生态空间以外的其他区域，本项目为房地产业，不属于工业和规模化养殖项目。</w:t>
                  </w:r>
                </w:p>
              </w:tc>
            </w:tr>
            <w:tr w14:paraId="3A141E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9" w:type="dxa"/>
                  <w:vMerge w:val="continue"/>
                  <w:noWrap w:val="0"/>
                  <w:vAlign w:val="center"/>
                </w:tcPr>
                <w:p w14:paraId="48807023">
                  <w:pPr>
                    <w:adjustRightInd w:val="0"/>
                    <w:snapToGrid w:val="0"/>
                    <w:spacing w:line="0" w:lineRule="atLeast"/>
                    <w:ind w:left="0" w:leftChars="0" w:right="0" w:rightChars="0"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tc>
              <w:tc>
                <w:tcPr>
                  <w:tcW w:w="891" w:type="dxa"/>
                  <w:shd w:val="clear" w:color="auto" w:fill="auto"/>
                  <w:noWrap w:val="0"/>
                  <w:vAlign w:val="center"/>
                </w:tcPr>
                <w:p w14:paraId="4EE195CF">
                  <w:pPr>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污染物排放管控</w:t>
                  </w:r>
                </w:p>
              </w:tc>
              <w:tc>
                <w:tcPr>
                  <w:tcW w:w="3205" w:type="dxa"/>
                  <w:shd w:val="clear" w:color="auto" w:fill="auto"/>
                  <w:noWrap w:val="0"/>
                  <w:vAlign w:val="center"/>
                </w:tcPr>
                <w:p w14:paraId="50124207">
                  <w:pPr>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1844" w:type="dxa"/>
                  <w:shd w:val="clear" w:color="auto" w:fill="auto"/>
                  <w:noWrap w:val="0"/>
                  <w:vAlign w:val="center"/>
                </w:tcPr>
                <w:p w14:paraId="6651FA28">
                  <w:pPr>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r>
            <w:tr w14:paraId="5045CD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9" w:type="dxa"/>
                  <w:vMerge w:val="continue"/>
                  <w:noWrap w:val="0"/>
                  <w:vAlign w:val="center"/>
                </w:tcPr>
                <w:p w14:paraId="2447400B">
                  <w:pPr>
                    <w:adjustRightInd w:val="0"/>
                    <w:snapToGrid w:val="0"/>
                    <w:spacing w:line="0" w:lineRule="atLeast"/>
                    <w:ind w:left="0" w:leftChars="0" w:right="0" w:rightChars="0"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tc>
              <w:tc>
                <w:tcPr>
                  <w:tcW w:w="891" w:type="dxa"/>
                  <w:shd w:val="clear" w:color="auto" w:fill="auto"/>
                  <w:noWrap w:val="0"/>
                  <w:vAlign w:val="center"/>
                </w:tcPr>
                <w:p w14:paraId="2D93A68B">
                  <w:pPr>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环境风险防控</w:t>
                  </w:r>
                </w:p>
              </w:tc>
              <w:tc>
                <w:tcPr>
                  <w:tcW w:w="3205" w:type="dxa"/>
                  <w:shd w:val="clear" w:color="auto" w:fill="auto"/>
                  <w:noWrap w:val="0"/>
                  <w:vAlign w:val="center"/>
                </w:tcPr>
                <w:p w14:paraId="71B48B72">
                  <w:pPr>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1844" w:type="dxa"/>
                  <w:shd w:val="clear" w:color="auto" w:fill="auto"/>
                  <w:noWrap w:val="0"/>
                  <w:vAlign w:val="center"/>
                </w:tcPr>
                <w:p w14:paraId="1AE27487">
                  <w:pPr>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r>
            <w:tr w14:paraId="096A45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9" w:type="dxa"/>
                  <w:vMerge w:val="continue"/>
                  <w:noWrap w:val="0"/>
                  <w:vAlign w:val="center"/>
                </w:tcPr>
                <w:p w14:paraId="380C6CFD">
                  <w:pPr>
                    <w:adjustRightInd w:val="0"/>
                    <w:snapToGrid w:val="0"/>
                    <w:spacing w:line="0" w:lineRule="atLeast"/>
                    <w:ind w:left="0" w:leftChars="0" w:right="0" w:rightChars="0"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tc>
              <w:tc>
                <w:tcPr>
                  <w:tcW w:w="891" w:type="dxa"/>
                  <w:shd w:val="clear" w:color="auto" w:fill="auto"/>
                  <w:noWrap w:val="0"/>
                  <w:vAlign w:val="center"/>
                </w:tcPr>
                <w:p w14:paraId="0A08EED3">
                  <w:pPr>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资源开发效率要求</w:t>
                  </w:r>
                </w:p>
              </w:tc>
              <w:tc>
                <w:tcPr>
                  <w:tcW w:w="3205" w:type="dxa"/>
                  <w:shd w:val="clear" w:color="auto" w:fill="auto"/>
                  <w:noWrap w:val="0"/>
                  <w:vAlign w:val="center"/>
                </w:tcPr>
                <w:p w14:paraId="0B41B158">
                  <w:pPr>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1844" w:type="dxa"/>
                  <w:shd w:val="clear" w:color="auto" w:fill="auto"/>
                  <w:noWrap w:val="0"/>
                  <w:vAlign w:val="center"/>
                </w:tcPr>
                <w:p w14:paraId="6899D45F">
                  <w:pPr>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r>
          </w:tbl>
          <w:p w14:paraId="5893D57C">
            <w:pPr>
              <w:spacing w:line="360" w:lineRule="auto"/>
              <w:ind w:firstLine="482"/>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 xml:space="preserve">6 </w:t>
            </w:r>
            <w:r>
              <w:rPr>
                <w:rFonts w:hint="default" w:ascii="Times New Roman" w:hAnsi="Times New Roman" w:cs="Times New Roman"/>
                <w:b/>
                <w:bCs/>
                <w:color w:val="000000" w:themeColor="text1"/>
                <w14:textFill>
                  <w14:solidFill>
                    <w14:schemeClr w14:val="tx1"/>
                  </w14:solidFill>
                </w14:textFill>
              </w:rPr>
              <w:t>与《泾源县国家重点生态功能区产业准入负面清单（试行版）》相符性分析</w:t>
            </w:r>
          </w:p>
          <w:p w14:paraId="70988E67">
            <w:pPr>
              <w:spacing w:line="360" w:lineRule="auto"/>
              <w:ind w:firstLine="48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根据泾源县人民政府办公室关于印发《泾源县国家重点生态功能区产业准入负面清单（试行版）》的通知（泾政办发〔2016〕106号），泾源县产业准入负面清单的内容包括《产业结构调整指导目录（20</w:t>
            </w:r>
            <w:r>
              <w:rPr>
                <w:rFonts w:hint="default" w:ascii="Times New Roman" w:hAnsi="Times New Roman" w:cs="Times New Roman"/>
                <w:color w:val="000000" w:themeColor="text1"/>
                <w:lang w:val="en-US" w:eastAsia="zh-CN"/>
                <w14:textFill>
                  <w14:solidFill>
                    <w14:schemeClr w14:val="tx1"/>
                  </w14:solidFill>
                </w14:textFill>
              </w:rPr>
              <w:t>24</w:t>
            </w:r>
            <w:r>
              <w:rPr>
                <w:rFonts w:hint="default" w:ascii="Times New Roman" w:hAnsi="Times New Roman" w:cs="Times New Roman"/>
                <w:color w:val="000000" w:themeColor="text1"/>
                <w14:textFill>
                  <w14:solidFill>
                    <w14:schemeClr w14:val="tx1"/>
                  </w14:solidFill>
                </w14:textFill>
              </w:rPr>
              <w:t>年本）》中的限制类和禁止类产业。本项目建设内容属于</w:t>
            </w:r>
            <w:r>
              <w:rPr>
                <w:rFonts w:hint="default" w:ascii="Times New Roman" w:hAnsi="Times New Roman" w:cs="Times New Roman"/>
                <w:color w:val="000000" w:themeColor="text1"/>
                <w:lang w:val="en-US" w:eastAsia="zh-CN"/>
                <w14:textFill>
                  <w14:solidFill>
                    <w14:schemeClr w14:val="tx1"/>
                  </w14:solidFill>
                </w14:textFill>
              </w:rPr>
              <w:t>房地产业</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对照国家发展和改革委员会《产业结构调整指导目录（</w:t>
            </w:r>
            <w:r>
              <w:rPr>
                <w:rFonts w:hint="default" w:ascii="Times New Roman" w:hAnsi="Times New Roman" w:cs="Times New Roman"/>
                <w:color w:val="000000" w:themeColor="text1"/>
                <w:lang w:val="en-US" w:eastAsia="zh-CN"/>
                <w14:textFill>
                  <w14:solidFill>
                    <w14:schemeClr w14:val="tx1"/>
                  </w14:solidFill>
                </w14:textFill>
              </w:rPr>
              <w:t>2024</w:t>
            </w:r>
            <w:r>
              <w:rPr>
                <w:rFonts w:hint="default" w:ascii="Times New Roman" w:hAnsi="Times New Roman" w:cs="Times New Roman"/>
                <w:color w:val="000000" w:themeColor="text1"/>
                <w14:textFill>
                  <w14:solidFill>
                    <w14:schemeClr w14:val="tx1"/>
                  </w14:solidFill>
                </w14:textFill>
              </w:rPr>
              <w:t>年本）》</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本</w:t>
            </w:r>
            <w:r>
              <w:rPr>
                <w:rFonts w:hint="default" w:ascii="Times New Roman" w:hAnsi="Times New Roman" w:cs="Times New Roman"/>
                <w:color w:val="000000" w:themeColor="text1"/>
                <w14:textFill>
                  <w14:solidFill>
                    <w14:schemeClr w14:val="tx1"/>
                  </w14:solidFill>
                </w14:textFill>
              </w:rPr>
              <w:t>项目</w:t>
            </w:r>
            <w:r>
              <w:rPr>
                <w:rFonts w:hint="default" w:ascii="Times New Roman" w:hAnsi="Times New Roman" w:cs="Times New Roman"/>
                <w:color w:val="000000" w:themeColor="text1"/>
                <w:lang w:val="en-US" w:eastAsia="zh-CN"/>
                <w14:textFill>
                  <w14:solidFill>
                    <w14:schemeClr w14:val="tx1"/>
                  </w14:solidFill>
                </w14:textFill>
              </w:rPr>
              <w:t>为</w:t>
            </w:r>
            <w:r>
              <w:rPr>
                <w:rFonts w:hint="default" w:ascii="Times New Roman" w:hAnsi="Times New Roman" w:eastAsia="宋体" w:cs="Times New Roman"/>
                <w:color w:val="000000" w:themeColor="text1"/>
                <w:kern w:val="0"/>
                <w14:textFill>
                  <w14:solidFill>
                    <w14:schemeClr w14:val="tx1"/>
                  </w14:solidFill>
                </w14:textFill>
              </w:rPr>
              <w:t>鼓励类项目中的</w:t>
            </w:r>
            <w:r>
              <w:rPr>
                <w:rFonts w:hint="eastAsia" w:cs="Times New Roman"/>
                <w:color w:val="000000" w:themeColor="text1"/>
                <w:kern w:val="0"/>
                <w:lang w:eastAsia="zh-CN"/>
                <w14:textFill>
                  <w14:solidFill>
                    <w14:schemeClr w14:val="tx1"/>
                  </w14:solidFill>
                </w14:textFill>
              </w:rPr>
              <w:t>“</w:t>
            </w:r>
            <w:r>
              <w:rPr>
                <w:rFonts w:hint="default" w:ascii="Times New Roman" w:hAnsi="Times New Roman" w:eastAsia="宋体" w:cs="Times New Roman"/>
                <w:color w:val="000000" w:themeColor="text1"/>
                <w:kern w:val="0"/>
                <w:lang w:val="en-US" w:eastAsia="zh-CN"/>
                <w14:textFill>
                  <w14:solidFill>
                    <w14:schemeClr w14:val="tx1"/>
                  </w14:solidFill>
                </w14:textFill>
              </w:rPr>
              <w:t>三十四、旅游业2.旅游新业态：</w:t>
            </w:r>
            <w:r>
              <w:rPr>
                <w:rFonts w:hint="default" w:ascii="Times New Roman" w:hAnsi="Times New Roman" w:eastAsia="宋体" w:cs="Times New Roman"/>
                <w:color w:val="000000" w:themeColor="text1"/>
                <w:kern w:val="0"/>
                <w14:textFill>
                  <w14:solidFill>
                    <w14:schemeClr w14:val="tx1"/>
                  </w14:solidFill>
                </w14:textFill>
              </w:rPr>
              <w:t>文化旅游、康养旅游、乡村旅游、生态旅游、海洋旅游、森林旅游、草原旅游、湿地旅游、湖泊旅游、冰雪旅游、红色旅游、城市旅游、工业旅游、体育旅游、游乐及其他旅游资源综合开发、旅游基础设施建设和运营、旅游信息等服务，智慧旅游、科技旅游、休闲度假旅游、自驾游、低空旅游、邮轮游艇旅游及其他新兴旅游方式服务体系建设</w:t>
            </w:r>
            <w:r>
              <w:rPr>
                <w:rFonts w:hint="eastAsia" w:cs="Times New Roman"/>
                <w:color w:val="000000" w:themeColor="text1"/>
                <w:kern w:val="0"/>
                <w:lang w:eastAsia="zh-CN"/>
                <w14:textFill>
                  <w14:solidFill>
                    <w14:schemeClr w14:val="tx1"/>
                  </w14:solidFill>
                </w14:textFill>
              </w:rPr>
              <w:t>”</w:t>
            </w:r>
            <w:r>
              <w:rPr>
                <w:rFonts w:hint="default" w:ascii="Times New Roman" w:hAnsi="Times New Roman" w:cs="Times New Roman"/>
                <w:color w:val="000000" w:themeColor="text1"/>
                <w:kern w:val="0"/>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且本项目不属于</w:t>
            </w:r>
            <w:r>
              <w:rPr>
                <w:rFonts w:hint="default" w:ascii="Times New Roman" w:hAnsi="Times New Roman" w:cs="Times New Roman"/>
                <w:color w:val="000000" w:themeColor="text1"/>
                <w14:textFill>
                  <w14:solidFill>
                    <w14:schemeClr w14:val="tx1"/>
                  </w14:solidFill>
                </w14:textFill>
              </w:rPr>
              <w:t>《泾源县国家重点生态功能区产业准入负面清单（试行版）</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中的限制类和禁止类。</w:t>
            </w:r>
          </w:p>
          <w:p w14:paraId="59F80E5C">
            <w:pPr>
              <w:spacing w:line="360" w:lineRule="auto"/>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因此该项目的建设</w:t>
            </w:r>
            <w:r>
              <w:rPr>
                <w:rFonts w:hint="default" w:ascii="Times New Roman" w:hAnsi="Times New Roman" w:cs="Times New Roman"/>
                <w:color w:val="000000" w:themeColor="text1"/>
                <w14:textFill>
                  <w14:solidFill>
                    <w14:schemeClr w14:val="tx1"/>
                  </w14:solidFill>
                </w14:textFill>
              </w:rPr>
              <w:t>符合要求。</w:t>
            </w:r>
          </w:p>
          <w:p w14:paraId="702E640C">
            <w:pPr>
              <w:spacing w:line="360" w:lineRule="auto"/>
              <w:ind w:firstLine="482"/>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7</w:t>
            </w:r>
            <w:r>
              <w:rPr>
                <w:rFonts w:hint="default" w:ascii="Times New Roman" w:hAnsi="Times New Roman" w:eastAsia="宋体" w:cs="Times New Roman"/>
                <w:b/>
                <w:bCs/>
                <w:color w:val="000000" w:themeColor="text1"/>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14:textFill>
                  <w14:solidFill>
                    <w14:schemeClr w14:val="tx1"/>
                  </w14:solidFill>
                </w14:textFill>
              </w:rPr>
              <w:t>选址及规划符合性分析</w:t>
            </w:r>
          </w:p>
          <w:p w14:paraId="69647316">
            <w:pPr>
              <w:spacing w:line="360" w:lineRule="auto"/>
              <w:ind w:firstLine="480"/>
              <w:rPr>
                <w:rFonts w:hint="default" w:ascii="Times New Roman" w:hAnsi="Times New Roman" w:eastAsia="宋体" w:cs="Times New Roman"/>
                <w:color w:val="000000" w:themeColor="text1"/>
                <w:kern w:val="0"/>
                <w:lang w:val="en-US" w:eastAsia="zh-CN"/>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本项目选址</w:t>
            </w:r>
            <w:r>
              <w:rPr>
                <w:rFonts w:hint="default" w:ascii="Times New Roman" w:hAnsi="Times New Roman" w:eastAsia="宋体" w:cs="Times New Roman"/>
                <w:color w:val="000000" w:themeColor="text1"/>
                <w:kern w:val="0"/>
                <w:lang w:val="en-US" w:eastAsia="zh-CN"/>
                <w14:textFill>
                  <w14:solidFill>
                    <w14:schemeClr w14:val="tx1"/>
                  </w14:solidFill>
                </w14:textFill>
              </w:rPr>
              <w:t>位于泾源县黄花乡</w:t>
            </w:r>
            <w:r>
              <w:rPr>
                <w:rFonts w:hint="eastAsia" w:cs="Times New Roman"/>
                <w:color w:val="000000" w:themeColor="text1"/>
                <w:kern w:val="0"/>
                <w:lang w:val="en-US" w:eastAsia="zh-CN"/>
                <w14:textFill>
                  <w14:solidFill>
                    <w14:schemeClr w14:val="tx1"/>
                  </w14:solidFill>
                </w14:textFill>
              </w:rPr>
              <w:t>，紧邻</w:t>
            </w:r>
            <w:r>
              <w:rPr>
                <w:rFonts w:hint="default" w:ascii="Times New Roman" w:hAnsi="Times New Roman" w:eastAsia="宋体" w:cs="Times New Roman"/>
                <w:color w:val="000000" w:themeColor="text1"/>
                <w:kern w:val="0"/>
                <w:lang w:val="en-US" w:eastAsia="zh-CN"/>
                <w14:textFill>
                  <w14:solidFill>
                    <w14:schemeClr w14:val="tx1"/>
                  </w14:solidFill>
                </w14:textFill>
              </w:rPr>
              <w:t>六盘山</w:t>
            </w:r>
            <w:r>
              <w:rPr>
                <w:rFonts w:hint="default" w:ascii="Times New Roman" w:hAnsi="Times New Roman" w:cs="Times New Roman"/>
                <w:color w:val="000000" w:themeColor="text1"/>
                <w:kern w:val="0"/>
                <w:lang w:val="en-US" w:eastAsia="zh-CN"/>
                <w14:textFill>
                  <w14:solidFill>
                    <w14:schemeClr w14:val="tx1"/>
                  </w14:solidFill>
                </w14:textFill>
              </w:rPr>
              <w:t>自治区</w:t>
            </w:r>
            <w:r>
              <w:rPr>
                <w:rFonts w:hint="default" w:ascii="Times New Roman" w:hAnsi="Times New Roman" w:eastAsia="宋体" w:cs="Times New Roman"/>
                <w:color w:val="000000" w:themeColor="text1"/>
                <w:kern w:val="0"/>
                <w:lang w:val="en-US" w:eastAsia="zh-CN"/>
                <w14:textFill>
                  <w14:solidFill>
                    <w14:schemeClr w14:val="tx1"/>
                  </w14:solidFill>
                </w14:textFill>
              </w:rPr>
              <w:t>级自然保护区，</w:t>
            </w:r>
            <w:r>
              <w:rPr>
                <w:rFonts w:hint="default" w:ascii="Times New Roman" w:hAnsi="Times New Roman" w:cs="Times New Roman"/>
                <w:color w:val="000000" w:themeColor="text1"/>
                <w:kern w:val="0"/>
                <w:lang w:val="en-US" w:eastAsia="zh-CN"/>
                <w14:textFill>
                  <w14:solidFill>
                    <w14:schemeClr w14:val="tx1"/>
                  </w14:solidFill>
                </w14:textFill>
              </w:rPr>
              <w:t>距离自然</w:t>
            </w:r>
            <w:r>
              <w:rPr>
                <w:rFonts w:hint="default" w:ascii="Times New Roman" w:hAnsi="Times New Roman" w:cs="Times New Roman"/>
                <w:color w:val="000000" w:themeColor="text1"/>
                <w:kern w:val="0"/>
                <w:highlight w:val="none"/>
                <w:lang w:val="en-US" w:eastAsia="zh-CN"/>
                <w14:textFill>
                  <w14:solidFill>
                    <w14:schemeClr w14:val="tx1"/>
                  </w14:solidFill>
                </w14:textFill>
              </w:rPr>
              <w:t>保护区距离</w:t>
            </w:r>
            <w:r>
              <w:rPr>
                <w:rFonts w:hint="eastAsia" w:cs="Times New Roman"/>
                <w:color w:val="000000" w:themeColor="text1"/>
                <w:kern w:val="0"/>
                <w:highlight w:val="none"/>
                <w:lang w:val="en-US" w:eastAsia="zh-CN"/>
                <w14:textFill>
                  <w14:solidFill>
                    <w14:schemeClr w14:val="tx1"/>
                  </w14:solidFill>
                </w14:textFill>
              </w:rPr>
              <w:t>不到1</w:t>
            </w:r>
            <w:r>
              <w:rPr>
                <w:rFonts w:hint="default" w:ascii="Times New Roman" w:hAnsi="Times New Roman" w:cs="Times New Roman"/>
                <w:color w:val="000000" w:themeColor="text1"/>
                <w:kern w:val="0"/>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kern w:val="0"/>
                <w:highlight w:val="none"/>
                <w:lang w:val="en-US" w:eastAsia="zh-CN"/>
                <w14:textFill>
                  <w14:solidFill>
                    <w14:schemeClr w14:val="tx1"/>
                  </w14:solidFill>
                </w14:textFill>
              </w:rPr>
              <w:t>根据《泾源县国土空间总体规划（2021-2035年）》（以下简称</w:t>
            </w:r>
            <w:r>
              <w:rPr>
                <w:rFonts w:hint="eastAsia" w:cs="Times New Roman"/>
                <w:color w:val="000000" w:themeColor="text1"/>
                <w:kern w:val="0"/>
                <w:highlight w:val="none"/>
                <w:lang w:val="en-US" w:eastAsia="zh-CN"/>
                <w14:textFill>
                  <w14:solidFill>
                    <w14:schemeClr w14:val="tx1"/>
                  </w14:solidFill>
                </w14:textFill>
              </w:rPr>
              <w:t>“</w:t>
            </w:r>
            <w:r>
              <w:rPr>
                <w:rFonts w:hint="default" w:ascii="Times New Roman" w:hAnsi="Times New Roman" w:cs="Times New Roman"/>
                <w:color w:val="000000" w:themeColor="text1"/>
                <w:kern w:val="0"/>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highlight w:val="none"/>
                <w:lang w:val="en-US" w:eastAsia="zh-CN"/>
                <w14:textFill>
                  <w14:solidFill>
                    <w14:schemeClr w14:val="tx1"/>
                  </w14:solidFill>
                </w14:textFill>
              </w:rPr>
              <w:t>规划</w:t>
            </w:r>
            <w:r>
              <w:rPr>
                <w:rFonts w:hint="default" w:ascii="Times New Roman" w:hAnsi="Times New Roman" w:cs="Times New Roman"/>
                <w:color w:val="000000" w:themeColor="text1"/>
                <w:kern w:val="0"/>
                <w:highlight w:val="none"/>
                <w:lang w:val="en-US" w:eastAsia="zh-CN"/>
                <w14:textFill>
                  <w14:solidFill>
                    <w14:schemeClr w14:val="tx1"/>
                  </w14:solidFill>
                </w14:textFill>
              </w:rPr>
              <w:t>》</w:t>
            </w:r>
            <w:r>
              <w:rPr>
                <w:rFonts w:hint="eastAsia" w:cs="Times New Roman"/>
                <w:color w:val="000000" w:themeColor="text1"/>
                <w:kern w:val="0"/>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lang w:val="en-US" w:eastAsia="zh-CN"/>
                <w14:textFill>
                  <w14:solidFill>
                    <w14:schemeClr w14:val="tx1"/>
                  </w14:solidFill>
                </w14:textFill>
              </w:rPr>
              <w:t>泾源县致力于建设宁夏南部重要生态功能区和水源涵养区、避暑旅游目的地、富有山水田园风光和民俗特色的公园城市。《规划》中对黄花乡的指引，其发展定位为农贸型乡镇，发展目标为温泉度假基地。</w:t>
            </w:r>
          </w:p>
          <w:p w14:paraId="62AF67FF">
            <w:pPr>
              <w:spacing w:line="360" w:lineRule="auto"/>
              <w:ind w:firstLine="480"/>
              <w:rPr>
                <w:rFonts w:hint="default" w:ascii="Times New Roman" w:hAnsi="Times New Roman" w:eastAsia="宋体" w:cs="Times New Roman"/>
                <w:color w:val="000000" w:themeColor="text1"/>
                <w:kern w:val="0"/>
                <w:lang w:val="en-US" w:eastAsia="zh-CN"/>
                <w14:textFill>
                  <w14:solidFill>
                    <w14:schemeClr w14:val="tx1"/>
                  </w14:solidFill>
                </w14:textFill>
              </w:rPr>
            </w:pPr>
            <w:r>
              <w:rPr>
                <w:rFonts w:hint="default" w:ascii="Times New Roman" w:hAnsi="Times New Roman" w:eastAsia="宋体" w:cs="Times New Roman"/>
                <w:color w:val="000000" w:themeColor="text1"/>
                <w:kern w:val="0"/>
                <w:lang w:val="en-US" w:eastAsia="zh-CN"/>
                <w14:textFill>
                  <w14:solidFill>
                    <w14:schemeClr w14:val="tx1"/>
                  </w14:solidFill>
                </w14:textFill>
              </w:rPr>
              <w:t>本项目为宁夏泾源县龙房宫片区生态环境修复与农林文旅康融合开发EOD项目，建设内容包括</w:t>
            </w:r>
            <w:r>
              <w:rPr>
                <w:rFonts w:hint="default" w:ascii="Times New Roman" w:hAnsi="Times New Roman" w:cs="Times New Roman"/>
                <w:color w:val="000000" w:themeColor="text1"/>
                <w:kern w:val="0"/>
                <w:lang w:val="en-US" w:eastAsia="zh-CN"/>
                <w14:textFill>
                  <w14:solidFill>
                    <w14:schemeClr w14:val="tx1"/>
                  </w14:solidFill>
                </w14:textFill>
              </w:rPr>
              <w:t>道路提升、农村垃圾、农文旅配套、农业面源污染、山洪及地质灾害、清洁取暖改造、城乡供水一体化及水土保持、人居环境、</w:t>
            </w:r>
            <w:r>
              <w:rPr>
                <w:rFonts w:hint="eastAsia" w:cs="Times New Roman"/>
                <w:color w:val="000000" w:themeColor="text1"/>
                <w:kern w:val="0"/>
                <w:lang w:val="en-US" w:eastAsia="zh-CN"/>
                <w14:textFill>
                  <w14:solidFill>
                    <w14:schemeClr w14:val="tx1"/>
                  </w14:solidFill>
                </w14:textFill>
              </w:rPr>
              <w:t>“</w:t>
            </w:r>
            <w:r>
              <w:rPr>
                <w:rFonts w:hint="default" w:ascii="Times New Roman" w:hAnsi="Times New Roman" w:cs="Times New Roman"/>
                <w:color w:val="000000" w:themeColor="text1"/>
                <w:kern w:val="0"/>
                <w:lang w:val="en-US" w:eastAsia="zh-CN"/>
                <w14:textFill>
                  <w14:solidFill>
                    <w14:schemeClr w14:val="tx1"/>
                  </w14:solidFill>
                </w14:textFill>
              </w:rPr>
              <w:t>一老一少</w:t>
            </w:r>
            <w:r>
              <w:rPr>
                <w:rFonts w:hint="eastAsia" w:cs="Times New Roman"/>
                <w:color w:val="000000" w:themeColor="text1"/>
                <w:kern w:val="0"/>
                <w:lang w:val="en-US" w:eastAsia="zh-CN"/>
                <w14:textFill>
                  <w14:solidFill>
                    <w14:schemeClr w14:val="tx1"/>
                  </w14:solidFill>
                </w14:textFill>
              </w:rPr>
              <w:t>”</w:t>
            </w:r>
            <w:r>
              <w:rPr>
                <w:rFonts w:hint="default" w:ascii="Times New Roman" w:hAnsi="Times New Roman" w:cs="Times New Roman"/>
                <w:color w:val="000000" w:themeColor="text1"/>
                <w:kern w:val="0"/>
                <w:lang w:val="en-US" w:eastAsia="zh-CN"/>
                <w14:textFill>
                  <w14:solidFill>
                    <w14:schemeClr w14:val="tx1"/>
                  </w14:solidFill>
                </w14:textFill>
              </w:rPr>
              <w:t>服务、农村生活污水；农产品交易、林下经济、文化展示、森林旅游、温泉康养。其中路提升、农村垃圾、农文旅配套、农业面源污染、山洪及地质灾害、清洁取暖改造、城乡供水一体化及水土保持、人居环境、</w:t>
            </w:r>
            <w:r>
              <w:rPr>
                <w:rFonts w:hint="eastAsia" w:cs="Times New Roman"/>
                <w:color w:val="000000" w:themeColor="text1"/>
                <w:kern w:val="0"/>
                <w:lang w:val="en-US" w:eastAsia="zh-CN"/>
                <w14:textFill>
                  <w14:solidFill>
                    <w14:schemeClr w14:val="tx1"/>
                  </w14:solidFill>
                </w14:textFill>
              </w:rPr>
              <w:t>“</w:t>
            </w:r>
            <w:r>
              <w:rPr>
                <w:rFonts w:hint="default" w:ascii="Times New Roman" w:hAnsi="Times New Roman" w:cs="Times New Roman"/>
                <w:color w:val="000000" w:themeColor="text1"/>
                <w:kern w:val="0"/>
                <w:lang w:val="en-US" w:eastAsia="zh-CN"/>
                <w14:textFill>
                  <w14:solidFill>
                    <w14:schemeClr w14:val="tx1"/>
                  </w14:solidFill>
                </w14:textFill>
              </w:rPr>
              <w:t>一老一少</w:t>
            </w:r>
            <w:r>
              <w:rPr>
                <w:rFonts w:hint="eastAsia" w:cs="Times New Roman"/>
                <w:color w:val="000000" w:themeColor="text1"/>
                <w:kern w:val="0"/>
                <w:lang w:val="en-US" w:eastAsia="zh-CN"/>
                <w14:textFill>
                  <w14:solidFill>
                    <w14:schemeClr w14:val="tx1"/>
                  </w14:solidFill>
                </w14:textFill>
              </w:rPr>
              <w:t>”</w:t>
            </w:r>
            <w:r>
              <w:rPr>
                <w:rFonts w:hint="default" w:ascii="Times New Roman" w:hAnsi="Times New Roman" w:cs="Times New Roman"/>
                <w:color w:val="000000" w:themeColor="text1"/>
                <w:kern w:val="0"/>
                <w:lang w:val="en-US" w:eastAsia="zh-CN"/>
                <w14:textFill>
                  <w14:solidFill>
                    <w14:schemeClr w14:val="tx1"/>
                  </w14:solidFill>
                </w14:textFill>
              </w:rPr>
              <w:t>服务、农村生活污水部分不在本次评价范围内。本次评价的农产品交易、林下经济、文化展示、森林旅游、温泉康养部分</w:t>
            </w:r>
            <w:r>
              <w:rPr>
                <w:rFonts w:hint="default" w:ascii="Times New Roman" w:hAnsi="Times New Roman" w:eastAsia="宋体" w:cs="Times New Roman"/>
                <w:color w:val="000000" w:themeColor="text1"/>
                <w:kern w:val="0"/>
                <w:lang w:val="en-US" w:eastAsia="zh-CN"/>
                <w14:textFill>
                  <w14:solidFill>
                    <w14:schemeClr w14:val="tx1"/>
                  </w14:solidFill>
                </w14:textFill>
              </w:rPr>
              <w:t>符合《规划》中黄花乡温泉度假基地的发展目标。</w:t>
            </w:r>
          </w:p>
          <w:p w14:paraId="05A6F3E0">
            <w:pPr>
              <w:spacing w:line="360" w:lineRule="auto"/>
              <w:ind w:firstLine="480"/>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因此，本项目建设选址符合要求。</w:t>
            </w:r>
          </w:p>
          <w:p w14:paraId="6FFE9105">
            <w:pPr>
              <w:spacing w:line="360" w:lineRule="auto"/>
              <w:ind w:firstLine="480"/>
              <w:rPr>
                <w:rFonts w:hint="default" w:ascii="Times New Roman" w:hAnsi="Times New Roman" w:eastAsia="宋体" w:cs="Times New Roman"/>
                <w:color w:val="000000" w:themeColor="text1"/>
                <w:kern w:val="0"/>
                <w14:textFill>
                  <w14:solidFill>
                    <w14:schemeClr w14:val="tx1"/>
                  </w14:solidFill>
                </w14:textFill>
              </w:rPr>
            </w:pPr>
          </w:p>
          <w:p w14:paraId="4E79EA4F">
            <w:pPr>
              <w:spacing w:line="360" w:lineRule="auto"/>
              <w:ind w:firstLine="480"/>
              <w:rPr>
                <w:rFonts w:hint="default" w:ascii="Times New Roman" w:hAnsi="Times New Roman" w:eastAsia="宋体" w:cs="Times New Roman"/>
                <w:color w:val="000000" w:themeColor="text1"/>
                <w:kern w:val="0"/>
                <w14:textFill>
                  <w14:solidFill>
                    <w14:schemeClr w14:val="tx1"/>
                  </w14:solidFill>
                </w14:textFill>
              </w:rPr>
            </w:pPr>
          </w:p>
          <w:p w14:paraId="1C587A5C">
            <w:pPr>
              <w:spacing w:line="360" w:lineRule="auto"/>
              <w:ind w:firstLine="480"/>
              <w:rPr>
                <w:rFonts w:hint="default" w:ascii="Times New Roman" w:hAnsi="Times New Roman" w:eastAsia="宋体" w:cs="Times New Roman"/>
                <w:color w:val="000000" w:themeColor="text1"/>
                <w:kern w:val="0"/>
                <w14:textFill>
                  <w14:solidFill>
                    <w14:schemeClr w14:val="tx1"/>
                  </w14:solidFill>
                </w14:textFill>
              </w:rPr>
            </w:pPr>
          </w:p>
          <w:p w14:paraId="32B0D010">
            <w:pPr>
              <w:spacing w:line="360" w:lineRule="auto"/>
              <w:ind w:firstLine="480"/>
              <w:rPr>
                <w:rFonts w:hint="default" w:ascii="Times New Roman" w:hAnsi="Times New Roman" w:eastAsia="宋体" w:cs="Times New Roman"/>
                <w:color w:val="000000" w:themeColor="text1"/>
                <w:kern w:val="0"/>
                <w14:textFill>
                  <w14:solidFill>
                    <w14:schemeClr w14:val="tx1"/>
                  </w14:solidFill>
                </w14:textFill>
              </w:rPr>
            </w:pPr>
          </w:p>
          <w:p w14:paraId="693C915F">
            <w:pPr>
              <w:spacing w:line="360" w:lineRule="auto"/>
              <w:ind w:firstLine="480"/>
              <w:rPr>
                <w:rFonts w:hint="default" w:ascii="Times New Roman" w:hAnsi="Times New Roman" w:eastAsia="宋体" w:cs="Times New Roman"/>
                <w:color w:val="000000" w:themeColor="text1"/>
                <w:kern w:val="0"/>
                <w14:textFill>
                  <w14:solidFill>
                    <w14:schemeClr w14:val="tx1"/>
                  </w14:solidFill>
                </w14:textFill>
              </w:rPr>
            </w:pPr>
          </w:p>
          <w:p w14:paraId="015CED98">
            <w:pPr>
              <w:spacing w:line="360" w:lineRule="auto"/>
              <w:ind w:firstLine="480"/>
              <w:rPr>
                <w:rFonts w:hint="default" w:ascii="Times New Roman" w:hAnsi="Times New Roman" w:eastAsia="宋体" w:cs="Times New Roman"/>
                <w:color w:val="000000" w:themeColor="text1"/>
                <w:kern w:val="0"/>
                <w14:textFill>
                  <w14:solidFill>
                    <w14:schemeClr w14:val="tx1"/>
                  </w14:solidFill>
                </w14:textFill>
              </w:rPr>
            </w:pPr>
          </w:p>
        </w:tc>
      </w:tr>
    </w:tbl>
    <w:p w14:paraId="6BD1AB94">
      <w:pPr>
        <w:ind w:firstLine="600"/>
        <w:outlineLvl w:val="0"/>
        <w:rPr>
          <w:rFonts w:hint="default" w:ascii="Times New Roman" w:hAnsi="Times New Roman" w:eastAsia="黑体" w:cs="Times New Roman"/>
          <w:color w:val="000000" w:themeColor="text1"/>
          <w:sz w:val="30"/>
          <w14:textFill>
            <w14:solidFill>
              <w14:schemeClr w14:val="tx1"/>
            </w14:solidFill>
          </w14:textFill>
        </w:rPr>
        <w:sectPr>
          <w:headerReference r:id="rId7" w:type="default"/>
          <w:footerReference r:id="rId8" w:type="default"/>
          <w:pgSz w:w="11906" w:h="16838"/>
          <w:pgMar w:top="1701" w:right="1531" w:bottom="1701" w:left="1531" w:header="851" w:footer="1077" w:gutter="0"/>
          <w:pgBorders>
            <w:top w:val="none" w:sz="0" w:space="0"/>
            <w:left w:val="none" w:sz="0" w:space="0"/>
            <w:bottom w:val="none" w:sz="0" w:space="0"/>
            <w:right w:val="none" w:sz="0" w:space="0"/>
          </w:pgBorders>
          <w:pgNumType w:fmt="numberInDash" w:start="1"/>
          <w:cols w:space="720" w:num="1"/>
          <w:docGrid w:linePitch="312" w:charSpace="0"/>
        </w:sectPr>
      </w:pPr>
    </w:p>
    <w:p w14:paraId="0E34CD04">
      <w:pPr>
        <w:pStyle w:val="2"/>
        <w:keepNext/>
        <w:keepLines w:val="0"/>
        <w:pageBreakBefore w:val="0"/>
        <w:widowControl w:val="0"/>
        <w:kinsoku/>
        <w:wordWrap/>
        <w:overflowPunct w:val="0"/>
        <w:topLinePunct w:val="0"/>
        <w:autoSpaceDE/>
        <w:autoSpaceDN/>
        <w:bidi w:val="0"/>
        <w:adjustRightInd/>
        <w:snapToGrid w:val="0"/>
        <w:spacing w:after="0" w:line="240" w:lineRule="auto"/>
        <w:ind w:left="0" w:firstLine="0" w:firstLineChars="0"/>
        <w:jc w:val="center"/>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二、建设内容</w:t>
      </w:r>
    </w:p>
    <w:tbl>
      <w:tblPr>
        <w:tblStyle w:val="27"/>
        <w:tblW w:w="5000"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28" w:type="dxa"/>
          <w:left w:w="28" w:type="dxa"/>
          <w:bottom w:w="28" w:type="dxa"/>
          <w:right w:w="28" w:type="dxa"/>
        </w:tblCellMar>
      </w:tblPr>
      <w:tblGrid>
        <w:gridCol w:w="483"/>
        <w:gridCol w:w="7873"/>
      </w:tblGrid>
      <w:tr w14:paraId="09D2BE57">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28" w:type="dxa"/>
            <w:left w:w="28" w:type="dxa"/>
            <w:bottom w:w="28" w:type="dxa"/>
            <w:right w:w="28" w:type="dxa"/>
          </w:tblCellMar>
        </w:tblPrEx>
        <w:trPr>
          <w:trHeight w:val="1354" w:hRule="atLeast"/>
          <w:jc w:val="center"/>
        </w:trPr>
        <w:tc>
          <w:tcPr>
            <w:tcW w:w="289" w:type="pct"/>
            <w:noWrap w:val="0"/>
            <w:vAlign w:val="center"/>
          </w:tcPr>
          <w:p w14:paraId="27B0AA4D">
            <w:pPr>
              <w:adjustRightInd w:val="0"/>
              <w:snapToGrid w:val="0"/>
              <w:ind w:firstLine="0" w:firstLineChars="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pacing w:val="0"/>
                <w:kern w:val="0"/>
                <w:sz w:val="24"/>
                <w14:textFill>
                  <w14:solidFill>
                    <w14:schemeClr w14:val="tx1"/>
                  </w14:solidFill>
                </w14:textFill>
              </w:rPr>
              <w:t>地理位置</w:t>
            </w:r>
          </w:p>
        </w:tc>
        <w:tc>
          <w:tcPr>
            <w:tcW w:w="4710" w:type="pct"/>
            <w:noWrap w:val="0"/>
            <w:vAlign w:val="center"/>
          </w:tcPr>
          <w:p w14:paraId="0025F435">
            <w:pPr>
              <w:pStyle w:val="45"/>
              <w:keepNext w:val="0"/>
              <w:keepLines w:val="0"/>
              <w:pageBreakBefore w:val="0"/>
              <w:widowControl w:val="0"/>
              <w:kinsoku/>
              <w:wordWrap/>
              <w:overflowPunct/>
              <w:topLinePunct w:val="0"/>
              <w:autoSpaceDE/>
              <w:autoSpaceDN/>
              <w:bidi w:val="0"/>
              <w:adjustRightInd/>
              <w:snapToGrid/>
              <w:spacing w:before="120" w:beforeLines="50" w:line="360" w:lineRule="auto"/>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本项目建设地点位于泾源县黄花乡</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，紧邻</w:t>
            </w:r>
            <w:r>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t>六盘山自治区级自然保护区，距离保护区最近距离</w:t>
            </w:r>
            <w:r>
              <w:rPr>
                <w:rFonts w:hint="eastAsia" w:ascii="Times New Roman" w:hAnsi="Times New Roman" w:cs="Times New Roman"/>
                <w:color w:val="000000" w:themeColor="text1"/>
                <w:kern w:val="2"/>
                <w:sz w:val="24"/>
                <w:szCs w:val="24"/>
                <w:highlight w:val="none"/>
                <w:lang w:val="en-US" w:eastAsia="zh-CN" w:bidi="ar-SA"/>
                <w14:textFill>
                  <w14:solidFill>
                    <w14:schemeClr w14:val="tx1"/>
                  </w14:solidFill>
                </w14:textFill>
              </w:rPr>
              <w:t>不到1</w:t>
            </w:r>
            <w:r>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，交通便利，紧邻S313省道，项目区总用地面积</w:t>
            </w:r>
            <w:r>
              <w:rPr>
                <w:rFonts w:hint="default" w:ascii="Times New Roman" w:hAnsi="Times New Roman" w:cs="Times New Roman"/>
                <w:color w:val="000000" w:themeColor="text1"/>
                <w:highlight w:val="none"/>
                <w:lang w:val="en-US" w:eastAsia="zh-CN"/>
                <w14:textFill>
                  <w14:solidFill>
                    <w14:schemeClr w14:val="tx1"/>
                  </w14:solidFill>
                </w14:textFill>
              </w:rPr>
              <w:t>148111.1</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t>本</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项目地理位置图见附图6。</w:t>
            </w:r>
          </w:p>
          <w:p w14:paraId="7B9F6D2C">
            <w:pPr>
              <w:keepNext w:val="0"/>
              <w:keepLines w:val="0"/>
              <w:pageBreakBefore w:val="0"/>
              <w:widowControl w:val="0"/>
              <w:kinsoku/>
              <w:wordWrap w:val="0"/>
              <w:overflowPunct/>
              <w:topLinePunct w:val="0"/>
              <w:autoSpaceDE w:val="0"/>
              <w:autoSpaceDN w:val="0"/>
              <w:bidi w:val="0"/>
              <w:adjustRightInd w:val="0"/>
              <w:snapToGrid/>
              <w:spacing w:line="360" w:lineRule="auto"/>
              <w:ind w:firstLine="480"/>
              <w:textAlignment w:val="auto"/>
              <w:rPr>
                <w:rFonts w:hint="default" w:ascii="Times New Roman" w:hAnsi="Times New Roman" w:eastAsia="宋体" w:cs="Times New Roman"/>
                <w:color w:val="000000" w:themeColor="text1"/>
                <w:kern w:val="0"/>
                <w:lang w:eastAsia="zh-CN"/>
                <w14:textFill>
                  <w14:solidFill>
                    <w14:schemeClr w14:val="tx1"/>
                  </w14:solidFill>
                </w14:textFill>
              </w:rPr>
            </w:pPr>
            <w:r>
              <w:rPr>
                <w:rFonts w:hint="default" w:ascii="Times New Roman" w:hAnsi="Times New Roman" w:cs="Times New Roman"/>
                <w:color w:val="000000" w:themeColor="text1"/>
                <w:kern w:val="0"/>
                <w:lang w:val="en-US" w:eastAsia="zh-CN"/>
                <w14:textFill>
                  <w14:solidFill>
                    <w14:schemeClr w14:val="tx1"/>
                  </w14:solidFill>
                </w14:textFill>
              </w:rPr>
              <w:t>中心位置</w:t>
            </w:r>
            <w:r>
              <w:rPr>
                <w:rFonts w:hint="default" w:ascii="Times New Roman" w:hAnsi="Times New Roman" w:cs="Times New Roman"/>
                <w:color w:val="000000" w:themeColor="text1"/>
                <w:kern w:val="0"/>
                <w:lang w:eastAsia="zh-CN"/>
                <w14:textFill>
                  <w14:solidFill>
                    <w14:schemeClr w14:val="tx1"/>
                  </w14:solidFill>
                </w14:textFill>
              </w:rPr>
              <w:t>坐标：东经</w:t>
            </w:r>
            <w:r>
              <w:rPr>
                <w:rFonts w:hint="default" w:ascii="Times New Roman" w:hAnsi="Times New Roman" w:cs="Times New Roman"/>
                <w:color w:val="000000" w:themeColor="text1"/>
                <w:lang w:val="en-US" w:eastAsia="zh-CN"/>
                <w14:textFill>
                  <w14:solidFill>
                    <w14:schemeClr w14:val="tx1"/>
                  </w14:solidFill>
                </w14:textFill>
              </w:rPr>
              <w:t>106°24′23.502″</w:t>
            </w:r>
            <w:r>
              <w:rPr>
                <w:rFonts w:hint="default" w:ascii="Times New Roman" w:hAnsi="Times New Roman" w:cs="Times New Roman"/>
                <w:color w:val="000000" w:themeColor="text1"/>
                <w:kern w:val="0"/>
                <w:lang w:eastAsia="zh-CN"/>
                <w14:textFill>
                  <w14:solidFill>
                    <w14:schemeClr w14:val="tx1"/>
                  </w14:solidFill>
                </w14:textFill>
              </w:rPr>
              <w:t>；北纬</w:t>
            </w:r>
            <w:r>
              <w:rPr>
                <w:rFonts w:hint="default" w:ascii="Times New Roman" w:hAnsi="Times New Roman" w:cs="Times New Roman"/>
                <w:color w:val="000000" w:themeColor="text1"/>
                <w:lang w:val="en-US" w:eastAsia="zh-CN"/>
                <w14:textFill>
                  <w14:solidFill>
                    <w14:schemeClr w14:val="tx1"/>
                  </w14:solidFill>
                </w14:textFill>
              </w:rPr>
              <w:t>35°32′45.309″</w:t>
            </w:r>
          </w:p>
        </w:tc>
      </w:tr>
      <w:tr w14:paraId="6BF4C885">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28" w:type="dxa"/>
            <w:left w:w="28" w:type="dxa"/>
            <w:bottom w:w="28" w:type="dxa"/>
            <w:right w:w="28" w:type="dxa"/>
          </w:tblCellMar>
        </w:tblPrEx>
        <w:trPr>
          <w:trHeight w:val="1266" w:hRule="atLeast"/>
          <w:jc w:val="center"/>
        </w:trPr>
        <w:tc>
          <w:tcPr>
            <w:tcW w:w="289" w:type="pct"/>
            <w:noWrap w:val="0"/>
            <w:vAlign w:val="center"/>
          </w:tcPr>
          <w:p w14:paraId="021EA0F2">
            <w:pPr>
              <w:adjustRightInd w:val="0"/>
              <w:snapToGrid w:val="0"/>
              <w:ind w:firstLine="0" w:firstLineChars="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项目组成及规模</w:t>
            </w:r>
          </w:p>
        </w:tc>
        <w:tc>
          <w:tcPr>
            <w:tcW w:w="4710" w:type="pct"/>
            <w:noWrap w:val="0"/>
            <w:vAlign w:val="center"/>
          </w:tcPr>
          <w:p w14:paraId="7F2E5678">
            <w:pPr>
              <w:autoSpaceDE w:val="0"/>
              <w:autoSpaceDN w:val="0"/>
              <w:adjustRightInd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1 项目建设背景及必要性</w:t>
            </w:r>
          </w:p>
          <w:p w14:paraId="36A7054C">
            <w:pPr>
              <w:autoSpaceDE w:val="0"/>
              <w:autoSpaceDN w:val="0"/>
              <w:adjustRightInd w:val="0"/>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泾源县黄花乡的温泉资源位于其特定的自然区域内，这里山清水秀，气候宜人，是温泉疗养和康养的理想之地。温泉水的形成与当地的地质构造和水文条件密切相关，富含多种对人体有益的矿物质和微量元素。在温泉资源的开发利用过程中，泾源县坚持科学规划、合理布局的原则，确保温泉资源的可持续利用。通过引入先进的开发技术和管理模式，提升温泉产品的品质和服务水平。同时，泾源县也高度重视温泉资源的生态保护工作，在开发过程中注重保护周边生态环境和自然景观的完整性，避免对当地生态系统造成破坏。泾源县黄花乡的温泉资源具有广阔的发展前景和巨大的市场潜力，随着人们对健康和休闲生活的需求不断增加，温泉旅游已经成为一种备受追捧的旅游方式。而泾源县黄花乡凭借其独特的地理位置和丰富的温泉资源，必将在未来的旅游市场中占据一席之地。</w:t>
            </w:r>
          </w:p>
          <w:p w14:paraId="58306CE4">
            <w:pPr>
              <w:autoSpaceDE w:val="0"/>
              <w:autoSpaceDN w:val="0"/>
              <w:adjustRightInd w:val="0"/>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高端康养温泉度假项目的建设和发展将直接促进相关产业的发展，如旅游业、餐饮业、住宿业等。同时，通过提供优质的康养服务，吸引更多的中高端消费群体，进一步拉动内需，促进经济增长；项目的建设和运营将创造大量的就业机会，包括服务员、健康管理师、营养师等，这些就业机会将有助于提高当地居民的收入水平和生活质量，同时，还将带动当地基础设施的改善和公共服务水平的提升，进一步改善民生福祉。另外，温泉康养度假项目往往能够吸引外部资本和技术的流入，为当地经济发展注入新的活力。</w:t>
            </w:r>
          </w:p>
          <w:p w14:paraId="6479F18E">
            <w:pPr>
              <w:autoSpaceDE w:val="0"/>
              <w:autoSpaceDN w:val="0"/>
              <w:adjustRightInd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 xml:space="preserve">2 </w:t>
            </w:r>
            <w:r>
              <w:rPr>
                <w:rFonts w:hint="default" w:ascii="Times New Roman" w:hAnsi="Times New Roman" w:cs="Times New Roman"/>
                <w:b/>
                <w:bCs/>
                <w:color w:val="000000" w:themeColor="text1"/>
                <w:lang w:eastAsia="zh-CN"/>
                <w14:textFill>
                  <w14:solidFill>
                    <w14:schemeClr w14:val="tx1"/>
                  </w14:solidFill>
                </w14:textFill>
              </w:rPr>
              <w:t>项目</w:t>
            </w:r>
            <w:r>
              <w:rPr>
                <w:rFonts w:hint="default" w:ascii="Times New Roman" w:hAnsi="Times New Roman" w:cs="Times New Roman"/>
                <w:b/>
                <w:bCs/>
                <w:color w:val="000000" w:themeColor="text1"/>
                <w:lang w:val="en-US" w:eastAsia="zh-CN"/>
                <w14:textFill>
                  <w14:solidFill>
                    <w14:schemeClr w14:val="tx1"/>
                  </w14:solidFill>
                </w14:textFill>
              </w:rPr>
              <w:t>组成及规模</w:t>
            </w:r>
          </w:p>
          <w:p w14:paraId="4A27150A">
            <w:pPr>
              <w:autoSpaceDE w:val="0"/>
              <w:autoSpaceDN w:val="0"/>
              <w:adjustRightInd w:val="0"/>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w:t>
            </w:r>
            <w:r>
              <w:rPr>
                <w:rFonts w:hint="default" w:ascii="Times New Roman" w:hAnsi="Times New Roman" w:cs="Times New Roman"/>
                <w:color w:val="000000" w:themeColor="text1"/>
                <w:lang w:val="en-US" w:eastAsia="zh-CN"/>
                <w14:textFill>
                  <w14:solidFill>
                    <w14:schemeClr w14:val="tx1"/>
                  </w14:solidFill>
                </w14:textFill>
              </w:rPr>
              <w:t>项目建设内容包括</w:t>
            </w:r>
            <w:r>
              <w:rPr>
                <w:rFonts w:hint="default" w:ascii="Times New Roman" w:hAnsi="Times New Roman" w:cs="Times New Roman"/>
                <w:color w:val="000000" w:themeColor="text1"/>
                <w:kern w:val="0"/>
                <w:lang w:val="en-US" w:eastAsia="zh-CN"/>
                <w14:textFill>
                  <w14:solidFill>
                    <w14:schemeClr w14:val="tx1"/>
                  </w14:solidFill>
                </w14:textFill>
              </w:rPr>
              <w:t>道路提升、农村垃圾、农文旅配套、农业面源污染、山洪及地质灾害、清洁取暖改造、城乡供水一体化及水土保持、人居环境、</w:t>
            </w:r>
            <w:r>
              <w:rPr>
                <w:rFonts w:hint="eastAsia" w:cs="Times New Roman"/>
                <w:color w:val="000000" w:themeColor="text1"/>
                <w:kern w:val="0"/>
                <w:lang w:val="en-US" w:eastAsia="zh-CN"/>
                <w14:textFill>
                  <w14:solidFill>
                    <w14:schemeClr w14:val="tx1"/>
                  </w14:solidFill>
                </w14:textFill>
              </w:rPr>
              <w:t>“</w:t>
            </w:r>
            <w:r>
              <w:rPr>
                <w:rFonts w:hint="default" w:ascii="Times New Roman" w:hAnsi="Times New Roman" w:cs="Times New Roman"/>
                <w:color w:val="000000" w:themeColor="text1"/>
                <w:kern w:val="0"/>
                <w:lang w:val="en-US" w:eastAsia="zh-CN"/>
                <w14:textFill>
                  <w14:solidFill>
                    <w14:schemeClr w14:val="tx1"/>
                  </w14:solidFill>
                </w14:textFill>
              </w:rPr>
              <w:t>一老一少</w:t>
            </w:r>
            <w:r>
              <w:rPr>
                <w:rFonts w:hint="eastAsia" w:cs="Times New Roman"/>
                <w:color w:val="000000" w:themeColor="text1"/>
                <w:kern w:val="0"/>
                <w:lang w:val="en-US" w:eastAsia="zh-CN"/>
                <w14:textFill>
                  <w14:solidFill>
                    <w14:schemeClr w14:val="tx1"/>
                  </w14:solidFill>
                </w14:textFill>
              </w:rPr>
              <w:t>”</w:t>
            </w:r>
            <w:r>
              <w:rPr>
                <w:rFonts w:hint="default" w:ascii="Times New Roman" w:hAnsi="Times New Roman" w:cs="Times New Roman"/>
                <w:color w:val="000000" w:themeColor="text1"/>
                <w:kern w:val="0"/>
                <w:lang w:val="en-US" w:eastAsia="zh-CN"/>
                <w14:textFill>
                  <w14:solidFill>
                    <w14:schemeClr w14:val="tx1"/>
                  </w14:solidFill>
                </w14:textFill>
              </w:rPr>
              <w:t>服务、农村生活污水；农产品交易、林下经济、文化展示、森林旅游、温泉康养。其中道路提升、农村垃圾、农文旅配套、农业面源污染、山洪及地质灾害、清洁取暖改造、城乡供水一体化及水土保持、人居环境、“一老一少”服务、农村生活污水的生态治理部分不在本次评价范围内。本次仅针对农产品交易、林下经济、文化展示、森林旅游、温泉康养的产业发展部分开展环境影响评价</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本项目主要经济指标见表2-1。</w:t>
            </w:r>
          </w:p>
          <w:p w14:paraId="00E166BF">
            <w:pPr>
              <w:pStyle w:val="63"/>
              <w:spacing w:line="240" w:lineRule="auto"/>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表2-1  项目主要经济指标</w:t>
            </w:r>
          </w:p>
          <w:tbl>
            <w:tblPr>
              <w:tblStyle w:val="28"/>
              <w:tblW w:w="7776"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510"/>
              <w:gridCol w:w="1480"/>
              <w:gridCol w:w="1159"/>
              <w:gridCol w:w="955"/>
              <w:gridCol w:w="531"/>
              <w:gridCol w:w="1514"/>
              <w:gridCol w:w="1064"/>
              <w:gridCol w:w="563"/>
            </w:tblGrid>
            <w:tr w14:paraId="0A2D33D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84" w:hRule="atLeast"/>
                <w:jc w:val="center"/>
              </w:trPr>
              <w:tc>
                <w:tcPr>
                  <w:tcW w:w="510" w:type="dxa"/>
                  <w:tcBorders>
                    <w:tl2br w:val="nil"/>
                    <w:tr2bl w:val="nil"/>
                  </w:tcBorders>
                  <w:vAlign w:val="center"/>
                </w:tcPr>
                <w:p w14:paraId="663A92AF">
                  <w:pPr>
                    <w:adjustRightInd w:val="0"/>
                    <w:snapToGrid w:val="0"/>
                    <w:spacing w:line="0" w:lineRule="atLeast"/>
                    <w:ind w:left="0" w:leftChars="0" w:right="0" w:rightChars="0"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序号</w:t>
                  </w:r>
                </w:p>
              </w:tc>
              <w:tc>
                <w:tcPr>
                  <w:tcW w:w="1480" w:type="dxa"/>
                  <w:tcBorders>
                    <w:tl2br w:val="nil"/>
                    <w:tr2bl w:val="nil"/>
                  </w:tcBorders>
                  <w:vAlign w:val="center"/>
                </w:tcPr>
                <w:p w14:paraId="18B8BF76">
                  <w:pPr>
                    <w:adjustRightInd w:val="0"/>
                    <w:snapToGrid w:val="0"/>
                    <w:spacing w:line="0" w:lineRule="atLeast"/>
                    <w:ind w:left="0" w:leftChars="0" w:right="0" w:rightChars="0"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名称</w:t>
                  </w:r>
                </w:p>
              </w:tc>
              <w:tc>
                <w:tcPr>
                  <w:tcW w:w="1159" w:type="dxa"/>
                  <w:tcBorders>
                    <w:tl2br w:val="nil"/>
                    <w:tr2bl w:val="nil"/>
                  </w:tcBorders>
                  <w:vAlign w:val="center"/>
                </w:tcPr>
                <w:p w14:paraId="7FBCE1AC">
                  <w:pPr>
                    <w:adjustRightInd w:val="0"/>
                    <w:snapToGrid w:val="0"/>
                    <w:spacing w:line="0" w:lineRule="atLeast"/>
                    <w:ind w:left="0" w:leftChars="0" w:right="0" w:rightChars="0"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建筑面积（</w:t>
                  </w: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m</w:t>
                  </w:r>
                  <w:r>
                    <w:rPr>
                      <w:rFonts w:hint="default" w:ascii="Times New Roman" w:hAnsi="Times New Roman" w:cs="Times New Roman"/>
                      <w:b/>
                      <w:bCs/>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w:t>
                  </w:r>
                </w:p>
              </w:tc>
              <w:tc>
                <w:tcPr>
                  <w:tcW w:w="955" w:type="dxa"/>
                  <w:tcBorders>
                    <w:tl2br w:val="nil"/>
                    <w:tr2bl w:val="nil"/>
                  </w:tcBorders>
                  <w:shd w:val="clear" w:color="auto" w:fill="auto"/>
                  <w:vAlign w:val="center"/>
                </w:tcPr>
                <w:p w14:paraId="06A3CE7E">
                  <w:pPr>
                    <w:adjustRightInd w:val="0"/>
                    <w:snapToGrid w:val="0"/>
                    <w:spacing w:line="0" w:lineRule="atLeast"/>
                    <w:ind w:left="0" w:leftChars="0" w:right="0" w:rightChars="0"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备注</w:t>
                  </w:r>
                </w:p>
              </w:tc>
              <w:tc>
                <w:tcPr>
                  <w:tcW w:w="531" w:type="dxa"/>
                  <w:tcBorders>
                    <w:tl2br w:val="nil"/>
                    <w:tr2bl w:val="nil"/>
                  </w:tcBorders>
                  <w:shd w:val="clear" w:color="auto" w:fill="auto"/>
                  <w:vAlign w:val="center"/>
                </w:tcPr>
                <w:p w14:paraId="7762CB05">
                  <w:pPr>
                    <w:adjustRightInd w:val="0"/>
                    <w:snapToGrid w:val="0"/>
                    <w:spacing w:line="0" w:lineRule="atLeast"/>
                    <w:ind w:left="0" w:leftChars="0" w:right="0" w:rightChars="0" w:firstLine="0" w:firstLineChars="0"/>
                    <w:jc w:val="cente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序号</w:t>
                  </w:r>
                </w:p>
              </w:tc>
              <w:tc>
                <w:tcPr>
                  <w:tcW w:w="1514" w:type="dxa"/>
                  <w:tcBorders>
                    <w:tl2br w:val="nil"/>
                    <w:tr2bl w:val="nil"/>
                  </w:tcBorders>
                  <w:shd w:val="clear" w:color="auto" w:fill="auto"/>
                  <w:vAlign w:val="center"/>
                </w:tcPr>
                <w:p w14:paraId="4E5FA372">
                  <w:pPr>
                    <w:adjustRightInd w:val="0"/>
                    <w:snapToGrid w:val="0"/>
                    <w:spacing w:line="0" w:lineRule="atLeast"/>
                    <w:ind w:left="0" w:leftChars="0" w:right="0" w:rightChars="0" w:firstLine="0" w:firstLineChars="0"/>
                    <w:jc w:val="cente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名称</w:t>
                  </w:r>
                </w:p>
              </w:tc>
              <w:tc>
                <w:tcPr>
                  <w:tcW w:w="1064" w:type="dxa"/>
                  <w:tcBorders>
                    <w:tl2br w:val="nil"/>
                    <w:tr2bl w:val="nil"/>
                  </w:tcBorders>
                  <w:shd w:val="clear" w:color="auto" w:fill="auto"/>
                  <w:vAlign w:val="center"/>
                </w:tcPr>
                <w:p w14:paraId="47F524F4">
                  <w:pPr>
                    <w:adjustRightInd w:val="0"/>
                    <w:snapToGrid w:val="0"/>
                    <w:spacing w:line="0" w:lineRule="atLeast"/>
                    <w:ind w:left="0" w:leftChars="0" w:right="0" w:rightChars="0" w:firstLine="0" w:firstLineChars="0"/>
                    <w:jc w:val="cente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建筑面积（</w:t>
                  </w:r>
                  <w: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t>m</w:t>
                  </w:r>
                  <w:r>
                    <w:rPr>
                      <w:rFonts w:hint="default" w:ascii="Times New Roman" w:hAnsi="Times New Roman" w:cs="Times New Roman"/>
                      <w:b/>
                      <w:bCs/>
                      <w:color w:val="000000" w:themeColor="text1"/>
                      <w:kern w:val="0"/>
                      <w:sz w:val="21"/>
                      <w:szCs w:val="21"/>
                      <w:highlight w:val="none"/>
                      <w:vertAlign w:val="superscript"/>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w:t>
                  </w:r>
                </w:p>
              </w:tc>
              <w:tc>
                <w:tcPr>
                  <w:tcW w:w="563" w:type="dxa"/>
                  <w:tcBorders>
                    <w:tl2br w:val="nil"/>
                    <w:tr2bl w:val="nil"/>
                  </w:tcBorders>
                  <w:shd w:val="clear" w:color="auto" w:fill="auto"/>
                  <w:vAlign w:val="center"/>
                </w:tcPr>
                <w:p w14:paraId="5C6042F6">
                  <w:pPr>
                    <w:adjustRightInd w:val="0"/>
                    <w:snapToGrid w:val="0"/>
                    <w:spacing w:line="0" w:lineRule="atLeast"/>
                    <w:ind w:left="0" w:leftChars="0" w:right="0" w:rightChars="0" w:firstLine="0" w:firstLineChars="0"/>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备注</w:t>
                  </w:r>
                </w:p>
              </w:tc>
            </w:tr>
            <w:tr w14:paraId="66581FC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7" w:hRule="atLeast"/>
                <w:jc w:val="center"/>
              </w:trPr>
              <w:tc>
                <w:tcPr>
                  <w:tcW w:w="510" w:type="dxa"/>
                  <w:tcBorders>
                    <w:tl2br w:val="nil"/>
                    <w:tr2bl w:val="nil"/>
                  </w:tcBorders>
                  <w:vAlign w:val="center"/>
                </w:tcPr>
                <w:p w14:paraId="16662413">
                  <w:pPr>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1</w:t>
                  </w:r>
                </w:p>
              </w:tc>
              <w:tc>
                <w:tcPr>
                  <w:tcW w:w="1480" w:type="dxa"/>
                  <w:tcBorders>
                    <w:tl2br w:val="nil"/>
                    <w:tr2bl w:val="nil"/>
                  </w:tcBorders>
                  <w:vAlign w:val="center"/>
                </w:tcPr>
                <w:p w14:paraId="646E29A9">
                  <w:pPr>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总用地面积</w:t>
                  </w:r>
                </w:p>
              </w:tc>
              <w:tc>
                <w:tcPr>
                  <w:tcW w:w="1159" w:type="dxa"/>
                  <w:tcBorders>
                    <w:tl2br w:val="nil"/>
                    <w:tr2bl w:val="nil"/>
                  </w:tcBorders>
                  <w:vAlign w:val="center"/>
                </w:tcPr>
                <w:p w14:paraId="615CB80C">
                  <w:pPr>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148111.10</w:t>
                  </w:r>
                </w:p>
              </w:tc>
              <w:tc>
                <w:tcPr>
                  <w:tcW w:w="955" w:type="dxa"/>
                  <w:tcBorders>
                    <w:tl2br w:val="nil"/>
                    <w:tr2bl w:val="nil"/>
                  </w:tcBorders>
                  <w:shd w:val="clear" w:color="auto" w:fill="auto"/>
                  <w:vAlign w:val="center"/>
                </w:tcPr>
                <w:p w14:paraId="68164BEB">
                  <w:pPr>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531" w:type="dxa"/>
                  <w:tcBorders>
                    <w:tl2br w:val="nil"/>
                    <w:tr2bl w:val="nil"/>
                  </w:tcBorders>
                  <w:shd w:val="clear" w:color="auto" w:fill="auto"/>
                  <w:vAlign w:val="center"/>
                </w:tcPr>
                <w:p w14:paraId="2F333980">
                  <w:pPr>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6</w:t>
                  </w:r>
                </w:p>
              </w:tc>
              <w:tc>
                <w:tcPr>
                  <w:tcW w:w="1514" w:type="dxa"/>
                  <w:tcBorders>
                    <w:tl2br w:val="nil"/>
                    <w:tr2bl w:val="nil"/>
                  </w:tcBorders>
                  <w:shd w:val="clear" w:color="auto" w:fill="auto"/>
                  <w:vAlign w:val="center"/>
                </w:tcPr>
                <w:p w14:paraId="4DCE6CEA">
                  <w:pPr>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中医康养中心</w:t>
                  </w:r>
                </w:p>
              </w:tc>
              <w:tc>
                <w:tcPr>
                  <w:tcW w:w="1064" w:type="dxa"/>
                  <w:tcBorders>
                    <w:tl2br w:val="nil"/>
                    <w:tr2bl w:val="nil"/>
                  </w:tcBorders>
                  <w:shd w:val="clear" w:color="auto" w:fill="auto"/>
                  <w:vAlign w:val="center"/>
                </w:tcPr>
                <w:p w14:paraId="14A7F87C">
                  <w:pPr>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9600</w:t>
                  </w:r>
                </w:p>
              </w:tc>
              <w:tc>
                <w:tcPr>
                  <w:tcW w:w="563" w:type="dxa"/>
                  <w:tcBorders>
                    <w:tl2br w:val="nil"/>
                    <w:tr2bl w:val="nil"/>
                  </w:tcBorders>
                  <w:shd w:val="clear" w:color="auto" w:fill="auto"/>
                  <w:vAlign w:val="center"/>
                </w:tcPr>
                <w:p w14:paraId="615C5ADF">
                  <w:pPr>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r w14:paraId="25CAD5B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7" w:hRule="atLeast"/>
                <w:jc w:val="center"/>
              </w:trPr>
              <w:tc>
                <w:tcPr>
                  <w:tcW w:w="510" w:type="dxa"/>
                  <w:tcBorders>
                    <w:tl2br w:val="nil"/>
                    <w:tr2bl w:val="nil"/>
                  </w:tcBorders>
                  <w:vAlign w:val="center"/>
                </w:tcPr>
                <w:p w14:paraId="22C53E0F">
                  <w:pPr>
                    <w:autoSpaceDE w:val="0"/>
                    <w:autoSpaceDN w:val="0"/>
                    <w:adjustRightInd w:val="0"/>
                    <w:snapToGrid w:val="0"/>
                    <w:spacing w:line="240" w:lineRule="auto"/>
                    <w:ind w:left="0" w:leftChars="0" w:right="0" w:rightChars="0"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2</w:t>
                  </w:r>
                </w:p>
              </w:tc>
              <w:tc>
                <w:tcPr>
                  <w:tcW w:w="1480" w:type="dxa"/>
                  <w:tcBorders>
                    <w:tl2br w:val="nil"/>
                    <w:tr2bl w:val="nil"/>
                  </w:tcBorders>
                  <w:vAlign w:val="center"/>
                </w:tcPr>
                <w:p w14:paraId="6832BB24">
                  <w:pPr>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总建筑面积</w:t>
                  </w:r>
                </w:p>
              </w:tc>
              <w:tc>
                <w:tcPr>
                  <w:tcW w:w="1159" w:type="dxa"/>
                  <w:tcBorders>
                    <w:tl2br w:val="nil"/>
                    <w:tr2bl w:val="nil"/>
                  </w:tcBorders>
                  <w:vAlign w:val="center"/>
                </w:tcPr>
                <w:p w14:paraId="5B06AB45">
                  <w:pPr>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178530</w:t>
                  </w:r>
                </w:p>
              </w:tc>
              <w:tc>
                <w:tcPr>
                  <w:tcW w:w="955" w:type="dxa"/>
                  <w:tcBorders>
                    <w:tl2br w:val="nil"/>
                    <w:tr2bl w:val="nil"/>
                  </w:tcBorders>
                  <w:shd w:val="clear" w:color="auto" w:fill="auto"/>
                  <w:vAlign w:val="center"/>
                </w:tcPr>
                <w:p w14:paraId="33A6FAD9">
                  <w:pPr>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531" w:type="dxa"/>
                  <w:tcBorders>
                    <w:tl2br w:val="nil"/>
                    <w:tr2bl w:val="nil"/>
                  </w:tcBorders>
                  <w:shd w:val="clear" w:color="auto" w:fill="auto"/>
                  <w:vAlign w:val="center"/>
                </w:tcPr>
                <w:p w14:paraId="74635466">
                  <w:pPr>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7</w:t>
                  </w:r>
                </w:p>
              </w:tc>
              <w:tc>
                <w:tcPr>
                  <w:tcW w:w="1514" w:type="dxa"/>
                  <w:tcBorders>
                    <w:tl2br w:val="nil"/>
                    <w:tr2bl w:val="nil"/>
                  </w:tcBorders>
                  <w:shd w:val="clear" w:color="auto" w:fill="auto"/>
                  <w:vAlign w:val="center"/>
                </w:tcPr>
                <w:p w14:paraId="7F38D6B9">
                  <w:pPr>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汤墅</w:t>
                  </w:r>
                </w:p>
              </w:tc>
              <w:tc>
                <w:tcPr>
                  <w:tcW w:w="1064" w:type="dxa"/>
                  <w:tcBorders>
                    <w:tl2br w:val="nil"/>
                    <w:tr2bl w:val="nil"/>
                  </w:tcBorders>
                  <w:shd w:val="clear" w:color="auto" w:fill="auto"/>
                  <w:vAlign w:val="center"/>
                </w:tcPr>
                <w:p w14:paraId="367253DD">
                  <w:pPr>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63500</w:t>
                  </w:r>
                </w:p>
              </w:tc>
              <w:tc>
                <w:tcPr>
                  <w:tcW w:w="563" w:type="dxa"/>
                  <w:tcBorders>
                    <w:tl2br w:val="nil"/>
                    <w:tr2bl w:val="nil"/>
                  </w:tcBorders>
                  <w:shd w:val="clear" w:color="auto" w:fill="auto"/>
                  <w:vAlign w:val="center"/>
                </w:tcPr>
                <w:p w14:paraId="1C24F9BD">
                  <w:pPr>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r w14:paraId="7C146C4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7" w:hRule="atLeast"/>
                <w:jc w:val="center"/>
              </w:trPr>
              <w:tc>
                <w:tcPr>
                  <w:tcW w:w="510" w:type="dxa"/>
                  <w:tcBorders>
                    <w:tl2br w:val="nil"/>
                    <w:tr2bl w:val="nil"/>
                  </w:tcBorders>
                  <w:vAlign w:val="center"/>
                </w:tcPr>
                <w:p w14:paraId="061F927D">
                  <w:pPr>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3</w:t>
                  </w:r>
                </w:p>
              </w:tc>
              <w:tc>
                <w:tcPr>
                  <w:tcW w:w="1480" w:type="dxa"/>
                  <w:tcBorders>
                    <w:tl2br w:val="nil"/>
                    <w:tr2bl w:val="nil"/>
                  </w:tcBorders>
                  <w:vAlign w:val="center"/>
                </w:tcPr>
                <w:p w14:paraId="2F14B257">
                  <w:pPr>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高端温泉酒店</w:t>
                  </w:r>
                </w:p>
              </w:tc>
              <w:tc>
                <w:tcPr>
                  <w:tcW w:w="1159" w:type="dxa"/>
                  <w:tcBorders>
                    <w:tl2br w:val="nil"/>
                    <w:tr2bl w:val="nil"/>
                  </w:tcBorders>
                  <w:vAlign w:val="center"/>
                </w:tcPr>
                <w:p w14:paraId="25671AFF">
                  <w:pPr>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58000</w:t>
                  </w:r>
                </w:p>
              </w:tc>
              <w:tc>
                <w:tcPr>
                  <w:tcW w:w="955" w:type="dxa"/>
                  <w:tcBorders>
                    <w:tl2br w:val="nil"/>
                    <w:tr2bl w:val="nil"/>
                  </w:tcBorders>
                  <w:shd w:val="clear" w:color="auto" w:fill="auto"/>
                  <w:vAlign w:val="center"/>
                </w:tcPr>
                <w:p w14:paraId="4A1AD1C7">
                  <w:pPr>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531" w:type="dxa"/>
                  <w:tcBorders>
                    <w:tl2br w:val="nil"/>
                    <w:tr2bl w:val="nil"/>
                  </w:tcBorders>
                  <w:shd w:val="clear" w:color="auto" w:fill="auto"/>
                  <w:vAlign w:val="center"/>
                </w:tcPr>
                <w:p w14:paraId="2C9AF781">
                  <w:pPr>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8</w:t>
                  </w:r>
                </w:p>
              </w:tc>
              <w:tc>
                <w:tcPr>
                  <w:tcW w:w="1514" w:type="dxa"/>
                  <w:tcBorders>
                    <w:tl2br w:val="nil"/>
                    <w:tr2bl w:val="nil"/>
                  </w:tcBorders>
                  <w:shd w:val="clear" w:color="auto" w:fill="auto"/>
                  <w:vAlign w:val="center"/>
                </w:tcPr>
                <w:p w14:paraId="6A3A0646">
                  <w:pPr>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高端民宿</w:t>
                  </w:r>
                </w:p>
              </w:tc>
              <w:tc>
                <w:tcPr>
                  <w:tcW w:w="1064" w:type="dxa"/>
                  <w:tcBorders>
                    <w:tl2br w:val="nil"/>
                    <w:tr2bl w:val="nil"/>
                  </w:tcBorders>
                  <w:shd w:val="clear" w:color="auto" w:fill="auto"/>
                  <w:vAlign w:val="center"/>
                </w:tcPr>
                <w:p w14:paraId="5CA5BEE1">
                  <w:pPr>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6550</w:t>
                  </w:r>
                </w:p>
              </w:tc>
              <w:tc>
                <w:tcPr>
                  <w:tcW w:w="563" w:type="dxa"/>
                  <w:tcBorders>
                    <w:tl2br w:val="nil"/>
                    <w:tr2bl w:val="nil"/>
                  </w:tcBorders>
                  <w:shd w:val="clear" w:color="auto" w:fill="auto"/>
                  <w:vAlign w:val="center"/>
                </w:tcPr>
                <w:p w14:paraId="430C6E8B">
                  <w:pPr>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r w14:paraId="15981FA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41" w:hRule="atLeast"/>
                <w:jc w:val="center"/>
              </w:trPr>
              <w:tc>
                <w:tcPr>
                  <w:tcW w:w="510" w:type="dxa"/>
                  <w:tcBorders>
                    <w:tl2br w:val="nil"/>
                    <w:tr2bl w:val="nil"/>
                  </w:tcBorders>
                  <w:vAlign w:val="center"/>
                </w:tcPr>
                <w:p w14:paraId="02953A2A">
                  <w:pPr>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4</w:t>
                  </w:r>
                </w:p>
              </w:tc>
              <w:tc>
                <w:tcPr>
                  <w:tcW w:w="1480" w:type="dxa"/>
                  <w:tcBorders>
                    <w:tl2br w:val="nil"/>
                    <w:tr2bl w:val="nil"/>
                  </w:tcBorders>
                  <w:vAlign w:val="center"/>
                </w:tcPr>
                <w:p w14:paraId="716CB1C0">
                  <w:pPr>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商业街区</w:t>
                  </w:r>
                </w:p>
              </w:tc>
              <w:tc>
                <w:tcPr>
                  <w:tcW w:w="1159" w:type="dxa"/>
                  <w:tcBorders>
                    <w:tl2br w:val="nil"/>
                    <w:tr2bl w:val="nil"/>
                  </w:tcBorders>
                  <w:vAlign w:val="center"/>
                </w:tcPr>
                <w:p w14:paraId="63A7E817">
                  <w:pPr>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31110</w:t>
                  </w:r>
                </w:p>
              </w:tc>
              <w:tc>
                <w:tcPr>
                  <w:tcW w:w="955" w:type="dxa"/>
                  <w:tcBorders>
                    <w:tl2br w:val="nil"/>
                    <w:tr2bl w:val="nil"/>
                  </w:tcBorders>
                  <w:shd w:val="clear" w:color="auto" w:fill="auto"/>
                  <w:vAlign w:val="center"/>
                </w:tcPr>
                <w:p w14:paraId="65DB4B66">
                  <w:pPr>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包含农产品交易和林下经济</w:t>
                  </w:r>
                </w:p>
              </w:tc>
              <w:tc>
                <w:tcPr>
                  <w:tcW w:w="531" w:type="dxa"/>
                  <w:tcBorders>
                    <w:tl2br w:val="nil"/>
                    <w:tr2bl w:val="nil"/>
                  </w:tcBorders>
                  <w:shd w:val="clear" w:color="auto" w:fill="auto"/>
                  <w:vAlign w:val="center"/>
                </w:tcPr>
                <w:p w14:paraId="44CFDC9C">
                  <w:pPr>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9</w:t>
                  </w:r>
                </w:p>
              </w:tc>
              <w:tc>
                <w:tcPr>
                  <w:tcW w:w="1514" w:type="dxa"/>
                  <w:tcBorders>
                    <w:tl2br w:val="nil"/>
                    <w:tr2bl w:val="nil"/>
                  </w:tcBorders>
                  <w:shd w:val="clear" w:color="auto" w:fill="auto"/>
                  <w:vAlign w:val="center"/>
                </w:tcPr>
                <w:p w14:paraId="6DEA7140">
                  <w:pPr>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会议中心</w:t>
                  </w:r>
                </w:p>
              </w:tc>
              <w:tc>
                <w:tcPr>
                  <w:tcW w:w="1064" w:type="dxa"/>
                  <w:tcBorders>
                    <w:tl2br w:val="nil"/>
                    <w:tr2bl w:val="nil"/>
                  </w:tcBorders>
                  <w:shd w:val="clear" w:color="auto" w:fill="auto"/>
                  <w:vAlign w:val="center"/>
                </w:tcPr>
                <w:p w14:paraId="399B9630">
                  <w:pPr>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4370</w:t>
                  </w:r>
                </w:p>
              </w:tc>
              <w:tc>
                <w:tcPr>
                  <w:tcW w:w="563" w:type="dxa"/>
                  <w:tcBorders>
                    <w:tl2br w:val="nil"/>
                    <w:tr2bl w:val="nil"/>
                  </w:tcBorders>
                  <w:shd w:val="clear" w:color="auto" w:fill="auto"/>
                  <w:vAlign w:val="center"/>
                </w:tcPr>
                <w:p w14:paraId="4B0FF01F">
                  <w:pPr>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r w14:paraId="05C7E33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1" w:hRule="atLeast"/>
                <w:jc w:val="center"/>
              </w:trPr>
              <w:tc>
                <w:tcPr>
                  <w:tcW w:w="510" w:type="dxa"/>
                  <w:tcBorders>
                    <w:tl2br w:val="nil"/>
                    <w:tr2bl w:val="nil"/>
                  </w:tcBorders>
                  <w:vAlign w:val="center"/>
                </w:tcPr>
                <w:p w14:paraId="1712DBBC">
                  <w:pPr>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5</w:t>
                  </w:r>
                </w:p>
              </w:tc>
              <w:tc>
                <w:tcPr>
                  <w:tcW w:w="1480" w:type="dxa"/>
                  <w:tcBorders>
                    <w:tl2br w:val="nil"/>
                    <w:tr2bl w:val="nil"/>
                  </w:tcBorders>
                  <w:vAlign w:val="center"/>
                </w:tcPr>
                <w:p w14:paraId="1DC7AEAD">
                  <w:pPr>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文化展示</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中心</w:t>
                  </w:r>
                </w:p>
              </w:tc>
              <w:tc>
                <w:tcPr>
                  <w:tcW w:w="1159" w:type="dxa"/>
                  <w:tcBorders>
                    <w:tl2br w:val="nil"/>
                    <w:tr2bl w:val="nil"/>
                  </w:tcBorders>
                  <w:vAlign w:val="center"/>
                </w:tcPr>
                <w:p w14:paraId="678FF9D6">
                  <w:pPr>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5400</w:t>
                  </w:r>
                </w:p>
              </w:tc>
              <w:tc>
                <w:tcPr>
                  <w:tcW w:w="955" w:type="dxa"/>
                  <w:tcBorders>
                    <w:tl2br w:val="nil"/>
                    <w:tr2bl w:val="nil"/>
                  </w:tcBorders>
                  <w:vAlign w:val="center"/>
                </w:tcPr>
                <w:p w14:paraId="3164F81E">
                  <w:pPr>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531" w:type="dxa"/>
                  <w:tcBorders>
                    <w:tl2br w:val="nil"/>
                    <w:tr2bl w:val="nil"/>
                  </w:tcBorders>
                  <w:vAlign w:val="center"/>
                </w:tcPr>
                <w:p w14:paraId="5C990A51">
                  <w:pPr>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514" w:type="dxa"/>
                  <w:tcBorders>
                    <w:tl2br w:val="nil"/>
                    <w:tr2bl w:val="nil"/>
                  </w:tcBorders>
                  <w:vAlign w:val="center"/>
                </w:tcPr>
                <w:p w14:paraId="6FEC5B47">
                  <w:pPr>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064" w:type="dxa"/>
                  <w:tcBorders>
                    <w:tl2br w:val="nil"/>
                    <w:tr2bl w:val="nil"/>
                  </w:tcBorders>
                  <w:vAlign w:val="center"/>
                </w:tcPr>
                <w:p w14:paraId="3FE9303C">
                  <w:pPr>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p w14:paraId="55E825EC">
                  <w:pPr>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563" w:type="dxa"/>
                  <w:tcBorders>
                    <w:tl2br w:val="nil"/>
                    <w:tr2bl w:val="nil"/>
                  </w:tcBorders>
                  <w:vAlign w:val="center"/>
                </w:tcPr>
                <w:p w14:paraId="199578CF">
                  <w:pPr>
                    <w:autoSpaceDE w:val="0"/>
                    <w:autoSpaceDN w:val="0"/>
                    <w:adjustRightInd w:val="0"/>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bl>
          <w:p w14:paraId="69F7FDA3">
            <w:pPr>
              <w:autoSpaceDE w:val="0"/>
              <w:autoSpaceDN w:val="0"/>
              <w:adjustRightInd w:val="0"/>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w:t>
            </w:r>
            <w:r>
              <w:rPr>
                <w:rFonts w:hint="default" w:ascii="Times New Roman" w:hAnsi="Times New Roman" w:eastAsia="宋体" w:cs="Times New Roman"/>
                <w:color w:val="000000" w:themeColor="text1"/>
                <w:lang w:val="en-US" w:eastAsia="zh-CN"/>
                <w14:textFill>
                  <w14:solidFill>
                    <w14:schemeClr w14:val="tx1"/>
                  </w14:solidFill>
                </w14:textFill>
              </w:rPr>
              <w:t>项目</w:t>
            </w:r>
            <w:r>
              <w:rPr>
                <w:rFonts w:hint="default" w:ascii="Times New Roman" w:hAnsi="Times New Roman" w:cs="Times New Roman"/>
                <w:color w:val="000000" w:themeColor="text1"/>
                <w:lang w:val="en-US" w:eastAsia="zh-CN"/>
                <w14:textFill>
                  <w14:solidFill>
                    <w14:schemeClr w14:val="tx1"/>
                  </w14:solidFill>
                </w14:textFill>
              </w:rPr>
              <w:t>组成一览表见表</w:t>
            </w:r>
            <w:r>
              <w:rPr>
                <w:rFonts w:hint="default" w:ascii="Times New Roman" w:hAnsi="Times New Roman" w:eastAsia="宋体"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2。</w:t>
            </w:r>
          </w:p>
          <w:p w14:paraId="1FAD7F3B">
            <w:pPr>
              <w:pStyle w:val="63"/>
              <w:spacing w:line="240" w:lineRule="auto"/>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表2-2  项目组成一览表</w:t>
            </w:r>
          </w:p>
          <w:tbl>
            <w:tblPr>
              <w:tblStyle w:val="27"/>
              <w:tblW w:w="493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8"/>
              <w:gridCol w:w="388"/>
              <w:gridCol w:w="676"/>
              <w:gridCol w:w="5291"/>
              <w:gridCol w:w="704"/>
            </w:tblGrid>
            <w:tr w14:paraId="26350C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0" w:hRule="atLeast"/>
                <w:tblHeader/>
                <w:jc w:val="center"/>
              </w:trPr>
              <w:tc>
                <w:tcPr>
                  <w:tcW w:w="426" w:type="pct"/>
                  <w:tcBorders>
                    <w:tl2br w:val="nil"/>
                    <w:tr2bl w:val="nil"/>
                  </w:tcBorders>
                  <w:noWrap w:val="0"/>
                  <w:vAlign w:val="center"/>
                </w:tcPr>
                <w:p w14:paraId="21D872DA">
                  <w:pPr>
                    <w:spacing w:line="240" w:lineRule="auto"/>
                    <w:ind w:left="0" w:leftChars="0" w:right="0" w:rightChars="0" w:firstLine="0" w:firstLineChars="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序号</w:t>
                  </w:r>
                </w:p>
              </w:tc>
              <w:tc>
                <w:tcPr>
                  <w:tcW w:w="689" w:type="pct"/>
                  <w:gridSpan w:val="2"/>
                  <w:tcBorders>
                    <w:tl2br w:val="nil"/>
                    <w:tr2bl w:val="nil"/>
                  </w:tcBorders>
                  <w:noWrap w:val="0"/>
                  <w:vAlign w:val="center"/>
                </w:tcPr>
                <w:p w14:paraId="61715F65">
                  <w:pPr>
                    <w:spacing w:line="240" w:lineRule="auto"/>
                    <w:ind w:left="0" w:leftChars="0" w:right="0" w:rightChars="0" w:firstLine="0" w:firstLineChars="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项目</w:t>
                  </w:r>
                </w:p>
              </w:tc>
              <w:tc>
                <w:tcPr>
                  <w:tcW w:w="3428" w:type="pct"/>
                  <w:tcBorders>
                    <w:tl2br w:val="nil"/>
                    <w:tr2bl w:val="nil"/>
                  </w:tcBorders>
                  <w:noWrap w:val="0"/>
                  <w:vAlign w:val="center"/>
                </w:tcPr>
                <w:p w14:paraId="51D8986F">
                  <w:pPr>
                    <w:spacing w:line="240" w:lineRule="auto"/>
                    <w:ind w:left="0" w:leftChars="0" w:right="0" w:rightChars="0" w:firstLine="0" w:firstLineChars="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建设内容及规模</w:t>
                  </w:r>
                </w:p>
              </w:tc>
              <w:tc>
                <w:tcPr>
                  <w:tcW w:w="456" w:type="pct"/>
                  <w:tcBorders>
                    <w:tl2br w:val="nil"/>
                    <w:tr2bl w:val="nil"/>
                  </w:tcBorders>
                  <w:noWrap w:val="0"/>
                  <w:vAlign w:val="center"/>
                </w:tcPr>
                <w:p w14:paraId="203955B5">
                  <w:pPr>
                    <w:spacing w:line="240" w:lineRule="auto"/>
                    <w:ind w:left="0" w:leftChars="0" w:right="0" w:rightChars="0" w:firstLine="0" w:firstLineChars="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备注</w:t>
                  </w:r>
                </w:p>
              </w:tc>
            </w:tr>
            <w:tr w14:paraId="7AB89F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pct"/>
                  <w:tcBorders>
                    <w:tl2br w:val="nil"/>
                    <w:tr2bl w:val="nil"/>
                  </w:tcBorders>
                  <w:noWrap w:val="0"/>
                  <w:vAlign w:val="center"/>
                </w:tcPr>
                <w:p w14:paraId="75FB2A46">
                  <w:pPr>
                    <w:spacing w:line="240" w:lineRule="auto"/>
                    <w:ind w:left="0" w:leftChars="0" w:right="0" w:rightChars="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w:t>
                  </w:r>
                </w:p>
              </w:tc>
              <w:tc>
                <w:tcPr>
                  <w:tcW w:w="689" w:type="pct"/>
                  <w:gridSpan w:val="2"/>
                  <w:tcBorders>
                    <w:tl2br w:val="nil"/>
                    <w:tr2bl w:val="nil"/>
                  </w:tcBorders>
                  <w:noWrap w:val="0"/>
                  <w:vAlign w:val="center"/>
                </w:tcPr>
                <w:p w14:paraId="074D1213">
                  <w:pPr>
                    <w:spacing w:line="240" w:lineRule="auto"/>
                    <w:ind w:left="0" w:leftChars="0" w:right="0" w:rightChars="0" w:firstLine="0" w:firstLineChars="0"/>
                    <w:jc w:val="center"/>
                    <w:rPr>
                      <w:rFonts w:hint="default" w:ascii="Times New Roman" w:hAnsi="Times New Roman" w:cs="Times New Roman"/>
                      <w:color w:val="000000" w:themeColor="text1"/>
                      <w:kern w:val="24"/>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4"/>
                      <w:sz w:val="21"/>
                      <w:szCs w:val="21"/>
                      <w:highlight w:val="none"/>
                      <w:lang w:val="en-US" w:eastAsia="zh-CN"/>
                      <w14:textFill>
                        <w14:solidFill>
                          <w14:schemeClr w14:val="tx1"/>
                        </w14:solidFill>
                      </w14:textFill>
                    </w:rPr>
                    <w:t>主体工程</w:t>
                  </w:r>
                </w:p>
              </w:tc>
              <w:tc>
                <w:tcPr>
                  <w:tcW w:w="3428" w:type="pct"/>
                  <w:tcBorders>
                    <w:tl2br w:val="nil"/>
                    <w:tr2bl w:val="nil"/>
                  </w:tcBorders>
                  <w:noWrap w:val="0"/>
                  <w:vAlign w:val="center"/>
                </w:tcPr>
                <w:p w14:paraId="6AA50CB6">
                  <w:pPr>
                    <w:spacing w:line="240" w:lineRule="auto"/>
                    <w:ind w:left="0" w:leftChars="0" w:right="0" w:rightChars="0" w:firstLine="0" w:firstLineChars="0"/>
                    <w:jc w:val="center"/>
                    <w:rPr>
                      <w:rFonts w:hint="default" w:ascii="Times New Roman" w:hAnsi="Times New Roman" w:cs="Times New Roman"/>
                      <w:color w:val="000000" w:themeColor="text1"/>
                      <w:kern w:val="24"/>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4"/>
                      <w:sz w:val="21"/>
                      <w:szCs w:val="21"/>
                      <w:highlight w:val="none"/>
                      <w:lang w:val="en-US" w:eastAsia="zh-CN"/>
                      <w14:textFill>
                        <w14:solidFill>
                          <w14:schemeClr w14:val="tx1"/>
                        </w14:solidFill>
                      </w14:textFill>
                    </w:rPr>
                    <w:t>①高端温泉康养酒店：建筑面积5.8万平方米，建筑高度六层。豪华标准间、套间客房数量超过600间；②商业街区：总建筑面积3.111万平方米，建筑高度4层；③文化中心：建筑面积0.54万平方米；④中医康养中心：建筑面积0.96万平方米；⑤汤墅：建筑面积6.35万平方米；⑥高端民宿：建筑面积0.655万平方米，建筑高度4层；⑦会议中心：建筑面0.437万平方米；⑧本项目车位总需量为1086个，其中，地面停车位230个，地下停车位856个，地库总面积为32629m</w:t>
                  </w:r>
                  <w:r>
                    <w:rPr>
                      <w:rFonts w:hint="default" w:ascii="Times New Roman" w:hAnsi="Times New Roman" w:cs="Times New Roman"/>
                      <w:color w:val="000000" w:themeColor="text1"/>
                      <w:kern w:val="24"/>
                      <w:sz w:val="21"/>
                      <w:szCs w:val="21"/>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kern w:val="24"/>
                      <w:sz w:val="21"/>
                      <w:szCs w:val="21"/>
                      <w:highlight w:val="none"/>
                      <w:lang w:val="en-US" w:eastAsia="zh-CN"/>
                      <w14:textFill>
                        <w14:solidFill>
                          <w14:schemeClr w14:val="tx1"/>
                        </w14:solidFill>
                      </w14:textFill>
                    </w:rPr>
                    <w:t>。</w:t>
                  </w:r>
                </w:p>
              </w:tc>
              <w:tc>
                <w:tcPr>
                  <w:tcW w:w="456" w:type="pct"/>
                  <w:tcBorders>
                    <w:tl2br w:val="nil"/>
                    <w:tr2bl w:val="nil"/>
                  </w:tcBorders>
                  <w:noWrap w:val="0"/>
                  <w:vAlign w:val="center"/>
                </w:tcPr>
                <w:p w14:paraId="3D486084">
                  <w:pPr>
                    <w:adjustRightInd w:val="0"/>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p>
              </w:tc>
            </w:tr>
            <w:tr w14:paraId="77B6D0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426" w:type="pct"/>
                  <w:vMerge w:val="restart"/>
                  <w:tcBorders>
                    <w:tl2br w:val="nil"/>
                    <w:tr2bl w:val="nil"/>
                  </w:tcBorders>
                  <w:noWrap w:val="0"/>
                  <w:vAlign w:val="center"/>
                </w:tcPr>
                <w:p w14:paraId="7FB32CE0">
                  <w:pPr>
                    <w:spacing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w:t>
                  </w:r>
                </w:p>
              </w:tc>
              <w:tc>
                <w:tcPr>
                  <w:tcW w:w="251" w:type="pct"/>
                  <w:vMerge w:val="restart"/>
                  <w:tcBorders>
                    <w:tl2br w:val="nil"/>
                    <w:tr2bl w:val="nil"/>
                  </w:tcBorders>
                  <w:noWrap w:val="0"/>
                  <w:vAlign w:val="center"/>
                </w:tcPr>
                <w:p w14:paraId="3796FE5E">
                  <w:pPr>
                    <w:spacing w:line="240" w:lineRule="auto"/>
                    <w:ind w:left="0" w:leftChars="0" w:right="0" w:rightChars="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公用工程</w:t>
                  </w:r>
                </w:p>
              </w:tc>
              <w:tc>
                <w:tcPr>
                  <w:tcW w:w="437" w:type="pct"/>
                  <w:tcBorders>
                    <w:tl2br w:val="nil"/>
                    <w:tr2bl w:val="nil"/>
                  </w:tcBorders>
                  <w:noWrap w:val="0"/>
                  <w:vAlign w:val="center"/>
                </w:tcPr>
                <w:p w14:paraId="13A3BB3B">
                  <w:pPr>
                    <w:spacing w:line="240" w:lineRule="auto"/>
                    <w:ind w:left="0" w:leftChars="0" w:right="0" w:rightChars="0" w:firstLine="0" w:firstLineChars="0"/>
                    <w:jc w:val="center"/>
                    <w:rPr>
                      <w:rFonts w:hint="default" w:ascii="Times New Roman" w:hAnsi="Times New Roman" w:cs="Times New Roman"/>
                      <w:color w:val="000000" w:themeColor="text1"/>
                      <w:kern w:val="24"/>
                      <w:sz w:val="21"/>
                      <w:szCs w:val="21"/>
                      <w:highlight w:val="none"/>
                      <w14:textFill>
                        <w14:solidFill>
                          <w14:schemeClr w14:val="tx1"/>
                        </w14:solidFill>
                      </w14:textFill>
                    </w:rPr>
                  </w:pPr>
                  <w:r>
                    <w:rPr>
                      <w:rFonts w:hint="default" w:ascii="Times New Roman" w:hAnsi="Times New Roman" w:cs="Times New Roman"/>
                      <w:color w:val="000000" w:themeColor="text1"/>
                      <w:kern w:val="24"/>
                      <w:sz w:val="21"/>
                      <w:szCs w:val="21"/>
                      <w:highlight w:val="none"/>
                      <w14:textFill>
                        <w14:solidFill>
                          <w14:schemeClr w14:val="tx1"/>
                        </w14:solidFill>
                      </w14:textFill>
                    </w:rPr>
                    <w:t>供水</w:t>
                  </w:r>
                </w:p>
              </w:tc>
              <w:tc>
                <w:tcPr>
                  <w:tcW w:w="3428" w:type="pct"/>
                  <w:tcBorders>
                    <w:tl2br w:val="nil"/>
                    <w:tr2bl w:val="nil"/>
                  </w:tcBorders>
                  <w:noWrap w:val="0"/>
                  <w:vAlign w:val="center"/>
                </w:tcPr>
                <w:p w14:paraId="4371F9E2">
                  <w:pPr>
                    <w:spacing w:line="240" w:lineRule="auto"/>
                    <w:ind w:left="0" w:leftChars="0" w:right="0" w:rightChars="0" w:firstLine="0" w:firstLineChars="0"/>
                    <w:jc w:val="center"/>
                    <w:rPr>
                      <w:rFonts w:hint="default" w:ascii="Times New Roman" w:hAnsi="Times New Roman" w:cs="Times New Roman"/>
                      <w:color w:val="000000" w:themeColor="text1"/>
                      <w:kern w:val="24"/>
                      <w:sz w:val="21"/>
                      <w:szCs w:val="21"/>
                      <w:highlight w:val="none"/>
                      <w:lang w:val="en-US"/>
                      <w14:textFill>
                        <w14:solidFill>
                          <w14:schemeClr w14:val="tx1"/>
                        </w14:solidFill>
                      </w14:textFill>
                    </w:rPr>
                  </w:pPr>
                  <w:r>
                    <w:rPr>
                      <w:rFonts w:hint="default" w:ascii="Times New Roman" w:hAnsi="Times New Roman" w:cs="Times New Roman"/>
                      <w:color w:val="000000" w:themeColor="text1"/>
                      <w:kern w:val="24"/>
                      <w:sz w:val="21"/>
                      <w:szCs w:val="21"/>
                      <w:highlight w:val="none"/>
                      <w:lang w:val="en-US" w:eastAsia="zh-CN"/>
                      <w14:textFill>
                        <w14:solidFill>
                          <w14:schemeClr w14:val="tx1"/>
                        </w14:solidFill>
                      </w14:textFill>
                    </w:rPr>
                    <w:t>生活用水、医疗用水由市政给水管网提供；温泉水利用现有泉眼。</w:t>
                  </w:r>
                </w:p>
              </w:tc>
              <w:tc>
                <w:tcPr>
                  <w:tcW w:w="456" w:type="pct"/>
                  <w:tcBorders>
                    <w:tl2br w:val="nil"/>
                    <w:tr2bl w:val="nil"/>
                  </w:tcBorders>
                  <w:noWrap w:val="0"/>
                  <w:vAlign w:val="center"/>
                </w:tcPr>
                <w:p w14:paraId="4BD8F22B">
                  <w:pPr>
                    <w:autoSpaceDE w:val="0"/>
                    <w:autoSpaceDN w:val="0"/>
                    <w:adjustRightInd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p>
              </w:tc>
            </w:tr>
            <w:tr w14:paraId="373CDA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426" w:type="pct"/>
                  <w:vMerge w:val="continue"/>
                  <w:tcBorders>
                    <w:tl2br w:val="nil"/>
                    <w:tr2bl w:val="nil"/>
                  </w:tcBorders>
                  <w:noWrap w:val="0"/>
                  <w:vAlign w:val="center"/>
                </w:tcPr>
                <w:p w14:paraId="18EA199E">
                  <w:pPr>
                    <w:spacing w:line="240" w:lineRule="auto"/>
                    <w:ind w:left="0" w:leftChars="0" w:right="0" w:rightChars="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251" w:type="pct"/>
                  <w:vMerge w:val="continue"/>
                  <w:tcBorders>
                    <w:tl2br w:val="nil"/>
                    <w:tr2bl w:val="nil"/>
                  </w:tcBorders>
                  <w:noWrap w:val="0"/>
                  <w:vAlign w:val="center"/>
                </w:tcPr>
                <w:p w14:paraId="40E2A219">
                  <w:pPr>
                    <w:spacing w:line="240" w:lineRule="auto"/>
                    <w:ind w:left="0" w:leftChars="0" w:right="0" w:rightChars="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437" w:type="pct"/>
                  <w:tcBorders>
                    <w:tl2br w:val="nil"/>
                    <w:tr2bl w:val="nil"/>
                  </w:tcBorders>
                  <w:noWrap w:val="0"/>
                  <w:vAlign w:val="center"/>
                </w:tcPr>
                <w:p w14:paraId="14EDDC4A">
                  <w:pPr>
                    <w:spacing w:line="240" w:lineRule="auto"/>
                    <w:ind w:left="0" w:leftChars="0" w:right="0" w:rightChars="0" w:firstLine="0" w:firstLineChars="0"/>
                    <w:jc w:val="center"/>
                    <w:rPr>
                      <w:rFonts w:hint="default" w:ascii="Times New Roman" w:hAnsi="Times New Roman" w:cs="Times New Roman"/>
                      <w:color w:val="000000" w:themeColor="text1"/>
                      <w:kern w:val="24"/>
                      <w:sz w:val="21"/>
                      <w:szCs w:val="21"/>
                      <w:highlight w:val="none"/>
                      <w14:textFill>
                        <w14:solidFill>
                          <w14:schemeClr w14:val="tx1"/>
                        </w14:solidFill>
                      </w14:textFill>
                    </w:rPr>
                  </w:pPr>
                  <w:r>
                    <w:rPr>
                      <w:rFonts w:hint="default" w:ascii="Times New Roman" w:hAnsi="Times New Roman" w:cs="Times New Roman"/>
                      <w:color w:val="000000" w:themeColor="text1"/>
                      <w:kern w:val="24"/>
                      <w:sz w:val="21"/>
                      <w:szCs w:val="21"/>
                      <w:highlight w:val="none"/>
                      <w14:textFill>
                        <w14:solidFill>
                          <w14:schemeClr w14:val="tx1"/>
                        </w14:solidFill>
                      </w14:textFill>
                    </w:rPr>
                    <w:t>排水</w:t>
                  </w:r>
                </w:p>
              </w:tc>
              <w:tc>
                <w:tcPr>
                  <w:tcW w:w="3428" w:type="pct"/>
                  <w:tcBorders>
                    <w:tl2br w:val="nil"/>
                    <w:tr2bl w:val="nil"/>
                  </w:tcBorders>
                  <w:noWrap w:val="0"/>
                  <w:vAlign w:val="center"/>
                </w:tcPr>
                <w:p w14:paraId="2E429C08">
                  <w:pPr>
                    <w:spacing w:line="240" w:lineRule="auto"/>
                    <w:ind w:left="0" w:leftChars="0" w:right="0" w:rightChars="0" w:firstLine="0" w:firstLineChars="0"/>
                    <w:jc w:val="center"/>
                    <w:rPr>
                      <w:rFonts w:hint="default" w:ascii="Times New Roman" w:hAnsi="Times New Roman" w:cs="Times New Roman"/>
                      <w:color w:val="000000" w:themeColor="text1"/>
                      <w:kern w:val="24"/>
                      <w:sz w:val="21"/>
                      <w:szCs w:val="21"/>
                      <w:highlight w:val="none"/>
                      <w14:textFill>
                        <w14:solidFill>
                          <w14:schemeClr w14:val="tx1"/>
                        </w14:solidFill>
                      </w14:textFill>
                    </w:rPr>
                  </w:pPr>
                  <w:r>
                    <w:rPr>
                      <w:rFonts w:hint="default" w:ascii="Times New Roman" w:hAnsi="Times New Roman" w:cs="Times New Roman"/>
                      <w:color w:val="000000" w:themeColor="text1"/>
                      <w:kern w:val="24"/>
                      <w:sz w:val="21"/>
                      <w:szCs w:val="21"/>
                      <w:highlight w:val="none"/>
                      <w:lang w:val="en-US" w:eastAsia="zh-CN"/>
                      <w14:textFill>
                        <w14:solidFill>
                          <w14:schemeClr w14:val="tx1"/>
                        </w14:solidFill>
                      </w14:textFill>
                    </w:rPr>
                    <w:t>本项目废水主要为生活废水和医疗废水。项目餐饮废水经隔油后与生活污水一起经化粪池预处理，后与医疗废水一起经MBR膜生物反应工艺处理，达到《医疗机构水污染物排放标准》（GB18466-2005）、《城市污水再生利用 城市再用水水质》（GB/T18920-2020）、《城市污水再生利用 景观环境用水水质》（GB/T18921-2019）相关标准后回用于项目区绿化、道路清扫及景观环境。</w:t>
                  </w:r>
                </w:p>
              </w:tc>
              <w:tc>
                <w:tcPr>
                  <w:tcW w:w="456" w:type="pct"/>
                  <w:tcBorders>
                    <w:tl2br w:val="nil"/>
                    <w:tr2bl w:val="nil"/>
                  </w:tcBorders>
                  <w:noWrap w:val="0"/>
                  <w:vAlign w:val="center"/>
                </w:tcPr>
                <w:p w14:paraId="06CF1C8D">
                  <w:pPr>
                    <w:spacing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p>
              </w:tc>
            </w:tr>
            <w:tr w14:paraId="2B75FF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426" w:type="pct"/>
                  <w:vMerge w:val="continue"/>
                  <w:tcBorders>
                    <w:tl2br w:val="nil"/>
                    <w:tr2bl w:val="nil"/>
                  </w:tcBorders>
                  <w:noWrap w:val="0"/>
                  <w:vAlign w:val="center"/>
                </w:tcPr>
                <w:p w14:paraId="4F7C86E2">
                  <w:pPr>
                    <w:spacing w:line="240" w:lineRule="auto"/>
                    <w:ind w:left="0" w:leftChars="0" w:right="0" w:rightChars="0" w:firstLine="0" w:firstLineChars="0"/>
                    <w:jc w:val="center"/>
                    <w:rPr>
                      <w:rFonts w:hint="default" w:ascii="Times New Roman" w:hAnsi="Times New Roman" w:cs="Times New Roman"/>
                      <w:color w:val="000000" w:themeColor="text1"/>
                      <w:sz w:val="21"/>
                      <w:szCs w:val="21"/>
                      <w:highlight w:val="yellow"/>
                      <w14:textFill>
                        <w14:solidFill>
                          <w14:schemeClr w14:val="tx1"/>
                        </w14:solidFill>
                      </w14:textFill>
                    </w:rPr>
                  </w:pPr>
                </w:p>
              </w:tc>
              <w:tc>
                <w:tcPr>
                  <w:tcW w:w="251" w:type="pct"/>
                  <w:vMerge w:val="continue"/>
                  <w:tcBorders>
                    <w:tl2br w:val="nil"/>
                    <w:tr2bl w:val="nil"/>
                  </w:tcBorders>
                  <w:noWrap w:val="0"/>
                  <w:vAlign w:val="center"/>
                </w:tcPr>
                <w:p w14:paraId="030D197E">
                  <w:pPr>
                    <w:spacing w:line="240" w:lineRule="auto"/>
                    <w:ind w:left="0" w:leftChars="0" w:right="0" w:rightChars="0" w:firstLine="0" w:firstLineChars="0"/>
                    <w:jc w:val="center"/>
                    <w:rPr>
                      <w:rFonts w:hint="default" w:ascii="Times New Roman" w:hAnsi="Times New Roman" w:cs="Times New Roman"/>
                      <w:color w:val="000000" w:themeColor="text1"/>
                      <w:sz w:val="21"/>
                      <w:szCs w:val="21"/>
                      <w:highlight w:val="yellow"/>
                      <w14:textFill>
                        <w14:solidFill>
                          <w14:schemeClr w14:val="tx1"/>
                        </w14:solidFill>
                      </w14:textFill>
                    </w:rPr>
                  </w:pPr>
                </w:p>
              </w:tc>
              <w:tc>
                <w:tcPr>
                  <w:tcW w:w="437" w:type="pct"/>
                  <w:tcBorders>
                    <w:tl2br w:val="nil"/>
                    <w:tr2bl w:val="nil"/>
                  </w:tcBorders>
                  <w:noWrap w:val="0"/>
                  <w:vAlign w:val="center"/>
                </w:tcPr>
                <w:p w14:paraId="45CF5456">
                  <w:pPr>
                    <w:spacing w:line="240" w:lineRule="auto"/>
                    <w:ind w:left="0" w:leftChars="0" w:right="0" w:rightChars="0" w:firstLine="0" w:firstLineChars="0"/>
                    <w:jc w:val="center"/>
                    <w:rPr>
                      <w:rFonts w:hint="default" w:ascii="Times New Roman" w:hAnsi="Times New Roman" w:cs="Times New Roman"/>
                      <w:color w:val="000000" w:themeColor="text1"/>
                      <w:kern w:val="24"/>
                      <w:sz w:val="21"/>
                      <w:szCs w:val="21"/>
                      <w:highlight w:val="none"/>
                      <w14:textFill>
                        <w14:solidFill>
                          <w14:schemeClr w14:val="tx1"/>
                        </w14:solidFill>
                      </w14:textFill>
                    </w:rPr>
                  </w:pPr>
                  <w:r>
                    <w:rPr>
                      <w:rFonts w:hint="default" w:ascii="Times New Roman" w:hAnsi="Times New Roman" w:cs="Times New Roman"/>
                      <w:color w:val="000000" w:themeColor="text1"/>
                      <w:kern w:val="24"/>
                      <w:sz w:val="21"/>
                      <w:szCs w:val="21"/>
                      <w:highlight w:val="none"/>
                      <w14:textFill>
                        <w14:solidFill>
                          <w14:schemeClr w14:val="tx1"/>
                        </w14:solidFill>
                      </w14:textFill>
                    </w:rPr>
                    <w:t>供电</w:t>
                  </w:r>
                </w:p>
              </w:tc>
              <w:tc>
                <w:tcPr>
                  <w:tcW w:w="3428" w:type="pct"/>
                  <w:tcBorders>
                    <w:tl2br w:val="nil"/>
                    <w:tr2bl w:val="nil"/>
                  </w:tcBorders>
                  <w:noWrap w:val="0"/>
                  <w:vAlign w:val="center"/>
                </w:tcPr>
                <w:p w14:paraId="2E694881">
                  <w:pPr>
                    <w:autoSpaceDE w:val="0"/>
                    <w:autoSpaceDN w:val="0"/>
                    <w:adjustRightInd w:val="0"/>
                    <w:spacing w:line="240" w:lineRule="auto"/>
                    <w:ind w:left="0" w:leftChars="0" w:right="0" w:rightChars="0" w:firstLine="0" w:firstLineChars="0"/>
                    <w:jc w:val="center"/>
                    <w:rPr>
                      <w:rFonts w:hint="default" w:ascii="Times New Roman" w:hAnsi="Times New Roman" w:eastAsia="宋体" w:cs="Times New Roman"/>
                      <w:color w:val="000000" w:themeColor="text1"/>
                      <w:kern w:val="24"/>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由市政电网供电</w:t>
                  </w:r>
                </w:p>
              </w:tc>
              <w:tc>
                <w:tcPr>
                  <w:tcW w:w="456" w:type="pct"/>
                  <w:tcBorders>
                    <w:tl2br w:val="nil"/>
                    <w:tr2bl w:val="nil"/>
                  </w:tcBorders>
                  <w:noWrap w:val="0"/>
                  <w:vAlign w:val="center"/>
                </w:tcPr>
                <w:p w14:paraId="76C5CECB">
                  <w:pPr>
                    <w:autoSpaceDE w:val="0"/>
                    <w:autoSpaceDN w:val="0"/>
                    <w:adjustRightInd w:val="0"/>
                    <w:spacing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p>
              </w:tc>
            </w:tr>
            <w:tr w14:paraId="0EA734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5" w:hRule="atLeast"/>
                <w:jc w:val="center"/>
              </w:trPr>
              <w:tc>
                <w:tcPr>
                  <w:tcW w:w="426" w:type="pct"/>
                  <w:vMerge w:val="restart"/>
                  <w:tcBorders>
                    <w:tl2br w:val="nil"/>
                    <w:tr2bl w:val="nil"/>
                  </w:tcBorders>
                  <w:noWrap w:val="0"/>
                  <w:vAlign w:val="center"/>
                </w:tcPr>
                <w:p w14:paraId="7E0BB4D7">
                  <w:pPr>
                    <w:spacing w:line="240" w:lineRule="auto"/>
                    <w:ind w:left="0" w:leftChars="0" w:right="0" w:rightChars="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4</w:t>
                  </w:r>
                </w:p>
              </w:tc>
              <w:tc>
                <w:tcPr>
                  <w:tcW w:w="251" w:type="pct"/>
                  <w:vMerge w:val="restart"/>
                  <w:tcBorders>
                    <w:tl2br w:val="nil"/>
                    <w:tr2bl w:val="nil"/>
                  </w:tcBorders>
                  <w:noWrap w:val="0"/>
                  <w:vAlign w:val="center"/>
                </w:tcPr>
                <w:p w14:paraId="2DC25796">
                  <w:pPr>
                    <w:spacing w:line="240" w:lineRule="auto"/>
                    <w:ind w:left="0" w:leftChars="0" w:right="0" w:rightChars="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环保工程</w:t>
                  </w:r>
                </w:p>
              </w:tc>
              <w:tc>
                <w:tcPr>
                  <w:tcW w:w="437" w:type="pct"/>
                  <w:tcBorders>
                    <w:tl2br w:val="nil"/>
                    <w:tr2bl w:val="nil"/>
                  </w:tcBorders>
                  <w:noWrap w:val="0"/>
                  <w:vAlign w:val="center"/>
                </w:tcPr>
                <w:p w14:paraId="61777CC5">
                  <w:pPr>
                    <w:spacing w:line="240" w:lineRule="auto"/>
                    <w:ind w:left="0" w:leftChars="0" w:right="0" w:rightChars="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废水治理</w:t>
                  </w:r>
                </w:p>
              </w:tc>
              <w:tc>
                <w:tcPr>
                  <w:tcW w:w="3428" w:type="pct"/>
                  <w:tcBorders>
                    <w:tl2br w:val="nil"/>
                    <w:tr2bl w:val="nil"/>
                  </w:tcBorders>
                  <w:shd w:val="clear" w:color="auto" w:fill="auto"/>
                  <w:noWrap w:val="0"/>
                  <w:vAlign w:val="center"/>
                </w:tcPr>
                <w:p w14:paraId="411AD71D">
                  <w:pPr>
                    <w:autoSpaceDE w:val="0"/>
                    <w:autoSpaceDN w:val="0"/>
                    <w:adjustRightInd w:val="0"/>
                    <w:spacing w:line="240" w:lineRule="auto"/>
                    <w:ind w:left="0" w:leftChars="0" w:right="0" w:rightChars="0" w:firstLine="0" w:firstLineChars="0"/>
                    <w:jc w:val="center"/>
                    <w:rPr>
                      <w:rFonts w:hint="default" w:ascii="Times New Roman" w:hAnsi="Times New Roman" w:cs="Times New Roman"/>
                      <w:color w:val="000000" w:themeColor="text1"/>
                      <w:kern w:val="24"/>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24"/>
                      <w:sz w:val="21"/>
                      <w:szCs w:val="21"/>
                      <w:highlight w:val="none"/>
                      <w:lang w:val="en-US" w:eastAsia="zh-CN"/>
                      <w14:textFill>
                        <w14:solidFill>
                          <w14:schemeClr w14:val="tx1"/>
                        </w14:solidFill>
                      </w14:textFill>
                    </w:rPr>
                    <w:t>施工期：施工期废水主要为生活废水和生产废水。</w:t>
                  </w:r>
                  <w:r>
                    <w:rPr>
                      <w:rFonts w:hint="default" w:ascii="Times New Roman" w:hAnsi="Times New Roman" w:cs="Times New Roman"/>
                      <w:color w:val="000000" w:themeColor="text1"/>
                      <w:spacing w:val="8"/>
                      <w:sz w:val="21"/>
                      <w:szCs w:val="21"/>
                      <w:highlight w:val="none"/>
                      <w:lang w:val="en-US" w:eastAsia="zh-CN"/>
                      <w14:textFill>
                        <w14:solidFill>
                          <w14:schemeClr w14:val="tx1"/>
                        </w14:solidFill>
                      </w14:textFill>
                    </w:rPr>
                    <w:t>设置临时化粪池1座，施工期委托环卫部门吸污车拉运处理；设置临时防渗沉淀池1座，</w:t>
                  </w:r>
                  <w:r>
                    <w:rPr>
                      <w:rFonts w:hint="default" w:ascii="Times New Roman" w:hAnsi="Times New Roman" w:cs="Times New Roman"/>
                      <w:color w:val="000000" w:themeColor="text1"/>
                      <w:spacing w:val="8"/>
                      <w:sz w:val="21"/>
                      <w:szCs w:val="21"/>
                      <w:highlight w:val="none"/>
                      <w14:textFill>
                        <w14:solidFill>
                          <w14:schemeClr w14:val="tx1"/>
                        </w14:solidFill>
                      </w14:textFill>
                    </w:rPr>
                    <w:t>车辆冲洗和施工废水经沉淀处理后用于场地洒水抑</w:t>
                  </w:r>
                  <w:r>
                    <w:rPr>
                      <w:rFonts w:hint="default" w:ascii="Times New Roman" w:hAnsi="Times New Roman" w:cs="Times New Roman"/>
                      <w:color w:val="000000" w:themeColor="text1"/>
                      <w:spacing w:val="7"/>
                      <w:sz w:val="21"/>
                      <w:szCs w:val="21"/>
                      <w:highlight w:val="none"/>
                      <w14:textFill>
                        <w14:solidFill>
                          <w14:schemeClr w14:val="tx1"/>
                        </w14:solidFill>
                      </w14:textFill>
                    </w:rPr>
                    <w:t>尘</w:t>
                  </w:r>
                  <w:r>
                    <w:rPr>
                      <w:rFonts w:hint="default" w:ascii="Times New Roman" w:hAnsi="Times New Roman" w:cs="Times New Roman"/>
                      <w:color w:val="000000" w:themeColor="text1"/>
                      <w:spacing w:val="6"/>
                      <w:sz w:val="21"/>
                      <w:szCs w:val="21"/>
                      <w:highlight w:val="none"/>
                      <w14:textFill>
                        <w14:solidFill>
                          <w14:schemeClr w14:val="tx1"/>
                        </w14:solidFill>
                      </w14:textFill>
                    </w:rPr>
                    <w:t>。</w:t>
                  </w:r>
                </w:p>
                <w:p w14:paraId="5FD675DC">
                  <w:pPr>
                    <w:autoSpaceDE w:val="0"/>
                    <w:autoSpaceDN w:val="0"/>
                    <w:adjustRightInd w:val="0"/>
                    <w:spacing w:line="240" w:lineRule="auto"/>
                    <w:ind w:left="0" w:leftChars="0" w:right="0" w:rightChars="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kern w:val="24"/>
                      <w:sz w:val="21"/>
                      <w:szCs w:val="21"/>
                      <w:highlight w:val="none"/>
                      <w:lang w:val="en-US" w:eastAsia="zh-CN"/>
                      <w14:textFill>
                        <w14:solidFill>
                          <w14:schemeClr w14:val="tx1"/>
                        </w14:solidFill>
                      </w14:textFill>
                    </w:rPr>
                    <w:t>运营期：本项目废水主要为生活废水和医疗废水。</w:t>
                  </w:r>
                  <w:r>
                    <w:rPr>
                      <w:rFonts w:hint="eastAsia" w:cs="Times New Roman"/>
                      <w:color w:val="000000" w:themeColor="text1"/>
                      <w:kern w:val="24"/>
                      <w:sz w:val="21"/>
                      <w:szCs w:val="21"/>
                      <w:highlight w:val="none"/>
                      <w:lang w:val="en-US" w:eastAsia="zh-CN"/>
                      <w14:textFill>
                        <w14:solidFill>
                          <w14:schemeClr w14:val="tx1"/>
                        </w14:solidFill>
                      </w14:textFill>
                    </w:rPr>
                    <w:t>配套建设一座污水处理能力为150m</w:t>
                  </w:r>
                  <w:r>
                    <w:rPr>
                      <w:rFonts w:hint="eastAsia" w:cs="Times New Roman"/>
                      <w:color w:val="000000" w:themeColor="text1"/>
                      <w:kern w:val="24"/>
                      <w:sz w:val="21"/>
                      <w:szCs w:val="21"/>
                      <w:highlight w:val="none"/>
                      <w:vertAlign w:val="superscript"/>
                      <w:lang w:val="en-US" w:eastAsia="zh-CN"/>
                      <w14:textFill>
                        <w14:solidFill>
                          <w14:schemeClr w14:val="tx1"/>
                        </w14:solidFill>
                      </w14:textFill>
                    </w:rPr>
                    <w:t>3</w:t>
                  </w:r>
                  <w:r>
                    <w:rPr>
                      <w:rFonts w:hint="eastAsia" w:cs="Times New Roman"/>
                      <w:color w:val="000000" w:themeColor="text1"/>
                      <w:kern w:val="24"/>
                      <w:sz w:val="21"/>
                      <w:szCs w:val="21"/>
                      <w:highlight w:val="none"/>
                      <w:lang w:val="en-US" w:eastAsia="zh-CN"/>
                      <w14:textFill>
                        <w14:solidFill>
                          <w14:schemeClr w14:val="tx1"/>
                        </w14:solidFill>
                      </w14:textFill>
                    </w:rPr>
                    <w:t>/d的地埋式污水处理站。</w:t>
                  </w:r>
                  <w:r>
                    <w:rPr>
                      <w:rFonts w:hint="default" w:ascii="Times New Roman" w:hAnsi="Times New Roman" w:cs="Times New Roman"/>
                      <w:color w:val="000000" w:themeColor="text1"/>
                      <w:kern w:val="24"/>
                      <w:sz w:val="21"/>
                      <w:szCs w:val="21"/>
                      <w:highlight w:val="none"/>
                      <w:lang w:val="en-US" w:eastAsia="zh-CN"/>
                      <w14:textFill>
                        <w14:solidFill>
                          <w14:schemeClr w14:val="tx1"/>
                        </w14:solidFill>
                      </w14:textFill>
                    </w:rPr>
                    <w:t>项目餐饮废水经隔油后与生活污水一起经化粪池预处理，后与医疗废水一起经MBR膜生物反应工艺处理，达到《医疗机构水污染物排放标准》（GB18466-2005）、《城市污水再生利用 城市再用水水质》（GB/T18920-2020）、《城市污水再生利用 景观环境用水水质》（GB/T18921-2019）相关标准后回用于项目区绿化、道路清扫及景观环境。</w:t>
                  </w:r>
                </w:p>
              </w:tc>
              <w:tc>
                <w:tcPr>
                  <w:tcW w:w="456" w:type="pct"/>
                  <w:tcBorders>
                    <w:tl2br w:val="nil"/>
                    <w:tr2bl w:val="nil"/>
                  </w:tcBorders>
                  <w:noWrap w:val="0"/>
                  <w:vAlign w:val="center"/>
                </w:tcPr>
                <w:p w14:paraId="28BC045D">
                  <w:pPr>
                    <w:autoSpaceDE w:val="0"/>
                    <w:autoSpaceDN w:val="0"/>
                    <w:adjustRightInd w:val="0"/>
                    <w:spacing w:line="240" w:lineRule="auto"/>
                    <w:ind w:left="0" w:leftChars="0" w:right="0" w:rightChars="0" w:firstLine="0" w:firstLineChars="0"/>
                    <w:jc w:val="center"/>
                    <w:rPr>
                      <w:rFonts w:hint="default" w:ascii="Times New Roman" w:hAnsi="Times New Roman" w:cs="Times New Roman"/>
                      <w:color w:val="000000" w:themeColor="text1"/>
                      <w:sz w:val="21"/>
                      <w:szCs w:val="21"/>
                      <w:highlight w:val="yellow"/>
                      <w14:textFill>
                        <w14:solidFill>
                          <w14:schemeClr w14:val="tx1"/>
                        </w14:solidFill>
                      </w14:textFill>
                    </w:rPr>
                  </w:pPr>
                </w:p>
              </w:tc>
            </w:tr>
            <w:tr w14:paraId="5B2B70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7" w:hRule="atLeast"/>
                <w:jc w:val="center"/>
              </w:trPr>
              <w:tc>
                <w:tcPr>
                  <w:tcW w:w="426" w:type="pct"/>
                  <w:vMerge w:val="continue"/>
                  <w:tcBorders>
                    <w:tl2br w:val="nil"/>
                    <w:tr2bl w:val="nil"/>
                  </w:tcBorders>
                  <w:noWrap w:val="0"/>
                  <w:vAlign w:val="center"/>
                </w:tcPr>
                <w:p w14:paraId="66761260">
                  <w:pPr>
                    <w:spacing w:line="240" w:lineRule="auto"/>
                    <w:ind w:left="0" w:leftChars="0" w:right="0" w:rightChars="0" w:firstLine="0" w:firstLineChars="0"/>
                    <w:jc w:val="center"/>
                    <w:rPr>
                      <w:rFonts w:hint="default" w:ascii="Times New Roman" w:hAnsi="Times New Roman" w:cs="Times New Roman"/>
                      <w:color w:val="000000" w:themeColor="text1"/>
                      <w:sz w:val="21"/>
                      <w:szCs w:val="21"/>
                      <w:highlight w:val="yellow"/>
                      <w14:textFill>
                        <w14:solidFill>
                          <w14:schemeClr w14:val="tx1"/>
                        </w14:solidFill>
                      </w14:textFill>
                    </w:rPr>
                  </w:pPr>
                </w:p>
              </w:tc>
              <w:tc>
                <w:tcPr>
                  <w:tcW w:w="251" w:type="pct"/>
                  <w:vMerge w:val="continue"/>
                  <w:tcBorders>
                    <w:tl2br w:val="nil"/>
                    <w:tr2bl w:val="nil"/>
                  </w:tcBorders>
                  <w:noWrap w:val="0"/>
                  <w:vAlign w:val="center"/>
                </w:tcPr>
                <w:p w14:paraId="3DB07746">
                  <w:pPr>
                    <w:spacing w:line="240" w:lineRule="auto"/>
                    <w:ind w:left="0" w:leftChars="0" w:right="0" w:rightChars="0" w:firstLine="0" w:firstLineChars="0"/>
                    <w:jc w:val="center"/>
                    <w:rPr>
                      <w:rFonts w:hint="default" w:ascii="Times New Roman" w:hAnsi="Times New Roman" w:cs="Times New Roman"/>
                      <w:color w:val="000000" w:themeColor="text1"/>
                      <w:sz w:val="21"/>
                      <w:szCs w:val="21"/>
                      <w:highlight w:val="yellow"/>
                      <w14:textFill>
                        <w14:solidFill>
                          <w14:schemeClr w14:val="tx1"/>
                        </w14:solidFill>
                      </w14:textFill>
                    </w:rPr>
                  </w:pPr>
                </w:p>
              </w:tc>
              <w:tc>
                <w:tcPr>
                  <w:tcW w:w="437" w:type="pct"/>
                  <w:tcBorders>
                    <w:tl2br w:val="nil"/>
                    <w:tr2bl w:val="nil"/>
                  </w:tcBorders>
                  <w:noWrap w:val="0"/>
                  <w:vAlign w:val="center"/>
                </w:tcPr>
                <w:p w14:paraId="164CDBCE">
                  <w:pPr>
                    <w:spacing w:line="240" w:lineRule="auto"/>
                    <w:ind w:left="0" w:leftChars="0" w:right="0" w:rightChars="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废气治理</w:t>
                  </w:r>
                </w:p>
              </w:tc>
              <w:tc>
                <w:tcPr>
                  <w:tcW w:w="3428" w:type="pct"/>
                  <w:tcBorders>
                    <w:tl2br w:val="nil"/>
                    <w:tr2bl w:val="nil"/>
                  </w:tcBorders>
                  <w:noWrap w:val="0"/>
                  <w:vAlign w:val="center"/>
                </w:tcPr>
                <w:p w14:paraId="1AF07F5A">
                  <w:pPr>
                    <w:autoSpaceDE w:val="0"/>
                    <w:autoSpaceDN w:val="0"/>
                    <w:adjustRightInd w:val="0"/>
                    <w:spacing w:line="240" w:lineRule="auto"/>
                    <w:ind w:left="0" w:leftChars="0" w:right="0" w:rightChars="0"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施工期：</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采取围挡、遮盖、及时洒水等防尘措施；限制车辆的行驶速度，在大风天气停止开挖、回填土作业，加大洒水频次。及时清扫路面并洒水；对砂石料筛分等实行喷水作业，减少扬尘；对运输土石料的车辆加盖防尘布。做好现场施工工作人员的防尘劳动保护措施。</w:t>
                  </w:r>
                </w:p>
                <w:p w14:paraId="12C33706">
                  <w:pPr>
                    <w:autoSpaceDE w:val="0"/>
                    <w:autoSpaceDN w:val="0"/>
                    <w:adjustRightInd w:val="0"/>
                    <w:spacing w:line="240" w:lineRule="auto"/>
                    <w:ind w:left="0" w:leftChars="0" w:right="0" w:rightChars="0" w:firstLine="0" w:firstLineChars="0"/>
                    <w:jc w:val="cente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t>运营期：餐厅油烟废气收集后经油烟净化装置处理，引至楼顶高空排放；污水处理站恶臭密闭收集后经活性炭吸附装置+15m高排气筒达标处理后排放。</w:t>
                  </w:r>
                </w:p>
              </w:tc>
              <w:tc>
                <w:tcPr>
                  <w:tcW w:w="456" w:type="pct"/>
                  <w:tcBorders>
                    <w:tl2br w:val="nil"/>
                    <w:tr2bl w:val="nil"/>
                  </w:tcBorders>
                  <w:noWrap w:val="0"/>
                  <w:vAlign w:val="center"/>
                </w:tcPr>
                <w:p w14:paraId="27B987B5">
                  <w:pPr>
                    <w:autoSpaceDE w:val="0"/>
                    <w:autoSpaceDN w:val="0"/>
                    <w:adjustRightInd w:val="0"/>
                    <w:spacing w:line="240" w:lineRule="auto"/>
                    <w:ind w:left="0" w:leftChars="0" w:right="0" w:rightChars="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r>
            <w:tr w14:paraId="5A4EBF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426" w:type="pct"/>
                  <w:vMerge w:val="continue"/>
                  <w:tcBorders>
                    <w:tl2br w:val="nil"/>
                    <w:tr2bl w:val="nil"/>
                  </w:tcBorders>
                  <w:noWrap w:val="0"/>
                  <w:vAlign w:val="center"/>
                </w:tcPr>
                <w:p w14:paraId="3D191816">
                  <w:pPr>
                    <w:spacing w:line="240" w:lineRule="auto"/>
                    <w:ind w:left="0" w:leftChars="0" w:right="0" w:rightChars="0" w:firstLine="0" w:firstLineChars="0"/>
                    <w:jc w:val="center"/>
                    <w:rPr>
                      <w:rFonts w:hint="default" w:ascii="Times New Roman" w:hAnsi="Times New Roman" w:cs="Times New Roman"/>
                      <w:color w:val="000000" w:themeColor="text1"/>
                      <w:sz w:val="21"/>
                      <w:szCs w:val="21"/>
                      <w:highlight w:val="yellow"/>
                      <w14:textFill>
                        <w14:solidFill>
                          <w14:schemeClr w14:val="tx1"/>
                        </w14:solidFill>
                      </w14:textFill>
                    </w:rPr>
                  </w:pPr>
                </w:p>
              </w:tc>
              <w:tc>
                <w:tcPr>
                  <w:tcW w:w="251" w:type="pct"/>
                  <w:vMerge w:val="continue"/>
                  <w:tcBorders>
                    <w:tl2br w:val="nil"/>
                    <w:tr2bl w:val="nil"/>
                  </w:tcBorders>
                  <w:noWrap w:val="0"/>
                  <w:vAlign w:val="center"/>
                </w:tcPr>
                <w:p w14:paraId="5F6BDB4C">
                  <w:pPr>
                    <w:spacing w:line="240" w:lineRule="auto"/>
                    <w:ind w:left="0" w:leftChars="0" w:right="0" w:rightChars="0" w:firstLine="0" w:firstLineChars="0"/>
                    <w:jc w:val="center"/>
                    <w:rPr>
                      <w:rFonts w:hint="default" w:ascii="Times New Roman" w:hAnsi="Times New Roman" w:cs="Times New Roman"/>
                      <w:color w:val="000000" w:themeColor="text1"/>
                      <w:sz w:val="21"/>
                      <w:szCs w:val="21"/>
                      <w:highlight w:val="yellow"/>
                      <w14:textFill>
                        <w14:solidFill>
                          <w14:schemeClr w14:val="tx1"/>
                        </w14:solidFill>
                      </w14:textFill>
                    </w:rPr>
                  </w:pPr>
                </w:p>
              </w:tc>
              <w:tc>
                <w:tcPr>
                  <w:tcW w:w="437" w:type="pct"/>
                  <w:tcBorders>
                    <w:tl2br w:val="nil"/>
                    <w:tr2bl w:val="nil"/>
                  </w:tcBorders>
                  <w:noWrap w:val="0"/>
                  <w:vAlign w:val="center"/>
                </w:tcPr>
                <w:p w14:paraId="0B167325">
                  <w:pPr>
                    <w:spacing w:line="240" w:lineRule="auto"/>
                    <w:ind w:left="0" w:leftChars="0" w:right="0" w:rightChars="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噪声治理</w:t>
                  </w:r>
                </w:p>
              </w:tc>
              <w:tc>
                <w:tcPr>
                  <w:tcW w:w="3428" w:type="pct"/>
                  <w:tcBorders>
                    <w:tl2br w:val="nil"/>
                    <w:tr2bl w:val="nil"/>
                  </w:tcBorders>
                  <w:noWrap w:val="0"/>
                  <w:vAlign w:val="center"/>
                </w:tcPr>
                <w:p w14:paraId="27F89D8B">
                  <w:pPr>
                    <w:autoSpaceDE w:val="0"/>
                    <w:autoSpaceDN w:val="0"/>
                    <w:adjustRightInd w:val="0"/>
                    <w:spacing w:line="240" w:lineRule="auto"/>
                    <w:ind w:left="0" w:leftChars="0" w:right="0" w:rightChars="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施工期：</w:t>
                  </w:r>
                  <w:r>
                    <w:rPr>
                      <w:rFonts w:hint="default" w:ascii="Times New Roman" w:hAnsi="Times New Roman" w:cs="Times New Roman"/>
                      <w:color w:val="000000" w:themeColor="text1"/>
                      <w:spacing w:val="8"/>
                      <w:sz w:val="21"/>
                      <w:szCs w:val="21"/>
                      <w:highlight w:val="none"/>
                      <w14:textFill>
                        <w14:solidFill>
                          <w14:schemeClr w14:val="tx1"/>
                        </w14:solidFill>
                      </w14:textFill>
                    </w:rPr>
                    <w:t>合理安排施工作业时间，严禁夜间进行有</w:t>
                  </w:r>
                  <w:r>
                    <w:rPr>
                      <w:rFonts w:hint="default" w:ascii="Times New Roman" w:hAnsi="Times New Roman" w:cs="Times New Roman"/>
                      <w:color w:val="000000" w:themeColor="text1"/>
                      <w:spacing w:val="7"/>
                      <w:sz w:val="21"/>
                      <w:szCs w:val="21"/>
                      <w:highlight w:val="none"/>
                      <w14:textFill>
                        <w14:solidFill>
                          <w14:schemeClr w14:val="tx1"/>
                        </w14:solidFill>
                      </w14:textFill>
                    </w:rPr>
                    <w:t>强噪声污染</w:t>
                  </w:r>
                  <w:r>
                    <w:rPr>
                      <w:rFonts w:hint="default" w:ascii="Times New Roman" w:hAnsi="Times New Roman" w:cs="Times New Roman"/>
                      <w:color w:val="000000" w:themeColor="text1"/>
                      <w:spacing w:val="6"/>
                      <w:sz w:val="21"/>
                      <w:szCs w:val="21"/>
                      <w:highlight w:val="none"/>
                      <w14:textFill>
                        <w14:solidFill>
                          <w14:schemeClr w14:val="tx1"/>
                        </w14:solidFill>
                      </w14:textFill>
                    </w:rPr>
                    <w:t>的施工作业。</w:t>
                  </w:r>
                </w:p>
                <w:p w14:paraId="4FDCE844">
                  <w:pPr>
                    <w:autoSpaceDE w:val="0"/>
                    <w:autoSpaceDN w:val="0"/>
                    <w:adjustRightInd w:val="0"/>
                    <w:spacing w:line="240" w:lineRule="auto"/>
                    <w:ind w:left="0" w:leftChars="0" w:right="0" w:rightChars="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运营期：设备噪声通过对设备采取隔声、消声等降噪措施；车辆行驶噪声通过选用电动旅游车、项目区内禁止鸣笛来减少噪声影响；人群活动噪声通过林木的阻挡加之大气的衰减。</w:t>
                  </w:r>
                </w:p>
              </w:tc>
              <w:tc>
                <w:tcPr>
                  <w:tcW w:w="456" w:type="pct"/>
                  <w:tcBorders>
                    <w:tl2br w:val="nil"/>
                    <w:tr2bl w:val="nil"/>
                  </w:tcBorders>
                  <w:noWrap w:val="0"/>
                  <w:vAlign w:val="center"/>
                </w:tcPr>
                <w:p w14:paraId="6ACFDB28">
                  <w:pPr>
                    <w:autoSpaceDE w:val="0"/>
                    <w:autoSpaceDN w:val="0"/>
                    <w:adjustRightInd w:val="0"/>
                    <w:spacing w:line="240" w:lineRule="auto"/>
                    <w:ind w:left="0" w:leftChars="0" w:right="0" w:rightChars="0"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p>
              </w:tc>
            </w:tr>
            <w:tr w14:paraId="1B36A9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09" w:hRule="atLeast"/>
                <w:jc w:val="center"/>
              </w:trPr>
              <w:tc>
                <w:tcPr>
                  <w:tcW w:w="426" w:type="pct"/>
                  <w:vMerge w:val="continue"/>
                  <w:tcBorders>
                    <w:tl2br w:val="nil"/>
                    <w:tr2bl w:val="nil"/>
                  </w:tcBorders>
                  <w:noWrap w:val="0"/>
                  <w:vAlign w:val="center"/>
                </w:tcPr>
                <w:p w14:paraId="7AD2A098">
                  <w:pPr>
                    <w:spacing w:line="240" w:lineRule="auto"/>
                    <w:ind w:left="0" w:leftChars="0" w:right="0" w:rightChars="0" w:firstLine="0" w:firstLineChars="0"/>
                    <w:jc w:val="center"/>
                    <w:rPr>
                      <w:rFonts w:hint="default" w:ascii="Times New Roman" w:hAnsi="Times New Roman" w:cs="Times New Roman"/>
                      <w:color w:val="000000" w:themeColor="text1"/>
                      <w:sz w:val="21"/>
                      <w:szCs w:val="21"/>
                      <w:highlight w:val="yellow"/>
                      <w14:textFill>
                        <w14:solidFill>
                          <w14:schemeClr w14:val="tx1"/>
                        </w14:solidFill>
                      </w14:textFill>
                    </w:rPr>
                  </w:pPr>
                </w:p>
              </w:tc>
              <w:tc>
                <w:tcPr>
                  <w:tcW w:w="251" w:type="pct"/>
                  <w:vMerge w:val="continue"/>
                  <w:tcBorders>
                    <w:tl2br w:val="nil"/>
                    <w:tr2bl w:val="nil"/>
                  </w:tcBorders>
                  <w:noWrap w:val="0"/>
                  <w:vAlign w:val="center"/>
                </w:tcPr>
                <w:p w14:paraId="4103EDA2">
                  <w:pPr>
                    <w:spacing w:line="240" w:lineRule="auto"/>
                    <w:ind w:left="0" w:leftChars="0" w:right="0" w:rightChars="0" w:firstLine="0" w:firstLineChars="0"/>
                    <w:jc w:val="center"/>
                    <w:rPr>
                      <w:rFonts w:hint="default" w:ascii="Times New Roman" w:hAnsi="Times New Roman" w:cs="Times New Roman"/>
                      <w:color w:val="000000" w:themeColor="text1"/>
                      <w:sz w:val="21"/>
                      <w:szCs w:val="21"/>
                      <w:highlight w:val="yellow"/>
                      <w14:textFill>
                        <w14:solidFill>
                          <w14:schemeClr w14:val="tx1"/>
                        </w14:solidFill>
                      </w14:textFill>
                    </w:rPr>
                  </w:pPr>
                </w:p>
              </w:tc>
              <w:tc>
                <w:tcPr>
                  <w:tcW w:w="437" w:type="pct"/>
                  <w:tcBorders>
                    <w:tl2br w:val="nil"/>
                    <w:tr2bl w:val="nil"/>
                  </w:tcBorders>
                  <w:noWrap w:val="0"/>
                  <w:vAlign w:val="center"/>
                </w:tcPr>
                <w:p w14:paraId="6A4BE317">
                  <w:pPr>
                    <w:autoSpaceDE w:val="0"/>
                    <w:autoSpaceDN w:val="0"/>
                    <w:adjustRightInd w:val="0"/>
                    <w:spacing w:line="240" w:lineRule="auto"/>
                    <w:ind w:left="0" w:leftChars="0" w:right="0" w:rightChars="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固废处理</w:t>
                  </w:r>
                </w:p>
              </w:tc>
              <w:tc>
                <w:tcPr>
                  <w:tcW w:w="3428" w:type="pct"/>
                  <w:tcBorders>
                    <w:tl2br w:val="nil"/>
                    <w:tr2bl w:val="nil"/>
                  </w:tcBorders>
                  <w:noWrap w:val="0"/>
                  <w:vAlign w:val="center"/>
                </w:tcPr>
                <w:p w14:paraId="04679448">
                  <w:pPr>
                    <w:autoSpaceDE w:val="0"/>
                    <w:autoSpaceDN w:val="0"/>
                    <w:adjustRightInd w:val="0"/>
                    <w:spacing w:line="240" w:lineRule="auto"/>
                    <w:ind w:left="0" w:leftChars="0" w:right="0" w:rightChars="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施工期：施工人员生活垃圾集中收集后外运至当地垃圾处理场进行处置；工程完工清理场地时产生的建渣应集中堆放，并及时由施工单位运至市政指定建筑废渣专用堆放场。</w:t>
                  </w:r>
                </w:p>
                <w:p w14:paraId="38AC2D87">
                  <w:pPr>
                    <w:autoSpaceDE w:val="0"/>
                    <w:autoSpaceDN w:val="0"/>
                    <w:adjustRightInd w:val="0"/>
                    <w:spacing w:line="240" w:lineRule="auto"/>
                    <w:ind w:left="0" w:leftChars="0" w:right="0" w:rightChars="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运营期：固废主要为生活垃圾、医疗废物、污水处理站污泥和废活性炭。生活垃圾收集后委托环卫部门清运；医疗废物分类收集后在临时医疗废物暂存间分区暂存，委托有资质单位集中处置；专用污泥脱水车脱水处理后的污泥不在项目区内储存，直接装箱采用专用车辆运送至有资质的单位处理。项目产生的废活性炭在医疗废物暂存间暂存后，定期由有资质单位处理。</w:t>
                  </w:r>
                </w:p>
              </w:tc>
              <w:tc>
                <w:tcPr>
                  <w:tcW w:w="456" w:type="pct"/>
                  <w:tcBorders>
                    <w:tl2br w:val="nil"/>
                    <w:tr2bl w:val="nil"/>
                  </w:tcBorders>
                  <w:noWrap w:val="0"/>
                  <w:vAlign w:val="center"/>
                </w:tcPr>
                <w:p w14:paraId="0923DA18">
                  <w:pPr>
                    <w:widowControl/>
                    <w:spacing w:line="240" w:lineRule="auto"/>
                    <w:ind w:left="0" w:leftChars="0" w:right="0" w:rightChars="0" w:firstLine="0" w:firstLineChars="0"/>
                    <w:jc w:val="center"/>
                    <w:rPr>
                      <w:rFonts w:hint="default" w:ascii="Times New Roman" w:hAnsi="Times New Roman" w:cs="Times New Roman"/>
                      <w:color w:val="000000" w:themeColor="text1"/>
                      <w:kern w:val="0"/>
                      <w:sz w:val="21"/>
                      <w:szCs w:val="21"/>
                      <w:highlight w:val="none"/>
                      <w14:textFill>
                        <w14:solidFill>
                          <w14:schemeClr w14:val="tx1"/>
                        </w14:solidFill>
                      </w14:textFill>
                    </w:rPr>
                  </w:pPr>
                </w:p>
              </w:tc>
            </w:tr>
          </w:tbl>
          <w:p w14:paraId="7643A332">
            <w:pPr>
              <w:keepNext w:val="0"/>
              <w:keepLines w:val="0"/>
              <w:pageBreakBefore w:val="0"/>
              <w:widowControl w:val="0"/>
              <w:numPr>
                <w:ilvl w:val="0"/>
                <w:numId w:val="0"/>
              </w:numPr>
              <w:kinsoku/>
              <w:wordWrap/>
              <w:overflowPunct/>
              <w:topLinePunct w:val="0"/>
              <w:autoSpaceDE w:val="0"/>
              <w:autoSpaceDN w:val="0"/>
              <w:bidi w:val="0"/>
              <w:adjustRightInd w:val="0"/>
              <w:snapToGrid/>
              <w:ind w:firstLine="482"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2.1 高端温泉康养酒店</w:t>
            </w:r>
          </w:p>
          <w:p w14:paraId="53B95B93">
            <w:pPr>
              <w:spacing w:line="360" w:lineRule="auto"/>
              <w:ind w:firstLine="48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建筑面积5</w:t>
            </w:r>
            <w:r>
              <w:rPr>
                <w:rFonts w:hint="default"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eastAsia="宋体" w:cs="Times New Roman"/>
                <w:color w:val="000000" w:themeColor="text1"/>
                <w:lang w:val="en-US" w:eastAsia="zh-CN"/>
                <w14:textFill>
                  <w14:solidFill>
                    <w14:schemeClr w14:val="tx1"/>
                  </w14:solidFill>
                </w14:textFill>
              </w:rPr>
              <w:t>0</w:t>
            </w:r>
            <w:r>
              <w:rPr>
                <w:rFonts w:hint="default" w:ascii="Times New Roman" w:hAnsi="Times New Roman" w:cs="Times New Roman"/>
                <w:color w:val="000000" w:themeColor="text1"/>
                <w:lang w:val="en-US" w:eastAsia="zh-CN"/>
                <w14:textFill>
                  <w14:solidFill>
                    <w14:schemeClr w14:val="tx1"/>
                  </w14:solidFill>
                </w14:textFill>
              </w:rPr>
              <w:t>0</w:t>
            </w:r>
            <w:r>
              <w:rPr>
                <w:rFonts w:hint="default" w:ascii="Times New Roman" w:hAnsi="Times New Roman" w:eastAsia="宋体" w:cs="Times New Roman"/>
                <w:color w:val="000000" w:themeColor="text1"/>
                <w:lang w:val="en-US" w:eastAsia="zh-CN"/>
                <w14:textFill>
                  <w14:solidFill>
                    <w14:schemeClr w14:val="tx1"/>
                  </w14:solidFill>
                </w14:textFill>
              </w:rPr>
              <w:t>0</w:t>
            </w:r>
            <w:r>
              <w:rPr>
                <w:rFonts w:hint="default" w:ascii="Times New Roman" w:hAnsi="Times New Roman" w:cs="Times New Roman"/>
                <w:color w:val="000000" w:themeColor="text1"/>
                <w:lang w:val="en-US" w:eastAsia="zh-CN"/>
                <w14:textFill>
                  <w14:solidFill>
                    <w14:schemeClr w14:val="tx1"/>
                  </w14:solidFill>
                </w14:textFill>
              </w:rPr>
              <w:t>m</w:t>
            </w:r>
            <w:r>
              <w:rPr>
                <w:rFonts w:hint="default" w:ascii="Times New Roman" w:hAnsi="Times New Roman" w:cs="Times New Roman"/>
                <w:color w:val="000000" w:themeColor="text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lang w:val="en-US" w:eastAsia="zh-CN"/>
                <w14:textFill>
                  <w14:solidFill>
                    <w14:schemeClr w14:val="tx1"/>
                  </w14:solidFill>
                </w14:textFill>
              </w:rPr>
              <w:t>，建筑高度6层。拥有豪华标准间、套间客房数量超过600间</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满足高端银发客群和核心家庭客群的旅居需求</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酒店设置各种服务配套15000</w:t>
            </w:r>
            <w:r>
              <w:rPr>
                <w:rFonts w:hint="default" w:ascii="Times New Roman" w:hAnsi="Times New Roman" w:cs="Times New Roman"/>
                <w:color w:val="000000" w:themeColor="text1"/>
                <w:sz w:val="24"/>
                <w:szCs w:val="24"/>
                <w:lang w:val="en-US" w:eastAsia="zh-CN"/>
                <w14:textFill>
                  <w14:solidFill>
                    <w14:schemeClr w14:val="tx1"/>
                  </w14:solidFill>
                </w14:textFill>
              </w:rPr>
              <w:t>m</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内含高端国际会议中心、各类豪华餐厅、温泉泳池、道学斋沐、舒适客房等功能。其中各种规格会议室，可满足10-400人的会议要求，容纳500人的会议室，为客人、银发智囊团以及周边企业提供了高端国际会议中心，充分发挥各个领域的专家、学者以及两院院士的人生智慧以及号召力，开办定期的高峰产业论坛、金融论坛、社会发展峰会等活动，为泾源县、固原市乃至宁夏自治区提供快速发展做出贡献。</w:t>
            </w:r>
            <w:r>
              <w:rPr>
                <w:rFonts w:hint="default" w:ascii="Times New Roman" w:hAnsi="Times New Roman" w:eastAsia="宋体" w:cs="Times New Roman"/>
                <w:color w:val="000000" w:themeColor="text1"/>
                <w:lang w:val="en-US" w:eastAsia="zh-CN"/>
                <w14:textFill>
                  <w14:solidFill>
                    <w14:schemeClr w14:val="tx1"/>
                  </w14:solidFill>
                </w14:textFill>
              </w:rPr>
              <w:t>高端温泉康养酒店建筑效果图见2-1。</w:t>
            </w:r>
          </w:p>
          <w:p w14:paraId="705CA39D">
            <w:pPr>
              <w:keepNext w:val="0"/>
              <w:keepLines w:val="0"/>
              <w:pageBreakBefore w:val="0"/>
              <w:widowControl w:val="0"/>
              <w:numPr>
                <w:ilvl w:val="0"/>
                <w:numId w:val="0"/>
              </w:numPr>
              <w:kinsoku/>
              <w:wordWrap/>
              <w:overflowPunct/>
              <w:topLinePunct w:val="0"/>
              <w:autoSpaceDE w:val="0"/>
              <w:autoSpaceDN w:val="0"/>
              <w:bidi w:val="0"/>
              <w:adjustRightInd w:val="0"/>
              <w:snapToGrid/>
              <w:ind w:left="0" w:leftChars="0" w:right="0" w:rightChars="0" w:firstLine="0" w:firstLineChars="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drawing>
                <wp:inline distT="0" distB="0" distL="0" distR="0">
                  <wp:extent cx="4939030" cy="3240405"/>
                  <wp:effectExtent l="0" t="0" r="13970" b="17145"/>
                  <wp:docPr id="44" name="IM 58"/>
                  <wp:cNvGraphicFramePr/>
                  <a:graphic xmlns:a="http://schemas.openxmlformats.org/drawingml/2006/main">
                    <a:graphicData uri="http://schemas.openxmlformats.org/drawingml/2006/picture">
                      <pic:pic xmlns:pic="http://schemas.openxmlformats.org/drawingml/2006/picture">
                        <pic:nvPicPr>
                          <pic:cNvPr id="44" name="IM 58"/>
                          <pic:cNvPicPr/>
                        </pic:nvPicPr>
                        <pic:blipFill>
                          <a:blip r:embed="rId13"/>
                          <a:stretch>
                            <a:fillRect/>
                          </a:stretch>
                        </pic:blipFill>
                        <pic:spPr>
                          <a:xfrm>
                            <a:off x="0" y="0"/>
                            <a:ext cx="4939030" cy="3240405"/>
                          </a:xfrm>
                          <a:prstGeom prst="rect">
                            <a:avLst/>
                          </a:prstGeom>
                          <a:noFill/>
                          <a:ln>
                            <a:noFill/>
                          </a:ln>
                        </pic:spPr>
                      </pic:pic>
                    </a:graphicData>
                  </a:graphic>
                </wp:inline>
              </w:drawing>
            </w:r>
          </w:p>
          <w:p w14:paraId="3C0855AE">
            <w:pPr>
              <w:pStyle w:val="63"/>
              <w:spacing w:line="240" w:lineRule="auto"/>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图2-1  高端温泉康养酒店效果图</w:t>
            </w:r>
          </w:p>
          <w:p w14:paraId="189D48F8">
            <w:pPr>
              <w:autoSpaceDE w:val="0"/>
              <w:autoSpaceDN w:val="0"/>
              <w:adjustRightInd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 xml:space="preserve">2.2 </w:t>
            </w:r>
            <w:r>
              <w:rPr>
                <w:rFonts w:hint="default" w:ascii="Times New Roman" w:hAnsi="Times New Roman" w:eastAsia="宋体" w:cs="Times New Roman"/>
                <w:b/>
                <w:bCs/>
                <w:color w:val="000000" w:themeColor="text1"/>
                <w:lang w:val="en-US" w:eastAsia="zh-CN"/>
                <w14:textFill>
                  <w14:solidFill>
                    <w14:schemeClr w14:val="tx1"/>
                  </w14:solidFill>
                </w14:textFill>
              </w:rPr>
              <w:t>商业街区</w:t>
            </w:r>
          </w:p>
          <w:p w14:paraId="548755E9">
            <w:pPr>
              <w:spacing w:line="360" w:lineRule="auto"/>
              <w:ind w:firstLine="48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商业街</w:t>
            </w:r>
            <w:r>
              <w:rPr>
                <w:rFonts w:hint="default" w:ascii="Times New Roman" w:hAnsi="Times New Roman" w:cs="Times New Roman"/>
                <w:color w:val="000000" w:themeColor="text1"/>
                <w:lang w:val="en-US" w:eastAsia="zh-CN"/>
                <w14:textFill>
                  <w14:solidFill>
                    <w14:schemeClr w14:val="tx1"/>
                  </w14:solidFill>
                </w14:textFill>
              </w:rPr>
              <w:t>区建筑面积31110</w:t>
            </w:r>
            <w:r>
              <w:rPr>
                <w:rFonts w:hint="default" w:ascii="Times New Roman" w:hAnsi="Times New Roman" w:eastAsia="宋体" w:cs="Times New Roman"/>
                <w:color w:val="000000" w:themeColor="text1"/>
                <w:lang w:val="en-US" w:eastAsia="zh-CN"/>
                <w14:textFill>
                  <w14:solidFill>
                    <w14:schemeClr w14:val="tx1"/>
                  </w14:solidFill>
                </w14:textFill>
              </w:rPr>
              <w:t>m</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建筑高度4层，</w:t>
            </w:r>
            <w:r>
              <w:rPr>
                <w:rFonts w:hint="default" w:ascii="Times New Roman" w:hAnsi="Times New Roman" w:eastAsia="宋体" w:cs="Times New Roman"/>
                <w:color w:val="000000" w:themeColor="text1"/>
                <w:lang w:val="en-US" w:eastAsia="zh-CN"/>
                <w14:textFill>
                  <w14:solidFill>
                    <w14:schemeClr w14:val="tx1"/>
                  </w14:solidFill>
                </w14:textFill>
              </w:rPr>
              <w:t>景区入口商业2350m</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lang w:val="en-US" w:eastAsia="zh-CN"/>
                <w14:textFill>
                  <w14:solidFill>
                    <w14:schemeClr w14:val="tx1"/>
                  </w14:solidFill>
                </w14:textFill>
              </w:rPr>
              <w:t>，游客中心配套商业6570m</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lang w:val="en-US" w:eastAsia="zh-CN"/>
                <w14:textFill>
                  <w14:solidFill>
                    <w14:schemeClr w14:val="tx1"/>
                  </w14:solidFill>
                </w14:textFill>
              </w:rPr>
              <w:t>，包括农产品交易、林</w:t>
            </w:r>
            <w:r>
              <w:rPr>
                <w:rFonts w:hint="default" w:ascii="Times New Roman" w:hAnsi="Times New Roman" w:cs="Times New Roman"/>
                <w:color w:val="000000" w:themeColor="text1"/>
                <w:kern w:val="0"/>
                <w:lang w:val="en-US" w:eastAsia="zh-CN"/>
                <w14:textFill>
                  <w14:solidFill>
                    <w14:schemeClr w14:val="tx1"/>
                  </w14:solidFill>
                </w14:textFill>
              </w:rPr>
              <w:t>下经济等，</w:t>
            </w:r>
            <w:r>
              <w:rPr>
                <w:rFonts w:hint="default" w:ascii="Times New Roman" w:hAnsi="Times New Roman" w:eastAsia="宋体" w:cs="Times New Roman"/>
                <w:color w:val="000000" w:themeColor="text1"/>
                <w:sz w:val="24"/>
                <w:szCs w:val="24"/>
                <w14:textFill>
                  <w14:solidFill>
                    <w14:schemeClr w14:val="tx1"/>
                  </w14:solidFill>
                </w14:textFill>
              </w:rPr>
              <w:t>主要植入精品零售、精品超市、高端健康管理、文化娱乐、医疗颐养等各类业态。打造满足银发族精致生活购物、健康理疗、兴趣拓展培训、休闲交友、美容美发整形、餐饮聚会等全方位的生活需求。整体建筑设施和环境打造绿色亲人的风格特点，着力适老型无障碍化、无感化、智能化的环境体验。</w:t>
            </w:r>
            <w:r>
              <w:rPr>
                <w:rFonts w:hint="default" w:ascii="Times New Roman" w:hAnsi="Times New Roman" w:eastAsia="宋体" w:cs="Times New Roman"/>
                <w:color w:val="000000" w:themeColor="text1"/>
                <w:lang w:val="en-US" w:eastAsia="zh-CN"/>
                <w14:textFill>
                  <w14:solidFill>
                    <w14:schemeClr w14:val="tx1"/>
                  </w14:solidFill>
                </w14:textFill>
              </w:rPr>
              <w:t>商业街区效果图见</w:t>
            </w:r>
            <w:r>
              <w:rPr>
                <w:rFonts w:hint="eastAsia" w:cs="Times New Roman"/>
                <w:color w:val="000000" w:themeColor="text1"/>
                <w:lang w:val="en-US" w:eastAsia="zh-CN"/>
                <w14:textFill>
                  <w14:solidFill>
                    <w14:schemeClr w14:val="tx1"/>
                  </w14:solidFill>
                </w14:textFill>
              </w:rPr>
              <w:t>图</w:t>
            </w:r>
            <w:r>
              <w:rPr>
                <w:rFonts w:hint="default" w:ascii="Times New Roman" w:hAnsi="Times New Roman" w:eastAsia="宋体" w:cs="Times New Roman"/>
                <w:color w:val="000000" w:themeColor="text1"/>
                <w:lang w:val="en-US" w:eastAsia="zh-CN"/>
                <w14:textFill>
                  <w14:solidFill>
                    <w14:schemeClr w14:val="tx1"/>
                  </w14:solidFill>
                </w14:textFill>
              </w:rPr>
              <w:t>2-2。</w:t>
            </w:r>
          </w:p>
          <w:p w14:paraId="78AB4D9D">
            <w:pPr>
              <w:spacing w:line="360" w:lineRule="auto"/>
              <w:ind w:firstLine="480" w:firstLineChars="200"/>
              <w:rPr>
                <w:rFonts w:hint="default" w:ascii="Times New Roman" w:hAnsi="Times New Roman" w:eastAsia="宋体" w:cs="Times New Roman"/>
                <w:color w:val="000000" w:themeColor="text1"/>
                <w:lang w:val="en-US" w:eastAsia="zh-CN"/>
                <w14:textFill>
                  <w14:solidFill>
                    <w14:schemeClr w14:val="tx1"/>
                  </w14:solidFill>
                </w14:textFill>
              </w:rPr>
            </w:pPr>
          </w:p>
          <w:p w14:paraId="6E39DC8C">
            <w:pPr>
              <w:spacing w:line="360" w:lineRule="auto"/>
              <w:ind w:firstLine="480" w:firstLineChars="200"/>
              <w:rPr>
                <w:rFonts w:hint="default" w:ascii="Times New Roman" w:hAnsi="Times New Roman" w:eastAsia="宋体" w:cs="Times New Roman"/>
                <w:color w:val="000000" w:themeColor="text1"/>
                <w:lang w:val="en-US" w:eastAsia="zh-CN"/>
                <w14:textFill>
                  <w14:solidFill>
                    <w14:schemeClr w14:val="tx1"/>
                  </w14:solidFill>
                </w14:textFill>
              </w:rPr>
            </w:pPr>
          </w:p>
          <w:p w14:paraId="088675D0">
            <w:pPr>
              <w:spacing w:line="360" w:lineRule="auto"/>
              <w:ind w:firstLine="480" w:firstLineChars="200"/>
              <w:rPr>
                <w:rFonts w:hint="default" w:ascii="Times New Roman" w:hAnsi="Times New Roman" w:eastAsia="宋体" w:cs="Times New Roman"/>
                <w:color w:val="000000" w:themeColor="text1"/>
                <w:lang w:val="en-US" w:eastAsia="zh-CN"/>
                <w14:textFill>
                  <w14:solidFill>
                    <w14:schemeClr w14:val="tx1"/>
                  </w14:solidFill>
                </w14:textFill>
              </w:rPr>
            </w:pPr>
          </w:p>
          <w:p w14:paraId="6C7FB534">
            <w:pPr>
              <w:spacing w:line="360" w:lineRule="auto"/>
              <w:ind w:firstLine="480" w:firstLineChars="200"/>
              <w:rPr>
                <w:rFonts w:hint="default" w:ascii="Times New Roman" w:hAnsi="Times New Roman" w:eastAsia="宋体" w:cs="Times New Roman"/>
                <w:color w:val="000000" w:themeColor="text1"/>
                <w:lang w:val="en-US" w:eastAsia="zh-CN"/>
                <w14:textFill>
                  <w14:solidFill>
                    <w14:schemeClr w14:val="tx1"/>
                  </w14:solidFill>
                </w14:textFill>
              </w:rPr>
            </w:pPr>
          </w:p>
          <w:p w14:paraId="6820F637">
            <w:pPr>
              <w:spacing w:line="360" w:lineRule="auto"/>
              <w:ind w:firstLine="480" w:firstLineChars="200"/>
              <w:rPr>
                <w:rFonts w:hint="default" w:ascii="Times New Roman" w:hAnsi="Times New Roman" w:eastAsia="宋体" w:cs="Times New Roman"/>
                <w:color w:val="000000" w:themeColor="text1"/>
                <w:lang w:val="en-US" w:eastAsia="zh-CN"/>
                <w14:textFill>
                  <w14:solidFill>
                    <w14:schemeClr w14:val="tx1"/>
                  </w14:solidFill>
                </w14:textFill>
              </w:rPr>
            </w:pPr>
          </w:p>
          <w:p w14:paraId="66BD968A">
            <w:pPr>
              <w:spacing w:line="360" w:lineRule="auto"/>
              <w:ind w:firstLine="480" w:firstLineChars="200"/>
              <w:rPr>
                <w:rFonts w:hint="default" w:ascii="Times New Roman" w:hAnsi="Times New Roman" w:eastAsia="宋体" w:cs="Times New Roman"/>
                <w:color w:val="000000" w:themeColor="text1"/>
                <w:lang w:val="en-US" w:eastAsia="zh-CN"/>
                <w14:textFill>
                  <w14:solidFill>
                    <w14:schemeClr w14:val="tx1"/>
                  </w14:solidFill>
                </w14:textFill>
              </w:rPr>
            </w:pPr>
          </w:p>
          <w:p w14:paraId="32F478D8">
            <w:pPr>
              <w:keepNext w:val="0"/>
              <w:keepLines w:val="0"/>
              <w:pageBreakBefore w:val="0"/>
              <w:widowControl w:val="0"/>
              <w:numPr>
                <w:ilvl w:val="0"/>
                <w:numId w:val="0"/>
              </w:numPr>
              <w:kinsoku/>
              <w:wordWrap/>
              <w:overflowPunct/>
              <w:topLinePunct w:val="0"/>
              <w:autoSpaceDE w:val="0"/>
              <w:autoSpaceDN w:val="0"/>
              <w:bidi w:val="0"/>
              <w:adjustRightInd w:val="0"/>
              <w:snapToGrid/>
              <w:ind w:left="0" w:leftChars="0" w:right="0" w:rightChars="0" w:firstLine="0" w:firstLineChars="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position w:val="-99"/>
                <w14:textFill>
                  <w14:solidFill>
                    <w14:schemeClr w14:val="tx1"/>
                  </w14:solidFill>
                </w14:textFill>
              </w:rPr>
              <w:drawing>
                <wp:inline distT="0" distB="0" distL="0" distR="0">
                  <wp:extent cx="4940935" cy="3159760"/>
                  <wp:effectExtent l="0" t="0" r="12065" b="2540"/>
                  <wp:docPr id="45" name="IM 60"/>
                  <wp:cNvGraphicFramePr/>
                  <a:graphic xmlns:a="http://schemas.openxmlformats.org/drawingml/2006/main">
                    <a:graphicData uri="http://schemas.openxmlformats.org/drawingml/2006/picture">
                      <pic:pic xmlns:pic="http://schemas.openxmlformats.org/drawingml/2006/picture">
                        <pic:nvPicPr>
                          <pic:cNvPr id="45" name="IM 60"/>
                          <pic:cNvPicPr/>
                        </pic:nvPicPr>
                        <pic:blipFill>
                          <a:blip r:embed="rId14"/>
                          <a:stretch>
                            <a:fillRect/>
                          </a:stretch>
                        </pic:blipFill>
                        <pic:spPr>
                          <a:xfrm>
                            <a:off x="0" y="0"/>
                            <a:ext cx="4940935" cy="3159760"/>
                          </a:xfrm>
                          <a:prstGeom prst="rect">
                            <a:avLst/>
                          </a:prstGeom>
                          <a:noFill/>
                          <a:ln>
                            <a:noFill/>
                          </a:ln>
                        </pic:spPr>
                      </pic:pic>
                    </a:graphicData>
                  </a:graphic>
                </wp:inline>
              </w:drawing>
            </w:r>
          </w:p>
          <w:p w14:paraId="7C50B2DF">
            <w:pPr>
              <w:pStyle w:val="63"/>
              <w:spacing w:line="240" w:lineRule="auto"/>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图2-2  商业街区效果图</w:t>
            </w:r>
          </w:p>
          <w:p w14:paraId="7B2A0892">
            <w:pPr>
              <w:autoSpaceDE w:val="0"/>
              <w:autoSpaceDN w:val="0"/>
              <w:adjustRightInd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 xml:space="preserve">2.3 </w:t>
            </w:r>
            <w:r>
              <w:rPr>
                <w:rFonts w:hint="default" w:ascii="Times New Roman" w:hAnsi="Times New Roman" w:eastAsia="宋体" w:cs="Times New Roman"/>
                <w:b/>
                <w:bCs/>
                <w:color w:val="000000" w:themeColor="text1"/>
                <w:lang w:val="en-US" w:eastAsia="zh-CN"/>
                <w14:textFill>
                  <w14:solidFill>
                    <w14:schemeClr w14:val="tx1"/>
                  </w14:solidFill>
                </w14:textFill>
              </w:rPr>
              <w:t>中医康养中心</w:t>
            </w:r>
          </w:p>
          <w:p w14:paraId="66A41A58">
            <w:pPr>
              <w:spacing w:line="360" w:lineRule="auto"/>
              <w:ind w:firstLine="48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中医康养中心建筑面积9600m</w:t>
            </w:r>
            <w:r>
              <w:rPr>
                <w:rFonts w:hint="default" w:ascii="Times New Roman" w:hAnsi="Times New Roman"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中医康养中心是为温泉康养度假以及温泉汤墅提供中医理疗、康复的人群提供专业指导、紧急救治的综合服务机构，包含应急呼叫中心、中医急救中心、食疗研发中心、客人康复监测中心等内容。中心内充分关顾空间予人的行为模式与心理需求，营造现代温馨康养医疗环境。打造自然疗法，去医疗化，营造轻松、温暖、高品质的室内康养空间</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中医康养中心效果图见图2-3。</w:t>
            </w:r>
          </w:p>
          <w:p w14:paraId="7F42311B">
            <w:pPr>
              <w:spacing w:line="360" w:lineRule="auto"/>
              <w:ind w:firstLine="480" w:firstLineChars="200"/>
              <w:rPr>
                <w:rFonts w:hint="default" w:ascii="Times New Roman" w:hAnsi="Times New Roman" w:eastAsia="宋体" w:cs="Times New Roman"/>
                <w:color w:val="000000" w:themeColor="text1"/>
                <w:lang w:val="en-US" w:eastAsia="zh-CN"/>
                <w14:textFill>
                  <w14:solidFill>
                    <w14:schemeClr w14:val="tx1"/>
                  </w14:solidFill>
                </w14:textFill>
              </w:rPr>
            </w:pPr>
          </w:p>
          <w:p w14:paraId="27472FEE">
            <w:pPr>
              <w:spacing w:line="360" w:lineRule="auto"/>
              <w:ind w:firstLine="480" w:firstLineChars="200"/>
              <w:rPr>
                <w:rFonts w:hint="default" w:ascii="Times New Roman" w:hAnsi="Times New Roman" w:eastAsia="宋体" w:cs="Times New Roman"/>
                <w:color w:val="000000" w:themeColor="text1"/>
                <w:lang w:val="en-US" w:eastAsia="zh-CN"/>
                <w14:textFill>
                  <w14:solidFill>
                    <w14:schemeClr w14:val="tx1"/>
                  </w14:solidFill>
                </w14:textFill>
              </w:rPr>
            </w:pPr>
          </w:p>
          <w:p w14:paraId="140B9825">
            <w:pPr>
              <w:spacing w:line="360" w:lineRule="auto"/>
              <w:ind w:firstLine="480" w:firstLineChars="200"/>
              <w:rPr>
                <w:rFonts w:hint="default" w:ascii="Times New Roman" w:hAnsi="Times New Roman" w:eastAsia="宋体" w:cs="Times New Roman"/>
                <w:color w:val="000000" w:themeColor="text1"/>
                <w:lang w:val="en-US" w:eastAsia="zh-CN"/>
                <w14:textFill>
                  <w14:solidFill>
                    <w14:schemeClr w14:val="tx1"/>
                  </w14:solidFill>
                </w14:textFill>
              </w:rPr>
            </w:pPr>
          </w:p>
          <w:p w14:paraId="19A9DBA2">
            <w:pPr>
              <w:spacing w:line="360" w:lineRule="auto"/>
              <w:ind w:firstLine="480" w:firstLineChars="200"/>
              <w:rPr>
                <w:rFonts w:hint="default" w:ascii="Times New Roman" w:hAnsi="Times New Roman" w:eastAsia="宋体" w:cs="Times New Roman"/>
                <w:color w:val="000000" w:themeColor="text1"/>
                <w:lang w:val="en-US" w:eastAsia="zh-CN"/>
                <w14:textFill>
                  <w14:solidFill>
                    <w14:schemeClr w14:val="tx1"/>
                  </w14:solidFill>
                </w14:textFill>
              </w:rPr>
            </w:pPr>
          </w:p>
          <w:p w14:paraId="11E841D1">
            <w:pPr>
              <w:spacing w:line="360" w:lineRule="auto"/>
              <w:ind w:firstLine="480" w:firstLineChars="200"/>
              <w:rPr>
                <w:rFonts w:hint="default" w:ascii="Times New Roman" w:hAnsi="Times New Roman" w:eastAsia="宋体" w:cs="Times New Roman"/>
                <w:color w:val="000000" w:themeColor="text1"/>
                <w:lang w:val="en-US" w:eastAsia="zh-CN"/>
                <w14:textFill>
                  <w14:solidFill>
                    <w14:schemeClr w14:val="tx1"/>
                  </w14:solidFill>
                </w14:textFill>
              </w:rPr>
            </w:pPr>
          </w:p>
          <w:p w14:paraId="436FF107">
            <w:pPr>
              <w:spacing w:line="360" w:lineRule="auto"/>
              <w:ind w:firstLine="480" w:firstLineChars="200"/>
              <w:rPr>
                <w:rFonts w:hint="default" w:ascii="Times New Roman" w:hAnsi="Times New Roman" w:eastAsia="宋体" w:cs="Times New Roman"/>
                <w:color w:val="000000" w:themeColor="text1"/>
                <w:lang w:val="en-US" w:eastAsia="zh-CN"/>
                <w14:textFill>
                  <w14:solidFill>
                    <w14:schemeClr w14:val="tx1"/>
                  </w14:solidFill>
                </w14:textFill>
              </w:rPr>
            </w:pPr>
          </w:p>
          <w:p w14:paraId="5752A422">
            <w:pPr>
              <w:spacing w:line="360" w:lineRule="auto"/>
              <w:ind w:firstLine="480" w:firstLineChars="200"/>
              <w:rPr>
                <w:rFonts w:hint="default" w:ascii="Times New Roman" w:hAnsi="Times New Roman" w:eastAsia="宋体" w:cs="Times New Roman"/>
                <w:color w:val="000000" w:themeColor="text1"/>
                <w:lang w:val="en-US" w:eastAsia="zh-CN"/>
                <w14:textFill>
                  <w14:solidFill>
                    <w14:schemeClr w14:val="tx1"/>
                  </w14:solidFill>
                </w14:textFill>
              </w:rPr>
            </w:pPr>
          </w:p>
          <w:p w14:paraId="2D917536">
            <w:pPr>
              <w:spacing w:line="360" w:lineRule="auto"/>
              <w:ind w:firstLine="480" w:firstLineChars="200"/>
              <w:rPr>
                <w:rFonts w:hint="default" w:ascii="Times New Roman" w:hAnsi="Times New Roman" w:eastAsia="宋体" w:cs="Times New Roman"/>
                <w:color w:val="000000" w:themeColor="text1"/>
                <w:lang w:val="en-US" w:eastAsia="zh-CN"/>
                <w14:textFill>
                  <w14:solidFill>
                    <w14:schemeClr w14:val="tx1"/>
                  </w14:solidFill>
                </w14:textFill>
              </w:rPr>
            </w:pPr>
          </w:p>
          <w:p w14:paraId="617D5F23">
            <w:pPr>
              <w:spacing w:line="360" w:lineRule="auto"/>
              <w:ind w:firstLine="480" w:firstLineChars="200"/>
              <w:rPr>
                <w:rFonts w:hint="default" w:ascii="Times New Roman" w:hAnsi="Times New Roman" w:eastAsia="宋体" w:cs="Times New Roman"/>
                <w:color w:val="000000" w:themeColor="text1"/>
                <w:lang w:val="en-US" w:eastAsia="zh-CN"/>
                <w14:textFill>
                  <w14:solidFill>
                    <w14:schemeClr w14:val="tx1"/>
                  </w14:solidFill>
                </w14:textFill>
              </w:rPr>
            </w:pPr>
          </w:p>
          <w:p w14:paraId="6B6D52FE">
            <w:pPr>
              <w:spacing w:line="360" w:lineRule="auto"/>
              <w:ind w:firstLine="480" w:firstLineChars="200"/>
              <w:rPr>
                <w:rFonts w:hint="default" w:ascii="Times New Roman" w:hAnsi="Times New Roman" w:eastAsia="宋体" w:cs="Times New Roman"/>
                <w:color w:val="000000" w:themeColor="text1"/>
                <w:lang w:val="en-US" w:eastAsia="zh-CN"/>
                <w14:textFill>
                  <w14:solidFill>
                    <w14:schemeClr w14:val="tx1"/>
                  </w14:solidFill>
                </w14:textFill>
              </w:rPr>
            </w:pPr>
          </w:p>
          <w:p w14:paraId="31A4EB90">
            <w:pPr>
              <w:spacing w:line="360" w:lineRule="auto"/>
              <w:ind w:firstLine="480" w:firstLineChars="200"/>
              <w:rPr>
                <w:rFonts w:hint="default" w:ascii="Times New Roman" w:hAnsi="Times New Roman" w:eastAsia="宋体" w:cs="Times New Roman"/>
                <w:color w:val="000000" w:themeColor="text1"/>
                <w:lang w:val="en-US" w:eastAsia="zh-CN"/>
                <w14:textFill>
                  <w14:solidFill>
                    <w14:schemeClr w14:val="tx1"/>
                  </w14:solidFill>
                </w14:textFill>
              </w:rPr>
            </w:pPr>
          </w:p>
          <w:p w14:paraId="7832AE74">
            <w:pPr>
              <w:spacing w:line="360" w:lineRule="auto"/>
              <w:ind w:firstLine="480" w:firstLineChars="200"/>
              <w:rPr>
                <w:rFonts w:hint="default" w:ascii="Times New Roman" w:hAnsi="Times New Roman" w:eastAsia="宋体" w:cs="Times New Roman"/>
                <w:color w:val="000000" w:themeColor="text1"/>
                <w:lang w:val="en-US" w:eastAsia="zh-CN"/>
                <w14:textFill>
                  <w14:solidFill>
                    <w14:schemeClr w14:val="tx1"/>
                  </w14:solidFill>
                </w14:textFill>
              </w:rPr>
            </w:pPr>
          </w:p>
          <w:p w14:paraId="512DE70F">
            <w:pPr>
              <w:keepNext w:val="0"/>
              <w:keepLines w:val="0"/>
              <w:pageBreakBefore w:val="0"/>
              <w:widowControl w:val="0"/>
              <w:numPr>
                <w:ilvl w:val="0"/>
                <w:numId w:val="0"/>
              </w:numPr>
              <w:kinsoku/>
              <w:wordWrap/>
              <w:overflowPunct/>
              <w:topLinePunct w:val="0"/>
              <w:autoSpaceDE w:val="0"/>
              <w:autoSpaceDN w:val="0"/>
              <w:bidi w:val="0"/>
              <w:adjustRightInd w:val="0"/>
              <w:snapToGrid/>
              <w:ind w:left="0" w:leftChars="0" w:right="0" w:rightChars="0" w:firstLine="0" w:firstLineChars="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position w:val="-110"/>
                <w14:textFill>
                  <w14:solidFill>
                    <w14:schemeClr w14:val="tx1"/>
                  </w14:solidFill>
                </w14:textFill>
              </w:rPr>
              <w:drawing>
                <wp:inline distT="0" distB="0" distL="0" distR="0">
                  <wp:extent cx="4940300" cy="3490595"/>
                  <wp:effectExtent l="0" t="0" r="12700" b="14605"/>
                  <wp:docPr id="47" name="IM 66"/>
                  <wp:cNvGraphicFramePr/>
                  <a:graphic xmlns:a="http://schemas.openxmlformats.org/drawingml/2006/main">
                    <a:graphicData uri="http://schemas.openxmlformats.org/drawingml/2006/picture">
                      <pic:pic xmlns:pic="http://schemas.openxmlformats.org/drawingml/2006/picture">
                        <pic:nvPicPr>
                          <pic:cNvPr id="47" name="IM 66"/>
                          <pic:cNvPicPr/>
                        </pic:nvPicPr>
                        <pic:blipFill>
                          <a:blip r:embed="rId15"/>
                          <a:stretch>
                            <a:fillRect/>
                          </a:stretch>
                        </pic:blipFill>
                        <pic:spPr>
                          <a:xfrm>
                            <a:off x="0" y="0"/>
                            <a:ext cx="4940300" cy="3490595"/>
                          </a:xfrm>
                          <a:prstGeom prst="rect">
                            <a:avLst/>
                          </a:prstGeom>
                          <a:noFill/>
                          <a:ln>
                            <a:noFill/>
                          </a:ln>
                        </pic:spPr>
                      </pic:pic>
                    </a:graphicData>
                  </a:graphic>
                </wp:inline>
              </w:drawing>
            </w:r>
          </w:p>
          <w:p w14:paraId="5C1C13B4">
            <w:pPr>
              <w:pStyle w:val="63"/>
              <w:spacing w:line="240" w:lineRule="auto"/>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图2-3  中医康养中心效果图</w:t>
            </w:r>
          </w:p>
          <w:p w14:paraId="7E4E3C5A">
            <w:pPr>
              <w:autoSpaceDE w:val="0"/>
              <w:autoSpaceDN w:val="0"/>
              <w:adjustRightInd w:val="0"/>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default" w:ascii="Times New Roman" w:hAnsi="Times New Roman" w:cs="Times New Roman"/>
                <w:b/>
                <w:bCs/>
                <w:color w:val="000000" w:themeColor="text1"/>
                <w:highlight w:val="none"/>
                <w:lang w:val="en-US" w:eastAsia="zh-CN"/>
                <w14:textFill>
                  <w14:solidFill>
                    <w14:schemeClr w14:val="tx1"/>
                  </w14:solidFill>
                </w14:textFill>
              </w:rPr>
              <w:t xml:space="preserve">2.4 </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文化展示中心</w:t>
            </w:r>
          </w:p>
          <w:p w14:paraId="44195AED">
            <w:pPr>
              <w:keepNext w:val="0"/>
              <w:keepLines w:val="0"/>
              <w:pageBreakBefore w:val="0"/>
              <w:widowControl w:val="0"/>
              <w:numPr>
                <w:ilvl w:val="0"/>
                <w:numId w:val="0"/>
              </w:numPr>
              <w:kinsoku/>
              <w:wordWrap/>
              <w:overflowPunct/>
              <w:topLinePunct w:val="0"/>
              <w:autoSpaceDE w:val="0"/>
              <w:autoSpaceDN w:val="0"/>
              <w:bidi w:val="0"/>
              <w:adjustRightInd w:val="0"/>
              <w:snapToGrid/>
              <w:ind w:firstLine="480" w:firstLineChars="20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文化展示中心为本项目文化中心，建筑面积</w:t>
            </w:r>
            <w:r>
              <w:rPr>
                <w:rFonts w:hint="default" w:ascii="Times New Roman" w:hAnsi="Times New Roman" w:cs="Times New Roman"/>
                <w:color w:val="000000" w:themeColor="text1"/>
                <w:highlight w:val="none"/>
                <w:lang w:val="en-US" w:eastAsia="zh-CN"/>
                <w14:textFill>
                  <w14:solidFill>
                    <w14:schemeClr w14:val="tx1"/>
                  </w14:solidFill>
                </w14:textFill>
              </w:rPr>
              <w:t>54</w:t>
            </w:r>
            <w:r>
              <w:rPr>
                <w:rFonts w:hint="default" w:ascii="Times New Roman" w:hAnsi="Times New Roman" w:eastAsia="宋体" w:cs="Times New Roman"/>
                <w:color w:val="000000" w:themeColor="text1"/>
                <w:highlight w:val="none"/>
                <w:lang w:val="en-US" w:eastAsia="zh-CN"/>
                <w14:textFill>
                  <w14:solidFill>
                    <w14:schemeClr w14:val="tx1"/>
                  </w14:solidFill>
                </w14:textFill>
              </w:rPr>
              <w:t>00m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主要通过实物、多媒体互动、VR等展示手段，多样化集中展示中医药文化、温泉文化、康养文化以及泾源非遗文化，为本项目打造高品质精神内核，为游客提供沉浸式了解泾源魅力的窗口。这种深度体验不仅丰富了旅游内容，也提升了旅游的整体质量和吸引力。同时文化中心毗邻商业街设置，有利于与商业形成互动，联合打造活力IP，提升商业街的独特魅力。</w:t>
            </w:r>
            <w:r>
              <w:rPr>
                <w:rFonts w:hint="default" w:ascii="Times New Roman" w:hAnsi="Times New Roman" w:eastAsia="宋体" w:cs="Times New Roman"/>
                <w:color w:val="000000" w:themeColor="text1"/>
                <w:highlight w:val="none"/>
                <w:lang w:val="en-US" w:eastAsia="zh-CN"/>
                <w14:textFill>
                  <w14:solidFill>
                    <w14:schemeClr w14:val="tx1"/>
                  </w14:solidFill>
                </w14:textFill>
              </w:rPr>
              <w:t>文化展示中心效果图见图2-4。</w:t>
            </w:r>
          </w:p>
          <w:p w14:paraId="228D3676">
            <w:pPr>
              <w:keepNext w:val="0"/>
              <w:keepLines w:val="0"/>
              <w:pageBreakBefore w:val="0"/>
              <w:widowControl w:val="0"/>
              <w:numPr>
                <w:ilvl w:val="0"/>
                <w:numId w:val="0"/>
              </w:numPr>
              <w:kinsoku/>
              <w:wordWrap/>
              <w:overflowPunct/>
              <w:topLinePunct w:val="0"/>
              <w:autoSpaceDE w:val="0"/>
              <w:autoSpaceDN w:val="0"/>
              <w:bidi w:val="0"/>
              <w:adjustRightInd w:val="0"/>
              <w:snapToGrid/>
              <w:ind w:firstLine="480" w:firstLineChars="20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71484F7B">
            <w:pPr>
              <w:keepNext w:val="0"/>
              <w:keepLines w:val="0"/>
              <w:pageBreakBefore w:val="0"/>
              <w:widowControl w:val="0"/>
              <w:numPr>
                <w:ilvl w:val="0"/>
                <w:numId w:val="0"/>
              </w:numPr>
              <w:kinsoku/>
              <w:wordWrap/>
              <w:overflowPunct/>
              <w:topLinePunct w:val="0"/>
              <w:autoSpaceDE w:val="0"/>
              <w:autoSpaceDN w:val="0"/>
              <w:bidi w:val="0"/>
              <w:adjustRightInd w:val="0"/>
              <w:snapToGrid/>
              <w:ind w:firstLine="480" w:firstLineChars="20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06BD6B6D">
            <w:pPr>
              <w:keepNext w:val="0"/>
              <w:keepLines w:val="0"/>
              <w:pageBreakBefore w:val="0"/>
              <w:widowControl w:val="0"/>
              <w:numPr>
                <w:ilvl w:val="0"/>
                <w:numId w:val="0"/>
              </w:numPr>
              <w:kinsoku/>
              <w:wordWrap/>
              <w:overflowPunct/>
              <w:topLinePunct w:val="0"/>
              <w:autoSpaceDE w:val="0"/>
              <w:autoSpaceDN w:val="0"/>
              <w:bidi w:val="0"/>
              <w:adjustRightInd w:val="0"/>
              <w:snapToGrid/>
              <w:ind w:firstLine="480" w:firstLineChars="20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27EA53CE">
            <w:pPr>
              <w:keepNext w:val="0"/>
              <w:keepLines w:val="0"/>
              <w:pageBreakBefore w:val="0"/>
              <w:widowControl w:val="0"/>
              <w:numPr>
                <w:ilvl w:val="0"/>
                <w:numId w:val="0"/>
              </w:numPr>
              <w:kinsoku/>
              <w:wordWrap/>
              <w:overflowPunct/>
              <w:topLinePunct w:val="0"/>
              <w:autoSpaceDE w:val="0"/>
              <w:autoSpaceDN w:val="0"/>
              <w:bidi w:val="0"/>
              <w:adjustRightInd w:val="0"/>
              <w:snapToGrid/>
              <w:ind w:firstLine="480" w:firstLineChars="20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6CB15851">
            <w:pPr>
              <w:keepNext w:val="0"/>
              <w:keepLines w:val="0"/>
              <w:pageBreakBefore w:val="0"/>
              <w:widowControl w:val="0"/>
              <w:numPr>
                <w:ilvl w:val="0"/>
                <w:numId w:val="0"/>
              </w:numPr>
              <w:kinsoku/>
              <w:wordWrap/>
              <w:overflowPunct/>
              <w:topLinePunct w:val="0"/>
              <w:autoSpaceDE w:val="0"/>
              <w:autoSpaceDN w:val="0"/>
              <w:bidi w:val="0"/>
              <w:adjustRightInd w:val="0"/>
              <w:snapToGrid/>
              <w:ind w:firstLine="480" w:firstLineChars="20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3FD93D7F">
            <w:pPr>
              <w:keepNext w:val="0"/>
              <w:keepLines w:val="0"/>
              <w:pageBreakBefore w:val="0"/>
              <w:widowControl w:val="0"/>
              <w:numPr>
                <w:ilvl w:val="0"/>
                <w:numId w:val="0"/>
              </w:numPr>
              <w:kinsoku/>
              <w:wordWrap/>
              <w:overflowPunct/>
              <w:topLinePunct w:val="0"/>
              <w:autoSpaceDE w:val="0"/>
              <w:autoSpaceDN w:val="0"/>
              <w:bidi w:val="0"/>
              <w:adjustRightInd w:val="0"/>
              <w:snapToGrid/>
              <w:ind w:firstLine="480" w:firstLineChars="20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0465ADBD">
            <w:pPr>
              <w:keepNext w:val="0"/>
              <w:keepLines w:val="0"/>
              <w:pageBreakBefore w:val="0"/>
              <w:widowControl w:val="0"/>
              <w:numPr>
                <w:ilvl w:val="0"/>
                <w:numId w:val="0"/>
              </w:numPr>
              <w:kinsoku/>
              <w:wordWrap/>
              <w:overflowPunct/>
              <w:topLinePunct w:val="0"/>
              <w:autoSpaceDE w:val="0"/>
              <w:autoSpaceDN w:val="0"/>
              <w:bidi w:val="0"/>
              <w:adjustRightInd w:val="0"/>
              <w:snapToGrid/>
              <w:ind w:firstLine="480" w:firstLineChars="20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6825FC16">
            <w:pPr>
              <w:keepNext w:val="0"/>
              <w:keepLines w:val="0"/>
              <w:pageBreakBefore w:val="0"/>
              <w:widowControl w:val="0"/>
              <w:numPr>
                <w:ilvl w:val="0"/>
                <w:numId w:val="0"/>
              </w:numPr>
              <w:kinsoku/>
              <w:wordWrap/>
              <w:overflowPunct/>
              <w:topLinePunct w:val="0"/>
              <w:autoSpaceDE w:val="0"/>
              <w:autoSpaceDN w:val="0"/>
              <w:bidi w:val="0"/>
              <w:adjustRightInd w:val="0"/>
              <w:snapToGrid/>
              <w:ind w:firstLine="480" w:firstLineChars="20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61F5ADED">
            <w:pPr>
              <w:keepNext w:val="0"/>
              <w:keepLines w:val="0"/>
              <w:pageBreakBefore w:val="0"/>
              <w:widowControl w:val="0"/>
              <w:numPr>
                <w:ilvl w:val="0"/>
                <w:numId w:val="0"/>
              </w:numPr>
              <w:kinsoku/>
              <w:wordWrap/>
              <w:overflowPunct/>
              <w:topLinePunct w:val="0"/>
              <w:autoSpaceDE w:val="0"/>
              <w:autoSpaceDN w:val="0"/>
              <w:bidi w:val="0"/>
              <w:adjustRightInd w:val="0"/>
              <w:snapToGrid/>
              <w:ind w:firstLine="480" w:firstLineChars="20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51C073E2">
            <w:pPr>
              <w:keepNext w:val="0"/>
              <w:keepLines w:val="0"/>
              <w:pageBreakBefore w:val="0"/>
              <w:widowControl w:val="0"/>
              <w:numPr>
                <w:ilvl w:val="0"/>
                <w:numId w:val="0"/>
              </w:numPr>
              <w:kinsoku/>
              <w:wordWrap/>
              <w:overflowPunct/>
              <w:topLinePunct w:val="0"/>
              <w:autoSpaceDE w:val="0"/>
              <w:autoSpaceDN w:val="0"/>
              <w:bidi w:val="0"/>
              <w:adjustRightInd w:val="0"/>
              <w:snapToGrid/>
              <w:ind w:firstLine="480" w:firstLineChars="20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764E888F">
            <w:pPr>
              <w:keepNext w:val="0"/>
              <w:keepLines w:val="0"/>
              <w:pageBreakBefore w:val="0"/>
              <w:widowControl w:val="0"/>
              <w:numPr>
                <w:ilvl w:val="0"/>
                <w:numId w:val="0"/>
              </w:numPr>
              <w:kinsoku/>
              <w:wordWrap/>
              <w:overflowPunct/>
              <w:topLinePunct w:val="0"/>
              <w:autoSpaceDE w:val="0"/>
              <w:autoSpaceDN w:val="0"/>
              <w:bidi w:val="0"/>
              <w:adjustRightInd w:val="0"/>
              <w:snapToGrid/>
              <w:ind w:firstLine="480" w:firstLineChars="20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p>
          <w:p w14:paraId="068FE877">
            <w:pPr>
              <w:keepNext w:val="0"/>
              <w:keepLines w:val="0"/>
              <w:pageBreakBefore w:val="0"/>
              <w:widowControl w:val="0"/>
              <w:numPr>
                <w:ilvl w:val="0"/>
                <w:numId w:val="0"/>
              </w:numPr>
              <w:kinsoku/>
              <w:wordWrap/>
              <w:overflowPunct/>
              <w:topLinePunct w:val="0"/>
              <w:autoSpaceDE w:val="0"/>
              <w:autoSpaceDN w:val="0"/>
              <w:bidi w:val="0"/>
              <w:adjustRightInd w:val="0"/>
              <w:snapToGrid/>
              <w:ind w:left="0" w:leftChars="0" w:right="0" w:rightChars="0" w:firstLine="0" w:firstLineChars="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position w:val="-115"/>
                <w14:textFill>
                  <w14:solidFill>
                    <w14:schemeClr w14:val="tx1"/>
                  </w14:solidFill>
                </w14:textFill>
              </w:rPr>
              <w:drawing>
                <wp:inline distT="0" distB="0" distL="0" distR="0">
                  <wp:extent cx="4942840" cy="3648710"/>
                  <wp:effectExtent l="0" t="0" r="10160" b="8890"/>
                  <wp:docPr id="46" name="IM 64"/>
                  <wp:cNvGraphicFramePr/>
                  <a:graphic xmlns:a="http://schemas.openxmlformats.org/drawingml/2006/main">
                    <a:graphicData uri="http://schemas.openxmlformats.org/drawingml/2006/picture">
                      <pic:pic xmlns:pic="http://schemas.openxmlformats.org/drawingml/2006/picture">
                        <pic:nvPicPr>
                          <pic:cNvPr id="46" name="IM 64"/>
                          <pic:cNvPicPr/>
                        </pic:nvPicPr>
                        <pic:blipFill>
                          <a:blip r:embed="rId16"/>
                          <a:stretch>
                            <a:fillRect/>
                          </a:stretch>
                        </pic:blipFill>
                        <pic:spPr>
                          <a:xfrm>
                            <a:off x="0" y="0"/>
                            <a:ext cx="4942840" cy="3648710"/>
                          </a:xfrm>
                          <a:prstGeom prst="rect">
                            <a:avLst/>
                          </a:prstGeom>
                          <a:noFill/>
                          <a:ln>
                            <a:noFill/>
                          </a:ln>
                        </pic:spPr>
                      </pic:pic>
                    </a:graphicData>
                  </a:graphic>
                </wp:inline>
              </w:drawing>
            </w:r>
          </w:p>
          <w:p w14:paraId="462E2895">
            <w:pPr>
              <w:pStyle w:val="63"/>
              <w:spacing w:line="240" w:lineRule="auto"/>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图2-4  文化展示中心效果图</w:t>
            </w:r>
          </w:p>
          <w:p w14:paraId="0BE9F823">
            <w:pPr>
              <w:autoSpaceDE w:val="0"/>
              <w:autoSpaceDN w:val="0"/>
              <w:adjustRightInd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 xml:space="preserve">2.5 </w:t>
            </w:r>
            <w:r>
              <w:rPr>
                <w:rFonts w:hint="default" w:ascii="Times New Roman" w:hAnsi="Times New Roman" w:eastAsia="宋体" w:cs="Times New Roman"/>
                <w:b/>
                <w:bCs/>
                <w:color w:val="000000" w:themeColor="text1"/>
                <w:lang w:val="en-US" w:eastAsia="zh-CN"/>
                <w14:textFill>
                  <w14:solidFill>
                    <w14:schemeClr w14:val="tx1"/>
                  </w14:solidFill>
                </w14:textFill>
              </w:rPr>
              <w:t>高端民宿</w:t>
            </w:r>
          </w:p>
          <w:p w14:paraId="6106DC11">
            <w:pPr>
              <w:keepNext w:val="0"/>
              <w:keepLines w:val="0"/>
              <w:pageBreakBefore w:val="0"/>
              <w:widowControl w:val="0"/>
              <w:numPr>
                <w:ilvl w:val="0"/>
                <w:numId w:val="0"/>
              </w:numPr>
              <w:kinsoku/>
              <w:wordWrap/>
              <w:overflowPunct/>
              <w:topLinePunct w:val="0"/>
              <w:autoSpaceDE w:val="0"/>
              <w:autoSpaceDN w:val="0"/>
              <w:bidi w:val="0"/>
              <w:adjustRightInd w:val="0"/>
              <w:snapToGrid/>
              <w:ind w:firstLine="480" w:firstLineChars="20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设置在山腰处，建筑高度</w:t>
            </w:r>
            <w:r>
              <w:rPr>
                <w:rFonts w:hint="default" w:ascii="Times New Roman" w:hAnsi="Times New Roman" w:cs="Times New Roman"/>
                <w:color w:val="000000" w:themeColor="text1"/>
                <w:lang w:val="en-US" w:eastAsia="zh-CN"/>
                <w14:textFill>
                  <w14:solidFill>
                    <w14:schemeClr w14:val="tx1"/>
                  </w14:solidFill>
                </w14:textFill>
              </w:rPr>
              <w:t>4</w:t>
            </w:r>
            <w:r>
              <w:rPr>
                <w:rFonts w:hint="default" w:ascii="Times New Roman" w:hAnsi="Times New Roman" w:eastAsia="宋体" w:cs="Times New Roman"/>
                <w:color w:val="000000" w:themeColor="text1"/>
                <w:lang w:val="en-US" w:eastAsia="zh-CN"/>
                <w14:textFill>
                  <w14:solidFill>
                    <w14:schemeClr w14:val="tx1"/>
                  </w14:solidFill>
                </w14:textFill>
              </w:rPr>
              <w:t>层，总建筑面积</w:t>
            </w:r>
            <w:r>
              <w:rPr>
                <w:rFonts w:hint="default" w:ascii="Times New Roman" w:hAnsi="Times New Roman" w:cs="Times New Roman"/>
                <w:color w:val="000000" w:themeColor="text1"/>
                <w:lang w:val="en-US" w:eastAsia="zh-CN"/>
                <w14:textFill>
                  <w14:solidFill>
                    <w14:schemeClr w14:val="tx1"/>
                  </w14:solidFill>
                </w14:textFill>
              </w:rPr>
              <w:t>6550</w:t>
            </w:r>
            <w:r>
              <w:rPr>
                <w:rFonts w:hint="default" w:ascii="Times New Roman" w:hAnsi="Times New Roman" w:eastAsia="宋体" w:cs="Times New Roman"/>
                <w:color w:val="000000" w:themeColor="text1"/>
                <w:lang w:val="en-US" w:eastAsia="zh-CN"/>
                <w14:textFill>
                  <w14:solidFill>
                    <w14:schemeClr w14:val="tx1"/>
                  </w14:solidFill>
                </w14:textFill>
              </w:rPr>
              <w:t>m</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lang w:val="en-US" w:eastAsia="zh-CN"/>
                <w14:textFill>
                  <w14:solidFill>
                    <w14:schemeClr w14:val="tx1"/>
                  </w14:solidFill>
                </w14:textFill>
              </w:rPr>
              <w:t>，共14座。高端民宿效果图见图2-5。</w:t>
            </w:r>
          </w:p>
          <w:p w14:paraId="51C9ECFE">
            <w:pPr>
              <w:keepNext w:val="0"/>
              <w:keepLines w:val="0"/>
              <w:pageBreakBefore w:val="0"/>
              <w:widowControl w:val="0"/>
              <w:numPr>
                <w:ilvl w:val="0"/>
                <w:numId w:val="0"/>
              </w:numPr>
              <w:kinsoku/>
              <w:wordWrap/>
              <w:overflowPunct/>
              <w:topLinePunct w:val="0"/>
              <w:autoSpaceDE w:val="0"/>
              <w:autoSpaceDN w:val="0"/>
              <w:bidi w:val="0"/>
              <w:adjustRightInd w:val="0"/>
              <w:snapToGrid/>
              <w:ind w:left="0" w:leftChars="0" w:right="0" w:rightChars="0" w:firstLine="0" w:firstLineChars="0"/>
              <w:jc w:val="center"/>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position w:val="-109"/>
                <w14:textFill>
                  <w14:solidFill>
                    <w14:schemeClr w14:val="tx1"/>
                  </w14:solidFill>
                </w14:textFill>
              </w:rPr>
              <w:drawing>
                <wp:inline distT="0" distB="0" distL="0" distR="0">
                  <wp:extent cx="4924425" cy="3439160"/>
                  <wp:effectExtent l="0" t="0" r="9525" b="8890"/>
                  <wp:docPr id="48" name="IM 72"/>
                  <wp:cNvGraphicFramePr/>
                  <a:graphic xmlns:a="http://schemas.openxmlformats.org/drawingml/2006/main">
                    <a:graphicData uri="http://schemas.openxmlformats.org/drawingml/2006/picture">
                      <pic:pic xmlns:pic="http://schemas.openxmlformats.org/drawingml/2006/picture">
                        <pic:nvPicPr>
                          <pic:cNvPr id="48" name="IM 72"/>
                          <pic:cNvPicPr/>
                        </pic:nvPicPr>
                        <pic:blipFill>
                          <a:blip r:embed="rId17"/>
                          <a:stretch>
                            <a:fillRect/>
                          </a:stretch>
                        </pic:blipFill>
                        <pic:spPr>
                          <a:xfrm>
                            <a:off x="0" y="0"/>
                            <a:ext cx="4924425" cy="3439160"/>
                          </a:xfrm>
                          <a:prstGeom prst="rect">
                            <a:avLst/>
                          </a:prstGeom>
                          <a:noFill/>
                          <a:ln>
                            <a:noFill/>
                          </a:ln>
                        </pic:spPr>
                      </pic:pic>
                    </a:graphicData>
                  </a:graphic>
                </wp:inline>
              </w:drawing>
            </w:r>
          </w:p>
          <w:p w14:paraId="08A21420">
            <w:pPr>
              <w:pStyle w:val="63"/>
              <w:spacing w:line="240" w:lineRule="auto"/>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图2-5  中高端民宿效果图</w:t>
            </w:r>
          </w:p>
          <w:p w14:paraId="7FB6F9F9">
            <w:pPr>
              <w:pStyle w:val="63"/>
              <w:spacing w:line="240" w:lineRule="auto"/>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p w14:paraId="68F907B8">
            <w:pPr>
              <w:autoSpaceDE w:val="0"/>
              <w:autoSpaceDN w:val="0"/>
              <w:adjustRightInd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2.6 森林旅游</w:t>
            </w:r>
          </w:p>
          <w:p w14:paraId="4CD36ED8">
            <w:pPr>
              <w:keepNext w:val="0"/>
              <w:keepLines w:val="0"/>
              <w:pageBreakBefore w:val="0"/>
              <w:widowControl w:val="0"/>
              <w:numPr>
                <w:ilvl w:val="0"/>
                <w:numId w:val="0"/>
              </w:numPr>
              <w:kinsoku/>
              <w:wordWrap/>
              <w:overflowPunct/>
              <w:topLinePunct w:val="0"/>
              <w:autoSpaceDE w:val="0"/>
              <w:autoSpaceDN w:val="0"/>
              <w:bidi w:val="0"/>
              <w:adjustRightInd w:val="0"/>
              <w:snapToGrid/>
              <w:ind w:firstLine="480" w:firstLineChars="20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打造无动力乐园，引入各种创意十足的游乐设备组成，如攀爬墙、滑梯、秋千、沙池等，为游客提供多样化的游玩体验。沿康养谷用地周边引入全长3.5公里的森林观光小火车轨道，打造云海观光线路，全程30分钟，中间在各个业态场所设置站点和云海驿站。</w:t>
            </w:r>
          </w:p>
          <w:p w14:paraId="4ACCC56A">
            <w:pPr>
              <w:keepNext w:val="0"/>
              <w:keepLines w:val="0"/>
              <w:pageBreakBefore w:val="0"/>
              <w:widowControl w:val="0"/>
              <w:numPr>
                <w:ilvl w:val="0"/>
                <w:numId w:val="0"/>
              </w:numPr>
              <w:kinsoku/>
              <w:wordWrap/>
              <w:overflowPunct/>
              <w:topLinePunct w:val="0"/>
              <w:autoSpaceDE w:val="0"/>
              <w:autoSpaceDN w:val="0"/>
              <w:bidi w:val="0"/>
              <w:adjustRightInd w:val="0"/>
              <w:snapToGrid/>
              <w:ind w:firstLine="482" w:firstLineChars="200"/>
              <w:textAlignment w:val="auto"/>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 xml:space="preserve">2.7 </w:t>
            </w:r>
            <w:r>
              <w:rPr>
                <w:rFonts w:hint="default" w:ascii="Times New Roman" w:hAnsi="Times New Roman" w:eastAsia="宋体" w:cs="Times New Roman"/>
                <w:b/>
                <w:bCs/>
                <w:color w:val="000000" w:themeColor="text1"/>
                <w:lang w:val="en-US" w:eastAsia="zh-CN"/>
                <w14:textFill>
                  <w14:solidFill>
                    <w14:schemeClr w14:val="tx1"/>
                  </w14:solidFill>
                </w14:textFill>
              </w:rPr>
              <w:t>停车场</w:t>
            </w:r>
          </w:p>
          <w:p w14:paraId="1804FC8D">
            <w:pPr>
              <w:keepNext w:val="0"/>
              <w:keepLines w:val="0"/>
              <w:pageBreakBefore w:val="0"/>
              <w:widowControl w:val="0"/>
              <w:numPr>
                <w:ilvl w:val="0"/>
                <w:numId w:val="0"/>
              </w:numPr>
              <w:kinsoku/>
              <w:wordWrap/>
              <w:overflowPunct/>
              <w:topLinePunct w:val="0"/>
              <w:autoSpaceDE w:val="0"/>
              <w:autoSpaceDN w:val="0"/>
              <w:bidi w:val="0"/>
              <w:adjustRightInd w:val="0"/>
              <w:snapToGrid/>
              <w:ind w:firstLine="480" w:firstLineChars="20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本项目车位总需量为1086个，其中，地面停车位230个，地下停车位856个，地库总面积为32629m</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lang w:val="en-US" w:eastAsia="zh-CN"/>
                <w14:textFill>
                  <w14:solidFill>
                    <w14:schemeClr w14:val="tx1"/>
                  </w14:solidFill>
                </w14:textFill>
              </w:rPr>
              <w:t>。</w:t>
            </w:r>
          </w:p>
          <w:p w14:paraId="5BC703C8">
            <w:pPr>
              <w:keepNext w:val="0"/>
              <w:keepLines w:val="0"/>
              <w:pageBreakBefore w:val="0"/>
              <w:widowControl w:val="0"/>
              <w:numPr>
                <w:ilvl w:val="0"/>
                <w:numId w:val="0"/>
              </w:numPr>
              <w:kinsoku/>
              <w:wordWrap/>
              <w:overflowPunct/>
              <w:topLinePunct w:val="0"/>
              <w:autoSpaceDE w:val="0"/>
              <w:autoSpaceDN w:val="0"/>
              <w:bidi w:val="0"/>
              <w:adjustRightInd w:val="0"/>
              <w:snapToGrid/>
              <w:ind w:firstLine="482" w:firstLineChars="200"/>
              <w:textAlignment w:val="auto"/>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3</w:t>
            </w:r>
            <w:r>
              <w:rPr>
                <w:rFonts w:hint="default" w:ascii="Times New Roman" w:hAnsi="Times New Roman" w:eastAsia="宋体" w:cs="Times New Roman"/>
                <w:b/>
                <w:bCs/>
                <w:color w:val="000000" w:themeColor="text1"/>
                <w:lang w:val="en-US" w:eastAsia="zh-CN"/>
                <w14:textFill>
                  <w14:solidFill>
                    <w14:schemeClr w14:val="tx1"/>
                  </w14:solidFill>
                </w14:textFill>
              </w:rPr>
              <w:t xml:space="preserve"> </w:t>
            </w:r>
            <w:r>
              <w:rPr>
                <w:rFonts w:hint="default" w:ascii="Times New Roman" w:hAnsi="Times New Roman" w:cs="Times New Roman"/>
                <w:b/>
                <w:bCs/>
                <w:color w:val="000000" w:themeColor="text1"/>
                <w:lang w:val="en-US" w:eastAsia="zh-CN"/>
                <w14:textFill>
                  <w14:solidFill>
                    <w14:schemeClr w14:val="tx1"/>
                  </w14:solidFill>
                </w14:textFill>
              </w:rPr>
              <w:t>公用工程</w:t>
            </w:r>
          </w:p>
          <w:p w14:paraId="696834A0">
            <w:pPr>
              <w:keepNext w:val="0"/>
              <w:keepLines w:val="0"/>
              <w:pageBreakBefore w:val="0"/>
              <w:widowControl w:val="0"/>
              <w:numPr>
                <w:ilvl w:val="0"/>
                <w:numId w:val="0"/>
              </w:numPr>
              <w:kinsoku/>
              <w:wordWrap/>
              <w:overflowPunct/>
              <w:topLinePunct w:val="0"/>
              <w:autoSpaceDE w:val="0"/>
              <w:autoSpaceDN w:val="0"/>
              <w:bidi w:val="0"/>
              <w:adjustRightInd w:val="0"/>
              <w:snapToGrid/>
              <w:ind w:firstLine="482" w:firstLineChars="200"/>
              <w:textAlignment w:val="auto"/>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 xml:space="preserve">3.1 </w:t>
            </w:r>
            <w:r>
              <w:rPr>
                <w:rFonts w:hint="eastAsia" w:cs="Times New Roman"/>
                <w:b/>
                <w:bCs/>
                <w:color w:val="000000" w:themeColor="text1"/>
                <w:lang w:val="en-US" w:eastAsia="zh-CN"/>
                <w14:textFill>
                  <w14:solidFill>
                    <w14:schemeClr w14:val="tx1"/>
                  </w14:solidFill>
                </w14:textFill>
              </w:rPr>
              <w:t>给排水</w:t>
            </w:r>
          </w:p>
          <w:p w14:paraId="6473DCF7">
            <w:pPr>
              <w:keepNext w:val="0"/>
              <w:keepLines w:val="0"/>
              <w:pageBreakBefore w:val="0"/>
              <w:widowControl w:val="0"/>
              <w:numPr>
                <w:ilvl w:val="0"/>
                <w:numId w:val="0"/>
              </w:numPr>
              <w:kinsoku/>
              <w:wordWrap/>
              <w:overflowPunct/>
              <w:topLinePunct w:val="0"/>
              <w:autoSpaceDE w:val="0"/>
              <w:autoSpaceDN w:val="0"/>
              <w:bidi w:val="0"/>
              <w:adjustRightInd w:val="0"/>
              <w:snapToGrid/>
              <w:ind w:firstLine="480" w:firstLineChars="200"/>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w:t>
            </w:r>
            <w:r>
              <w:rPr>
                <w:rFonts w:hint="default" w:ascii="Times New Roman" w:hAnsi="Times New Roman" w:eastAsia="宋体" w:cs="Times New Roman"/>
                <w:color w:val="000000" w:themeColor="text1"/>
                <w:lang w:val="en-US" w:eastAsia="zh-CN"/>
                <w14:textFill>
                  <w14:solidFill>
                    <w14:schemeClr w14:val="tx1"/>
                  </w14:solidFill>
                </w14:textFill>
              </w:rPr>
              <w:t>项目</w:t>
            </w:r>
            <w:r>
              <w:rPr>
                <w:rFonts w:hint="default" w:ascii="Times New Roman" w:hAnsi="Times New Roman" w:cs="Times New Roman"/>
                <w:color w:val="000000" w:themeColor="text1"/>
                <w:lang w:val="en-US" w:eastAsia="zh-CN"/>
                <w14:textFill>
                  <w14:solidFill>
                    <w14:schemeClr w14:val="tx1"/>
                  </w14:solidFill>
                </w14:textFill>
              </w:rPr>
              <w:t>生活</w:t>
            </w:r>
            <w:r>
              <w:rPr>
                <w:rFonts w:hint="default" w:ascii="Times New Roman" w:hAnsi="Times New Roman" w:eastAsia="宋体" w:cs="Times New Roman"/>
                <w:color w:val="000000" w:themeColor="text1"/>
                <w:lang w:val="en-US" w:eastAsia="zh-CN"/>
                <w14:textFill>
                  <w14:solidFill>
                    <w14:schemeClr w14:val="tx1"/>
                  </w14:solidFill>
                </w14:textFill>
              </w:rPr>
              <w:t>用水</w:t>
            </w:r>
            <w:r>
              <w:rPr>
                <w:rFonts w:hint="default" w:ascii="Times New Roman" w:hAnsi="Times New Roman" w:cs="Times New Roman"/>
                <w:color w:val="000000" w:themeColor="text1"/>
                <w:lang w:val="en-US" w:eastAsia="zh-CN"/>
                <w14:textFill>
                  <w14:solidFill>
                    <w14:schemeClr w14:val="tx1"/>
                  </w14:solidFill>
                </w14:textFill>
              </w:rPr>
              <w:t>、医疗用水</w:t>
            </w:r>
            <w:r>
              <w:rPr>
                <w:rFonts w:hint="default" w:ascii="Times New Roman" w:hAnsi="Times New Roman" w:eastAsia="宋体" w:cs="Times New Roman"/>
                <w:color w:val="000000" w:themeColor="text1"/>
                <w:lang w:val="en-US" w:eastAsia="zh-CN"/>
                <w14:textFill>
                  <w14:solidFill>
                    <w14:schemeClr w14:val="tx1"/>
                  </w14:solidFill>
                </w14:textFill>
              </w:rPr>
              <w:t>取自市</w:t>
            </w:r>
            <w:r>
              <w:rPr>
                <w:rFonts w:hint="default" w:ascii="Times New Roman" w:hAnsi="Times New Roman" w:eastAsia="宋体" w:cs="Times New Roman"/>
                <w:color w:val="000000" w:themeColor="text1"/>
                <w:highlight w:val="none"/>
                <w:lang w:val="en-US" w:eastAsia="zh-CN"/>
                <w14:textFill>
                  <w14:solidFill>
                    <w14:schemeClr w14:val="tx1"/>
                  </w14:solidFill>
                </w14:textFill>
              </w:rPr>
              <w:t>政供水管网，</w:t>
            </w:r>
            <w:r>
              <w:rPr>
                <w:rFonts w:hint="default" w:ascii="Times New Roman" w:hAnsi="Times New Roman" w:cs="Times New Roman"/>
                <w:color w:val="000000" w:themeColor="text1"/>
                <w:highlight w:val="none"/>
                <w:lang w:val="en-US" w:eastAsia="zh-CN"/>
                <w14:textFill>
                  <w14:solidFill>
                    <w14:schemeClr w14:val="tx1"/>
                  </w14:solidFill>
                </w14:textFill>
              </w:rPr>
              <w:t>温泉水利用现有泉眼。</w:t>
            </w:r>
          </w:p>
          <w:p w14:paraId="0B8AE1BC">
            <w:pPr>
              <w:keepNext w:val="0"/>
              <w:keepLines w:val="0"/>
              <w:pageBreakBefore w:val="0"/>
              <w:widowControl w:val="0"/>
              <w:numPr>
                <w:ilvl w:val="0"/>
                <w:numId w:val="0"/>
              </w:numPr>
              <w:kinsoku/>
              <w:wordWrap/>
              <w:overflowPunct/>
              <w:topLinePunct w:val="0"/>
              <w:autoSpaceDE w:val="0"/>
              <w:autoSpaceDN w:val="0"/>
              <w:bidi w:val="0"/>
              <w:adjustRightInd w:val="0"/>
              <w:snapToGrid/>
              <w:ind w:firstLine="48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本项目废水主要为生活废水和医疗废水。项目餐饮废水隔油后与生活污水经化粪池预处理，后一起与医疗废水经MBR膜生物反应工艺处理，达到《医疗机构水污染物排放标准》（GB18466-2005）、《城市污水再生利用 城市再用水水质》（GB/T18920-2020）、《城市污水再生利用 景观环境用水水质》（GB/T18921-2019）相关标准后</w:t>
            </w:r>
            <w:r>
              <w:rPr>
                <w:rFonts w:hint="eastAsia" w:cs="Times New Roman"/>
                <w:color w:val="000000" w:themeColor="text1"/>
                <w:lang w:val="en-US" w:eastAsia="zh-CN"/>
                <w14:textFill>
                  <w14:solidFill>
                    <w14:schemeClr w14:val="tx1"/>
                  </w14:solidFill>
                </w14:textFill>
              </w:rPr>
              <w:t>全部</w:t>
            </w:r>
            <w:r>
              <w:rPr>
                <w:rFonts w:hint="default" w:ascii="Times New Roman" w:hAnsi="Times New Roman" w:cs="Times New Roman"/>
                <w:color w:val="000000" w:themeColor="text1"/>
                <w:lang w:val="en-US" w:eastAsia="zh-CN"/>
                <w14:textFill>
                  <w14:solidFill>
                    <w14:schemeClr w14:val="tx1"/>
                  </w14:solidFill>
                </w14:textFill>
              </w:rPr>
              <w:t>回用于项目区绿化、道路清扫及景观环境。</w:t>
            </w:r>
          </w:p>
          <w:p w14:paraId="42C2E17E">
            <w:pPr>
              <w:keepNext w:val="0"/>
              <w:keepLines w:val="0"/>
              <w:pageBreakBefore w:val="0"/>
              <w:widowControl w:val="0"/>
              <w:numPr>
                <w:ilvl w:val="0"/>
                <w:numId w:val="0"/>
              </w:numPr>
              <w:kinsoku/>
              <w:wordWrap/>
              <w:overflowPunct/>
              <w:topLinePunct w:val="0"/>
              <w:autoSpaceDE w:val="0"/>
              <w:autoSpaceDN w:val="0"/>
              <w:bidi w:val="0"/>
              <w:adjustRightInd w:val="0"/>
              <w:snapToGrid/>
              <w:ind w:firstLine="480" w:firstLineChars="200"/>
              <w:textAlignment w:val="auto"/>
              <w:rPr>
                <w:rFonts w:hint="eastAsia" w:cs="Times New Roman"/>
                <w:color w:val="000000" w:themeColor="text1"/>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本项目年用水量约为63420t/a，年排水量为0t/a。</w:t>
            </w:r>
            <w:r>
              <w:rPr>
                <w:rFonts w:hint="eastAsia" w:cs="Times New Roman"/>
                <w:color w:val="000000" w:themeColor="text1"/>
                <w:lang w:val="en-US" w:eastAsia="zh-CN"/>
                <w14:textFill>
                  <w14:solidFill>
                    <w14:schemeClr w14:val="tx1"/>
                  </w14:solidFill>
                </w14:textFill>
              </w:rPr>
              <w:t>具体水平衡图见图2-6。</w:t>
            </w:r>
          </w:p>
          <w:p w14:paraId="0ED527A2">
            <w:pPr>
              <w:keepNext w:val="0"/>
              <w:keepLines w:val="0"/>
              <w:pageBreakBefore w:val="0"/>
              <w:widowControl w:val="0"/>
              <w:numPr>
                <w:ilvl w:val="0"/>
                <w:numId w:val="0"/>
              </w:numPr>
              <w:kinsoku/>
              <w:wordWrap/>
              <w:overflowPunct/>
              <w:topLinePunct w:val="0"/>
              <w:autoSpaceDE w:val="0"/>
              <w:autoSpaceDN w:val="0"/>
              <w:bidi w:val="0"/>
              <w:adjustRightInd w:val="0"/>
              <w:snapToGrid/>
              <w:ind w:left="0" w:leftChars="0" w:right="0" w:rightChars="0" w:firstLine="0" w:firstLineChars="0"/>
              <w:jc w:val="center"/>
              <w:textAlignment w:val="auto"/>
              <w:rPr>
                <w:rFonts w:hint="default" w:cs="Times New Roman"/>
                <w:color w:val="000000" w:themeColor="text1"/>
                <w:lang w:val="en-US" w:eastAsia="zh-CN"/>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97152" behindDoc="0" locked="0" layoutInCell="1" allowOverlap="1">
                      <wp:simplePos x="0" y="0"/>
                      <wp:positionH relativeFrom="column">
                        <wp:posOffset>792480</wp:posOffset>
                      </wp:positionH>
                      <wp:positionV relativeFrom="paragraph">
                        <wp:posOffset>2740025</wp:posOffset>
                      </wp:positionV>
                      <wp:extent cx="460375" cy="259715"/>
                      <wp:effectExtent l="0" t="0" r="15875" b="6985"/>
                      <wp:wrapNone/>
                      <wp:docPr id="41" name="文本框 41"/>
                      <wp:cNvGraphicFramePr/>
                      <a:graphic xmlns:a="http://schemas.openxmlformats.org/drawingml/2006/main">
                        <a:graphicData uri="http://schemas.microsoft.com/office/word/2010/wordprocessingShape">
                          <wps:wsp>
                            <wps:cNvSpPr txBox="1"/>
                            <wps:spPr>
                              <a:xfrm>
                                <a:off x="0" y="0"/>
                                <a:ext cx="460375" cy="2597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163C6F5">
                                  <w:pPr>
                                    <w:ind w:left="0" w:leftChars="0" w:right="0" w:rightChars="0" w:firstLine="0" w:firstLineChars="0"/>
                                    <w:jc w:val="center"/>
                                    <w:rPr>
                                      <w:rFonts w:hint="eastAsia" w:eastAsia="宋体"/>
                                      <w:sz w:val="21"/>
                                      <w:szCs w:val="21"/>
                                      <w:lang w:val="en-US" w:eastAsia="zh-CN"/>
                                    </w:rPr>
                                  </w:pPr>
                                  <w:r>
                                    <w:rPr>
                                      <w:rFonts w:hint="eastAsia"/>
                                      <w:sz w:val="21"/>
                                      <w:szCs w:val="21"/>
                                      <w:lang w:val="en-US" w:eastAsia="zh-CN"/>
                                    </w:rPr>
                                    <w:t>排水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4pt;margin-top:215.75pt;height:20.45pt;width:36.25pt;z-index:251697152;mso-width-relative:page;mso-height-relative:page;" fillcolor="#FFFFFF [3201]" filled="t" stroked="f" coordsize="21600,21600" o:gfxdata="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OCk4w1gAAAAsBAAAPAAAA&#10;AAAAAAEAIAAAACIAAABkcnMvZG93bnJldi54bWxQSwECFAAUAAAACACHTuJAIXFKa1ACAACQBAAA&#10;DgAAAAAAAAABACAAAAAlAQAAZHJzL2Uyb0RvYy54bWxQSwUGAAAAAAYABgBZAQAA5wUAAAAA&#10;">
                      <v:fill on="t" focussize="0,0"/>
                      <v:stroke on="f" weight="0.5pt"/>
                      <v:imagedata o:title=""/>
                      <o:lock v:ext="edit" aspectratio="f"/>
                      <v:textbox>
                        <w:txbxContent>
                          <w:p w14:paraId="2163C6F5">
                            <w:pPr>
                              <w:ind w:left="0" w:leftChars="0" w:right="0" w:rightChars="0" w:firstLine="0" w:firstLineChars="0"/>
                              <w:jc w:val="center"/>
                              <w:rPr>
                                <w:rFonts w:hint="eastAsia" w:eastAsia="宋体"/>
                                <w:sz w:val="21"/>
                                <w:szCs w:val="21"/>
                                <w:lang w:val="en-US" w:eastAsia="zh-CN"/>
                              </w:rPr>
                            </w:pPr>
                            <w:r>
                              <w:rPr>
                                <w:rFonts w:hint="eastAsia"/>
                                <w:sz w:val="21"/>
                                <w:szCs w:val="21"/>
                                <w:lang w:val="en-US" w:eastAsia="zh-CN"/>
                              </w:rPr>
                              <w:t>排水</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95104" behindDoc="0" locked="0" layoutInCell="1" allowOverlap="1">
                      <wp:simplePos x="0" y="0"/>
                      <wp:positionH relativeFrom="column">
                        <wp:posOffset>780415</wp:posOffset>
                      </wp:positionH>
                      <wp:positionV relativeFrom="paragraph">
                        <wp:posOffset>2488565</wp:posOffset>
                      </wp:positionV>
                      <wp:extent cx="460375" cy="259715"/>
                      <wp:effectExtent l="0" t="0" r="15875" b="6985"/>
                      <wp:wrapNone/>
                      <wp:docPr id="38" name="文本框 38"/>
                      <wp:cNvGraphicFramePr/>
                      <a:graphic xmlns:a="http://schemas.openxmlformats.org/drawingml/2006/main">
                        <a:graphicData uri="http://schemas.microsoft.com/office/word/2010/wordprocessingShape">
                          <wps:wsp>
                            <wps:cNvSpPr txBox="1"/>
                            <wps:spPr>
                              <a:xfrm>
                                <a:off x="2351405" y="8777605"/>
                                <a:ext cx="460375" cy="2597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87121DB">
                                  <w:pPr>
                                    <w:ind w:left="0" w:leftChars="0" w:right="0" w:rightChars="0" w:firstLine="0" w:firstLineChars="0"/>
                                    <w:jc w:val="center"/>
                                    <w:rPr>
                                      <w:rFonts w:hint="eastAsia" w:eastAsia="宋体"/>
                                      <w:sz w:val="21"/>
                                      <w:szCs w:val="21"/>
                                      <w:lang w:val="en-US" w:eastAsia="zh-CN"/>
                                    </w:rPr>
                                  </w:pPr>
                                  <w:r>
                                    <w:rPr>
                                      <w:rFonts w:hint="eastAsia"/>
                                      <w:sz w:val="21"/>
                                      <w:szCs w:val="21"/>
                                      <w:lang w:val="en-US" w:eastAsia="zh-CN"/>
                                    </w:rPr>
                                    <w:t>供水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45pt;margin-top:195.95pt;height:20.45pt;width:36.25pt;z-index:251695104;mso-width-relative:page;mso-height-relative:page;" fillcolor="#FFFFFF [3201]" filled="t" stroked="f" coordsize="21600,21600" o:gfxdata="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Ksdcf&#10;1gAAAAsBAAAPAAAAAAAAAAEAIAAAACIAAABkcnMvZG93bnJldi54bWxQSwECFAAUAAAACACHTuJA&#10;EMnQxVwCAACcBAAADgAAAAAAAAABACAAAAAlAQAAZHJzL2Uyb0RvYy54bWxQSwUGAAAAAAYABgBZ&#10;AQAA8wUAAAAA&#10;">
                      <v:fill on="t" focussize="0,0"/>
                      <v:stroke on="f" weight="0.5pt"/>
                      <v:imagedata o:title=""/>
                      <o:lock v:ext="edit" aspectratio="f"/>
                      <v:textbox>
                        <w:txbxContent>
                          <w:p w14:paraId="687121DB">
                            <w:pPr>
                              <w:ind w:left="0" w:leftChars="0" w:right="0" w:rightChars="0" w:firstLine="0" w:firstLineChars="0"/>
                              <w:jc w:val="center"/>
                              <w:rPr>
                                <w:rFonts w:hint="eastAsia" w:eastAsia="宋体"/>
                                <w:sz w:val="21"/>
                                <w:szCs w:val="21"/>
                                <w:lang w:val="en-US" w:eastAsia="zh-CN"/>
                              </w:rPr>
                            </w:pPr>
                            <w:r>
                              <w:rPr>
                                <w:rFonts w:hint="eastAsia"/>
                                <w:sz w:val="21"/>
                                <w:szCs w:val="21"/>
                                <w:lang w:val="en-US" w:eastAsia="zh-CN"/>
                              </w:rPr>
                              <w:t>供水</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94080" behindDoc="0" locked="0" layoutInCell="1" allowOverlap="1">
                      <wp:simplePos x="0" y="0"/>
                      <wp:positionH relativeFrom="column">
                        <wp:posOffset>327660</wp:posOffset>
                      </wp:positionH>
                      <wp:positionV relativeFrom="paragraph">
                        <wp:posOffset>2619375</wp:posOffset>
                      </wp:positionV>
                      <wp:extent cx="407670" cy="0"/>
                      <wp:effectExtent l="0" t="48895" r="11430" b="65405"/>
                      <wp:wrapNone/>
                      <wp:docPr id="37" name="直接箭头连接符 37"/>
                      <wp:cNvGraphicFramePr/>
                      <a:graphic xmlns:a="http://schemas.openxmlformats.org/drawingml/2006/main">
                        <a:graphicData uri="http://schemas.microsoft.com/office/word/2010/wordprocessingShape">
                          <wps:wsp>
                            <wps:cNvCnPr/>
                            <wps:spPr>
                              <a:xfrm>
                                <a:off x="1961515" y="8942070"/>
                                <a:ext cx="407670" cy="0"/>
                              </a:xfrm>
                              <a:prstGeom prst="straightConnector1">
                                <a:avLst/>
                              </a:prstGeom>
                              <a:ln w="635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5.8pt;margin-top:206.25pt;height:0pt;width:32.1pt;z-index:251694080;mso-width-relative:page;mso-height-relative:page;" filled="f" stroked="t" coordsize="21600,21600" o:gfxdata="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Tzn5g1wAAAAoBAAAPAAAAAAAAAAEAIAAAACIAAABk&#10;cnMvZG93bnJldi54bWxQSwECFAAUAAAACACHTuJABgmyUAcCAADUAwAADgAAAAAAAAABACAAAAAm&#10;AQAAZHJzL2Uyb0RvYy54bWxQSwUGAAAAAAYABgBZAQAAnwUAAAAA&#10;">
                      <v:fill on="f" focussize="0,0"/>
                      <v:stroke weight="0.5pt" color="#000000 [3213]" joinstyle="round" endarrow="open"/>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96128" behindDoc="0" locked="0" layoutInCell="1" allowOverlap="1">
                      <wp:simplePos x="0" y="0"/>
                      <wp:positionH relativeFrom="column">
                        <wp:posOffset>333375</wp:posOffset>
                      </wp:positionH>
                      <wp:positionV relativeFrom="paragraph">
                        <wp:posOffset>2872740</wp:posOffset>
                      </wp:positionV>
                      <wp:extent cx="407670" cy="0"/>
                      <wp:effectExtent l="0" t="48895" r="11430" b="65405"/>
                      <wp:wrapNone/>
                      <wp:docPr id="40" name="直接箭头连接符 40"/>
                      <wp:cNvGraphicFramePr/>
                      <a:graphic xmlns:a="http://schemas.openxmlformats.org/drawingml/2006/main">
                        <a:graphicData uri="http://schemas.microsoft.com/office/word/2010/wordprocessingShape">
                          <wps:wsp>
                            <wps:cNvCnPr/>
                            <wps:spPr>
                              <a:xfrm>
                                <a:off x="0" y="0"/>
                                <a:ext cx="407670" cy="0"/>
                              </a:xfrm>
                              <a:prstGeom prst="straightConnector1">
                                <a:avLst/>
                              </a:prstGeom>
                              <a:ln w="6350">
                                <a:solidFill>
                                  <a:schemeClr val="tx1"/>
                                </a:solidFill>
                                <a:prstDash val="sysDash"/>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6.25pt;margin-top:226.2pt;height:0pt;width:32.1pt;z-index:251696128;mso-width-relative:page;mso-height-relative:page;" filled="f" stroked="t" coordsize="21600,21600" o:gfxdata="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StLG3WAAAACgEAAA8AAAAAAAAAAQAgAAAAIgAAAGRycy9kb3ducmV2LnhtbFBL&#10;AQIUABQAAAAIAIdO4kABfuHa+AEAAMoDAAAOAAAAAAAAAAEAIAAAACUBAABkcnMvZTJvRG9jLnht&#10;bFBLBQYAAAAABgAGAFkBAACPBQAAAAA=&#10;">
                      <v:fill on="f" focussize="0,0"/>
                      <v:stroke weight="0.5pt" color="#000000 [3213]" joinstyle="round" dashstyle="3 1" endarrow="open"/>
                      <v:imagedata o:title=""/>
                      <o:lock v:ext="edit" aspectratio="f"/>
                    </v:shape>
                  </w:pict>
                </mc:Fallback>
              </mc:AlternateContent>
            </w:r>
            <w:r>
              <w:rPr>
                <w:rFonts w:hint="default" w:cs="Times New Roman"/>
                <w:color w:val="000000" w:themeColor="text1"/>
                <w:lang w:val="en-US" w:eastAsia="zh-CN"/>
                <w14:textFill>
                  <w14:solidFill>
                    <w14:schemeClr w14:val="tx1"/>
                  </w14:solidFill>
                </w14:textFill>
              </w:rPr>
              <w:drawing>
                <wp:inline distT="0" distB="0" distL="114300" distR="114300">
                  <wp:extent cx="4935855" cy="3014345"/>
                  <wp:effectExtent l="0" t="0" r="0" b="0"/>
                  <wp:docPr id="36" name="ECB019B1-382A-4266-B25C-5B523AA43C14-1" descr="C:/Users/admin/AppData/Local/Temp/wps.xlJhOX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CB019B1-382A-4266-B25C-5B523AA43C14-1" descr="C:/Users/admin/AppData/Local/Temp/wps.xlJhOXwps"/>
                          <pic:cNvPicPr>
                            <a:picLocks noChangeAspect="1"/>
                          </pic:cNvPicPr>
                        </pic:nvPicPr>
                        <pic:blipFill>
                          <a:blip r:embed="rId18"/>
                          <a:srcRect t="4466" b="4543"/>
                          <a:stretch>
                            <a:fillRect/>
                          </a:stretch>
                        </pic:blipFill>
                        <pic:spPr>
                          <a:xfrm>
                            <a:off x="0" y="0"/>
                            <a:ext cx="4935855" cy="3014345"/>
                          </a:xfrm>
                          <a:prstGeom prst="rect">
                            <a:avLst/>
                          </a:prstGeom>
                        </pic:spPr>
                      </pic:pic>
                    </a:graphicData>
                  </a:graphic>
                </wp:inline>
              </w:drawing>
            </w:r>
          </w:p>
          <w:p w14:paraId="113A4C07">
            <w:pPr>
              <w:pStyle w:val="63"/>
              <w:spacing w:line="240" w:lineRule="auto"/>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图2-6  水平衡图</w:t>
            </w:r>
          </w:p>
          <w:p w14:paraId="377DC906">
            <w:pPr>
              <w:keepNext w:val="0"/>
              <w:keepLines w:val="0"/>
              <w:pageBreakBefore w:val="0"/>
              <w:widowControl w:val="0"/>
              <w:numPr>
                <w:ilvl w:val="0"/>
                <w:numId w:val="0"/>
              </w:numPr>
              <w:kinsoku/>
              <w:wordWrap/>
              <w:overflowPunct/>
              <w:topLinePunct w:val="0"/>
              <w:autoSpaceDE w:val="0"/>
              <w:autoSpaceDN w:val="0"/>
              <w:bidi w:val="0"/>
              <w:adjustRightInd w:val="0"/>
              <w:snapToGrid/>
              <w:ind w:firstLine="482" w:firstLineChars="200"/>
              <w:textAlignment w:val="auto"/>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3.</w:t>
            </w:r>
            <w:r>
              <w:rPr>
                <w:rFonts w:hint="eastAsia" w:cs="Times New Roman"/>
                <w:b/>
                <w:bCs/>
                <w:color w:val="000000" w:themeColor="text1"/>
                <w:lang w:val="en-US" w:eastAsia="zh-CN"/>
                <w14:textFill>
                  <w14:solidFill>
                    <w14:schemeClr w14:val="tx1"/>
                  </w14:solidFill>
                </w14:textFill>
              </w:rPr>
              <w:t>2</w:t>
            </w:r>
            <w:r>
              <w:rPr>
                <w:rFonts w:hint="default" w:ascii="Times New Roman" w:hAnsi="Times New Roman" w:cs="Times New Roman"/>
                <w:b/>
                <w:bCs/>
                <w:color w:val="000000" w:themeColor="text1"/>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lang w:val="en-US" w:eastAsia="zh-CN"/>
                <w14:textFill>
                  <w14:solidFill>
                    <w14:schemeClr w14:val="tx1"/>
                  </w14:solidFill>
                </w14:textFill>
              </w:rPr>
              <w:t>供电</w:t>
            </w:r>
          </w:p>
          <w:p w14:paraId="630D091F">
            <w:pPr>
              <w:keepNext w:val="0"/>
              <w:keepLines w:val="0"/>
              <w:pageBreakBefore w:val="0"/>
              <w:widowControl w:val="0"/>
              <w:numPr>
                <w:ilvl w:val="0"/>
                <w:numId w:val="0"/>
              </w:numPr>
              <w:kinsoku/>
              <w:wordWrap/>
              <w:overflowPunct/>
              <w:topLinePunct w:val="0"/>
              <w:autoSpaceDE w:val="0"/>
              <w:autoSpaceDN w:val="0"/>
              <w:bidi w:val="0"/>
              <w:adjustRightInd w:val="0"/>
              <w:snapToGrid/>
              <w:ind w:firstLine="480" w:firstLineChars="20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w:t>
            </w:r>
            <w:r>
              <w:rPr>
                <w:rFonts w:hint="default" w:ascii="Times New Roman" w:hAnsi="Times New Roman" w:eastAsia="宋体" w:cs="Times New Roman"/>
                <w:color w:val="000000" w:themeColor="text1"/>
                <w:lang w:val="en-US" w:eastAsia="zh-CN"/>
                <w14:textFill>
                  <w14:solidFill>
                    <w14:schemeClr w14:val="tx1"/>
                  </w14:solidFill>
                </w14:textFill>
              </w:rPr>
              <w:t>项目由市政电网供电。</w:t>
            </w:r>
          </w:p>
          <w:p w14:paraId="3F096A66">
            <w:pPr>
              <w:keepNext w:val="0"/>
              <w:keepLines w:val="0"/>
              <w:pageBreakBefore w:val="0"/>
              <w:widowControl w:val="0"/>
              <w:numPr>
                <w:ilvl w:val="0"/>
                <w:numId w:val="0"/>
              </w:numPr>
              <w:kinsoku/>
              <w:wordWrap/>
              <w:overflowPunct/>
              <w:topLinePunct w:val="0"/>
              <w:autoSpaceDE w:val="0"/>
              <w:autoSpaceDN w:val="0"/>
              <w:bidi w:val="0"/>
              <w:adjustRightInd w:val="0"/>
              <w:snapToGrid/>
              <w:ind w:firstLine="482" w:firstLineChars="20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3.</w:t>
            </w:r>
            <w:r>
              <w:rPr>
                <w:rFonts w:hint="eastAsia" w:cs="Times New Roman"/>
                <w:b/>
                <w:bCs/>
                <w:color w:val="000000" w:themeColor="text1"/>
                <w:lang w:val="en-US" w:eastAsia="zh-CN"/>
                <w14:textFill>
                  <w14:solidFill>
                    <w14:schemeClr w14:val="tx1"/>
                  </w14:solidFill>
                </w14:textFill>
              </w:rPr>
              <w:t>3</w:t>
            </w:r>
            <w:r>
              <w:rPr>
                <w:rFonts w:hint="default" w:ascii="Times New Roman" w:hAnsi="Times New Roman" w:cs="Times New Roman"/>
                <w:b/>
                <w:bCs/>
                <w:color w:val="000000" w:themeColor="text1"/>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lang w:val="en-US" w:eastAsia="zh-CN"/>
                <w14:textFill>
                  <w14:solidFill>
                    <w14:schemeClr w14:val="tx1"/>
                  </w14:solidFill>
                </w14:textFill>
              </w:rPr>
              <w:t>劳动定员</w:t>
            </w:r>
            <w:r>
              <w:rPr>
                <w:rFonts w:hint="default" w:ascii="Times New Roman" w:hAnsi="Times New Roman" w:cs="Times New Roman"/>
                <w:b/>
                <w:bCs/>
                <w:color w:val="000000" w:themeColor="text1"/>
                <w:lang w:val="en-US" w:eastAsia="zh-CN"/>
                <w14:textFill>
                  <w14:solidFill>
                    <w14:schemeClr w14:val="tx1"/>
                  </w14:solidFill>
                </w14:textFill>
              </w:rPr>
              <w:t>及生产班制</w:t>
            </w:r>
          </w:p>
          <w:p w14:paraId="3C561B60">
            <w:pPr>
              <w:keepNext w:val="0"/>
              <w:keepLines w:val="0"/>
              <w:pageBreakBefore w:val="0"/>
              <w:widowControl w:val="0"/>
              <w:numPr>
                <w:ilvl w:val="0"/>
                <w:numId w:val="0"/>
              </w:numPr>
              <w:kinsoku/>
              <w:wordWrap/>
              <w:overflowPunct/>
              <w:topLinePunct w:val="0"/>
              <w:autoSpaceDE w:val="0"/>
              <w:autoSpaceDN w:val="0"/>
              <w:bidi w:val="0"/>
              <w:adjustRightInd w:val="0"/>
              <w:snapToGrid/>
              <w:ind w:firstLine="480" w:firstLineChars="20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w:t>
            </w:r>
            <w:r>
              <w:rPr>
                <w:rFonts w:hint="default" w:ascii="Times New Roman" w:hAnsi="Times New Roman" w:eastAsia="宋体" w:cs="Times New Roman"/>
                <w:color w:val="000000" w:themeColor="text1"/>
                <w:lang w:val="en-US" w:eastAsia="zh-CN"/>
                <w14:textFill>
                  <w14:solidFill>
                    <w14:schemeClr w14:val="tx1"/>
                  </w14:solidFill>
                </w14:textFill>
              </w:rPr>
              <w:t>项目运营期工作人员共计</w:t>
            </w:r>
            <w:r>
              <w:rPr>
                <w:rFonts w:hint="default" w:ascii="Times New Roman" w:hAnsi="Times New Roman" w:cs="Times New Roman"/>
                <w:color w:val="000000" w:themeColor="text1"/>
                <w:lang w:val="en-US" w:eastAsia="zh-CN"/>
                <w14:textFill>
                  <w14:solidFill>
                    <w14:schemeClr w14:val="tx1"/>
                  </w14:solidFill>
                </w14:textFill>
              </w:rPr>
              <w:t>约</w:t>
            </w:r>
            <w:r>
              <w:rPr>
                <w:rFonts w:hint="default" w:ascii="Times New Roman" w:hAnsi="Times New Roman" w:eastAsia="宋体" w:cs="Times New Roman"/>
                <w:color w:val="000000" w:themeColor="text1"/>
                <w:lang w:val="en-US" w:eastAsia="zh-CN"/>
                <w14:textFill>
                  <w14:solidFill>
                    <w14:schemeClr w14:val="tx1"/>
                  </w14:solidFill>
                </w14:textFill>
              </w:rPr>
              <w:t>240人。</w:t>
            </w:r>
          </w:p>
          <w:p w14:paraId="676BEB75">
            <w:pPr>
              <w:keepNext w:val="0"/>
              <w:keepLines w:val="0"/>
              <w:pageBreakBefore w:val="0"/>
              <w:widowControl w:val="0"/>
              <w:numPr>
                <w:ilvl w:val="0"/>
                <w:numId w:val="0"/>
              </w:numPr>
              <w:kinsoku/>
              <w:wordWrap/>
              <w:overflowPunct/>
              <w:topLinePunct w:val="0"/>
              <w:autoSpaceDE w:val="0"/>
              <w:autoSpaceDN w:val="0"/>
              <w:bidi w:val="0"/>
              <w:adjustRightInd w:val="0"/>
              <w:snapToGrid/>
              <w:ind w:firstLine="480" w:firstLineChars="20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本项目除</w:t>
            </w:r>
            <w:r>
              <w:rPr>
                <w:rFonts w:hint="default" w:ascii="Times New Roman" w:hAnsi="Times New Roman" w:cs="Times New Roman"/>
                <w:color w:val="000000" w:themeColor="text1"/>
                <w:lang w:val="en-US" w:eastAsia="zh-CN"/>
                <w14:textFill>
                  <w14:solidFill>
                    <w14:schemeClr w14:val="tx1"/>
                  </w14:solidFill>
                </w14:textFill>
              </w:rPr>
              <w:t>高端</w:t>
            </w:r>
            <w:r>
              <w:rPr>
                <w:rFonts w:hint="default" w:ascii="Times New Roman" w:hAnsi="Times New Roman" w:eastAsia="宋体" w:cs="Times New Roman"/>
                <w:color w:val="000000" w:themeColor="text1"/>
                <w:lang w:val="en-US" w:eastAsia="zh-CN"/>
                <w14:textFill>
                  <w14:solidFill>
                    <w14:schemeClr w14:val="tx1"/>
                  </w14:solidFill>
                </w14:textFill>
              </w:rPr>
              <w:t>温泉</w:t>
            </w:r>
            <w:r>
              <w:rPr>
                <w:rFonts w:hint="default" w:ascii="Times New Roman" w:hAnsi="Times New Roman" w:cs="Times New Roman"/>
                <w:color w:val="000000" w:themeColor="text1"/>
                <w:lang w:val="en-US" w:eastAsia="zh-CN"/>
                <w14:textFill>
                  <w14:solidFill>
                    <w14:schemeClr w14:val="tx1"/>
                  </w14:solidFill>
                </w14:textFill>
              </w:rPr>
              <w:t>酒店、中医</w:t>
            </w:r>
            <w:r>
              <w:rPr>
                <w:rFonts w:hint="default" w:ascii="Times New Roman" w:hAnsi="Times New Roman" w:eastAsia="宋体" w:cs="Times New Roman"/>
                <w:color w:val="000000" w:themeColor="text1"/>
                <w:lang w:val="en-US" w:eastAsia="zh-CN"/>
                <w14:textFill>
                  <w14:solidFill>
                    <w14:schemeClr w14:val="tx1"/>
                  </w14:solidFill>
                </w14:textFill>
              </w:rPr>
              <w:t>康养中心及</w:t>
            </w:r>
            <w:r>
              <w:rPr>
                <w:rFonts w:hint="default" w:ascii="Times New Roman" w:hAnsi="Times New Roman" w:cs="Times New Roman"/>
                <w:color w:val="000000" w:themeColor="text1"/>
                <w:lang w:val="en-US" w:eastAsia="zh-CN"/>
                <w14:textFill>
                  <w14:solidFill>
                    <w14:schemeClr w14:val="tx1"/>
                  </w14:solidFill>
                </w14:textFill>
              </w:rPr>
              <w:t>高端</w:t>
            </w:r>
            <w:r>
              <w:rPr>
                <w:rFonts w:hint="default" w:ascii="Times New Roman" w:hAnsi="Times New Roman" w:eastAsia="宋体" w:cs="Times New Roman"/>
                <w:color w:val="000000" w:themeColor="text1"/>
                <w:lang w:val="en-US" w:eastAsia="zh-CN"/>
                <w14:textFill>
                  <w14:solidFill>
                    <w14:schemeClr w14:val="tx1"/>
                  </w14:solidFill>
                </w14:textFill>
              </w:rPr>
              <w:t>民宿实行24小时三班制，其他部分实行8小时工作制</w:t>
            </w:r>
            <w:r>
              <w:rPr>
                <w:rFonts w:hint="default" w:ascii="Times New Roman" w:hAnsi="Times New Roman" w:cs="Times New Roman"/>
                <w:color w:val="000000" w:themeColor="text1"/>
                <w:lang w:val="en-US" w:eastAsia="zh-CN"/>
                <w14:textFill>
                  <w14:solidFill>
                    <w14:schemeClr w14:val="tx1"/>
                  </w14:solidFill>
                </w14:textFill>
              </w:rPr>
              <w:t>。中医康养中心</w:t>
            </w:r>
            <w:r>
              <w:rPr>
                <w:rFonts w:hint="default" w:ascii="Times New Roman" w:hAnsi="Times New Roman" w:eastAsia="宋体" w:cs="Times New Roman"/>
                <w:color w:val="000000" w:themeColor="text1"/>
                <w:lang w:val="en-US" w:eastAsia="zh-CN"/>
                <w14:textFill>
                  <w14:solidFill>
                    <w14:schemeClr w14:val="tx1"/>
                  </w14:solidFill>
                </w14:textFill>
              </w:rPr>
              <w:t>年</w:t>
            </w:r>
            <w:r>
              <w:rPr>
                <w:rFonts w:hint="default" w:ascii="Times New Roman" w:hAnsi="Times New Roman" w:cs="Times New Roman"/>
                <w:color w:val="000000" w:themeColor="text1"/>
                <w:lang w:val="en-US" w:eastAsia="zh-CN"/>
                <w14:textFill>
                  <w14:solidFill>
                    <w14:schemeClr w14:val="tx1"/>
                  </w14:solidFill>
                </w14:textFill>
              </w:rPr>
              <w:t>运营</w:t>
            </w:r>
            <w:r>
              <w:rPr>
                <w:rFonts w:hint="default" w:ascii="Times New Roman" w:hAnsi="Times New Roman" w:eastAsia="宋体" w:cs="Times New Roman"/>
                <w:color w:val="000000" w:themeColor="text1"/>
                <w:lang w:val="en-US" w:eastAsia="zh-CN"/>
                <w14:textFill>
                  <w14:solidFill>
                    <w14:schemeClr w14:val="tx1"/>
                  </w14:solidFill>
                </w14:textFill>
              </w:rPr>
              <w:t>时间为365天</w:t>
            </w:r>
            <w:r>
              <w:rPr>
                <w:rFonts w:hint="default" w:ascii="Times New Roman" w:hAnsi="Times New Roman" w:cs="Times New Roman"/>
                <w:color w:val="000000" w:themeColor="text1"/>
                <w:lang w:val="en-US" w:eastAsia="zh-CN"/>
                <w14:textFill>
                  <w14:solidFill>
                    <w14:schemeClr w14:val="tx1"/>
                  </w14:solidFill>
                </w14:textFill>
              </w:rPr>
              <w:t>，其它部分为300天</w:t>
            </w:r>
            <w:r>
              <w:rPr>
                <w:rFonts w:hint="default" w:ascii="Times New Roman" w:hAnsi="Times New Roman" w:eastAsia="宋体" w:cs="Times New Roman"/>
                <w:color w:val="000000" w:themeColor="text1"/>
                <w:lang w:val="en-US" w:eastAsia="zh-CN"/>
                <w14:textFill>
                  <w14:solidFill>
                    <w14:schemeClr w14:val="tx1"/>
                  </w14:solidFill>
                </w14:textFill>
              </w:rPr>
              <w:t>。</w:t>
            </w:r>
          </w:p>
        </w:tc>
      </w:tr>
      <w:tr w14:paraId="7C9A66C7">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28" w:type="dxa"/>
            <w:left w:w="28" w:type="dxa"/>
            <w:bottom w:w="28" w:type="dxa"/>
            <w:right w:w="28" w:type="dxa"/>
          </w:tblCellMar>
        </w:tblPrEx>
        <w:trPr>
          <w:trHeight w:val="4796" w:hRule="atLeast"/>
          <w:jc w:val="center"/>
        </w:trPr>
        <w:tc>
          <w:tcPr>
            <w:tcW w:w="289" w:type="pct"/>
            <w:noWrap w:val="0"/>
            <w:vAlign w:val="center"/>
          </w:tcPr>
          <w:p w14:paraId="3F8EC76D">
            <w:pPr>
              <w:adjustRightInd w:val="0"/>
              <w:snapToGrid w:val="0"/>
              <w:ind w:firstLine="0" w:firstLineChars="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总平面及现场布置</w:t>
            </w:r>
          </w:p>
        </w:tc>
        <w:tc>
          <w:tcPr>
            <w:tcW w:w="4710" w:type="pct"/>
            <w:noWrap w:val="0"/>
            <w:vAlign w:val="center"/>
          </w:tcPr>
          <w:p w14:paraId="66F69ED5">
            <w:pPr>
              <w:keepNext w:val="0"/>
              <w:keepLines w:val="0"/>
              <w:pageBreakBefore w:val="0"/>
              <w:widowControl w:val="0"/>
              <w:numPr>
                <w:ilvl w:val="0"/>
                <w:numId w:val="0"/>
              </w:numPr>
              <w:kinsoku/>
              <w:wordWrap/>
              <w:overflowPunct/>
              <w:topLinePunct w:val="0"/>
              <w:autoSpaceDE w:val="0"/>
              <w:autoSpaceDN w:val="0"/>
              <w:bidi w:val="0"/>
              <w:adjustRightInd w:val="0"/>
              <w:snapToGrid/>
              <w:ind w:firstLine="482" w:firstLineChars="200"/>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1.1 总平面布置情况</w:t>
            </w:r>
          </w:p>
          <w:p w14:paraId="6925F30D">
            <w:pPr>
              <w:keepNext w:val="0"/>
              <w:keepLines w:val="0"/>
              <w:pageBreakBefore w:val="0"/>
              <w:widowControl w:val="0"/>
              <w:numPr>
                <w:ilvl w:val="0"/>
                <w:numId w:val="0"/>
              </w:numPr>
              <w:kinsoku/>
              <w:wordWrap/>
              <w:overflowPunct/>
              <w:topLinePunct w:val="0"/>
              <w:autoSpaceDE w:val="0"/>
              <w:autoSpaceDN w:val="0"/>
              <w:bidi w:val="0"/>
              <w:adjustRightInd w:val="0"/>
              <w:snapToGrid/>
              <w:ind w:firstLine="480" w:firstLineChars="200"/>
              <w:textAlignment w:val="auto"/>
              <w:rPr>
                <w:rFonts w:hint="eastAsia"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w:t>
            </w:r>
            <w:r>
              <w:rPr>
                <w:rFonts w:hint="default" w:ascii="Times New Roman" w:hAnsi="Times New Roman" w:eastAsia="宋体" w:cs="Times New Roman"/>
                <w:color w:val="000000" w:themeColor="text1"/>
                <w:lang w:val="en-US" w:eastAsia="zh-CN"/>
                <w14:textFill>
                  <w14:solidFill>
                    <w14:schemeClr w14:val="tx1"/>
                  </w14:solidFill>
                </w14:textFill>
              </w:rPr>
              <w:t>整体规划及建筑引入苍龙七宿概念彰显泾源龙文化之大气象</w:t>
            </w:r>
            <w:r>
              <w:rPr>
                <w:rFonts w:hint="eastAsia" w:cs="Times New Roman"/>
                <w:color w:val="000000" w:themeColor="text1"/>
                <w:lang w:val="en-US" w:eastAsia="zh-CN"/>
                <w14:textFill>
                  <w14:solidFill>
                    <w14:schemeClr w14:val="tx1"/>
                  </w14:solidFill>
                </w14:textFill>
              </w:rPr>
              <w:t>。</w:t>
            </w:r>
          </w:p>
          <w:p w14:paraId="63AC13CF">
            <w:pPr>
              <w:keepNext w:val="0"/>
              <w:keepLines w:val="0"/>
              <w:pageBreakBefore w:val="0"/>
              <w:widowControl w:val="0"/>
              <w:numPr>
                <w:ilvl w:val="0"/>
                <w:numId w:val="0"/>
              </w:numPr>
              <w:kinsoku/>
              <w:wordWrap/>
              <w:overflowPunct/>
              <w:topLinePunct w:val="0"/>
              <w:autoSpaceDE w:val="0"/>
              <w:autoSpaceDN w:val="0"/>
              <w:bidi w:val="0"/>
              <w:adjustRightInd w:val="0"/>
              <w:snapToGrid/>
              <w:ind w:firstLine="480" w:firstLineChars="200"/>
              <w:textAlignment w:val="auto"/>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商业街区位于整个项目区东侧，汤墅位于项目区西侧，高端民宿位于项目区北侧，中医康养中心、会议中心、高端温泉酒店位于项目区中心，无动力乐园位于项目区南侧，主入口位于项目区东南侧，污水处理站位于主入口附近，水系贯穿整个项目区。</w:t>
            </w:r>
          </w:p>
          <w:p w14:paraId="16FD7C62">
            <w:pPr>
              <w:keepNext w:val="0"/>
              <w:keepLines w:val="0"/>
              <w:pageBreakBefore w:val="0"/>
              <w:widowControl w:val="0"/>
              <w:numPr>
                <w:ilvl w:val="0"/>
                <w:numId w:val="0"/>
              </w:numPr>
              <w:kinsoku/>
              <w:wordWrap/>
              <w:overflowPunct/>
              <w:topLinePunct w:val="0"/>
              <w:autoSpaceDE w:val="0"/>
              <w:autoSpaceDN w:val="0"/>
              <w:bidi w:val="0"/>
              <w:adjustRightInd w:val="0"/>
              <w:snapToGrid/>
              <w:ind w:firstLine="480" w:firstLineChars="20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本</w:t>
            </w:r>
            <w:r>
              <w:rPr>
                <w:rFonts w:hint="default" w:ascii="Times New Roman" w:hAnsi="Times New Roman" w:eastAsia="宋体" w:cs="Times New Roman"/>
                <w:color w:val="000000" w:themeColor="text1"/>
                <w:lang w:val="en-US" w:eastAsia="zh-CN"/>
                <w14:textFill>
                  <w14:solidFill>
                    <w14:schemeClr w14:val="tx1"/>
                  </w14:solidFill>
                </w14:textFill>
              </w:rPr>
              <w:t>项目总体平面布置见附图7。</w:t>
            </w:r>
          </w:p>
          <w:p w14:paraId="084D5D8C">
            <w:pPr>
              <w:keepNext w:val="0"/>
              <w:keepLines w:val="0"/>
              <w:pageBreakBefore w:val="0"/>
              <w:widowControl w:val="0"/>
              <w:numPr>
                <w:ilvl w:val="0"/>
                <w:numId w:val="0"/>
              </w:numPr>
              <w:kinsoku/>
              <w:wordWrap/>
              <w:overflowPunct/>
              <w:topLinePunct w:val="0"/>
              <w:autoSpaceDE w:val="0"/>
              <w:autoSpaceDN w:val="0"/>
              <w:bidi w:val="0"/>
              <w:adjustRightInd w:val="0"/>
              <w:snapToGrid/>
              <w:ind w:firstLine="482" w:firstLineChars="200"/>
              <w:textAlignment w:val="auto"/>
              <w:rPr>
                <w:rFonts w:hint="eastAsia" w:ascii="Times New Roman" w:hAnsi="Times New Roman" w:cs="Times New Roman"/>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1.2 施工总平面布置</w:t>
            </w:r>
          </w:p>
          <w:p w14:paraId="35A5A05B">
            <w:pPr>
              <w:keepNext w:val="0"/>
              <w:keepLines w:val="0"/>
              <w:pageBreakBefore w:val="0"/>
              <w:widowControl w:val="0"/>
              <w:numPr>
                <w:ilvl w:val="0"/>
                <w:numId w:val="0"/>
              </w:numPr>
              <w:kinsoku/>
              <w:wordWrap/>
              <w:overflowPunct/>
              <w:topLinePunct w:val="0"/>
              <w:autoSpaceDE w:val="0"/>
              <w:autoSpaceDN w:val="0"/>
              <w:bidi w:val="0"/>
              <w:adjustRightInd w:val="0"/>
              <w:snapToGrid/>
              <w:ind w:firstLine="48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根据工程特点及其与六盘山自治区级自然保护区的位置关系，在项目区南侧设置一处施工营地，布置生产和生活设施，设置进场道路，施工区内设置仓库、机械停放场、临时材料堆场及生活办公区等。本项目施工营地占地面积6800m</w:t>
            </w:r>
            <w:r>
              <w:rPr>
                <w:rFonts w:hint="eastAsia" w:ascii="Times New Roman" w:hAnsi="Times New Roman" w:cs="Times New Roman"/>
                <w:color w:val="000000" w:themeColor="text1"/>
                <w:vertAlign w:val="superscript"/>
                <w:lang w:val="en-US" w:eastAsia="zh-CN"/>
                <w14:textFill>
                  <w14:solidFill>
                    <w14:schemeClr w14:val="tx1"/>
                  </w14:solidFill>
                </w14:textFill>
              </w:rPr>
              <w:t>2</w:t>
            </w:r>
            <w:r>
              <w:rPr>
                <w:rFonts w:hint="eastAsia" w:ascii="Times New Roman" w:hAnsi="Times New Roman" w:cs="Times New Roman"/>
                <w:color w:val="000000" w:themeColor="text1"/>
                <w:lang w:val="en-US" w:eastAsia="zh-CN"/>
                <w14:textFill>
                  <w14:solidFill>
                    <w14:schemeClr w14:val="tx1"/>
                  </w14:solidFill>
                </w14:textFill>
              </w:rPr>
              <w:t>，施工建筑占地面积一览</w:t>
            </w:r>
            <w:r>
              <w:rPr>
                <w:rFonts w:hint="eastAsia" w:ascii="Times New Roman" w:hAnsi="Times New Roman" w:cs="Times New Roman"/>
                <w:color w:val="000000" w:themeColor="text1"/>
                <w:highlight w:val="none"/>
                <w:lang w:val="en-US" w:eastAsia="zh-CN"/>
                <w14:textFill>
                  <w14:solidFill>
                    <w14:schemeClr w14:val="tx1"/>
                  </w14:solidFill>
                </w14:textFill>
              </w:rPr>
              <w:t>表如下。施工总平面图见附图8。</w:t>
            </w:r>
          </w:p>
          <w:p w14:paraId="3DB9F33F">
            <w:pPr>
              <w:pStyle w:val="63"/>
              <w:spacing w:line="240" w:lineRule="auto"/>
              <w:ind w:firstLine="0" w:firstLineChars="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表2-3  施工建筑占地面积一览表</w:t>
            </w:r>
          </w:p>
          <w:tbl>
            <w:tblPr>
              <w:tblStyle w:val="65"/>
              <w:tblW w:w="4962"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362"/>
              <w:gridCol w:w="1670"/>
              <w:gridCol w:w="2366"/>
              <w:gridCol w:w="2361"/>
            </w:tblGrid>
            <w:tr w14:paraId="236559F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52" w:hRule="atLeast"/>
                <w:jc w:val="center"/>
              </w:trPr>
              <w:tc>
                <w:tcPr>
                  <w:tcW w:w="877" w:type="pct"/>
                  <w:tcBorders>
                    <w:tl2br w:val="nil"/>
                    <w:tr2bl w:val="nil"/>
                  </w:tcBorders>
                  <w:noWrap w:val="0"/>
                  <w:vAlign w:val="center"/>
                </w:tcPr>
                <w:p w14:paraId="75838060">
                  <w:pPr>
                    <w:spacing w:line="240" w:lineRule="auto"/>
                    <w:ind w:left="0" w:leftChars="0" w:right="0" w:rightChars="0" w:firstLine="0" w:firstLineChars="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名称</w:t>
                  </w:r>
                </w:p>
              </w:tc>
              <w:tc>
                <w:tcPr>
                  <w:tcW w:w="1076" w:type="pct"/>
                  <w:tcBorders>
                    <w:tl2br w:val="nil"/>
                    <w:tr2bl w:val="nil"/>
                  </w:tcBorders>
                  <w:noWrap w:val="0"/>
                  <w:vAlign w:val="center"/>
                </w:tcPr>
                <w:p w14:paraId="242BE280">
                  <w:pPr>
                    <w:spacing w:line="240" w:lineRule="auto"/>
                    <w:ind w:left="0" w:leftChars="0" w:right="0" w:rightChars="0" w:firstLine="0" w:firstLineChars="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占地面积</w:t>
                  </w:r>
                  <w:r>
                    <w:rPr>
                      <w:rFonts w:hint="default" w:ascii="Times New Roman" w:hAnsi="Times New Roman" w:cs="Times New Roman"/>
                      <w:b/>
                      <w:bCs/>
                      <w:color w:val="000000" w:themeColor="text1"/>
                      <w:sz w:val="21"/>
                      <w:szCs w:val="21"/>
                      <w:highlight w:val="none"/>
                      <w14:textFill>
                        <w14:solidFill>
                          <w14:schemeClr w14:val="tx1"/>
                        </w14:solidFill>
                      </w14:textFill>
                    </w:rPr>
                    <w:t>（m</w:t>
                  </w:r>
                  <w:r>
                    <w:rPr>
                      <w:rFonts w:hint="default" w:ascii="Times New Roman" w:hAnsi="Times New Roman" w:cs="Times New Roman"/>
                      <w:b/>
                      <w:bCs/>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cs="Times New Roman"/>
                      <w:b/>
                      <w:bCs/>
                      <w:color w:val="000000" w:themeColor="text1"/>
                      <w:sz w:val="21"/>
                      <w:szCs w:val="21"/>
                      <w:highlight w:val="none"/>
                      <w14:textFill>
                        <w14:solidFill>
                          <w14:schemeClr w14:val="tx1"/>
                        </w14:solidFill>
                      </w14:textFill>
                    </w:rPr>
                    <w:t>）</w:t>
                  </w:r>
                </w:p>
              </w:tc>
              <w:tc>
                <w:tcPr>
                  <w:tcW w:w="1524" w:type="pct"/>
                  <w:tcBorders>
                    <w:tl2br w:val="nil"/>
                    <w:tr2bl w:val="nil"/>
                  </w:tcBorders>
                  <w:noWrap w:val="0"/>
                  <w:vAlign w:val="center"/>
                </w:tcPr>
                <w:p w14:paraId="43E75E15">
                  <w:pPr>
                    <w:spacing w:line="240" w:lineRule="auto"/>
                    <w:ind w:left="0" w:leftChars="0" w:right="0" w:rightChars="0" w:firstLine="0" w:firstLineChars="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名称</w:t>
                  </w:r>
                </w:p>
              </w:tc>
              <w:tc>
                <w:tcPr>
                  <w:tcW w:w="1521" w:type="pct"/>
                  <w:tcBorders>
                    <w:tl2br w:val="nil"/>
                    <w:tr2bl w:val="nil"/>
                  </w:tcBorders>
                  <w:noWrap w:val="0"/>
                  <w:vAlign w:val="center"/>
                </w:tcPr>
                <w:p w14:paraId="072043BE">
                  <w:pPr>
                    <w:spacing w:line="240" w:lineRule="auto"/>
                    <w:ind w:left="0" w:leftChars="0" w:right="0" w:rightChars="0" w:firstLine="0" w:firstLineChars="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占地面积</w:t>
                  </w:r>
                  <w:r>
                    <w:rPr>
                      <w:rFonts w:hint="default" w:ascii="Times New Roman" w:hAnsi="Times New Roman" w:cs="Times New Roman"/>
                      <w:b/>
                      <w:bCs/>
                      <w:color w:val="000000" w:themeColor="text1"/>
                      <w:sz w:val="21"/>
                      <w:szCs w:val="21"/>
                      <w:highlight w:val="none"/>
                      <w14:textFill>
                        <w14:solidFill>
                          <w14:schemeClr w14:val="tx1"/>
                        </w14:solidFill>
                      </w14:textFill>
                    </w:rPr>
                    <w:t>（m</w:t>
                  </w:r>
                  <w:r>
                    <w:rPr>
                      <w:rFonts w:hint="default" w:ascii="Times New Roman" w:hAnsi="Times New Roman" w:cs="Times New Roman"/>
                      <w:b/>
                      <w:bCs/>
                      <w:color w:val="000000" w:themeColor="text1"/>
                      <w:sz w:val="21"/>
                      <w:szCs w:val="21"/>
                      <w:highlight w:val="none"/>
                      <w:vertAlign w:val="superscript"/>
                      <w:lang w:val="en-US" w:eastAsia="zh-CN"/>
                      <w14:textFill>
                        <w14:solidFill>
                          <w14:schemeClr w14:val="tx1"/>
                        </w14:solidFill>
                      </w14:textFill>
                    </w:rPr>
                    <w:t>2</w:t>
                  </w:r>
                  <w:r>
                    <w:rPr>
                      <w:rFonts w:hint="default" w:ascii="Times New Roman" w:hAnsi="Times New Roman" w:cs="Times New Roman"/>
                      <w:b/>
                      <w:bCs/>
                      <w:color w:val="000000" w:themeColor="text1"/>
                      <w:sz w:val="21"/>
                      <w:szCs w:val="21"/>
                      <w:highlight w:val="none"/>
                      <w14:textFill>
                        <w14:solidFill>
                          <w14:schemeClr w14:val="tx1"/>
                        </w14:solidFill>
                      </w14:textFill>
                    </w:rPr>
                    <w:t>）</w:t>
                  </w:r>
                </w:p>
              </w:tc>
            </w:tr>
            <w:tr w14:paraId="12DD451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877" w:type="pct"/>
                  <w:tcBorders>
                    <w:tl2br w:val="nil"/>
                    <w:tr2bl w:val="nil"/>
                  </w:tcBorders>
                  <w:noWrap w:val="0"/>
                  <w:vAlign w:val="center"/>
                </w:tcPr>
                <w:p w14:paraId="6ABD9FAD">
                  <w:pPr>
                    <w:spacing w:line="240" w:lineRule="auto"/>
                    <w:ind w:left="0" w:leftChars="0" w:right="0" w:rightChars="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仓库</w:t>
                  </w:r>
                </w:p>
              </w:tc>
              <w:tc>
                <w:tcPr>
                  <w:tcW w:w="1076" w:type="pct"/>
                  <w:tcBorders>
                    <w:tl2br w:val="nil"/>
                    <w:tr2bl w:val="nil"/>
                  </w:tcBorders>
                  <w:noWrap w:val="0"/>
                  <w:vAlign w:val="center"/>
                </w:tcPr>
                <w:p w14:paraId="0BF0B259">
                  <w:pPr>
                    <w:spacing w:line="240" w:lineRule="auto"/>
                    <w:ind w:left="0" w:leftChars="0" w:right="0" w:rightChars="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1200</w:t>
                  </w:r>
                </w:p>
              </w:tc>
              <w:tc>
                <w:tcPr>
                  <w:tcW w:w="1524" w:type="pct"/>
                  <w:tcBorders>
                    <w:tl2br w:val="nil"/>
                    <w:tr2bl w:val="nil"/>
                  </w:tcBorders>
                  <w:noWrap w:val="0"/>
                  <w:vAlign w:val="center"/>
                </w:tcPr>
                <w:p w14:paraId="26B65BB2">
                  <w:pPr>
                    <w:spacing w:line="240" w:lineRule="auto"/>
                    <w:ind w:left="0" w:leftChars="0" w:right="0" w:rightChars="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临时堆料场</w:t>
                  </w:r>
                </w:p>
              </w:tc>
              <w:tc>
                <w:tcPr>
                  <w:tcW w:w="1521" w:type="pct"/>
                  <w:tcBorders>
                    <w:tl2br w:val="nil"/>
                    <w:tr2bl w:val="nil"/>
                  </w:tcBorders>
                  <w:noWrap w:val="0"/>
                  <w:vAlign w:val="center"/>
                </w:tcPr>
                <w:p w14:paraId="319AA71E">
                  <w:pPr>
                    <w:spacing w:line="240" w:lineRule="auto"/>
                    <w:ind w:left="0" w:leftChars="0" w:right="0" w:rightChars="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2100</w:t>
                  </w:r>
                </w:p>
              </w:tc>
            </w:tr>
            <w:tr w14:paraId="5508123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4" w:hRule="atLeast"/>
                <w:jc w:val="center"/>
              </w:trPr>
              <w:tc>
                <w:tcPr>
                  <w:tcW w:w="877" w:type="pct"/>
                  <w:tcBorders>
                    <w:tl2br w:val="nil"/>
                    <w:tr2bl w:val="nil"/>
                  </w:tcBorders>
                  <w:noWrap w:val="0"/>
                  <w:vAlign w:val="center"/>
                </w:tcPr>
                <w:p w14:paraId="289D5279">
                  <w:pPr>
                    <w:spacing w:line="240" w:lineRule="auto"/>
                    <w:ind w:left="0" w:leftChars="0" w:right="0" w:rightChars="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机械停放场</w:t>
                  </w:r>
                </w:p>
              </w:tc>
              <w:tc>
                <w:tcPr>
                  <w:tcW w:w="1076" w:type="pct"/>
                  <w:tcBorders>
                    <w:tl2br w:val="nil"/>
                    <w:tr2bl w:val="nil"/>
                  </w:tcBorders>
                  <w:noWrap w:val="0"/>
                  <w:vAlign w:val="center"/>
                </w:tcPr>
                <w:p w14:paraId="69B78DE2">
                  <w:pPr>
                    <w:spacing w:line="240" w:lineRule="auto"/>
                    <w:ind w:left="0" w:leftChars="0" w:right="0" w:rightChars="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2000</w:t>
                  </w:r>
                </w:p>
              </w:tc>
              <w:tc>
                <w:tcPr>
                  <w:tcW w:w="1524" w:type="pct"/>
                  <w:tcBorders>
                    <w:tl2br w:val="nil"/>
                    <w:tr2bl w:val="nil"/>
                  </w:tcBorders>
                  <w:noWrap w:val="0"/>
                  <w:vAlign w:val="center"/>
                </w:tcPr>
                <w:p w14:paraId="4F5FD421">
                  <w:pPr>
                    <w:spacing w:line="240" w:lineRule="auto"/>
                    <w:ind w:left="0" w:leftChars="0" w:right="0" w:rightChars="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临时办公生活区</w:t>
                  </w:r>
                </w:p>
              </w:tc>
              <w:tc>
                <w:tcPr>
                  <w:tcW w:w="1521" w:type="pct"/>
                  <w:tcBorders>
                    <w:tl2br w:val="nil"/>
                    <w:tr2bl w:val="nil"/>
                  </w:tcBorders>
                  <w:noWrap w:val="0"/>
                  <w:vAlign w:val="center"/>
                </w:tcPr>
                <w:p w14:paraId="30D0B681">
                  <w:pPr>
                    <w:spacing w:line="240" w:lineRule="auto"/>
                    <w:ind w:left="0" w:leftChars="0" w:right="0" w:rightChars="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1500</w:t>
                  </w:r>
                </w:p>
              </w:tc>
            </w:tr>
            <w:tr w14:paraId="6B435DA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1" w:hRule="atLeast"/>
                <w:jc w:val="center"/>
              </w:trPr>
              <w:tc>
                <w:tcPr>
                  <w:tcW w:w="3478" w:type="pct"/>
                  <w:gridSpan w:val="3"/>
                  <w:tcBorders>
                    <w:tl2br w:val="nil"/>
                    <w:tr2bl w:val="nil"/>
                  </w:tcBorders>
                  <w:noWrap w:val="0"/>
                  <w:vAlign w:val="center"/>
                </w:tcPr>
                <w:p w14:paraId="383479FF">
                  <w:pPr>
                    <w:spacing w:line="240" w:lineRule="auto"/>
                    <w:ind w:left="0" w:leftChars="0" w:right="0" w:rightChars="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合计</w:t>
                  </w:r>
                </w:p>
              </w:tc>
              <w:tc>
                <w:tcPr>
                  <w:tcW w:w="1521" w:type="pct"/>
                  <w:tcBorders>
                    <w:tl2br w:val="nil"/>
                    <w:tr2bl w:val="nil"/>
                  </w:tcBorders>
                  <w:noWrap w:val="0"/>
                  <w:vAlign w:val="center"/>
                </w:tcPr>
                <w:p w14:paraId="465ADD10">
                  <w:pPr>
                    <w:spacing w:line="240" w:lineRule="auto"/>
                    <w:ind w:left="0" w:leftChars="0" w:right="0" w:rightChars="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6800</w:t>
                  </w:r>
                </w:p>
              </w:tc>
            </w:tr>
          </w:tbl>
          <w:p w14:paraId="4F5B4D2F">
            <w:pPr>
              <w:keepNext w:val="0"/>
              <w:keepLines w:val="0"/>
              <w:pageBreakBefore w:val="0"/>
              <w:widowControl w:val="0"/>
              <w:numPr>
                <w:ilvl w:val="0"/>
                <w:numId w:val="0"/>
              </w:numPr>
              <w:kinsoku/>
              <w:wordWrap/>
              <w:overflowPunct/>
              <w:topLinePunct w:val="0"/>
              <w:autoSpaceDE w:val="0"/>
              <w:autoSpaceDN w:val="0"/>
              <w:bidi w:val="0"/>
              <w:adjustRightInd w:val="0"/>
              <w:snapToGrid/>
              <w:ind w:firstLine="482" w:firstLineChars="200"/>
              <w:textAlignment w:val="auto"/>
              <w:rPr>
                <w:rFonts w:hint="default" w:cs="Times New Roman"/>
                <w:b/>
                <w:bCs/>
                <w:color w:val="000000" w:themeColor="text1"/>
                <w:lang w:val="en-US" w:eastAsia="zh-CN"/>
                <w14:textFill>
                  <w14:solidFill>
                    <w14:schemeClr w14:val="tx1"/>
                  </w14:solidFill>
                </w14:textFill>
              </w:rPr>
            </w:pPr>
          </w:p>
        </w:tc>
      </w:tr>
      <w:tr w14:paraId="1B2E82F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28" w:type="dxa"/>
            <w:left w:w="28" w:type="dxa"/>
            <w:bottom w:w="28" w:type="dxa"/>
            <w:right w:w="28" w:type="dxa"/>
          </w:tblCellMar>
        </w:tblPrEx>
        <w:trPr>
          <w:trHeight w:val="1848" w:hRule="atLeast"/>
          <w:jc w:val="center"/>
        </w:trPr>
        <w:tc>
          <w:tcPr>
            <w:tcW w:w="289" w:type="pct"/>
            <w:noWrap w:val="0"/>
            <w:vAlign w:val="center"/>
          </w:tcPr>
          <w:p w14:paraId="097E27D7">
            <w:pPr>
              <w:adjustRightInd w:val="0"/>
              <w:snapToGrid w:val="0"/>
              <w:ind w:firstLine="0" w:firstLineChars="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施工方案</w:t>
            </w:r>
          </w:p>
        </w:tc>
        <w:tc>
          <w:tcPr>
            <w:tcW w:w="4710" w:type="pct"/>
            <w:noWrap w:val="0"/>
            <w:vAlign w:val="top"/>
          </w:tcPr>
          <w:p w14:paraId="0F076087">
            <w:pPr>
              <w:keepNext w:val="0"/>
              <w:keepLines w:val="0"/>
              <w:pageBreakBefore w:val="0"/>
              <w:widowControl w:val="0"/>
              <w:numPr>
                <w:ilvl w:val="0"/>
                <w:numId w:val="0"/>
              </w:numPr>
              <w:kinsoku/>
              <w:wordWrap/>
              <w:overflowPunct/>
              <w:topLinePunct w:val="0"/>
              <w:autoSpaceDE w:val="0"/>
              <w:autoSpaceDN w:val="0"/>
              <w:bidi w:val="0"/>
              <w:adjustRightInd w:val="0"/>
              <w:snapToGrid/>
              <w:ind w:firstLine="482" w:firstLineChars="200"/>
              <w:textAlignment w:val="auto"/>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1 施工</w:t>
            </w:r>
            <w:r>
              <w:rPr>
                <w:rFonts w:hint="default" w:ascii="Times New Roman" w:hAnsi="Times New Roman" w:cs="Times New Roman"/>
                <w:b/>
                <w:bCs/>
                <w:color w:val="000000" w:themeColor="text1"/>
                <w:lang w:val="en-US" w:eastAsia="zh-CN"/>
                <w14:textFill>
                  <w14:solidFill>
                    <w14:schemeClr w14:val="tx1"/>
                  </w14:solidFill>
                </w14:textFill>
              </w:rPr>
              <w:t>工艺及产污环节</w:t>
            </w:r>
          </w:p>
          <w:p w14:paraId="02893BB0">
            <w:pPr>
              <w:keepNext w:val="0"/>
              <w:keepLines w:val="0"/>
              <w:pageBreakBefore w:val="0"/>
              <w:widowControl w:val="0"/>
              <w:numPr>
                <w:ilvl w:val="0"/>
                <w:numId w:val="0"/>
              </w:numPr>
              <w:kinsoku/>
              <w:wordWrap/>
              <w:overflowPunct/>
              <w:topLinePunct w:val="0"/>
              <w:autoSpaceDE w:val="0"/>
              <w:autoSpaceDN w:val="0"/>
              <w:bidi w:val="0"/>
              <w:adjustRightInd w:val="0"/>
              <w:snapToGrid/>
              <w:ind w:firstLine="480" w:firstLineChars="20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施工期内容主要为土地平整、工器具进场、原辅材料进场，基础开挖、主体施工、装修、景观绿化等。在施工过程中产生的主要污染物为施工扬尘、运输车辆废气；施工废水和施工人员生活污水；施工机械噪声；</w:t>
            </w:r>
            <w:r>
              <w:rPr>
                <w:rFonts w:hint="default" w:ascii="Times New Roman" w:hAnsi="Times New Roman" w:cs="Times New Roman"/>
                <w:color w:val="000000" w:themeColor="text1"/>
                <w:lang w:val="en-US" w:eastAsia="zh-CN"/>
                <w14:textFill>
                  <w14:solidFill>
                    <w14:schemeClr w14:val="tx1"/>
                  </w14:solidFill>
                </w14:textFill>
              </w:rPr>
              <w:t>建筑垃圾</w:t>
            </w:r>
            <w:r>
              <w:rPr>
                <w:rFonts w:hint="default" w:ascii="Times New Roman" w:hAnsi="Times New Roman" w:eastAsia="宋体" w:cs="Times New Roman"/>
                <w:color w:val="000000" w:themeColor="text1"/>
                <w:lang w:val="en-US" w:eastAsia="zh-CN"/>
                <w14:textFill>
                  <w14:solidFill>
                    <w14:schemeClr w14:val="tx1"/>
                  </w14:solidFill>
                </w14:textFill>
              </w:rPr>
              <w:t>及生活垃圾。</w:t>
            </w:r>
            <w:r>
              <w:rPr>
                <w:rFonts w:hint="default" w:ascii="Times New Roman" w:hAnsi="Times New Roman" w:cs="Times New Roman"/>
                <w:color w:val="000000" w:themeColor="text1"/>
                <w:lang w:val="en-US" w:eastAsia="zh-CN"/>
                <w14:textFill>
                  <w14:solidFill>
                    <w14:schemeClr w14:val="tx1"/>
                  </w14:solidFill>
                </w14:textFill>
              </w:rPr>
              <w:t>本项目施工工艺及产污环节见图2-</w:t>
            </w:r>
            <w:r>
              <w:rPr>
                <w:rFonts w:hint="eastAsia"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lang w:val="en-US" w:eastAsia="zh-CN"/>
                <w14:textFill>
                  <w14:solidFill>
                    <w14:schemeClr w14:val="tx1"/>
                  </w14:solidFill>
                </w14:textFill>
              </w:rPr>
              <w:t>。</w:t>
            </w:r>
          </w:p>
          <w:p w14:paraId="505C639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692032" behindDoc="0" locked="0" layoutInCell="1" allowOverlap="1">
                      <wp:simplePos x="0" y="0"/>
                      <wp:positionH relativeFrom="column">
                        <wp:posOffset>4128770</wp:posOffset>
                      </wp:positionH>
                      <wp:positionV relativeFrom="paragraph">
                        <wp:posOffset>2576195</wp:posOffset>
                      </wp:positionV>
                      <wp:extent cx="635" cy="112395"/>
                      <wp:effectExtent l="53975" t="0" r="59690" b="1905"/>
                      <wp:wrapNone/>
                      <wp:docPr id="33" name="直线 172"/>
                      <wp:cNvGraphicFramePr/>
                      <a:graphic xmlns:a="http://schemas.openxmlformats.org/drawingml/2006/main">
                        <a:graphicData uri="http://schemas.microsoft.com/office/word/2010/wordprocessingShape">
                          <wps:wsp>
                            <wps:cNvCnPr/>
                            <wps:spPr>
                              <a:xfrm>
                                <a:off x="0" y="0"/>
                                <a:ext cx="635" cy="112395"/>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172" o:spid="_x0000_s1026" o:spt="20" style="position:absolute;left:0pt;margin-left:325.1pt;margin-top:202.85pt;height:8.85pt;width:0.05pt;z-index:251692032;mso-width-relative:page;mso-height-relative:page;" filled="f" stroked="t" coordsize="21600,21600" o:gfxdata="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OHPdbXAAAACwEAAA8AAAAAAAAAAQAgAAAAIgAAAGRycy9kb3ducmV2LnhtbFBLAQIUABQA&#10;AAAIAIdO4kDSbPpT8QEAAOEDAAAOAAAAAAAAAAEAIAAAACYBAABkcnMvZTJvRG9jLnhtbFBLBQYA&#10;AAAABgAGAFkBAACJBQAAAAA=&#10;">
                      <v:fill on="f" focussize="0,0"/>
                      <v:stroke weight="1.5pt" color="#000000" joinstyle="round" endarrow="open"/>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693056" behindDoc="0" locked="0" layoutInCell="1" allowOverlap="1">
                      <wp:simplePos x="0" y="0"/>
                      <wp:positionH relativeFrom="column">
                        <wp:posOffset>2708910</wp:posOffset>
                      </wp:positionH>
                      <wp:positionV relativeFrom="paragraph">
                        <wp:posOffset>2578100</wp:posOffset>
                      </wp:positionV>
                      <wp:extent cx="635" cy="112395"/>
                      <wp:effectExtent l="53975" t="0" r="59690" b="1905"/>
                      <wp:wrapNone/>
                      <wp:docPr id="34" name="直线 173"/>
                      <wp:cNvGraphicFramePr/>
                      <a:graphic xmlns:a="http://schemas.openxmlformats.org/drawingml/2006/main">
                        <a:graphicData uri="http://schemas.microsoft.com/office/word/2010/wordprocessingShape">
                          <wps:wsp>
                            <wps:cNvCnPr/>
                            <wps:spPr>
                              <a:xfrm>
                                <a:off x="0" y="0"/>
                                <a:ext cx="635" cy="112395"/>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173" o:spid="_x0000_s1026" o:spt="20" style="position:absolute;left:0pt;margin-left:213.3pt;margin-top:203pt;height:8.85pt;width:0.05pt;z-index:251693056;mso-width-relative:page;mso-height-relative:page;" filled="f" stroked="t" coordsize="21600,21600" o:gfxdata="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S/Ds7WAAAACwEAAA8AAAAAAAAAAQAgAAAAIgAAAGRycy9kb3ducmV2LnhtbFBLAQIUABQA&#10;AAAIAIdO4kAwmWPe8gEAAOEDAAAOAAAAAAAAAAEAIAAAACUBAABkcnMvZTJvRG9jLnhtbFBLBQYA&#10;AAAABgAGAFkBAACJBQAAAAA=&#10;">
                      <v:fill on="f" focussize="0,0"/>
                      <v:stroke weight="1.5pt" color="#000000" joinstyle="round" endarrow="open"/>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column">
                        <wp:posOffset>1713865</wp:posOffset>
                      </wp:positionH>
                      <wp:positionV relativeFrom="paragraph">
                        <wp:posOffset>2590800</wp:posOffset>
                      </wp:positionV>
                      <wp:extent cx="0" cy="109220"/>
                      <wp:effectExtent l="53975" t="0" r="60325" b="5080"/>
                      <wp:wrapNone/>
                      <wp:docPr id="32" name="直线 171"/>
                      <wp:cNvGraphicFramePr/>
                      <a:graphic xmlns:a="http://schemas.openxmlformats.org/drawingml/2006/main">
                        <a:graphicData uri="http://schemas.microsoft.com/office/word/2010/wordprocessingShape">
                          <wps:wsp>
                            <wps:cNvCnPr/>
                            <wps:spPr>
                              <a:xfrm>
                                <a:off x="0" y="0"/>
                                <a:ext cx="0" cy="109220"/>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171" o:spid="_x0000_s1026" o:spt="20" style="position:absolute;left:0pt;margin-left:134.95pt;margin-top:204pt;height:8.6pt;width:0pt;z-index:251691008;mso-width-relative:page;mso-height-relative:page;" filled="f" stroked="t" coordsize="21600,21600" o:gfxdata="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apDmzWAAAACwEAAA8AAAAAAAAAAQAgAAAAIgAAAGRycy9kb3ducmV2LnhtbFBLAQIUABQAAAAI&#10;AIdO4kBFWkcE7wEAAN8DAAAOAAAAAAAAAAEAIAAAACUBAABkcnMvZTJvRG9jLnhtbFBLBQYAAAAA&#10;BgAGAFkBAACGBQAAAAA=&#10;">
                      <v:fill on="f" focussize="0,0"/>
                      <v:stroke weight="1.5pt" color="#000000" joinstyle="round" endarrow="open"/>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column">
                        <wp:posOffset>3526155</wp:posOffset>
                      </wp:positionH>
                      <wp:positionV relativeFrom="paragraph">
                        <wp:posOffset>2567305</wp:posOffset>
                      </wp:positionV>
                      <wp:extent cx="1079500" cy="6985"/>
                      <wp:effectExtent l="0" t="6350" r="6350" b="15240"/>
                      <wp:wrapNone/>
                      <wp:docPr id="31" name="直线 170"/>
                      <wp:cNvGraphicFramePr/>
                      <a:graphic xmlns:a="http://schemas.openxmlformats.org/drawingml/2006/main">
                        <a:graphicData uri="http://schemas.microsoft.com/office/word/2010/wordprocessingShape">
                          <wps:wsp>
                            <wps:cNvCnPr/>
                            <wps:spPr>
                              <a:xfrm flipV="1">
                                <a:off x="0" y="0"/>
                                <a:ext cx="1079500" cy="698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170" o:spid="_x0000_s1026" o:spt="20" style="position:absolute;left:0pt;flip:y;margin-left:277.65pt;margin-top:202.15pt;height:0.55pt;width:85pt;z-index:251689984;mso-width-relative:page;mso-height-relative:page;" filled="f" stroked="t" coordsize="21600,21600" o:gfxdata="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5jfOrZAAAACwEAAA8AAAAAAAAAAQAgAAAAIgAAAGRycy9kb3ducmV2LnhtbFBLAQIU&#10;ABQAAAAIAIdO4kAqt1UC8gEAAOwDAAAOAAAAAAAAAAEAIAAAACgBAABkcnMvZTJvRG9jLnhtbFBL&#10;BQYAAAAABgAGAFkBAACMBQAAAAA=&#10;">
                      <v:fill on="f" focussize="0,0"/>
                      <v:stroke weight="1pt" color="#000000" joinstyle="round"/>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2429510</wp:posOffset>
                      </wp:positionH>
                      <wp:positionV relativeFrom="paragraph">
                        <wp:posOffset>2572385</wp:posOffset>
                      </wp:positionV>
                      <wp:extent cx="524510" cy="635"/>
                      <wp:effectExtent l="0" t="0" r="0" b="0"/>
                      <wp:wrapNone/>
                      <wp:docPr id="30" name="直线 169"/>
                      <wp:cNvGraphicFramePr/>
                      <a:graphic xmlns:a="http://schemas.openxmlformats.org/drawingml/2006/main">
                        <a:graphicData uri="http://schemas.microsoft.com/office/word/2010/wordprocessingShape">
                          <wps:wsp>
                            <wps:cNvCnPr/>
                            <wps:spPr>
                              <a:xfrm>
                                <a:off x="0" y="0"/>
                                <a:ext cx="524510" cy="63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169" o:spid="_x0000_s1026" o:spt="20" style="position:absolute;left:0pt;margin-left:191.3pt;margin-top:202.55pt;height:0.05pt;width:41.3pt;z-index:251688960;mso-width-relative:page;mso-height-relative:page;" filled="f" stroked="t" coordsize="21600,21600" o:gfxdata="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eR7KXNoAAAALAQAADwAAAAAAAAABACAAAAAiAAAAZHJzL2Rvd25yZXYueG1sUEsBAhQAFAAAAAgA&#10;h07iQJHfll7qAQAA4AMAAA4AAAAAAAAAAQAgAAAAKQEAAGRycy9lMm9Eb2MueG1sUEsFBgAAAAAG&#10;AAYAWQEAAIUFAAAAAA==&#10;">
                      <v:fill on="f" focussize="0,0"/>
                      <v:stroke weight="1pt" color="#000000" joinstyle="round"/>
                      <v:imagedata o:title=""/>
                      <o:lock v:ext="edit" aspectratio="f"/>
                    </v:line>
                  </w:pict>
                </mc:Fallback>
              </mc:AlternateContent>
            </w:r>
            <w:r>
              <w:rPr>
                <w:rFonts w:hint="default" w:ascii="Times New Roman" w:hAnsi="Times New Roman" w:cs="Times New Roman"/>
                <w:color w:val="000000" w:themeColor="text1"/>
                <w:lang w:val="en-US" w:eastAsia="zh-CN"/>
                <w14:textFill>
                  <w14:solidFill>
                    <w14:schemeClr w14:val="tx1"/>
                  </w14:solidFill>
                </w14:textFill>
              </w:rPr>
              <w:drawing>
                <wp:inline distT="0" distB="0" distL="114300" distR="114300">
                  <wp:extent cx="4958715" cy="3342640"/>
                  <wp:effectExtent l="0" t="0" r="0" b="0"/>
                  <wp:docPr id="51" name="ECB019B1-382A-4266-B25C-5B523AA43C14-2" descr="C:/Users/admin/AppData/Local/Temp/wps.mgKSnk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ECB019B1-382A-4266-B25C-5B523AA43C14-2" descr="C:/Users/admin/AppData/Local/Temp/wps.mgKSnkwps"/>
                          <pic:cNvPicPr>
                            <a:picLocks noChangeAspect="1"/>
                          </pic:cNvPicPr>
                        </pic:nvPicPr>
                        <pic:blipFill>
                          <a:blip r:embed="rId19"/>
                          <a:stretch>
                            <a:fillRect/>
                          </a:stretch>
                        </pic:blipFill>
                        <pic:spPr>
                          <a:xfrm>
                            <a:off x="0" y="0"/>
                            <a:ext cx="4958715" cy="3342640"/>
                          </a:xfrm>
                          <a:prstGeom prst="rect">
                            <a:avLst/>
                          </a:prstGeom>
                          <a:noFill/>
                          <a:ln>
                            <a:noFill/>
                          </a:ln>
                        </pic:spPr>
                      </pic:pic>
                    </a:graphicData>
                  </a:graphic>
                </wp:inline>
              </w:drawing>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4598670</wp:posOffset>
                      </wp:positionH>
                      <wp:positionV relativeFrom="paragraph">
                        <wp:posOffset>2442210</wp:posOffset>
                      </wp:positionV>
                      <wp:extent cx="635" cy="150495"/>
                      <wp:effectExtent l="53340" t="0" r="60325" b="1905"/>
                      <wp:wrapNone/>
                      <wp:docPr id="25" name="直线 164"/>
                      <wp:cNvGraphicFramePr/>
                      <a:graphic xmlns:a="http://schemas.openxmlformats.org/drawingml/2006/main">
                        <a:graphicData uri="http://schemas.microsoft.com/office/word/2010/wordprocessingShape">
                          <wps:wsp>
                            <wps:cNvCnPr/>
                            <wps:spPr>
                              <a:xfrm flipH="1">
                                <a:off x="0" y="0"/>
                                <a:ext cx="635" cy="150495"/>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164" o:spid="_x0000_s1026" o:spt="20" style="position:absolute;left:0pt;flip:x;margin-left:362.1pt;margin-top:192.3pt;height:11.85pt;width:0.05pt;z-index:251683840;mso-width-relative:page;mso-height-relative:page;" filled="f" stroked="t" coordsize="21600,21600" o:gfxdata="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y0CSXYAAAACwEAAA8AAAAAAAAAAQAgAAAAIgAAAGRycy9kb3ducmV2Lnht&#10;bFBLAQIUABQAAAAIAIdO4kCPmJft+QEAAOsDAAAOAAAAAAAAAAEAIAAAACcBAABkcnMvZTJvRG9j&#10;LnhtbFBLBQYAAAAABgAGAFkBAACSBQAAAAA=&#10;">
                      <v:fill on="f" focussize="0,0"/>
                      <v:stroke weight="1.5pt" color="#000000" joinstyle="round" endarrow="open"/>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4077335</wp:posOffset>
                      </wp:positionH>
                      <wp:positionV relativeFrom="paragraph">
                        <wp:posOffset>2437765</wp:posOffset>
                      </wp:positionV>
                      <wp:extent cx="635" cy="150495"/>
                      <wp:effectExtent l="53340" t="0" r="60325" b="1905"/>
                      <wp:wrapNone/>
                      <wp:docPr id="27" name="直线 166"/>
                      <wp:cNvGraphicFramePr/>
                      <a:graphic xmlns:a="http://schemas.openxmlformats.org/drawingml/2006/main">
                        <a:graphicData uri="http://schemas.microsoft.com/office/word/2010/wordprocessingShape">
                          <wps:wsp>
                            <wps:cNvCnPr/>
                            <wps:spPr>
                              <a:xfrm flipH="1">
                                <a:off x="0" y="0"/>
                                <a:ext cx="635" cy="150495"/>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166" o:spid="_x0000_s1026" o:spt="20" style="position:absolute;left:0pt;flip:x;margin-left:321.05pt;margin-top:191.95pt;height:11.85pt;width:0.05pt;z-index:251685888;mso-width-relative:page;mso-height-relative:page;" filled="f" stroked="t" coordsize="21600,21600" o:gfxdata="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4rYKDYAAAACwEAAA8AAAAAAAAAAQAgAAAAIgAAAGRycy9kb3ducmV2Lnht&#10;bFBLAQIUABQAAAAIAIdO4kBRGloG+QEAAOsDAAAOAAAAAAAAAAEAIAAAACcBAABkcnMvZTJvRG9j&#10;LnhtbFBLBQYAAAAABgAGAFkBAACSBQAAAAA=&#10;">
                      <v:fill on="f" focussize="0,0"/>
                      <v:stroke weight="1.5pt" color="#000000" joinstyle="round" endarrow="open"/>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3533775</wp:posOffset>
                      </wp:positionH>
                      <wp:positionV relativeFrom="paragraph">
                        <wp:posOffset>2432685</wp:posOffset>
                      </wp:positionV>
                      <wp:extent cx="635" cy="150495"/>
                      <wp:effectExtent l="53340" t="0" r="60325" b="1905"/>
                      <wp:wrapNone/>
                      <wp:docPr id="29" name="直线 168"/>
                      <wp:cNvGraphicFramePr/>
                      <a:graphic xmlns:a="http://schemas.openxmlformats.org/drawingml/2006/main">
                        <a:graphicData uri="http://schemas.microsoft.com/office/word/2010/wordprocessingShape">
                          <wps:wsp>
                            <wps:cNvCnPr/>
                            <wps:spPr>
                              <a:xfrm flipH="1">
                                <a:off x="0" y="0"/>
                                <a:ext cx="635" cy="150495"/>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168" o:spid="_x0000_s1026" o:spt="20" style="position:absolute;left:0pt;flip:x;margin-left:278.25pt;margin-top:191.55pt;height:11.85pt;width:0.05pt;z-index:251687936;mso-width-relative:page;mso-height-relative:page;" filled="f" stroked="t" coordsize="21600,21600" o:gfxdata="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4/x97YAAAACwEAAA8AAAAAAAAAAQAgAAAAIgAAAGRycy9kb3ducmV2Lnht&#10;bFBLAQIUABQAAAAIAIdO4kCInKn4+QEAAOsDAAAOAAAAAAAAAAEAIAAAACcBAABkcnMvZTJvRG9j&#10;LnhtbFBLBQYAAAAABgAGAFkBAACSBQAAAAA=&#10;">
                      <v:fill on="f" focussize="0,0"/>
                      <v:stroke weight="1.5pt" color="#000000" joinstyle="round" endarrow="open"/>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2961005</wp:posOffset>
                      </wp:positionH>
                      <wp:positionV relativeFrom="paragraph">
                        <wp:posOffset>2439670</wp:posOffset>
                      </wp:positionV>
                      <wp:extent cx="635" cy="150495"/>
                      <wp:effectExtent l="53340" t="0" r="60325" b="1905"/>
                      <wp:wrapNone/>
                      <wp:docPr id="28" name="直线 167"/>
                      <wp:cNvGraphicFramePr/>
                      <a:graphic xmlns:a="http://schemas.openxmlformats.org/drawingml/2006/main">
                        <a:graphicData uri="http://schemas.microsoft.com/office/word/2010/wordprocessingShape">
                          <wps:wsp>
                            <wps:cNvCnPr/>
                            <wps:spPr>
                              <a:xfrm flipH="1">
                                <a:off x="0" y="0"/>
                                <a:ext cx="635" cy="150495"/>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167" o:spid="_x0000_s1026" o:spt="20" style="position:absolute;left:0pt;flip:x;margin-left:233.15pt;margin-top:192.1pt;height:11.85pt;width:0.05pt;z-index:251686912;mso-width-relative:page;mso-height-relative:page;" filled="f" stroked="t" coordsize="21600,21600" o:gfxdata="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M0GHvYAAAACwEAAA8AAAAAAAAAAQAgAAAAIgAAAGRycy9kb3ducmV2Lnht&#10;bFBLAQIUABQAAAAIAIdO4kAIzQvK+QEAAOsDAAAOAAAAAAAAAAEAIAAAACcBAABkcnMvZTJvRG9j&#10;LnhtbFBLBQYAAAAABgAGAFkBAACSBQAAAAA=&#10;">
                      <v:fill on="f" focussize="0,0"/>
                      <v:stroke weight="1.5pt" color="#000000" joinstyle="round" endarrow="open"/>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2433320</wp:posOffset>
                      </wp:positionH>
                      <wp:positionV relativeFrom="paragraph">
                        <wp:posOffset>2428240</wp:posOffset>
                      </wp:positionV>
                      <wp:extent cx="635" cy="150495"/>
                      <wp:effectExtent l="53340" t="0" r="60325" b="1905"/>
                      <wp:wrapNone/>
                      <wp:docPr id="26" name="直线 165"/>
                      <wp:cNvGraphicFramePr/>
                      <a:graphic xmlns:a="http://schemas.openxmlformats.org/drawingml/2006/main">
                        <a:graphicData uri="http://schemas.microsoft.com/office/word/2010/wordprocessingShape">
                          <wps:wsp>
                            <wps:cNvCnPr/>
                            <wps:spPr>
                              <a:xfrm flipH="1">
                                <a:off x="0" y="0"/>
                                <a:ext cx="635" cy="150495"/>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165" o:spid="_x0000_s1026" o:spt="20" style="position:absolute;left:0pt;flip:x;margin-left:191.6pt;margin-top:191.2pt;height:11.85pt;width:0.05pt;z-index:251684864;mso-width-relative:page;mso-height-relative:page;" filled="f" stroked="t" coordsize="21600,21600" o:gfxdata="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PmjpY1wAAAAsBAAAPAAAAAAAAAAEAIAAAACIAAABkcnMvZG93bnJldi54&#10;bWxQSwECFAAUAAAACACHTuJA6jP7pvsBAADrAwAADgAAAAAAAAABACAAAAAmAQAAZHJzL2Uyb0Rv&#10;Yy54bWxQSwUGAAAAAAYABgBZAQAAkwUAAAAA&#10;">
                      <v:fill on="f" focussize="0,0"/>
                      <v:stroke weight="1.5pt" color="#000000" joinstyle="round" endarrow="open"/>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1924050</wp:posOffset>
                      </wp:positionH>
                      <wp:positionV relativeFrom="paragraph">
                        <wp:posOffset>2449830</wp:posOffset>
                      </wp:positionV>
                      <wp:extent cx="635" cy="150495"/>
                      <wp:effectExtent l="53340" t="0" r="60325" b="1905"/>
                      <wp:wrapNone/>
                      <wp:docPr id="23" name="直线 161"/>
                      <wp:cNvGraphicFramePr/>
                      <a:graphic xmlns:a="http://schemas.openxmlformats.org/drawingml/2006/main">
                        <a:graphicData uri="http://schemas.microsoft.com/office/word/2010/wordprocessingShape">
                          <wps:wsp>
                            <wps:cNvCnPr/>
                            <wps:spPr>
                              <a:xfrm flipH="1">
                                <a:off x="0" y="0"/>
                                <a:ext cx="635" cy="150495"/>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161" o:spid="_x0000_s1026" o:spt="20" style="position:absolute;left:0pt;flip:x;margin-left:151.5pt;margin-top:192.9pt;height:11.85pt;width:0.05pt;z-index:251681792;mso-width-relative:page;mso-height-relative:page;" filled="f" stroked="t" coordsize="21600,21600" o:gfxdata="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3VIQm9gAAAALAQAADwAAAAAAAAABACAAAAAiAAAAZHJzL2Rvd25yZXYueG1s&#10;UEsBAhQAFAAAAAgAh07iQBIFVLX4AQAA6wMAAA4AAAAAAAAAAQAgAAAAJwEAAGRycy9lMm9Eb2Mu&#10;eG1sUEsFBgAAAAAGAAYAWQEAAJEFAAAAAA==&#10;">
                      <v:fill on="f" focussize="0,0"/>
                      <v:stroke weight="1.5pt" color="#000000" joinstyle="round" endarrow="open"/>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1411605</wp:posOffset>
                      </wp:positionH>
                      <wp:positionV relativeFrom="paragraph">
                        <wp:posOffset>2586355</wp:posOffset>
                      </wp:positionV>
                      <wp:extent cx="508635" cy="635"/>
                      <wp:effectExtent l="0" t="0" r="0" b="0"/>
                      <wp:wrapNone/>
                      <wp:docPr id="24" name="直线 163"/>
                      <wp:cNvGraphicFramePr/>
                      <a:graphic xmlns:a="http://schemas.openxmlformats.org/drawingml/2006/main">
                        <a:graphicData uri="http://schemas.microsoft.com/office/word/2010/wordprocessingShape">
                          <wps:wsp>
                            <wps:cNvCnPr/>
                            <wps:spPr>
                              <a:xfrm>
                                <a:off x="3379470" y="5961380"/>
                                <a:ext cx="508635" cy="63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163" o:spid="_x0000_s1026" o:spt="20" style="position:absolute;left:0pt;margin-left:111.15pt;margin-top:203.65pt;height:0.05pt;width:40.05pt;z-index:251682816;mso-width-relative:page;mso-height-relative:page;" filled="f" stroked="t" coordsize="21600,21600" o:gfxdata="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wEXd7ZAAAACwEAAA8AAAAAAAAAAQAgAAAAIgAAAGRycy9kb3ducmV2Lnht&#10;bFBLAQIUABQAAAAIAIdO4kDhIZYQ+AEAAOwDAAAOAAAAAAAAAAEAIAAAACgBAABkcnMvZTJvRG9j&#10;LnhtbFBLBQYAAAAABgAGAFkBAACSBQAAAAA=&#10;">
                      <v:fill on="f" focussize="0,0"/>
                      <v:stroke weight="1pt" color="#000000" joinstyle="round"/>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1406525</wp:posOffset>
                      </wp:positionH>
                      <wp:positionV relativeFrom="paragraph">
                        <wp:posOffset>2440940</wp:posOffset>
                      </wp:positionV>
                      <wp:extent cx="635" cy="150495"/>
                      <wp:effectExtent l="53340" t="0" r="60325" b="1905"/>
                      <wp:wrapNone/>
                      <wp:docPr id="22" name="直线 160"/>
                      <wp:cNvGraphicFramePr/>
                      <a:graphic xmlns:a="http://schemas.openxmlformats.org/drawingml/2006/main">
                        <a:graphicData uri="http://schemas.microsoft.com/office/word/2010/wordprocessingShape">
                          <wps:wsp>
                            <wps:cNvCnPr/>
                            <wps:spPr>
                              <a:xfrm flipH="1">
                                <a:off x="0" y="0"/>
                                <a:ext cx="635" cy="150495"/>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160" o:spid="_x0000_s1026" o:spt="20" style="position:absolute;left:0pt;flip:x;margin-left:110.75pt;margin-top:192.2pt;height:11.85pt;width:0.05pt;z-index:251680768;mso-width-relative:page;mso-height-relative:page;" filled="f" stroked="t" coordsize="21600,21600" o:gfxdata="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8eFeHXAAAACwEAAA8AAAAAAAAAAQAgAAAAIgAAAGRycy9kb3ducmV2LnhtbFBL&#10;AQIUABQAAAAIAIdO4kB9xLLA9wEAAOsDAAAOAAAAAAAAAAEAIAAAACYBAABkcnMvZTJvRG9jLnht&#10;bFBLBQYAAAAABgAGAFkBAACPBQAAAAA=&#10;">
                      <v:fill on="f" focussize="0,0"/>
                      <v:stroke weight="1.5pt" color="#000000" joinstyle="round" endarrow="open"/>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4599940</wp:posOffset>
                      </wp:positionH>
                      <wp:positionV relativeFrom="paragraph">
                        <wp:posOffset>1659255</wp:posOffset>
                      </wp:positionV>
                      <wp:extent cx="635" cy="142875"/>
                      <wp:effectExtent l="53975" t="0" r="59690" b="9525"/>
                      <wp:wrapNone/>
                      <wp:docPr id="21" name="直线 159"/>
                      <wp:cNvGraphicFramePr/>
                      <a:graphic xmlns:a="http://schemas.openxmlformats.org/drawingml/2006/main">
                        <a:graphicData uri="http://schemas.microsoft.com/office/word/2010/wordprocessingShape">
                          <wps:wsp>
                            <wps:cNvCnPr/>
                            <wps:spPr>
                              <a:xfrm>
                                <a:off x="0" y="0"/>
                                <a:ext cx="635" cy="142875"/>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159" o:spid="_x0000_s1026" o:spt="20" style="position:absolute;left:0pt;margin-left:362.2pt;margin-top:130.65pt;height:11.25pt;width:0.05pt;z-index:251679744;mso-width-relative:page;mso-height-relative:page;" filled="f" stroked="t" coordsize="21600,21600" o:gfxdata="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zwOXq2AAAAAsBAAAPAAAAAAAAAAEAIAAAACIAAABkcnMvZG93bnJldi54bWxQSwECFAAU&#10;AAAACACHTuJAwntE/fEBAADhAwAADgAAAAAAAAABACAAAAAnAQAAZHJzL2Uyb0RvYy54bWxQSwUG&#10;AAAAAAYABgBZAQAAigUAAAAA&#10;">
                      <v:fill on="f" focussize="0,0"/>
                      <v:stroke weight="1.5pt" color="#000000" joinstyle="round" endarrow="open"/>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4057650</wp:posOffset>
                      </wp:positionH>
                      <wp:positionV relativeFrom="paragraph">
                        <wp:posOffset>1673225</wp:posOffset>
                      </wp:positionV>
                      <wp:extent cx="635" cy="142875"/>
                      <wp:effectExtent l="53975" t="0" r="59690" b="9525"/>
                      <wp:wrapNone/>
                      <wp:docPr id="20" name="直线 158"/>
                      <wp:cNvGraphicFramePr/>
                      <a:graphic xmlns:a="http://schemas.openxmlformats.org/drawingml/2006/main">
                        <a:graphicData uri="http://schemas.microsoft.com/office/word/2010/wordprocessingShape">
                          <wps:wsp>
                            <wps:cNvCnPr/>
                            <wps:spPr>
                              <a:xfrm>
                                <a:off x="0" y="0"/>
                                <a:ext cx="635" cy="142875"/>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158" o:spid="_x0000_s1026" o:spt="20" style="position:absolute;left:0pt;margin-left:319.5pt;margin-top:131.75pt;height:11.25pt;width:0.05pt;z-index:251678720;mso-width-relative:page;mso-height-relative:page;" filled="f" stroked="t" coordsize="21600,21600" o:gfxdata="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jtPxbtcAAAALAQAADwAAAAAAAAABACAAAAAiAAAAZHJzL2Rvd25yZXYueG1sUEsBAhQAFAAA&#10;AAgAh07iQNxmXIjwAQAA4QMAAA4AAAAAAAAAAQAgAAAAJgEAAGRycy9lMm9Eb2MueG1sUEsFBgAA&#10;AAAGAAYAWQEAAIgFAAAAAA==&#10;">
                      <v:fill on="f" focussize="0,0"/>
                      <v:stroke weight="1.5pt" color="#000000" joinstyle="round" endarrow="open"/>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3516630</wp:posOffset>
                      </wp:positionH>
                      <wp:positionV relativeFrom="paragraph">
                        <wp:posOffset>1671955</wp:posOffset>
                      </wp:positionV>
                      <wp:extent cx="635" cy="142875"/>
                      <wp:effectExtent l="53975" t="0" r="59690" b="9525"/>
                      <wp:wrapNone/>
                      <wp:docPr id="19" name="直线 157"/>
                      <wp:cNvGraphicFramePr/>
                      <a:graphic xmlns:a="http://schemas.openxmlformats.org/drawingml/2006/main">
                        <a:graphicData uri="http://schemas.microsoft.com/office/word/2010/wordprocessingShape">
                          <wps:wsp>
                            <wps:cNvCnPr/>
                            <wps:spPr>
                              <a:xfrm>
                                <a:off x="0" y="0"/>
                                <a:ext cx="635" cy="142875"/>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157" o:spid="_x0000_s1026" o:spt="20" style="position:absolute;left:0pt;margin-left:276.9pt;margin-top:131.65pt;height:11.25pt;width:0.05pt;z-index:251677696;mso-width-relative:page;mso-height-relative:page;" filled="f" stroked="t" coordsize="21600,21600" o:gfxdata="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hp1mI9cAAAALAQAADwAAAAAAAAABACAAAAAiAAAAZHJzL2Rvd25yZXYueG1sUEsBAhQAFAAA&#10;AAgAh07iQIYjB0nwAQAA4QMAAA4AAAAAAAAAAQAgAAAAJgEAAGRycy9lMm9Eb2MueG1sUEsFBgAA&#10;AAAGAAYAWQEAAIgFAAAAAA==&#10;">
                      <v:fill on="f" focussize="0,0"/>
                      <v:stroke weight="1.5pt" color="#000000" joinstyle="round" endarrow="open"/>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2967355</wp:posOffset>
                      </wp:positionH>
                      <wp:positionV relativeFrom="paragraph">
                        <wp:posOffset>1670685</wp:posOffset>
                      </wp:positionV>
                      <wp:extent cx="635" cy="142875"/>
                      <wp:effectExtent l="53975" t="0" r="59690" b="9525"/>
                      <wp:wrapNone/>
                      <wp:docPr id="18" name="直线 156"/>
                      <wp:cNvGraphicFramePr/>
                      <a:graphic xmlns:a="http://schemas.openxmlformats.org/drawingml/2006/main">
                        <a:graphicData uri="http://schemas.microsoft.com/office/word/2010/wordprocessingShape">
                          <wps:wsp>
                            <wps:cNvCnPr/>
                            <wps:spPr>
                              <a:xfrm>
                                <a:off x="0" y="0"/>
                                <a:ext cx="635" cy="142875"/>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156" o:spid="_x0000_s1026" o:spt="20" style="position:absolute;left:0pt;margin-left:233.65pt;margin-top:131.55pt;height:11.25pt;width:0.05pt;z-index:251676672;mso-width-relative:page;mso-height-relative:page;" filled="f" stroked="t" coordsize="21600,21600" o:gfxdata="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6CEBdcAAAALAQAADwAAAAAAAAABACAAAAAiAAAAZHJzL2Rvd25yZXYueG1sUEsBAhQAFAAA&#10;AAgAh07iQJg+HzzwAQAA4QMAAA4AAAAAAAAAAQAgAAAAJgEAAGRycy9lMm9Eb2MueG1sUEsFBgAA&#10;AAAGAAYAWQEAAIgFAAAAAA==&#10;">
                      <v:fill on="f" focussize="0,0"/>
                      <v:stroke weight="1.5pt" color="#000000" joinstyle="round" endarrow="open"/>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2458085</wp:posOffset>
                      </wp:positionH>
                      <wp:positionV relativeFrom="paragraph">
                        <wp:posOffset>1677035</wp:posOffset>
                      </wp:positionV>
                      <wp:extent cx="635" cy="142875"/>
                      <wp:effectExtent l="53975" t="0" r="59690" b="9525"/>
                      <wp:wrapNone/>
                      <wp:docPr id="17" name="直线 155"/>
                      <wp:cNvGraphicFramePr/>
                      <a:graphic xmlns:a="http://schemas.openxmlformats.org/drawingml/2006/main">
                        <a:graphicData uri="http://schemas.microsoft.com/office/word/2010/wordprocessingShape">
                          <wps:wsp>
                            <wps:cNvCnPr/>
                            <wps:spPr>
                              <a:xfrm>
                                <a:off x="0" y="0"/>
                                <a:ext cx="635" cy="142875"/>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155" o:spid="_x0000_s1026" o:spt="20" style="position:absolute;left:0pt;margin-left:193.55pt;margin-top:132.05pt;height:11.25pt;width:0.05pt;z-index:251675648;mso-width-relative:page;mso-height-relative:page;" filled="f" stroked="t" coordsize="21600,21600" o:gfxdata="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4SzpftcAAAALAQAADwAAAAAAAAABACAAAAAiAAAAZHJzL2Rvd25yZXYueG1sUEsBAhQA&#10;FAAAAAgAh07iQAPORYnzAQAA4QMAAA4AAAAAAAAAAQAgAAAAJgEAAGRycy9lMm9Eb2MueG1sUEsF&#10;BgAAAAAGAAYAWQEAAIsFAAAAAA==&#10;">
                      <v:fill on="f" focussize="0,0"/>
                      <v:stroke weight="1.5pt" color="#000000" joinstyle="round" endarrow="open"/>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1926590</wp:posOffset>
                      </wp:positionH>
                      <wp:positionV relativeFrom="paragraph">
                        <wp:posOffset>1676400</wp:posOffset>
                      </wp:positionV>
                      <wp:extent cx="635" cy="142875"/>
                      <wp:effectExtent l="53975" t="0" r="59690" b="9525"/>
                      <wp:wrapNone/>
                      <wp:docPr id="16" name="直线 154"/>
                      <wp:cNvGraphicFramePr/>
                      <a:graphic xmlns:a="http://schemas.openxmlformats.org/drawingml/2006/main">
                        <a:graphicData uri="http://schemas.microsoft.com/office/word/2010/wordprocessingShape">
                          <wps:wsp>
                            <wps:cNvCnPr/>
                            <wps:spPr>
                              <a:xfrm>
                                <a:off x="0" y="0"/>
                                <a:ext cx="635" cy="142875"/>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154" o:spid="_x0000_s1026" o:spt="20" style="position:absolute;left:0pt;margin-left:151.7pt;margin-top:132pt;height:11.25pt;width:0.05pt;z-index:251674624;mso-width-relative:page;mso-height-relative:page;" filled="f" stroked="t" coordsize="21600,21600" o:gfxdata="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PoqrJdYAAAALAQAADwAAAAAAAAABACAAAAAiAAAAZHJzL2Rvd25yZXYueG1sUEsBAhQAFAAA&#10;AAgAh07iQB3TXfzxAQAA4QMAAA4AAAAAAAAAAQAgAAAAJQEAAGRycy9lMm9Eb2MueG1sUEsFBgAA&#10;AAAGAAYAWQEAAIgFAAAAAA==&#10;">
                      <v:fill on="f" focussize="0,0"/>
                      <v:stroke weight="1.5pt" color="#000000" joinstyle="round" endarrow="open"/>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1419225</wp:posOffset>
                      </wp:positionH>
                      <wp:positionV relativeFrom="paragraph">
                        <wp:posOffset>1676400</wp:posOffset>
                      </wp:positionV>
                      <wp:extent cx="635" cy="142875"/>
                      <wp:effectExtent l="53975" t="0" r="59690" b="9525"/>
                      <wp:wrapNone/>
                      <wp:docPr id="15" name="直线 153"/>
                      <wp:cNvGraphicFramePr/>
                      <a:graphic xmlns:a="http://schemas.openxmlformats.org/drawingml/2006/main">
                        <a:graphicData uri="http://schemas.microsoft.com/office/word/2010/wordprocessingShape">
                          <wps:wsp>
                            <wps:cNvCnPr/>
                            <wps:spPr>
                              <a:xfrm>
                                <a:off x="0" y="0"/>
                                <a:ext cx="635" cy="142875"/>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153" o:spid="_x0000_s1026" o:spt="20" style="position:absolute;left:0pt;margin-left:111.75pt;margin-top:132pt;height:11.25pt;width:0.05pt;z-index:251673600;mso-width-relative:page;mso-height-relative:page;" filled="f" stroked="t" coordsize="21600,21600" o:gfxdata="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4M6h2tcAAAALAQAADwAAAAAAAAABACAAAAAiAAAAZHJzL2Rvd25yZXYueG1sUEsBAhQAFAAA&#10;AAgAh07iQJE0tXXwAQAA4QMAAA4AAAAAAAAAAQAgAAAAJgEAAGRycy9lMm9Eb2MueG1sUEsFBgAA&#10;AAAGAAYAWQEAAIgFAAAAAA==&#10;">
                      <v:fill on="f" focussize="0,0"/>
                      <v:stroke weight="1.5pt" color="#000000" joinstyle="round" endarrow="open"/>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886460</wp:posOffset>
                      </wp:positionH>
                      <wp:positionV relativeFrom="paragraph">
                        <wp:posOffset>1677035</wp:posOffset>
                      </wp:positionV>
                      <wp:extent cx="635" cy="142875"/>
                      <wp:effectExtent l="53975" t="0" r="59690" b="9525"/>
                      <wp:wrapNone/>
                      <wp:docPr id="14" name="直线 152"/>
                      <wp:cNvGraphicFramePr/>
                      <a:graphic xmlns:a="http://schemas.openxmlformats.org/drawingml/2006/main">
                        <a:graphicData uri="http://schemas.microsoft.com/office/word/2010/wordprocessingShape">
                          <wps:wsp>
                            <wps:cNvCnPr/>
                            <wps:spPr>
                              <a:xfrm>
                                <a:off x="0" y="0"/>
                                <a:ext cx="635" cy="142875"/>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152" o:spid="_x0000_s1026" o:spt="20" style="position:absolute;left:0pt;margin-left:69.8pt;margin-top:132.05pt;height:11.25pt;width:0.05pt;z-index:251672576;mso-width-relative:page;mso-height-relative:page;" filled="f" stroked="t" coordsize="21600,21600" o:gfxdata="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d5g2fXAAAACwEAAA8AAAAAAAAAAQAgAAAAIgAAAGRycy9kb3ducmV2LnhtbFBLAQIUABQA&#10;AAAIAIdO4kCPKa0A8QEAAOEDAAAOAAAAAAAAAAEAIAAAACYBAABkcnMvZTJvRG9jLnhtbFBLBQYA&#10;AAAABgAGAFkBAACJBQAAAAA=&#10;">
                      <v:fill on="f" focussize="0,0"/>
                      <v:stroke weight="1.5pt" color="#000000" joinstyle="round" endarrow="open"/>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394970</wp:posOffset>
                      </wp:positionH>
                      <wp:positionV relativeFrom="paragraph">
                        <wp:posOffset>1668145</wp:posOffset>
                      </wp:positionV>
                      <wp:extent cx="635" cy="142875"/>
                      <wp:effectExtent l="53975" t="0" r="59690" b="9525"/>
                      <wp:wrapNone/>
                      <wp:docPr id="13" name="直线 151"/>
                      <wp:cNvGraphicFramePr/>
                      <a:graphic xmlns:a="http://schemas.openxmlformats.org/drawingml/2006/main">
                        <a:graphicData uri="http://schemas.microsoft.com/office/word/2010/wordprocessingShape">
                          <wps:wsp>
                            <wps:cNvCnPr/>
                            <wps:spPr>
                              <a:xfrm>
                                <a:off x="0" y="0"/>
                                <a:ext cx="635" cy="142875"/>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151" o:spid="_x0000_s1026" o:spt="20" style="position:absolute;left:0pt;margin-left:31.1pt;margin-top:131.35pt;height:11.25pt;width:0.05pt;z-index:251671552;mso-width-relative:page;mso-height-relative:page;" filled="f" stroked="t" coordsize="21600,21600" o:gfxdata="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NymjzvVAAAACQEAAA8AAAAAAAAAAQAgAAAAIgAAAGRycy9kb3ducmV2LnhtbFBLAQIUABQAAAAI&#10;AIdO4kA6vFSG8AEAAOEDAAAOAAAAAAAAAAEAIAAAACQBAABkcnMvZTJvRG9jLnhtbFBLBQYAAAAA&#10;BgAGAFkBAACGBQAAAAA=&#10;">
                      <v:fill on="f" focussize="0,0"/>
                      <v:stroke weight="1.5pt" color="#000000" joinstyle="round" endarrow="open"/>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387985</wp:posOffset>
                      </wp:positionH>
                      <wp:positionV relativeFrom="paragraph">
                        <wp:posOffset>1665605</wp:posOffset>
                      </wp:positionV>
                      <wp:extent cx="4222750" cy="635"/>
                      <wp:effectExtent l="0" t="0" r="0" b="0"/>
                      <wp:wrapNone/>
                      <wp:docPr id="12" name="直线 150"/>
                      <wp:cNvGraphicFramePr/>
                      <a:graphic xmlns:a="http://schemas.openxmlformats.org/drawingml/2006/main">
                        <a:graphicData uri="http://schemas.microsoft.com/office/word/2010/wordprocessingShape">
                          <wps:wsp>
                            <wps:cNvCnPr/>
                            <wps:spPr>
                              <a:xfrm>
                                <a:off x="1839595" y="3802380"/>
                                <a:ext cx="4222750" cy="63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150" o:spid="_x0000_s1026" o:spt="20" style="position:absolute;left:0pt;margin-left:30.55pt;margin-top:131.15pt;height:0.05pt;width:332.5pt;z-index:251670528;mso-width-relative:page;mso-height-relative:page;" filled="f" stroked="t" coordsize="21600,21600" o:gfxdata="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DE9/9gAAAAKAQAADwAAAAAAAAABACAAAAAiAAAAZHJzL2Rvd25yZXYueG1sUEsB&#10;AhQAFAAAAAgAh07iQGUmB1H1AQAA7QMAAA4AAAAAAAAAAQAgAAAAJwEAAGRycy9lMm9Eb2MueG1s&#10;UEsFBgAAAAAGAAYAWQEAAI4FAAAAAA==&#10;">
                      <v:fill on="f" focussize="0,0"/>
                      <v:stroke weight="1pt" color="#000000" joinstyle="round"/>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4355465</wp:posOffset>
                      </wp:positionH>
                      <wp:positionV relativeFrom="paragraph">
                        <wp:posOffset>1422400</wp:posOffset>
                      </wp:positionV>
                      <wp:extent cx="7620" cy="238125"/>
                      <wp:effectExtent l="50800" t="0" r="55880" b="9525"/>
                      <wp:wrapNone/>
                      <wp:docPr id="11" name="直线 149"/>
                      <wp:cNvGraphicFramePr/>
                      <a:graphic xmlns:a="http://schemas.openxmlformats.org/drawingml/2006/main">
                        <a:graphicData uri="http://schemas.microsoft.com/office/word/2010/wordprocessingShape">
                          <wps:wsp>
                            <wps:cNvCnPr/>
                            <wps:spPr>
                              <a:xfrm flipH="1">
                                <a:off x="0" y="0"/>
                                <a:ext cx="7620" cy="238125"/>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149" o:spid="_x0000_s1026" o:spt="20" style="position:absolute;left:0pt;flip:x;margin-left:342.95pt;margin-top:112pt;height:18.75pt;width:0.6pt;z-index:251669504;mso-width-relative:page;mso-height-relative:page;" filled="f" stroked="t" coordsize="21600,21600" o:gfxdata="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xeGR0NgAAAALAQAADwAAAAAAAAABACAAAAAiAAAAZHJzL2Rvd25yZXYueG1s&#10;UEsBAhQAFAAAAAgAh07iQBAGAsL4AQAA7AMAAA4AAAAAAAAAAQAgAAAAJwEAAGRycy9lMm9Eb2Mu&#10;eG1sUEsFBgAAAAAGAAYAWQEAAJEFAAAAAA==&#10;">
                      <v:fill on="f" focussize="0,0"/>
                      <v:stroke weight="1.5pt" color="#000000" joinstyle="round" endarrow="open"/>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3797935</wp:posOffset>
                      </wp:positionH>
                      <wp:positionV relativeFrom="paragraph">
                        <wp:posOffset>1412240</wp:posOffset>
                      </wp:positionV>
                      <wp:extent cx="7620" cy="238125"/>
                      <wp:effectExtent l="50800" t="0" r="55880" b="9525"/>
                      <wp:wrapNone/>
                      <wp:docPr id="10" name="直线 148"/>
                      <wp:cNvGraphicFramePr/>
                      <a:graphic xmlns:a="http://schemas.openxmlformats.org/drawingml/2006/main">
                        <a:graphicData uri="http://schemas.microsoft.com/office/word/2010/wordprocessingShape">
                          <wps:wsp>
                            <wps:cNvCnPr/>
                            <wps:spPr>
                              <a:xfrm flipH="1">
                                <a:off x="0" y="0"/>
                                <a:ext cx="7620" cy="238125"/>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148" o:spid="_x0000_s1026" o:spt="20" style="position:absolute;left:0pt;flip:x;margin-left:299.05pt;margin-top:111.2pt;height:18.75pt;width:0.6pt;z-index:251668480;mso-width-relative:page;mso-height-relative:page;" filled="f" stroked="t" coordsize="21600,21600" o:gfxdata="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UPrA5dgAAAALAQAADwAAAAAAAAABACAAAAAiAAAAZHJzL2Rvd25yZXYueG1s&#10;UEsBAhQAFAAAAAgAh07iQBiceh/4AQAA7AMAAA4AAAAAAAAAAQAgAAAAJwEAAGRycy9lMm9Eb2Mu&#10;eG1sUEsFBgAAAAAGAAYAWQEAAJEFAAAAAA==&#10;">
                      <v:fill on="f" focussize="0,0"/>
                      <v:stroke weight="1.5pt" color="#000000" joinstyle="round" endarrow="open"/>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3280410</wp:posOffset>
                      </wp:positionH>
                      <wp:positionV relativeFrom="paragraph">
                        <wp:posOffset>1418590</wp:posOffset>
                      </wp:positionV>
                      <wp:extent cx="7620" cy="238125"/>
                      <wp:effectExtent l="50800" t="0" r="55880" b="9525"/>
                      <wp:wrapNone/>
                      <wp:docPr id="9" name="直线 147"/>
                      <wp:cNvGraphicFramePr/>
                      <a:graphic xmlns:a="http://schemas.openxmlformats.org/drawingml/2006/main">
                        <a:graphicData uri="http://schemas.microsoft.com/office/word/2010/wordprocessingShape">
                          <wps:wsp>
                            <wps:cNvCnPr/>
                            <wps:spPr>
                              <a:xfrm flipH="1">
                                <a:off x="0" y="0"/>
                                <a:ext cx="7620" cy="238125"/>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147" o:spid="_x0000_s1026" o:spt="20" style="position:absolute;left:0pt;flip:x;margin-left:258.3pt;margin-top:111.7pt;height:18.75pt;width:0.6pt;z-index:251667456;mso-width-relative:page;mso-height-relative:page;" filled="f" stroked="t" coordsize="21600,21600" o:gfxdata="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ELuINgAAAALAQAADwAAAAAAAAABACAAAAAiAAAAZHJzL2Rvd25yZXYueG1s&#10;UEsBAhQAFAAAAAgAh07iQHgf+DH4AQAA6wMAAA4AAAAAAAAAAQAgAAAAJwEAAGRycy9lMm9Eb2Mu&#10;eG1sUEsFBgAAAAAGAAYAWQEAAJEFAAAAAA==&#10;">
                      <v:fill on="f" focussize="0,0"/>
                      <v:stroke weight="1.5pt" color="#000000" joinstyle="round" endarrow="open"/>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2763520</wp:posOffset>
                      </wp:positionH>
                      <wp:positionV relativeFrom="paragraph">
                        <wp:posOffset>1424940</wp:posOffset>
                      </wp:positionV>
                      <wp:extent cx="7620" cy="238125"/>
                      <wp:effectExtent l="50800" t="0" r="55880" b="9525"/>
                      <wp:wrapNone/>
                      <wp:docPr id="8" name="直线 146"/>
                      <wp:cNvGraphicFramePr/>
                      <a:graphic xmlns:a="http://schemas.openxmlformats.org/drawingml/2006/main">
                        <a:graphicData uri="http://schemas.microsoft.com/office/word/2010/wordprocessingShape">
                          <wps:wsp>
                            <wps:cNvCnPr/>
                            <wps:spPr>
                              <a:xfrm flipH="1">
                                <a:off x="0" y="0"/>
                                <a:ext cx="7620" cy="238125"/>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146" o:spid="_x0000_s1026" o:spt="20" style="position:absolute;left:0pt;flip:x;margin-left:217.6pt;margin-top:112.2pt;height:18.75pt;width:0.6pt;z-index:251666432;mso-width-relative:page;mso-height-relative:page;" filled="f" stroked="t" coordsize="21600,21600" o:gfxdata="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5uxvJtgAAAALAQAADwAAAAAAAAABACAAAAAiAAAAZHJzL2Rvd25yZXYueG1s&#10;UEsBAhQAFAAAAAgAh07iQHCFgOz4AQAA6wMAAA4AAAAAAAAAAQAgAAAAJwEAAGRycy9lMm9Eb2Mu&#10;eG1sUEsFBgAAAAAGAAYAWQEAAJEFAAAAAA==&#10;">
                      <v:fill on="f" focussize="0,0"/>
                      <v:stroke weight="1.5pt" color="#000000" joinstyle="round" endarrow="open"/>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2237740</wp:posOffset>
                      </wp:positionH>
                      <wp:positionV relativeFrom="paragraph">
                        <wp:posOffset>1423670</wp:posOffset>
                      </wp:positionV>
                      <wp:extent cx="7620" cy="238125"/>
                      <wp:effectExtent l="50800" t="0" r="55880" b="9525"/>
                      <wp:wrapNone/>
                      <wp:docPr id="7" name="直线 145"/>
                      <wp:cNvGraphicFramePr/>
                      <a:graphic xmlns:a="http://schemas.openxmlformats.org/drawingml/2006/main">
                        <a:graphicData uri="http://schemas.microsoft.com/office/word/2010/wordprocessingShape">
                          <wps:wsp>
                            <wps:cNvCnPr/>
                            <wps:spPr>
                              <a:xfrm flipH="1">
                                <a:off x="0" y="0"/>
                                <a:ext cx="7620" cy="238125"/>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145" o:spid="_x0000_s1026" o:spt="20" style="position:absolute;left:0pt;flip:x;margin-left:176.2pt;margin-top:112.1pt;height:18.75pt;width:0.6pt;z-index:251665408;mso-width-relative:page;mso-height-relative:page;" filled="f" stroked="t" coordsize="21600,21600" o:gfxdata="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tczGdkAAAALAQAADwAAAAAAAAABACAAAAAiAAAAZHJzL2Rvd25yZXYu&#10;eG1sUEsBAhQAFAAAAAgAh07iQNJskH/6AQAA6wMAAA4AAAAAAAAAAQAgAAAAKAEAAGRycy9lMm9E&#10;b2MueG1sUEsFBgAAAAAGAAYAWQEAAJQFAAAAAA==&#10;">
                      <v:fill on="f" focussize="0,0"/>
                      <v:stroke weight="1.5pt" color="#000000" joinstyle="round" endarrow="open"/>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672465</wp:posOffset>
                      </wp:positionH>
                      <wp:positionV relativeFrom="paragraph">
                        <wp:posOffset>1414145</wp:posOffset>
                      </wp:positionV>
                      <wp:extent cx="7620" cy="238125"/>
                      <wp:effectExtent l="50800" t="0" r="55880" b="9525"/>
                      <wp:wrapNone/>
                      <wp:docPr id="6" name="直线 144"/>
                      <wp:cNvGraphicFramePr/>
                      <a:graphic xmlns:a="http://schemas.openxmlformats.org/drawingml/2006/main">
                        <a:graphicData uri="http://schemas.microsoft.com/office/word/2010/wordprocessingShape">
                          <wps:wsp>
                            <wps:cNvCnPr/>
                            <wps:spPr>
                              <a:xfrm flipH="1">
                                <a:off x="0" y="0"/>
                                <a:ext cx="7620" cy="238125"/>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144" o:spid="_x0000_s1026" o:spt="20" style="position:absolute;left:0pt;flip:x;margin-left:52.95pt;margin-top:111.35pt;height:18.75pt;width:0.6pt;z-index:251664384;mso-width-relative:page;mso-height-relative:page;" filled="f" stroked="t" coordsize="21600,21600" o:gfxdata="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1HX9s1gAAAAsBAAAPAAAAAAAAAAEAIAAAACIAAABkcnMvZG93bnJldi54bWxQ&#10;SwECFAAUAAAACACHTuJA2vboovkBAADrAwAADgAAAAAAAAABACAAAAAlAQAAZHJzL2Uyb0RvYy54&#10;bWxQSwUGAAAAAAYABgBZAQAAkAUAAAAA&#10;">
                      <v:fill on="f" focussize="0,0"/>
                      <v:stroke weight="1.5pt" color="#000000" joinstyle="round" endarrow="open"/>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3825240</wp:posOffset>
                      </wp:positionH>
                      <wp:positionV relativeFrom="paragraph">
                        <wp:posOffset>662305</wp:posOffset>
                      </wp:positionV>
                      <wp:extent cx="635" cy="142875"/>
                      <wp:effectExtent l="53975" t="0" r="59690" b="9525"/>
                      <wp:wrapNone/>
                      <wp:docPr id="5" name="直线 143"/>
                      <wp:cNvGraphicFramePr/>
                      <a:graphic xmlns:a="http://schemas.openxmlformats.org/drawingml/2006/main">
                        <a:graphicData uri="http://schemas.microsoft.com/office/word/2010/wordprocessingShape">
                          <wps:wsp>
                            <wps:cNvCnPr/>
                            <wps:spPr>
                              <a:xfrm>
                                <a:off x="0" y="0"/>
                                <a:ext cx="635" cy="142875"/>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143" o:spid="_x0000_s1026" o:spt="20" style="position:absolute;left:0pt;margin-left:301.2pt;margin-top:52.15pt;height:11.25pt;width:0.05pt;z-index:251663360;mso-width-relative:page;mso-height-relative:page;" filled="f" stroked="t" coordsize="21600,21600" o:gfxdata="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dD/kG1gAAAAsBAAAPAAAAAAAAAAEAIAAAACIAAABkcnMvZG93bnJldi54bWxQSwECFAAUAAAA&#10;CACHTuJAkun6uPABAADgAwAADgAAAAAAAAABACAAAAAlAQAAZHJzL2Uyb0RvYy54bWxQSwUGAAAA&#10;AAYABgBZAQAAhwUAAAAA&#10;">
                      <v:fill on="f" focussize="0,0"/>
                      <v:stroke weight="1.5pt" color="#000000" joinstyle="round" endarrow="open"/>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3283585</wp:posOffset>
                      </wp:positionH>
                      <wp:positionV relativeFrom="paragraph">
                        <wp:posOffset>676275</wp:posOffset>
                      </wp:positionV>
                      <wp:extent cx="635" cy="142875"/>
                      <wp:effectExtent l="53975" t="0" r="59690" b="9525"/>
                      <wp:wrapNone/>
                      <wp:docPr id="4" name="直线 142"/>
                      <wp:cNvGraphicFramePr/>
                      <a:graphic xmlns:a="http://schemas.openxmlformats.org/drawingml/2006/main">
                        <a:graphicData uri="http://schemas.microsoft.com/office/word/2010/wordprocessingShape">
                          <wps:wsp>
                            <wps:cNvCnPr/>
                            <wps:spPr>
                              <a:xfrm>
                                <a:off x="0" y="0"/>
                                <a:ext cx="635" cy="142875"/>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142" o:spid="_x0000_s1026" o:spt="20" style="position:absolute;left:0pt;margin-left:258.55pt;margin-top:53.25pt;height:11.25pt;width:0.05pt;z-index:251662336;mso-width-relative:page;mso-height-relative:page;" filled="f" stroked="t" coordsize="21600,21600" o:gfxdata="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c7FyPWAAAACwEAAA8AAAAAAAAAAQAgAAAAIgAAAGRycy9kb3ducmV2LnhtbFBLAQIUABQAAAAI&#10;AIdO4kCM9OLN7wEAAOADAAAOAAAAAAAAAAEAIAAAACUBAABkcnMvZTJvRG9jLnhtbFBLBQYAAAAA&#10;BgAGAFkBAACGBQAAAAA=&#10;">
                      <v:fill on="f" focussize="0,0"/>
                      <v:stroke weight="1.5pt" color="#000000" joinstyle="round" endarrow="open"/>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2766060</wp:posOffset>
                      </wp:positionH>
                      <wp:positionV relativeFrom="paragraph">
                        <wp:posOffset>659130</wp:posOffset>
                      </wp:positionV>
                      <wp:extent cx="635" cy="142875"/>
                      <wp:effectExtent l="53975" t="0" r="59690" b="9525"/>
                      <wp:wrapNone/>
                      <wp:docPr id="3" name="直线 141"/>
                      <wp:cNvGraphicFramePr/>
                      <a:graphic xmlns:a="http://schemas.openxmlformats.org/drawingml/2006/main">
                        <a:graphicData uri="http://schemas.microsoft.com/office/word/2010/wordprocessingShape">
                          <wps:wsp>
                            <wps:cNvCnPr/>
                            <wps:spPr>
                              <a:xfrm>
                                <a:off x="0" y="0"/>
                                <a:ext cx="635" cy="142875"/>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141" o:spid="_x0000_s1026" o:spt="20" style="position:absolute;left:0pt;margin-left:217.8pt;margin-top:51.9pt;height:11.25pt;width:0.05pt;z-index:251661312;mso-width-relative:page;mso-height-relative:page;" filled="f" stroked="t" coordsize="21600,21600" o:gfxdata="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GQbC3WAAAACwEAAA8AAAAAAAAAAQAgAAAAIgAAAGRycy9kb3ducmV2LnhtbFBLAQIUABQAAAAI&#10;AIdO4kA5YRtL7wEAAOADAAAOAAAAAAAAAAEAIAAAACUBAABkcnMvZTJvRG9jLnhtbFBLBQYAAAAA&#10;BgAGAFkBAACGBQAAAAA=&#10;">
                      <v:fill on="f" focussize="0,0"/>
                      <v:stroke weight="1.5pt" color="#000000" joinstyle="round" endarrow="open"/>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4415790</wp:posOffset>
                      </wp:positionH>
                      <wp:positionV relativeFrom="paragraph">
                        <wp:posOffset>657225</wp:posOffset>
                      </wp:positionV>
                      <wp:extent cx="635" cy="142875"/>
                      <wp:effectExtent l="53975" t="0" r="59690" b="9525"/>
                      <wp:wrapNone/>
                      <wp:docPr id="2" name="直线 140"/>
                      <wp:cNvGraphicFramePr/>
                      <a:graphic xmlns:a="http://schemas.openxmlformats.org/drawingml/2006/main">
                        <a:graphicData uri="http://schemas.microsoft.com/office/word/2010/wordprocessingShape">
                          <wps:wsp>
                            <wps:cNvCnPr/>
                            <wps:spPr>
                              <a:xfrm>
                                <a:off x="3303905" y="2730500"/>
                                <a:ext cx="635" cy="142875"/>
                              </a:xfrm>
                              <a:prstGeom prst="line">
                                <a:avLst/>
                              </a:prstGeom>
                              <a:ln w="19050" cap="flat" cmpd="sng">
                                <a:solidFill>
                                  <a:srgbClr val="000000"/>
                                </a:solidFill>
                                <a:prstDash val="solid"/>
                                <a:headEnd type="none" w="med" len="med"/>
                                <a:tailEnd type="arrow" w="med" len="med"/>
                              </a:ln>
                            </wps:spPr>
                            <wps:bodyPr upright="1"/>
                          </wps:wsp>
                        </a:graphicData>
                      </a:graphic>
                    </wp:anchor>
                  </w:drawing>
                </mc:Choice>
                <mc:Fallback>
                  <w:pict>
                    <v:line id="直线 140" o:spid="_x0000_s1026" o:spt="20" style="position:absolute;left:0pt;margin-left:347.7pt;margin-top:51.75pt;height:11.25pt;width:0.05pt;z-index:251660288;mso-width-relative:page;mso-height-relative:page;" filled="f" stroked="t" coordsize="21600,21600" o:gfxdata="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ff45XWAAAACwEAAA8AAAAAAAAAAQAgAAAAIgAAAGRycy9kb3ducmV2Lnht&#10;bFBLAQIUABQAAAAIAIdO4kDvZeng+wEAAOwDAAAOAAAAAAAAAAEAIAAAACUBAABkcnMvZTJvRG9j&#10;LnhtbFBLBQYAAAAABgAGAFkBAACSBQAAAAA=&#10;">
                      <v:fill on="f" focussize="0,0"/>
                      <v:stroke weight="1.5pt" color="#000000" joinstyle="round" endarrow="open"/>
                      <v:imagedata o:title=""/>
                      <o:lock v:ext="edit" aspectratio="f"/>
                    </v:line>
                  </w:pict>
                </mc:Fallback>
              </mc:AlternateContent>
            </w:r>
            <w:r>
              <w:rPr>
                <w:rFonts w:hint="default" w:ascii="Times New Roman" w:hAnsi="Times New Roman" w:cs="Times New Roman"/>
                <w:color w:val="000000" w:themeColor="text1"/>
                <w:sz w:val="24"/>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2971165</wp:posOffset>
                      </wp:positionH>
                      <wp:positionV relativeFrom="paragraph">
                        <wp:posOffset>657225</wp:posOffset>
                      </wp:positionV>
                      <wp:extent cx="1444625" cy="635"/>
                      <wp:effectExtent l="0" t="0" r="0" b="0"/>
                      <wp:wrapNone/>
                      <wp:docPr id="1" name="直线 139"/>
                      <wp:cNvGraphicFramePr/>
                      <a:graphic xmlns:a="http://schemas.openxmlformats.org/drawingml/2006/main">
                        <a:graphicData uri="http://schemas.microsoft.com/office/word/2010/wordprocessingShape">
                          <wps:wsp>
                            <wps:cNvCnPr/>
                            <wps:spPr>
                              <a:xfrm>
                                <a:off x="4422775" y="2794000"/>
                                <a:ext cx="1444625" cy="63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139" o:spid="_x0000_s1026" o:spt="20" style="position:absolute;left:0pt;margin-left:233.95pt;margin-top:51.75pt;height:0.05pt;width:113.75pt;z-index:251659264;mso-width-relative:page;mso-height-relative:page;" filled="f" stroked="t" coordsize="21600,21600" o:gfxdata="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yaRY/2gAAAAsBAAAPAAAAAAAAAAEAIAAAACIAAABkcnMvZG93bnJldi54&#10;bWxQSwECFAAUAAAACACHTuJAAObkhPgBAADsAwAADgAAAAAAAAABACAAAAApAQAAZHJzL2Uyb0Rv&#10;Yy54bWxQSwUGAAAAAAYABgBZAQAAkwUAAAAA&#10;">
                      <v:fill on="f" focussize="0,0"/>
                      <v:stroke weight="1pt" color="#000000" joinstyle="round"/>
                      <v:imagedata o:title=""/>
                      <o:lock v:ext="edit" aspectratio="f"/>
                    </v:line>
                  </w:pict>
                </mc:Fallback>
              </mc:AlternateContent>
            </w:r>
          </w:p>
          <w:p w14:paraId="27F46077">
            <w:pPr>
              <w:pStyle w:val="63"/>
              <w:spacing w:line="240" w:lineRule="auto"/>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图2-</w:t>
            </w:r>
            <w:r>
              <w:rPr>
                <w:rFonts w:hint="eastAsia" w:cs="Times New Roman"/>
                <w:color w:val="000000" w:themeColor="text1"/>
                <w:sz w:val="21"/>
                <w:szCs w:val="21"/>
                <w:lang w:val="en-US" w:eastAsia="zh-CN"/>
                <w14:textFill>
                  <w14:solidFill>
                    <w14:schemeClr w14:val="tx1"/>
                  </w14:solidFill>
                </w14:textFill>
              </w:rPr>
              <w:t>7</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  施工工艺及产污环节图</w:t>
            </w:r>
          </w:p>
          <w:p w14:paraId="3823C03B">
            <w:pPr>
              <w:pStyle w:val="49"/>
              <w:spacing w:beforeLines="0" w:afterLines="0" w:line="360" w:lineRule="auto"/>
              <w:ind w:firstLine="480"/>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首先，设置围挡、封闭施工现场，推土机对场地内土地进行清表、平整；施工器具由汽车运输进场地内，进行组装；原材料进场。其次，按设计图纸进行基础开挖，基础浇筑。第三，地上</w:t>
            </w:r>
            <w:r>
              <w:rPr>
                <w:rFonts w:hint="default" w:ascii="Times New Roman" w:hAnsi="Times New Roman" w:cs="Times New Roman"/>
                <w:color w:val="000000" w:themeColor="text1"/>
                <w:sz w:val="24"/>
                <w:szCs w:val="24"/>
                <w:lang w:val="en-US" w:eastAsia="zh-CN"/>
                <w14:textFill>
                  <w14:solidFill>
                    <w14:schemeClr w14:val="tx1"/>
                  </w14:solidFill>
                </w14:textFill>
              </w:rPr>
              <w:t>、地下建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构筑物的施工，道路施工</w:t>
            </w:r>
            <w:r>
              <w:rPr>
                <w:rFonts w:hint="default" w:ascii="Times New Roman" w:hAnsi="Times New Roman" w:cs="Times New Roman"/>
                <w:color w:val="000000" w:themeColor="text1"/>
                <w:sz w:val="24"/>
                <w:szCs w:val="24"/>
                <w:lang w:val="en-US" w:eastAsia="zh-CN"/>
                <w14:textFill>
                  <w14:solidFill>
                    <w14:schemeClr w14:val="tx1"/>
                  </w14:solidFill>
                </w14:textFill>
              </w:rPr>
              <w:t>及</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停车站场施工。第四，内外部装修、水电施工。</w:t>
            </w:r>
            <w:r>
              <w:rPr>
                <w:rFonts w:hint="default" w:ascii="Times New Roman" w:hAnsi="Times New Roman" w:cs="Times New Roman"/>
                <w:color w:val="000000" w:themeColor="text1"/>
                <w:sz w:val="24"/>
                <w:szCs w:val="24"/>
                <w:lang w:val="en-US" w:eastAsia="zh-CN"/>
                <w14:textFill>
                  <w14:solidFill>
                    <w14:schemeClr w14:val="tx1"/>
                  </w14:solidFill>
                </w14:textFill>
              </w:rPr>
              <w:t>第五，进行</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绿化施工</w:t>
            </w:r>
            <w:r>
              <w:rPr>
                <w:rFonts w:hint="default" w:ascii="Times New Roman" w:hAnsi="Times New Roman" w:cs="Times New Roman"/>
                <w:color w:val="000000" w:themeColor="text1"/>
                <w:sz w:val="24"/>
                <w:szCs w:val="24"/>
                <w:lang w:val="en-US" w:eastAsia="zh-CN"/>
                <w14:textFill>
                  <w14:solidFill>
                    <w14:schemeClr w14:val="tx1"/>
                  </w14:solidFill>
                </w14:textFill>
              </w:rPr>
              <w:t>。最后验收交付使用。</w:t>
            </w:r>
          </w:p>
          <w:p w14:paraId="5982D59D">
            <w:pPr>
              <w:pStyle w:val="49"/>
              <w:spacing w:before="24" w:after="24" w:line="360" w:lineRule="auto"/>
              <w:ind w:firstLine="482"/>
              <w:jc w:val="left"/>
              <w:rPr>
                <w:rFonts w:hint="default" w:ascii="Times New Roman" w:hAnsi="Times New Roman" w:cs="Times New Roman"/>
                <w:b/>
                <w:bCs/>
                <w:color w:val="000000" w:themeColor="text1"/>
                <w:sz w:val="24"/>
                <w:szCs w:val="24"/>
                <w:lang w:bidi="ar"/>
                <w14:textFill>
                  <w14:solidFill>
                    <w14:schemeClr w14:val="tx1"/>
                  </w14:solidFill>
                </w14:textFill>
              </w:rPr>
            </w:pPr>
            <w:r>
              <w:rPr>
                <w:rFonts w:hint="default" w:ascii="Times New Roman" w:hAnsi="Times New Roman" w:cs="Times New Roman"/>
                <w:b/>
                <w:bCs/>
                <w:color w:val="000000" w:themeColor="text1"/>
                <w:sz w:val="24"/>
                <w:szCs w:val="24"/>
                <w:lang w:val="en-US" w:eastAsia="zh-CN" w:bidi="ar"/>
                <w14:textFill>
                  <w14:solidFill>
                    <w14:schemeClr w14:val="tx1"/>
                  </w14:solidFill>
                </w14:textFill>
              </w:rPr>
              <w:t>2 建设工期</w:t>
            </w:r>
          </w:p>
          <w:p w14:paraId="5CF8FEC4">
            <w:pPr>
              <w:pStyle w:val="49"/>
              <w:spacing w:beforeLines="0" w:afterLines="0" w:line="360" w:lineRule="auto"/>
              <w:ind w:firstLine="480"/>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eastAsia" w:ascii="Times New Roman" w:cs="Times New Roman"/>
                <w:color w:val="000000" w:themeColor="text1"/>
                <w:sz w:val="24"/>
                <w:szCs w:val="24"/>
                <w:lang w:val="en-US" w:eastAsia="zh-CN"/>
                <w14:textFill>
                  <w14:solidFill>
                    <w14:schemeClr w14:val="tx1"/>
                  </w14:solidFill>
                </w14:textFill>
              </w:rPr>
              <w:t>产业发展部分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拟定总体实施周期为</w:t>
            </w:r>
            <w:r>
              <w:rPr>
                <w:rFonts w:hint="eastAsia" w:ascii="Times New Roman" w:cs="Times New Roman"/>
                <w:color w:val="000000" w:themeColor="text1"/>
                <w:sz w:val="24"/>
                <w:szCs w:val="24"/>
                <w:lang w:val="en-US" w:eastAsia="zh-CN"/>
                <w14:textFill>
                  <w14:solidFill>
                    <w14:schemeClr w14:val="tx1"/>
                  </w14:solidFill>
                </w14:textFill>
              </w:rPr>
              <w:t>29个月</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，其中</w:t>
            </w:r>
            <w:r>
              <w:rPr>
                <w:rFonts w:hint="default" w:ascii="Times New Roman" w:hAnsi="Times New Roman" w:cs="Times New Roman"/>
                <w:color w:val="000000" w:themeColor="text1"/>
                <w:sz w:val="24"/>
                <w:szCs w:val="24"/>
                <w:lang w:val="en-US" w:eastAsia="zh-CN"/>
                <w14:textFill>
                  <w14:solidFill>
                    <w14:schemeClr w14:val="tx1"/>
                  </w14:solidFill>
                </w14:textFill>
              </w:rPr>
              <w:t>前期准备工作9个月，</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建设期</w:t>
            </w:r>
            <w:r>
              <w:rPr>
                <w:rFonts w:hint="eastAsia" w:ascii="Times New Roman" w:cs="Times New Roman"/>
                <w:color w:val="000000" w:themeColor="text1"/>
                <w:sz w:val="24"/>
                <w:szCs w:val="24"/>
                <w:lang w:val="en-US" w:eastAsia="zh-CN"/>
                <w14:textFill>
                  <w14:solidFill>
                    <w14:schemeClr w14:val="tx1"/>
                  </w14:solidFill>
                </w14:textFill>
              </w:rPr>
              <w:t>16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个月，</w:t>
            </w:r>
            <w:r>
              <w:rPr>
                <w:rFonts w:hint="eastAsia" w:ascii="Times New Roman" w:cs="Times New Roman"/>
                <w:color w:val="000000" w:themeColor="text1"/>
                <w:sz w:val="24"/>
                <w:szCs w:val="24"/>
                <w:lang w:val="en-US" w:eastAsia="zh-CN"/>
                <w14:textFill>
                  <w14:solidFill>
                    <w14:schemeClr w14:val="tx1"/>
                  </w14:solidFill>
                </w14:textFill>
              </w:rPr>
              <w:t>冬季暂停施工4个月，</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运营期37年。工程施工进度见表2-</w:t>
            </w:r>
            <w:r>
              <w:rPr>
                <w:rFonts w:hint="eastAsia" w:ascii="Times New Roman"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6A950926">
            <w:pPr>
              <w:pStyle w:val="63"/>
              <w:spacing w:line="240" w:lineRule="auto"/>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表2-</w:t>
            </w:r>
            <w:r>
              <w:rPr>
                <w:rFonts w:hint="eastAsia" w:cs="Times New Roman"/>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  施工时序一览表</w:t>
            </w:r>
          </w:p>
          <w:tbl>
            <w:tblPr>
              <w:tblStyle w:val="65"/>
              <w:tblW w:w="7757"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3072"/>
              <w:gridCol w:w="1722"/>
              <w:gridCol w:w="390"/>
              <w:gridCol w:w="405"/>
              <w:gridCol w:w="440"/>
              <w:gridCol w:w="375"/>
              <w:gridCol w:w="451"/>
              <w:gridCol w:w="451"/>
              <w:gridCol w:w="451"/>
            </w:tblGrid>
            <w:tr w14:paraId="0E0A34C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02" w:hRule="atLeast"/>
                <w:jc w:val="center"/>
              </w:trPr>
              <w:tc>
                <w:tcPr>
                  <w:tcW w:w="3072" w:type="dxa"/>
                  <w:vMerge w:val="restart"/>
                  <w:tcBorders>
                    <w:tl2br w:val="nil"/>
                    <w:tr2bl w:val="nil"/>
                  </w:tcBorders>
                  <w:vAlign w:val="center"/>
                </w:tcPr>
                <w:p w14:paraId="19F2876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工作内容</w:t>
                  </w:r>
                </w:p>
              </w:tc>
              <w:tc>
                <w:tcPr>
                  <w:tcW w:w="1722" w:type="dxa"/>
                  <w:tcBorders>
                    <w:tl2br w:val="nil"/>
                    <w:tr2bl w:val="nil"/>
                  </w:tcBorders>
                  <w:vAlign w:val="center"/>
                </w:tcPr>
                <w:p w14:paraId="20D731D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2024年</w:t>
                  </w:r>
                </w:p>
              </w:tc>
              <w:tc>
                <w:tcPr>
                  <w:tcW w:w="1610" w:type="dxa"/>
                  <w:gridSpan w:val="4"/>
                  <w:tcBorders>
                    <w:tl2br w:val="nil"/>
                    <w:tr2bl w:val="nil"/>
                  </w:tcBorders>
                  <w:vAlign w:val="center"/>
                </w:tcPr>
                <w:p w14:paraId="2C17BA2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2025年</w:t>
                  </w:r>
                </w:p>
              </w:tc>
              <w:tc>
                <w:tcPr>
                  <w:tcW w:w="1353" w:type="dxa"/>
                  <w:gridSpan w:val="3"/>
                  <w:tcBorders>
                    <w:tl2br w:val="nil"/>
                    <w:tr2bl w:val="nil"/>
                  </w:tcBorders>
                  <w:vAlign w:val="center"/>
                </w:tcPr>
                <w:p w14:paraId="53B4F61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2026年</w:t>
                  </w:r>
                </w:p>
              </w:tc>
            </w:tr>
            <w:tr w14:paraId="269A4E9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72" w:hRule="atLeast"/>
                <w:jc w:val="center"/>
              </w:trPr>
              <w:tc>
                <w:tcPr>
                  <w:tcW w:w="3072" w:type="dxa"/>
                  <w:vMerge w:val="continue"/>
                  <w:tcBorders>
                    <w:tl2br w:val="nil"/>
                    <w:tr2bl w:val="nil"/>
                  </w:tcBorders>
                  <w:vAlign w:val="center"/>
                </w:tcPr>
                <w:p w14:paraId="3AA24BA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1722" w:type="dxa"/>
                  <w:tcBorders>
                    <w:tl2br w:val="nil"/>
                    <w:tr2bl w:val="nil"/>
                  </w:tcBorders>
                  <w:vAlign w:val="center"/>
                </w:tcPr>
                <w:p w14:paraId="5682C46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8</w:t>
                  </w:r>
                  <w:r>
                    <w:rPr>
                      <w:rFonts w:hint="eastAsia" w:cs="Times New Roman"/>
                      <w:b/>
                      <w:bCs/>
                      <w:color w:val="000000" w:themeColor="text1"/>
                      <w:sz w:val="21"/>
                      <w:szCs w:val="21"/>
                      <w:lang w:val="en-US" w:eastAsia="zh-CN"/>
                      <w14:textFill>
                        <w14:solidFill>
                          <w14:schemeClr w14:val="tx1"/>
                        </w14:solidFill>
                      </w14:textFill>
                    </w:rPr>
                    <w:t>-12</w:t>
                  </w:r>
                </w:p>
              </w:tc>
              <w:tc>
                <w:tcPr>
                  <w:tcW w:w="390" w:type="dxa"/>
                  <w:tcBorders>
                    <w:tl2br w:val="nil"/>
                    <w:tr2bl w:val="nil"/>
                  </w:tcBorders>
                  <w:vAlign w:val="center"/>
                </w:tcPr>
                <w:p w14:paraId="0F8277A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1-2</w:t>
                  </w:r>
                </w:p>
              </w:tc>
              <w:tc>
                <w:tcPr>
                  <w:tcW w:w="405" w:type="dxa"/>
                  <w:tcBorders>
                    <w:tl2br w:val="nil"/>
                    <w:tr2bl w:val="nil"/>
                  </w:tcBorders>
                  <w:vAlign w:val="center"/>
                </w:tcPr>
                <w:p w14:paraId="41AF820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3-4</w:t>
                  </w:r>
                </w:p>
              </w:tc>
              <w:tc>
                <w:tcPr>
                  <w:tcW w:w="440" w:type="dxa"/>
                  <w:tcBorders>
                    <w:tl2br w:val="nil"/>
                    <w:tr2bl w:val="nil"/>
                  </w:tcBorders>
                  <w:vAlign w:val="center"/>
                </w:tcPr>
                <w:p w14:paraId="66918F1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5-1</w:t>
                  </w:r>
                  <w:r>
                    <w:rPr>
                      <w:rFonts w:hint="eastAsia" w:cs="Times New Roman"/>
                      <w:b/>
                      <w:bCs/>
                      <w:color w:val="000000" w:themeColor="text1"/>
                      <w:sz w:val="21"/>
                      <w:szCs w:val="21"/>
                      <w:lang w:val="en-US" w:eastAsia="zh-CN"/>
                      <w14:textFill>
                        <w14:solidFill>
                          <w14:schemeClr w14:val="tx1"/>
                        </w14:solidFill>
                      </w14:textFill>
                    </w:rPr>
                    <w:t>1</w:t>
                  </w:r>
                </w:p>
              </w:tc>
              <w:tc>
                <w:tcPr>
                  <w:tcW w:w="375" w:type="dxa"/>
                  <w:tcBorders>
                    <w:tl2br w:val="nil"/>
                    <w:tr2bl w:val="nil"/>
                  </w:tcBorders>
                  <w:vAlign w:val="center"/>
                </w:tcPr>
                <w:p w14:paraId="66F7B2B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12</w:t>
                  </w:r>
                </w:p>
              </w:tc>
              <w:tc>
                <w:tcPr>
                  <w:tcW w:w="451" w:type="dxa"/>
                  <w:tcBorders>
                    <w:tl2br w:val="nil"/>
                    <w:tr2bl w:val="nil"/>
                  </w:tcBorders>
                  <w:vAlign w:val="center"/>
                </w:tcPr>
                <w:p w14:paraId="31DD2BA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1-2</w:t>
                  </w:r>
                </w:p>
              </w:tc>
              <w:tc>
                <w:tcPr>
                  <w:tcW w:w="451" w:type="dxa"/>
                  <w:tcBorders>
                    <w:tl2br w:val="nil"/>
                    <w:tr2bl w:val="nil"/>
                  </w:tcBorders>
                  <w:vAlign w:val="center"/>
                </w:tcPr>
                <w:p w14:paraId="5B8AED3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3-11</w:t>
                  </w:r>
                </w:p>
              </w:tc>
              <w:tc>
                <w:tcPr>
                  <w:tcW w:w="451" w:type="dxa"/>
                  <w:tcBorders>
                    <w:tl2br w:val="nil"/>
                    <w:tr2bl w:val="nil"/>
                  </w:tcBorders>
                  <w:vAlign w:val="center"/>
                </w:tcPr>
                <w:p w14:paraId="178C283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12</w:t>
                  </w:r>
                </w:p>
              </w:tc>
            </w:tr>
            <w:tr w14:paraId="5ED7203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726" w:hRule="atLeast"/>
                <w:jc w:val="center"/>
              </w:trPr>
              <w:tc>
                <w:tcPr>
                  <w:tcW w:w="3072" w:type="dxa"/>
                  <w:tcBorders>
                    <w:tl2br w:val="nil"/>
                    <w:tr2bl w:val="nil"/>
                  </w:tcBorders>
                  <w:vAlign w:val="center"/>
                </w:tcPr>
                <w:p w14:paraId="70DAC73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前期准备工作</w:t>
                  </w:r>
                </w:p>
              </w:tc>
              <w:tc>
                <w:tcPr>
                  <w:tcW w:w="1722" w:type="dxa"/>
                  <w:tcBorders>
                    <w:tl2br w:val="nil"/>
                    <w:tr2bl w:val="nil"/>
                  </w:tcBorders>
                  <w:shd w:val="clear" w:color="auto" w:fill="BEBEBE" w:themeFill="background1" w:themeFillShade="BF"/>
                  <w:vAlign w:val="center"/>
                </w:tcPr>
                <w:p w14:paraId="5F6F5AD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90" w:type="dxa"/>
                  <w:tcBorders>
                    <w:tl2br w:val="nil"/>
                    <w:tr2bl w:val="nil"/>
                  </w:tcBorders>
                  <w:shd w:val="clear" w:color="auto" w:fill="BEBEBE" w:themeFill="background1" w:themeFillShade="BF"/>
                  <w:vAlign w:val="center"/>
                </w:tcPr>
                <w:p w14:paraId="5BAD0B9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05" w:type="dxa"/>
                  <w:tcBorders>
                    <w:tl2br w:val="nil"/>
                    <w:tr2bl w:val="nil"/>
                  </w:tcBorders>
                  <w:shd w:val="clear" w:color="auto" w:fill="BEBEBE" w:themeFill="background1" w:themeFillShade="BF"/>
                  <w:vAlign w:val="center"/>
                </w:tcPr>
                <w:p w14:paraId="06A4F21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40" w:type="dxa"/>
                  <w:tcBorders>
                    <w:tl2br w:val="nil"/>
                    <w:tr2bl w:val="nil"/>
                  </w:tcBorders>
                  <w:vAlign w:val="center"/>
                </w:tcPr>
                <w:p w14:paraId="177D27D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75" w:type="dxa"/>
                  <w:tcBorders>
                    <w:tl2br w:val="nil"/>
                    <w:tr2bl w:val="nil"/>
                  </w:tcBorders>
                  <w:vAlign w:val="center"/>
                </w:tcPr>
                <w:p w14:paraId="424E31F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51" w:type="dxa"/>
                  <w:tcBorders>
                    <w:tl2br w:val="nil"/>
                    <w:tr2bl w:val="nil"/>
                  </w:tcBorders>
                  <w:vAlign w:val="center"/>
                </w:tcPr>
                <w:p w14:paraId="590AE86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51" w:type="dxa"/>
                  <w:tcBorders>
                    <w:tl2br w:val="nil"/>
                    <w:tr2bl w:val="nil"/>
                  </w:tcBorders>
                  <w:vAlign w:val="center"/>
                </w:tcPr>
                <w:p w14:paraId="255637B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51" w:type="dxa"/>
                  <w:tcBorders>
                    <w:tl2br w:val="nil"/>
                    <w:tr2bl w:val="nil"/>
                  </w:tcBorders>
                  <w:shd w:val="clear" w:color="auto" w:fill="auto"/>
                  <w:vAlign w:val="center"/>
                </w:tcPr>
                <w:p w14:paraId="59C0A30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2E85C7A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723" w:hRule="atLeast"/>
                <w:jc w:val="center"/>
              </w:trPr>
              <w:tc>
                <w:tcPr>
                  <w:tcW w:w="3072" w:type="dxa"/>
                  <w:tcBorders>
                    <w:tl2br w:val="nil"/>
                    <w:tr2bl w:val="nil"/>
                  </w:tcBorders>
                  <w:vAlign w:val="center"/>
                </w:tcPr>
                <w:p w14:paraId="50F9456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土建工程、基础设施工程等建设工作，竣工验收并试运行</w:t>
                  </w:r>
                </w:p>
              </w:tc>
              <w:tc>
                <w:tcPr>
                  <w:tcW w:w="1722" w:type="dxa"/>
                  <w:tcBorders>
                    <w:tl2br w:val="nil"/>
                    <w:tr2bl w:val="nil"/>
                  </w:tcBorders>
                  <w:vAlign w:val="center"/>
                </w:tcPr>
                <w:p w14:paraId="22375D7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90" w:type="dxa"/>
                  <w:tcBorders>
                    <w:tl2br w:val="nil"/>
                    <w:tr2bl w:val="nil"/>
                  </w:tcBorders>
                  <w:shd w:val="clear" w:color="auto" w:fill="auto"/>
                  <w:vAlign w:val="center"/>
                </w:tcPr>
                <w:p w14:paraId="73F780F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05" w:type="dxa"/>
                  <w:tcBorders>
                    <w:tl2br w:val="nil"/>
                    <w:tr2bl w:val="nil"/>
                  </w:tcBorders>
                  <w:shd w:val="clear" w:color="auto" w:fill="auto"/>
                  <w:vAlign w:val="center"/>
                </w:tcPr>
                <w:p w14:paraId="54EDA8C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40" w:type="dxa"/>
                  <w:tcBorders>
                    <w:tl2br w:val="nil"/>
                    <w:tr2bl w:val="nil"/>
                  </w:tcBorders>
                  <w:shd w:val="clear" w:color="auto" w:fill="BEBEBE" w:themeFill="background1" w:themeFillShade="BF"/>
                  <w:vAlign w:val="center"/>
                </w:tcPr>
                <w:p w14:paraId="434413E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75" w:type="dxa"/>
                  <w:tcBorders>
                    <w:tl2br w:val="nil"/>
                    <w:tr2bl w:val="nil"/>
                  </w:tcBorders>
                  <w:shd w:val="clear" w:color="auto" w:fill="auto"/>
                  <w:vAlign w:val="center"/>
                </w:tcPr>
                <w:p w14:paraId="6C62617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51" w:type="dxa"/>
                  <w:tcBorders>
                    <w:tl2br w:val="nil"/>
                    <w:tr2bl w:val="nil"/>
                  </w:tcBorders>
                  <w:shd w:val="clear" w:color="auto" w:fill="auto"/>
                  <w:vAlign w:val="center"/>
                </w:tcPr>
                <w:p w14:paraId="7555FBA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51" w:type="dxa"/>
                  <w:tcBorders>
                    <w:tl2br w:val="nil"/>
                    <w:tr2bl w:val="nil"/>
                  </w:tcBorders>
                  <w:shd w:val="clear" w:color="auto" w:fill="BEBEBE" w:themeFill="background1" w:themeFillShade="BF"/>
                  <w:vAlign w:val="center"/>
                </w:tcPr>
                <w:p w14:paraId="4E11E09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51" w:type="dxa"/>
                  <w:tcBorders>
                    <w:tl2br w:val="nil"/>
                    <w:tr2bl w:val="nil"/>
                  </w:tcBorders>
                  <w:shd w:val="clear" w:color="auto" w:fill="auto"/>
                  <w:vAlign w:val="center"/>
                </w:tcPr>
                <w:p w14:paraId="4AC2719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bl>
          <w:p w14:paraId="05B127CB">
            <w:pPr>
              <w:pStyle w:val="49"/>
              <w:spacing w:beforeLines="0" w:afterLines="0" w:line="360" w:lineRule="auto"/>
              <w:ind w:firstLine="480"/>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前期准备工作从2024年8月至2025年4月，共计9个月。前期准备工作包括EOD实施方案编制及评审、招标选择社会资本，签订项目合同，并完成立项工作；完成项目其他建设条件准备工作，完成建设方案设计及评审，完成土地招拍挂相关手续；完成工程施工方案初步设计、概算以及招标前期工作；完成施工图设计，摘地并办理土地证，启动监理及施工招标。</w:t>
            </w:r>
          </w:p>
          <w:p w14:paraId="782F706D">
            <w:pPr>
              <w:pStyle w:val="49"/>
              <w:spacing w:beforeLines="0" w:afterLines="0" w:line="360" w:lineRule="auto"/>
              <w:ind w:firstLine="480"/>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建设工期从2025年5月开始至2026年12月完成。主要进行土石方开挖、各建筑物建设、道路修建、绿化等，完成竣工验收并试运行。</w:t>
            </w:r>
          </w:p>
          <w:p w14:paraId="4C81FAE9">
            <w:pPr>
              <w:ind w:firstLine="482"/>
              <w:jc w:val="left"/>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lang w:val="en-US" w:eastAsia="zh-CN"/>
                <w14:textFill>
                  <w14:solidFill>
                    <w14:schemeClr w14:val="tx1"/>
                  </w14:solidFill>
                </w14:textFill>
              </w:rPr>
              <w:t xml:space="preserve">3 </w:t>
            </w:r>
            <w:r>
              <w:rPr>
                <w:rFonts w:hint="default" w:ascii="Times New Roman" w:hAnsi="Times New Roman" w:cs="Times New Roman"/>
                <w:b/>
                <w:bCs/>
                <w:color w:val="000000" w:themeColor="text1"/>
                <w:highlight w:val="none"/>
                <w14:textFill>
                  <w14:solidFill>
                    <w14:schemeClr w14:val="tx1"/>
                  </w14:solidFill>
                </w14:textFill>
              </w:rPr>
              <w:t>土石方平衡</w:t>
            </w:r>
          </w:p>
          <w:p w14:paraId="2BCFA9E3">
            <w:pPr>
              <w:pStyle w:val="49"/>
              <w:spacing w:beforeLines="0" w:afterLines="0" w:line="360" w:lineRule="auto"/>
              <w:ind w:firstLine="480"/>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根据项目主体工程设计资料，项目建设期土石方主要来源于各建构筑物基础、道路基础等。项目建设期土石方开挖总量316938.54m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，回填总量316938.54m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，无弃方。</w:t>
            </w:r>
          </w:p>
          <w:p w14:paraId="62A421BC">
            <w:pPr>
              <w:keepNext w:val="0"/>
              <w:keepLines w:val="0"/>
              <w:pageBreakBefore w:val="0"/>
              <w:widowControl w:val="0"/>
              <w:kinsoku/>
              <w:wordWrap/>
              <w:overflowPunct/>
              <w:topLinePunct w:val="0"/>
              <w:autoSpaceDE/>
              <w:autoSpaceDN/>
              <w:bidi w:val="0"/>
              <w:adjustRightInd/>
              <w:spacing w:line="240" w:lineRule="atLeast"/>
              <w:ind w:firstLine="48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项目土石方平衡见表2-</w:t>
            </w:r>
            <w:r>
              <w:rPr>
                <w:rFonts w:hint="eastAsia" w:cs="Times New Roman"/>
                <w:color w:val="000000" w:themeColor="text1"/>
                <w:highlight w:val="none"/>
                <w:lang w:val="en-US" w:eastAsia="zh-CN"/>
                <w14:textFill>
                  <w14:solidFill>
                    <w14:schemeClr w14:val="tx1"/>
                  </w14:solidFill>
                </w14:textFill>
              </w:rPr>
              <w:t>5</w:t>
            </w:r>
            <w:r>
              <w:rPr>
                <w:rFonts w:hint="default" w:ascii="Times New Roman" w:hAnsi="Times New Roman" w:cs="Times New Roman"/>
                <w:color w:val="000000" w:themeColor="text1"/>
                <w:highlight w:val="none"/>
                <w14:textFill>
                  <w14:solidFill>
                    <w14:schemeClr w14:val="tx1"/>
                  </w14:solidFill>
                </w14:textFill>
              </w:rPr>
              <w:t>。</w:t>
            </w:r>
          </w:p>
          <w:p w14:paraId="3E5847CA">
            <w:pPr>
              <w:pStyle w:val="63"/>
              <w:spacing w:line="240" w:lineRule="auto"/>
              <w:ind w:firstLine="0" w:firstLineChars="0"/>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表2-</w:t>
            </w:r>
            <w:r>
              <w:rPr>
                <w:rFonts w:hint="eastAsia"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  项目土石方平衡表  单位：m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bl>
            <w:tblPr>
              <w:tblStyle w:val="28"/>
              <w:tblW w:w="77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68"/>
              <w:gridCol w:w="1687"/>
              <w:gridCol w:w="1600"/>
              <w:gridCol w:w="1675"/>
              <w:gridCol w:w="847"/>
            </w:tblGrid>
            <w:tr w14:paraId="4A9CFF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968" w:type="dxa"/>
                  <w:tcBorders>
                    <w:tl2br w:val="nil"/>
                    <w:tr2bl w:val="nil"/>
                  </w:tcBorders>
                  <w:vAlign w:val="center"/>
                </w:tcPr>
                <w:p w14:paraId="11CA6D3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名称</w:t>
                  </w:r>
                </w:p>
              </w:tc>
              <w:tc>
                <w:tcPr>
                  <w:tcW w:w="1687" w:type="dxa"/>
                  <w:tcBorders>
                    <w:tl2br w:val="nil"/>
                    <w:tr2bl w:val="nil"/>
                  </w:tcBorders>
                  <w:vAlign w:val="center"/>
                </w:tcPr>
                <w:p w14:paraId="68CEB5A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填方（m³）</w:t>
                  </w:r>
                </w:p>
              </w:tc>
              <w:tc>
                <w:tcPr>
                  <w:tcW w:w="1600" w:type="dxa"/>
                  <w:tcBorders>
                    <w:tl2br w:val="nil"/>
                    <w:tr2bl w:val="nil"/>
                  </w:tcBorders>
                  <w:vAlign w:val="center"/>
                </w:tcPr>
                <w:p w14:paraId="0BAAF0F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挖方（m³）</w:t>
                  </w:r>
                </w:p>
              </w:tc>
              <w:tc>
                <w:tcPr>
                  <w:tcW w:w="1675" w:type="dxa"/>
                  <w:tcBorders>
                    <w:tl2br w:val="nil"/>
                    <w:tr2bl w:val="nil"/>
                  </w:tcBorders>
                  <w:vAlign w:val="center"/>
                </w:tcPr>
                <w:p w14:paraId="6C878B9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填方-挖方（m³）</w:t>
                  </w:r>
                </w:p>
              </w:tc>
              <w:tc>
                <w:tcPr>
                  <w:tcW w:w="847" w:type="dxa"/>
                  <w:tcBorders>
                    <w:tl2br w:val="nil"/>
                    <w:tr2bl w:val="nil"/>
                  </w:tcBorders>
                  <w:vAlign w:val="center"/>
                </w:tcPr>
                <w:p w14:paraId="0878E5A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备注</w:t>
                  </w:r>
                </w:p>
              </w:tc>
            </w:tr>
            <w:tr w14:paraId="3445E4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968" w:type="dxa"/>
                  <w:tcBorders>
                    <w:tl2br w:val="nil"/>
                    <w:tr2bl w:val="nil"/>
                  </w:tcBorders>
                  <w:vAlign w:val="center"/>
                </w:tcPr>
                <w:p w14:paraId="0C601699">
                  <w:pPr>
                    <w:pStyle w:val="63"/>
                    <w:keepNext w:val="0"/>
                    <w:keepLines w:val="0"/>
                    <w:pageBreakBefore w:val="0"/>
                    <w:widowControl w:val="0"/>
                    <w:kinsoku/>
                    <w:wordWrap/>
                    <w:overflowPunct/>
                    <w:topLinePunct w:val="0"/>
                    <w:autoSpaceDE/>
                    <w:autoSpaceDN/>
                    <w:bidi w:val="0"/>
                    <w:adjustRightInd/>
                    <w:snapToGrid w:val="0"/>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汤墅</w:t>
                  </w:r>
                </w:p>
              </w:tc>
              <w:tc>
                <w:tcPr>
                  <w:tcW w:w="1687" w:type="dxa"/>
                  <w:tcBorders>
                    <w:tl2br w:val="nil"/>
                    <w:tr2bl w:val="nil"/>
                  </w:tcBorders>
                  <w:vAlign w:val="center"/>
                </w:tcPr>
                <w:p w14:paraId="48ED1341">
                  <w:pPr>
                    <w:pStyle w:val="63"/>
                    <w:keepNext w:val="0"/>
                    <w:keepLines w:val="0"/>
                    <w:pageBreakBefore w:val="0"/>
                    <w:widowControl w:val="0"/>
                    <w:kinsoku/>
                    <w:wordWrap/>
                    <w:overflowPunct/>
                    <w:topLinePunct w:val="0"/>
                    <w:autoSpaceDE/>
                    <w:autoSpaceDN/>
                    <w:bidi w:val="0"/>
                    <w:adjustRightInd/>
                    <w:snapToGrid w:val="0"/>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90132.31</w:t>
                  </w:r>
                </w:p>
              </w:tc>
              <w:tc>
                <w:tcPr>
                  <w:tcW w:w="1600" w:type="dxa"/>
                  <w:tcBorders>
                    <w:tl2br w:val="nil"/>
                    <w:tr2bl w:val="nil"/>
                  </w:tcBorders>
                  <w:vAlign w:val="center"/>
                </w:tcPr>
                <w:p w14:paraId="27808157">
                  <w:pPr>
                    <w:pStyle w:val="63"/>
                    <w:keepNext w:val="0"/>
                    <w:keepLines w:val="0"/>
                    <w:pageBreakBefore w:val="0"/>
                    <w:widowControl w:val="0"/>
                    <w:kinsoku/>
                    <w:wordWrap/>
                    <w:overflowPunct/>
                    <w:topLinePunct w:val="0"/>
                    <w:autoSpaceDE/>
                    <w:autoSpaceDN/>
                    <w:bidi w:val="0"/>
                    <w:adjustRightInd/>
                    <w:snapToGrid w:val="0"/>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87315.86</w:t>
                  </w:r>
                </w:p>
              </w:tc>
              <w:tc>
                <w:tcPr>
                  <w:tcW w:w="1675" w:type="dxa"/>
                  <w:tcBorders>
                    <w:tl2br w:val="nil"/>
                    <w:tr2bl w:val="nil"/>
                  </w:tcBorders>
                  <w:vAlign w:val="center"/>
                </w:tcPr>
                <w:p w14:paraId="40951A51">
                  <w:pPr>
                    <w:pStyle w:val="63"/>
                    <w:keepNext w:val="0"/>
                    <w:keepLines w:val="0"/>
                    <w:pageBreakBefore w:val="0"/>
                    <w:widowControl w:val="0"/>
                    <w:kinsoku/>
                    <w:wordWrap/>
                    <w:overflowPunct/>
                    <w:topLinePunct w:val="0"/>
                    <w:autoSpaceDE/>
                    <w:autoSpaceDN/>
                    <w:bidi w:val="0"/>
                    <w:adjustRightInd/>
                    <w:snapToGrid w:val="0"/>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2816.45</w:t>
                  </w:r>
                </w:p>
              </w:tc>
              <w:tc>
                <w:tcPr>
                  <w:tcW w:w="847" w:type="dxa"/>
                  <w:tcBorders>
                    <w:tl2br w:val="nil"/>
                    <w:tr2bl w:val="nil"/>
                  </w:tcBorders>
                  <w:vAlign w:val="center"/>
                </w:tcPr>
                <w:p w14:paraId="67BED538">
                  <w:pPr>
                    <w:pStyle w:val="63"/>
                    <w:keepNext w:val="0"/>
                    <w:keepLines w:val="0"/>
                    <w:pageBreakBefore w:val="0"/>
                    <w:widowControl w:val="0"/>
                    <w:kinsoku/>
                    <w:wordWrap/>
                    <w:overflowPunct/>
                    <w:topLinePunct w:val="0"/>
                    <w:autoSpaceDE/>
                    <w:autoSpaceDN/>
                    <w:bidi w:val="0"/>
                    <w:adjustRightInd/>
                    <w:snapToGrid w:val="0"/>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p>
              </w:tc>
            </w:tr>
            <w:tr w14:paraId="089820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968" w:type="dxa"/>
                  <w:tcBorders>
                    <w:tl2br w:val="nil"/>
                    <w:tr2bl w:val="nil"/>
                  </w:tcBorders>
                  <w:vAlign w:val="center"/>
                </w:tcPr>
                <w:p w14:paraId="495A82AC">
                  <w:pPr>
                    <w:pStyle w:val="63"/>
                    <w:keepNext w:val="0"/>
                    <w:keepLines w:val="0"/>
                    <w:pageBreakBefore w:val="0"/>
                    <w:widowControl w:val="0"/>
                    <w:kinsoku/>
                    <w:wordWrap/>
                    <w:overflowPunct/>
                    <w:topLinePunct w:val="0"/>
                    <w:autoSpaceDE/>
                    <w:autoSpaceDN/>
                    <w:bidi w:val="0"/>
                    <w:adjustRightInd/>
                    <w:snapToGrid w:val="0"/>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中医康养中心</w:t>
                  </w:r>
                </w:p>
              </w:tc>
              <w:tc>
                <w:tcPr>
                  <w:tcW w:w="1687" w:type="dxa"/>
                  <w:tcBorders>
                    <w:tl2br w:val="nil"/>
                    <w:tr2bl w:val="nil"/>
                  </w:tcBorders>
                  <w:vAlign w:val="center"/>
                </w:tcPr>
                <w:p w14:paraId="2A6132F2">
                  <w:pPr>
                    <w:pStyle w:val="63"/>
                    <w:keepNext w:val="0"/>
                    <w:keepLines w:val="0"/>
                    <w:pageBreakBefore w:val="0"/>
                    <w:widowControl w:val="0"/>
                    <w:kinsoku/>
                    <w:wordWrap/>
                    <w:overflowPunct/>
                    <w:topLinePunct w:val="0"/>
                    <w:autoSpaceDE/>
                    <w:autoSpaceDN/>
                    <w:bidi w:val="0"/>
                    <w:adjustRightInd/>
                    <w:snapToGrid w:val="0"/>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19386.37</w:t>
                  </w:r>
                </w:p>
              </w:tc>
              <w:tc>
                <w:tcPr>
                  <w:tcW w:w="1600" w:type="dxa"/>
                  <w:tcBorders>
                    <w:tl2br w:val="nil"/>
                    <w:tr2bl w:val="nil"/>
                  </w:tcBorders>
                  <w:vAlign w:val="center"/>
                </w:tcPr>
                <w:p w14:paraId="60CC05D3">
                  <w:pPr>
                    <w:pStyle w:val="63"/>
                    <w:keepNext w:val="0"/>
                    <w:keepLines w:val="0"/>
                    <w:pageBreakBefore w:val="0"/>
                    <w:widowControl w:val="0"/>
                    <w:kinsoku/>
                    <w:wordWrap/>
                    <w:overflowPunct/>
                    <w:topLinePunct w:val="0"/>
                    <w:autoSpaceDE/>
                    <w:autoSpaceDN/>
                    <w:bidi w:val="0"/>
                    <w:adjustRightInd/>
                    <w:snapToGrid w:val="0"/>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6755.68</w:t>
                  </w:r>
                </w:p>
              </w:tc>
              <w:tc>
                <w:tcPr>
                  <w:tcW w:w="1675" w:type="dxa"/>
                  <w:tcBorders>
                    <w:tl2br w:val="nil"/>
                    <w:tr2bl w:val="nil"/>
                  </w:tcBorders>
                  <w:vAlign w:val="center"/>
                </w:tcPr>
                <w:p w14:paraId="38229600">
                  <w:pPr>
                    <w:pStyle w:val="63"/>
                    <w:keepNext w:val="0"/>
                    <w:keepLines w:val="0"/>
                    <w:pageBreakBefore w:val="0"/>
                    <w:widowControl w:val="0"/>
                    <w:kinsoku/>
                    <w:wordWrap/>
                    <w:overflowPunct/>
                    <w:topLinePunct w:val="0"/>
                    <w:autoSpaceDE/>
                    <w:autoSpaceDN/>
                    <w:bidi w:val="0"/>
                    <w:adjustRightInd/>
                    <w:snapToGrid w:val="0"/>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12630.69</w:t>
                  </w:r>
                </w:p>
              </w:tc>
              <w:tc>
                <w:tcPr>
                  <w:tcW w:w="847" w:type="dxa"/>
                  <w:tcBorders>
                    <w:tl2br w:val="nil"/>
                    <w:tr2bl w:val="nil"/>
                  </w:tcBorders>
                  <w:vAlign w:val="center"/>
                </w:tcPr>
                <w:p w14:paraId="5C43B69F">
                  <w:pPr>
                    <w:pStyle w:val="63"/>
                    <w:keepNext w:val="0"/>
                    <w:keepLines w:val="0"/>
                    <w:pageBreakBefore w:val="0"/>
                    <w:widowControl w:val="0"/>
                    <w:kinsoku/>
                    <w:wordWrap/>
                    <w:overflowPunct/>
                    <w:topLinePunct w:val="0"/>
                    <w:autoSpaceDE/>
                    <w:autoSpaceDN/>
                    <w:bidi w:val="0"/>
                    <w:adjustRightInd/>
                    <w:snapToGrid w:val="0"/>
                    <w:spacing w:line="240" w:lineRule="atLeas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14:textFill>
                        <w14:solidFill>
                          <w14:schemeClr w14:val="tx1"/>
                        </w14:solidFill>
                      </w14:textFill>
                    </w:rPr>
                  </w:pPr>
                </w:p>
              </w:tc>
            </w:tr>
            <w:tr w14:paraId="4483A2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968" w:type="dxa"/>
                  <w:tcBorders>
                    <w:tl2br w:val="nil"/>
                    <w:tr2bl w:val="nil"/>
                  </w:tcBorders>
                  <w:vAlign w:val="center"/>
                </w:tcPr>
                <w:p w14:paraId="17F1C7CE">
                  <w:pPr>
                    <w:pStyle w:val="63"/>
                    <w:keepNext w:val="0"/>
                    <w:keepLines w:val="0"/>
                    <w:pageBreakBefore w:val="0"/>
                    <w:widowControl w:val="0"/>
                    <w:kinsoku/>
                    <w:wordWrap/>
                    <w:overflowPunct/>
                    <w:topLinePunct w:val="0"/>
                    <w:autoSpaceDE/>
                    <w:autoSpaceDN/>
                    <w:bidi w:val="0"/>
                    <w:adjustRightInd/>
                    <w:snapToGrid w:val="0"/>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高端温泉酒店</w:t>
                  </w:r>
                </w:p>
              </w:tc>
              <w:tc>
                <w:tcPr>
                  <w:tcW w:w="1687" w:type="dxa"/>
                  <w:tcBorders>
                    <w:tl2br w:val="nil"/>
                    <w:tr2bl w:val="nil"/>
                  </w:tcBorders>
                  <w:vAlign w:val="center"/>
                </w:tcPr>
                <w:p w14:paraId="52D9ED89">
                  <w:pPr>
                    <w:pStyle w:val="63"/>
                    <w:keepNext w:val="0"/>
                    <w:keepLines w:val="0"/>
                    <w:pageBreakBefore w:val="0"/>
                    <w:widowControl w:val="0"/>
                    <w:kinsoku/>
                    <w:wordWrap/>
                    <w:overflowPunct/>
                    <w:topLinePunct w:val="0"/>
                    <w:autoSpaceDE/>
                    <w:autoSpaceDN/>
                    <w:bidi w:val="0"/>
                    <w:adjustRightInd/>
                    <w:snapToGrid w:val="0"/>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109941.63</w:t>
                  </w:r>
                </w:p>
              </w:tc>
              <w:tc>
                <w:tcPr>
                  <w:tcW w:w="1600" w:type="dxa"/>
                  <w:tcBorders>
                    <w:tl2br w:val="nil"/>
                    <w:tr2bl w:val="nil"/>
                  </w:tcBorders>
                  <w:vAlign w:val="center"/>
                </w:tcPr>
                <w:p w14:paraId="7F78EED0">
                  <w:pPr>
                    <w:pStyle w:val="63"/>
                    <w:keepNext w:val="0"/>
                    <w:keepLines w:val="0"/>
                    <w:pageBreakBefore w:val="0"/>
                    <w:widowControl w:val="0"/>
                    <w:kinsoku/>
                    <w:wordWrap/>
                    <w:overflowPunct/>
                    <w:topLinePunct w:val="0"/>
                    <w:autoSpaceDE/>
                    <w:autoSpaceDN/>
                    <w:bidi w:val="0"/>
                    <w:adjustRightInd/>
                    <w:snapToGrid w:val="0"/>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163865.48</w:t>
                  </w:r>
                </w:p>
              </w:tc>
              <w:tc>
                <w:tcPr>
                  <w:tcW w:w="1675" w:type="dxa"/>
                  <w:tcBorders>
                    <w:tl2br w:val="nil"/>
                    <w:tr2bl w:val="nil"/>
                  </w:tcBorders>
                  <w:vAlign w:val="center"/>
                </w:tcPr>
                <w:p w14:paraId="0905F6EF">
                  <w:pPr>
                    <w:pStyle w:val="63"/>
                    <w:keepNext w:val="0"/>
                    <w:keepLines w:val="0"/>
                    <w:pageBreakBefore w:val="0"/>
                    <w:widowControl w:val="0"/>
                    <w:kinsoku/>
                    <w:wordWrap/>
                    <w:overflowPunct/>
                    <w:topLinePunct w:val="0"/>
                    <w:autoSpaceDE/>
                    <w:autoSpaceDN/>
                    <w:bidi w:val="0"/>
                    <w:adjustRightInd/>
                    <w:snapToGrid w:val="0"/>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-53923.85</w:t>
                  </w:r>
                </w:p>
              </w:tc>
              <w:tc>
                <w:tcPr>
                  <w:tcW w:w="847" w:type="dxa"/>
                  <w:tcBorders>
                    <w:tl2br w:val="nil"/>
                    <w:tr2bl w:val="nil"/>
                  </w:tcBorders>
                  <w:vAlign w:val="center"/>
                </w:tcPr>
                <w:p w14:paraId="271D455B">
                  <w:pPr>
                    <w:pStyle w:val="63"/>
                    <w:keepNext w:val="0"/>
                    <w:keepLines w:val="0"/>
                    <w:pageBreakBefore w:val="0"/>
                    <w:widowControl w:val="0"/>
                    <w:kinsoku/>
                    <w:wordWrap/>
                    <w:overflowPunct/>
                    <w:topLinePunct w:val="0"/>
                    <w:autoSpaceDE/>
                    <w:autoSpaceDN/>
                    <w:bidi w:val="0"/>
                    <w:adjustRightInd/>
                    <w:snapToGrid w:val="0"/>
                    <w:spacing w:line="240" w:lineRule="atLeas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14:textFill>
                        <w14:solidFill>
                          <w14:schemeClr w14:val="tx1"/>
                        </w14:solidFill>
                      </w14:textFill>
                    </w:rPr>
                  </w:pPr>
                </w:p>
              </w:tc>
            </w:tr>
            <w:tr w14:paraId="6F6FA9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968" w:type="dxa"/>
                  <w:tcBorders>
                    <w:tl2br w:val="nil"/>
                    <w:tr2bl w:val="nil"/>
                  </w:tcBorders>
                  <w:vAlign w:val="center"/>
                </w:tcPr>
                <w:p w14:paraId="2911AC6E">
                  <w:pPr>
                    <w:pStyle w:val="63"/>
                    <w:keepNext w:val="0"/>
                    <w:keepLines w:val="0"/>
                    <w:pageBreakBefore w:val="0"/>
                    <w:widowControl w:val="0"/>
                    <w:kinsoku/>
                    <w:wordWrap/>
                    <w:overflowPunct/>
                    <w:topLinePunct w:val="0"/>
                    <w:autoSpaceDE/>
                    <w:autoSpaceDN/>
                    <w:bidi w:val="0"/>
                    <w:adjustRightInd/>
                    <w:snapToGrid w:val="0"/>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文化展示中心</w:t>
                  </w:r>
                </w:p>
              </w:tc>
              <w:tc>
                <w:tcPr>
                  <w:tcW w:w="1687" w:type="dxa"/>
                  <w:tcBorders>
                    <w:tl2br w:val="nil"/>
                    <w:tr2bl w:val="nil"/>
                  </w:tcBorders>
                  <w:vAlign w:val="center"/>
                </w:tcPr>
                <w:p w14:paraId="182D22A7">
                  <w:pPr>
                    <w:pStyle w:val="63"/>
                    <w:keepNext w:val="0"/>
                    <w:keepLines w:val="0"/>
                    <w:pageBreakBefore w:val="0"/>
                    <w:widowControl w:val="0"/>
                    <w:kinsoku/>
                    <w:wordWrap/>
                    <w:overflowPunct/>
                    <w:topLinePunct w:val="0"/>
                    <w:autoSpaceDE/>
                    <w:autoSpaceDN/>
                    <w:bidi w:val="0"/>
                    <w:adjustRightInd/>
                    <w:snapToGrid w:val="0"/>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68489.4</w:t>
                  </w:r>
                </w:p>
              </w:tc>
              <w:tc>
                <w:tcPr>
                  <w:tcW w:w="1600" w:type="dxa"/>
                  <w:tcBorders>
                    <w:tl2br w:val="nil"/>
                    <w:tr2bl w:val="nil"/>
                  </w:tcBorders>
                  <w:vAlign w:val="center"/>
                </w:tcPr>
                <w:p w14:paraId="4BC409D9">
                  <w:pPr>
                    <w:pStyle w:val="63"/>
                    <w:keepNext w:val="0"/>
                    <w:keepLines w:val="0"/>
                    <w:pageBreakBefore w:val="0"/>
                    <w:widowControl w:val="0"/>
                    <w:kinsoku/>
                    <w:wordWrap/>
                    <w:overflowPunct/>
                    <w:topLinePunct w:val="0"/>
                    <w:autoSpaceDE/>
                    <w:autoSpaceDN/>
                    <w:bidi w:val="0"/>
                    <w:adjustRightInd/>
                    <w:snapToGrid w:val="0"/>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19961.78</w:t>
                  </w:r>
                </w:p>
              </w:tc>
              <w:tc>
                <w:tcPr>
                  <w:tcW w:w="1675" w:type="dxa"/>
                  <w:tcBorders>
                    <w:tl2br w:val="nil"/>
                    <w:tr2bl w:val="nil"/>
                  </w:tcBorders>
                  <w:vAlign w:val="center"/>
                </w:tcPr>
                <w:p w14:paraId="3B53B7BD">
                  <w:pPr>
                    <w:pStyle w:val="63"/>
                    <w:keepNext w:val="0"/>
                    <w:keepLines w:val="0"/>
                    <w:pageBreakBefore w:val="0"/>
                    <w:widowControl w:val="0"/>
                    <w:kinsoku/>
                    <w:wordWrap/>
                    <w:overflowPunct/>
                    <w:topLinePunct w:val="0"/>
                    <w:autoSpaceDE/>
                    <w:autoSpaceDN/>
                    <w:bidi w:val="0"/>
                    <w:adjustRightInd/>
                    <w:snapToGrid w:val="0"/>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48527.62</w:t>
                  </w:r>
                </w:p>
              </w:tc>
              <w:tc>
                <w:tcPr>
                  <w:tcW w:w="847" w:type="dxa"/>
                  <w:tcBorders>
                    <w:tl2br w:val="nil"/>
                    <w:tr2bl w:val="nil"/>
                  </w:tcBorders>
                  <w:vAlign w:val="center"/>
                </w:tcPr>
                <w:p w14:paraId="65D71F77">
                  <w:pPr>
                    <w:pStyle w:val="63"/>
                    <w:keepNext w:val="0"/>
                    <w:keepLines w:val="0"/>
                    <w:pageBreakBefore w:val="0"/>
                    <w:widowControl w:val="0"/>
                    <w:kinsoku/>
                    <w:wordWrap/>
                    <w:overflowPunct/>
                    <w:topLinePunct w:val="0"/>
                    <w:autoSpaceDE/>
                    <w:autoSpaceDN/>
                    <w:bidi w:val="0"/>
                    <w:adjustRightInd/>
                    <w:snapToGrid w:val="0"/>
                    <w:spacing w:line="240" w:lineRule="atLeas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14:textFill>
                        <w14:solidFill>
                          <w14:schemeClr w14:val="tx1"/>
                        </w14:solidFill>
                      </w14:textFill>
                    </w:rPr>
                  </w:pPr>
                </w:p>
              </w:tc>
            </w:tr>
            <w:tr w14:paraId="514552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968" w:type="dxa"/>
                  <w:tcBorders>
                    <w:tl2br w:val="nil"/>
                    <w:tr2bl w:val="nil"/>
                  </w:tcBorders>
                  <w:vAlign w:val="center"/>
                </w:tcPr>
                <w:p w14:paraId="18152499">
                  <w:pPr>
                    <w:pStyle w:val="63"/>
                    <w:keepNext w:val="0"/>
                    <w:keepLines w:val="0"/>
                    <w:pageBreakBefore w:val="0"/>
                    <w:widowControl w:val="0"/>
                    <w:kinsoku/>
                    <w:wordWrap/>
                    <w:overflowPunct/>
                    <w:topLinePunct w:val="0"/>
                    <w:autoSpaceDE/>
                    <w:autoSpaceDN/>
                    <w:bidi w:val="0"/>
                    <w:adjustRightInd/>
                    <w:snapToGrid w:val="0"/>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商业街区</w:t>
                  </w:r>
                </w:p>
              </w:tc>
              <w:tc>
                <w:tcPr>
                  <w:tcW w:w="1687" w:type="dxa"/>
                  <w:tcBorders>
                    <w:tl2br w:val="nil"/>
                    <w:tr2bl w:val="nil"/>
                  </w:tcBorders>
                  <w:vAlign w:val="center"/>
                </w:tcPr>
                <w:p w14:paraId="129DEA62">
                  <w:pPr>
                    <w:pStyle w:val="63"/>
                    <w:keepNext w:val="0"/>
                    <w:keepLines w:val="0"/>
                    <w:pageBreakBefore w:val="0"/>
                    <w:widowControl w:val="0"/>
                    <w:kinsoku/>
                    <w:wordWrap/>
                    <w:overflowPunct/>
                    <w:topLinePunct w:val="0"/>
                    <w:autoSpaceDE/>
                    <w:autoSpaceDN/>
                    <w:bidi w:val="0"/>
                    <w:adjustRightInd/>
                    <w:snapToGrid w:val="0"/>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9285.98</w:t>
                  </w:r>
                </w:p>
              </w:tc>
              <w:tc>
                <w:tcPr>
                  <w:tcW w:w="1600" w:type="dxa"/>
                  <w:tcBorders>
                    <w:tl2br w:val="nil"/>
                    <w:tr2bl w:val="nil"/>
                  </w:tcBorders>
                  <w:vAlign w:val="center"/>
                </w:tcPr>
                <w:p w14:paraId="3341604F">
                  <w:pPr>
                    <w:pStyle w:val="63"/>
                    <w:keepNext w:val="0"/>
                    <w:keepLines w:val="0"/>
                    <w:pageBreakBefore w:val="0"/>
                    <w:widowControl w:val="0"/>
                    <w:kinsoku/>
                    <w:wordWrap/>
                    <w:overflowPunct/>
                    <w:topLinePunct w:val="0"/>
                    <w:autoSpaceDE/>
                    <w:autoSpaceDN/>
                    <w:bidi w:val="0"/>
                    <w:adjustRightInd/>
                    <w:snapToGrid w:val="0"/>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10160</w:t>
                  </w:r>
                </w:p>
              </w:tc>
              <w:tc>
                <w:tcPr>
                  <w:tcW w:w="1675" w:type="dxa"/>
                  <w:tcBorders>
                    <w:tl2br w:val="nil"/>
                    <w:tr2bl w:val="nil"/>
                  </w:tcBorders>
                  <w:vAlign w:val="center"/>
                </w:tcPr>
                <w:p w14:paraId="275955B5">
                  <w:pPr>
                    <w:pStyle w:val="63"/>
                    <w:keepNext w:val="0"/>
                    <w:keepLines w:val="0"/>
                    <w:pageBreakBefore w:val="0"/>
                    <w:widowControl w:val="0"/>
                    <w:kinsoku/>
                    <w:wordWrap/>
                    <w:overflowPunct/>
                    <w:topLinePunct w:val="0"/>
                    <w:autoSpaceDE/>
                    <w:autoSpaceDN/>
                    <w:bidi w:val="0"/>
                    <w:adjustRightInd/>
                    <w:snapToGrid w:val="0"/>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-874.02</w:t>
                  </w:r>
                </w:p>
              </w:tc>
              <w:tc>
                <w:tcPr>
                  <w:tcW w:w="847" w:type="dxa"/>
                  <w:tcBorders>
                    <w:tl2br w:val="nil"/>
                    <w:tr2bl w:val="nil"/>
                  </w:tcBorders>
                  <w:vAlign w:val="center"/>
                </w:tcPr>
                <w:p w14:paraId="07B3F6A5">
                  <w:pPr>
                    <w:pStyle w:val="63"/>
                    <w:keepNext w:val="0"/>
                    <w:keepLines w:val="0"/>
                    <w:pageBreakBefore w:val="0"/>
                    <w:widowControl w:val="0"/>
                    <w:kinsoku/>
                    <w:wordWrap/>
                    <w:overflowPunct/>
                    <w:topLinePunct w:val="0"/>
                    <w:autoSpaceDE/>
                    <w:autoSpaceDN/>
                    <w:bidi w:val="0"/>
                    <w:adjustRightInd/>
                    <w:snapToGrid w:val="0"/>
                    <w:spacing w:line="240" w:lineRule="atLeas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14:textFill>
                        <w14:solidFill>
                          <w14:schemeClr w14:val="tx1"/>
                        </w14:solidFill>
                      </w14:textFill>
                    </w:rPr>
                  </w:pPr>
                </w:p>
              </w:tc>
            </w:tr>
            <w:tr w14:paraId="2D45D7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968" w:type="dxa"/>
                  <w:tcBorders>
                    <w:tl2br w:val="nil"/>
                    <w:tr2bl w:val="nil"/>
                  </w:tcBorders>
                  <w:vAlign w:val="center"/>
                </w:tcPr>
                <w:p w14:paraId="0B82D659">
                  <w:pPr>
                    <w:pStyle w:val="63"/>
                    <w:keepNext w:val="0"/>
                    <w:keepLines w:val="0"/>
                    <w:pageBreakBefore w:val="0"/>
                    <w:widowControl w:val="0"/>
                    <w:kinsoku/>
                    <w:wordWrap/>
                    <w:overflowPunct/>
                    <w:topLinePunct w:val="0"/>
                    <w:autoSpaceDE/>
                    <w:autoSpaceDN/>
                    <w:bidi w:val="0"/>
                    <w:adjustRightInd/>
                    <w:snapToGrid w:val="0"/>
                    <w:spacing w:line="240" w:lineRule="atLeas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高端民宿</w:t>
                  </w:r>
                </w:p>
              </w:tc>
              <w:tc>
                <w:tcPr>
                  <w:tcW w:w="1687" w:type="dxa"/>
                  <w:tcBorders>
                    <w:tl2br w:val="nil"/>
                    <w:tr2bl w:val="nil"/>
                  </w:tcBorders>
                  <w:vAlign w:val="center"/>
                </w:tcPr>
                <w:p w14:paraId="65AD7148">
                  <w:pPr>
                    <w:pStyle w:val="63"/>
                    <w:keepNext w:val="0"/>
                    <w:keepLines w:val="0"/>
                    <w:pageBreakBefore w:val="0"/>
                    <w:widowControl w:val="0"/>
                    <w:kinsoku/>
                    <w:wordWrap/>
                    <w:overflowPunct/>
                    <w:topLinePunct w:val="0"/>
                    <w:autoSpaceDE/>
                    <w:autoSpaceDN/>
                    <w:bidi w:val="0"/>
                    <w:adjustRightInd/>
                    <w:snapToGrid w:val="0"/>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18469.35</w:t>
                  </w:r>
                </w:p>
              </w:tc>
              <w:tc>
                <w:tcPr>
                  <w:tcW w:w="1600" w:type="dxa"/>
                  <w:tcBorders>
                    <w:tl2br w:val="nil"/>
                    <w:tr2bl w:val="nil"/>
                  </w:tcBorders>
                  <w:vAlign w:val="center"/>
                </w:tcPr>
                <w:p w14:paraId="02F3A801">
                  <w:pPr>
                    <w:pStyle w:val="63"/>
                    <w:keepNext w:val="0"/>
                    <w:keepLines w:val="0"/>
                    <w:pageBreakBefore w:val="0"/>
                    <w:widowControl w:val="0"/>
                    <w:kinsoku/>
                    <w:wordWrap/>
                    <w:overflowPunct/>
                    <w:topLinePunct w:val="0"/>
                    <w:autoSpaceDE/>
                    <w:autoSpaceDN/>
                    <w:bidi w:val="0"/>
                    <w:adjustRightInd/>
                    <w:snapToGrid w:val="0"/>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23112.34</w:t>
                  </w:r>
                </w:p>
              </w:tc>
              <w:tc>
                <w:tcPr>
                  <w:tcW w:w="1675" w:type="dxa"/>
                  <w:tcBorders>
                    <w:tl2br w:val="nil"/>
                    <w:tr2bl w:val="nil"/>
                  </w:tcBorders>
                  <w:vAlign w:val="center"/>
                </w:tcPr>
                <w:p w14:paraId="62468B6F">
                  <w:pPr>
                    <w:pStyle w:val="63"/>
                    <w:keepNext w:val="0"/>
                    <w:keepLines w:val="0"/>
                    <w:pageBreakBefore w:val="0"/>
                    <w:widowControl w:val="0"/>
                    <w:kinsoku/>
                    <w:wordWrap/>
                    <w:overflowPunct/>
                    <w:topLinePunct w:val="0"/>
                    <w:autoSpaceDE/>
                    <w:autoSpaceDN/>
                    <w:bidi w:val="0"/>
                    <w:adjustRightInd/>
                    <w:snapToGrid w:val="0"/>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-4642.99</w:t>
                  </w:r>
                </w:p>
              </w:tc>
              <w:tc>
                <w:tcPr>
                  <w:tcW w:w="847" w:type="dxa"/>
                  <w:tcBorders>
                    <w:tl2br w:val="nil"/>
                    <w:tr2bl w:val="nil"/>
                  </w:tcBorders>
                  <w:vAlign w:val="center"/>
                </w:tcPr>
                <w:p w14:paraId="0C61E13E">
                  <w:pPr>
                    <w:pStyle w:val="63"/>
                    <w:keepNext w:val="0"/>
                    <w:keepLines w:val="0"/>
                    <w:pageBreakBefore w:val="0"/>
                    <w:widowControl w:val="0"/>
                    <w:kinsoku/>
                    <w:wordWrap/>
                    <w:overflowPunct/>
                    <w:topLinePunct w:val="0"/>
                    <w:autoSpaceDE/>
                    <w:autoSpaceDN/>
                    <w:bidi w:val="0"/>
                    <w:adjustRightInd/>
                    <w:snapToGrid w:val="0"/>
                    <w:spacing w:line="240" w:lineRule="atLeas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r>
            <w:tr w14:paraId="512C82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968" w:type="dxa"/>
                  <w:tcBorders>
                    <w:tl2br w:val="nil"/>
                    <w:tr2bl w:val="nil"/>
                  </w:tcBorders>
                  <w:vAlign w:val="center"/>
                </w:tcPr>
                <w:p w14:paraId="59EB8F33">
                  <w:pPr>
                    <w:pStyle w:val="63"/>
                    <w:keepNext w:val="0"/>
                    <w:keepLines w:val="0"/>
                    <w:pageBreakBefore w:val="0"/>
                    <w:widowControl w:val="0"/>
                    <w:kinsoku/>
                    <w:wordWrap/>
                    <w:overflowPunct/>
                    <w:topLinePunct w:val="0"/>
                    <w:autoSpaceDE/>
                    <w:autoSpaceDN/>
                    <w:bidi w:val="0"/>
                    <w:adjustRightInd/>
                    <w:snapToGrid w:val="0"/>
                    <w:spacing w:line="240" w:lineRule="atLeas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污水处理站</w:t>
                  </w:r>
                </w:p>
              </w:tc>
              <w:tc>
                <w:tcPr>
                  <w:tcW w:w="1687" w:type="dxa"/>
                  <w:tcBorders>
                    <w:tl2br w:val="nil"/>
                    <w:tr2bl w:val="nil"/>
                  </w:tcBorders>
                  <w:vAlign w:val="center"/>
                </w:tcPr>
                <w:p w14:paraId="6639B998">
                  <w:pPr>
                    <w:pStyle w:val="63"/>
                    <w:keepNext w:val="0"/>
                    <w:keepLines w:val="0"/>
                    <w:pageBreakBefore w:val="0"/>
                    <w:widowControl w:val="0"/>
                    <w:kinsoku/>
                    <w:wordWrap/>
                    <w:overflowPunct/>
                    <w:topLinePunct w:val="0"/>
                    <w:autoSpaceDE/>
                    <w:autoSpaceDN/>
                    <w:bidi w:val="0"/>
                    <w:adjustRightInd/>
                    <w:snapToGrid w:val="0"/>
                    <w:spacing w:line="240" w:lineRule="atLeas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1233.5</w:t>
                  </w:r>
                </w:p>
              </w:tc>
              <w:tc>
                <w:tcPr>
                  <w:tcW w:w="1600" w:type="dxa"/>
                  <w:tcBorders>
                    <w:tl2br w:val="nil"/>
                    <w:tr2bl w:val="nil"/>
                  </w:tcBorders>
                  <w:vAlign w:val="center"/>
                </w:tcPr>
                <w:p w14:paraId="28789ADB">
                  <w:pPr>
                    <w:pStyle w:val="63"/>
                    <w:keepNext w:val="0"/>
                    <w:keepLines w:val="0"/>
                    <w:pageBreakBefore w:val="0"/>
                    <w:widowControl w:val="0"/>
                    <w:kinsoku/>
                    <w:wordWrap/>
                    <w:overflowPunct/>
                    <w:topLinePunct w:val="0"/>
                    <w:autoSpaceDE/>
                    <w:autoSpaceDN/>
                    <w:bidi w:val="0"/>
                    <w:adjustRightInd/>
                    <w:snapToGrid w:val="0"/>
                    <w:spacing w:line="240" w:lineRule="atLeas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5767.4</w:t>
                  </w:r>
                </w:p>
              </w:tc>
              <w:tc>
                <w:tcPr>
                  <w:tcW w:w="1675" w:type="dxa"/>
                  <w:tcBorders>
                    <w:tl2br w:val="nil"/>
                    <w:tr2bl w:val="nil"/>
                  </w:tcBorders>
                  <w:vAlign w:val="center"/>
                </w:tcPr>
                <w:p w14:paraId="5A1B1E0F">
                  <w:pPr>
                    <w:pStyle w:val="63"/>
                    <w:keepNext w:val="0"/>
                    <w:keepLines w:val="0"/>
                    <w:pageBreakBefore w:val="0"/>
                    <w:widowControl w:val="0"/>
                    <w:kinsoku/>
                    <w:wordWrap/>
                    <w:overflowPunct/>
                    <w:topLinePunct w:val="0"/>
                    <w:autoSpaceDE/>
                    <w:autoSpaceDN/>
                    <w:bidi w:val="0"/>
                    <w:adjustRightInd/>
                    <w:snapToGrid w:val="0"/>
                    <w:spacing w:line="240" w:lineRule="atLeas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-4533.9</w:t>
                  </w:r>
                </w:p>
              </w:tc>
              <w:tc>
                <w:tcPr>
                  <w:tcW w:w="847" w:type="dxa"/>
                  <w:tcBorders>
                    <w:tl2br w:val="nil"/>
                    <w:tr2bl w:val="nil"/>
                  </w:tcBorders>
                  <w:vAlign w:val="center"/>
                </w:tcPr>
                <w:p w14:paraId="2E3361FB">
                  <w:pPr>
                    <w:pStyle w:val="63"/>
                    <w:keepNext w:val="0"/>
                    <w:keepLines w:val="0"/>
                    <w:pageBreakBefore w:val="0"/>
                    <w:widowControl w:val="0"/>
                    <w:kinsoku/>
                    <w:wordWrap/>
                    <w:overflowPunct/>
                    <w:topLinePunct w:val="0"/>
                    <w:autoSpaceDE/>
                    <w:autoSpaceDN/>
                    <w:bidi w:val="0"/>
                    <w:adjustRightInd/>
                    <w:snapToGrid w:val="0"/>
                    <w:spacing w:line="240" w:lineRule="atLeas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r>
            <w:tr w14:paraId="640924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968" w:type="dxa"/>
                  <w:tcBorders>
                    <w:tl2br w:val="nil"/>
                    <w:tr2bl w:val="nil"/>
                  </w:tcBorders>
                  <w:vAlign w:val="center"/>
                </w:tcPr>
                <w:p w14:paraId="1B93C7BF">
                  <w:pPr>
                    <w:pStyle w:val="63"/>
                    <w:keepNext w:val="0"/>
                    <w:keepLines w:val="0"/>
                    <w:pageBreakBefore w:val="0"/>
                    <w:widowControl w:val="0"/>
                    <w:kinsoku/>
                    <w:wordWrap/>
                    <w:overflowPunct/>
                    <w:topLinePunct w:val="0"/>
                    <w:autoSpaceDE/>
                    <w:autoSpaceDN/>
                    <w:bidi w:val="0"/>
                    <w:adjustRightInd/>
                    <w:snapToGrid w:val="0"/>
                    <w:spacing w:line="240" w:lineRule="atLeas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合计</w:t>
                  </w:r>
                </w:p>
              </w:tc>
              <w:tc>
                <w:tcPr>
                  <w:tcW w:w="1687" w:type="dxa"/>
                  <w:tcBorders>
                    <w:tl2br w:val="nil"/>
                    <w:tr2bl w:val="nil"/>
                  </w:tcBorders>
                  <w:vAlign w:val="center"/>
                </w:tcPr>
                <w:p w14:paraId="056C5B75">
                  <w:pPr>
                    <w:pStyle w:val="63"/>
                    <w:keepNext w:val="0"/>
                    <w:keepLines w:val="0"/>
                    <w:pageBreakBefore w:val="0"/>
                    <w:widowControl w:val="0"/>
                    <w:kinsoku/>
                    <w:wordWrap/>
                    <w:overflowPunct/>
                    <w:topLinePunct w:val="0"/>
                    <w:autoSpaceDE/>
                    <w:autoSpaceDN/>
                    <w:bidi w:val="0"/>
                    <w:adjustRightInd/>
                    <w:snapToGrid w:val="0"/>
                    <w:spacing w:line="240" w:lineRule="atLeas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316938.54</w:t>
                  </w:r>
                </w:p>
              </w:tc>
              <w:tc>
                <w:tcPr>
                  <w:tcW w:w="1600" w:type="dxa"/>
                  <w:tcBorders>
                    <w:tl2br w:val="nil"/>
                    <w:tr2bl w:val="nil"/>
                  </w:tcBorders>
                  <w:vAlign w:val="center"/>
                </w:tcPr>
                <w:p w14:paraId="639E567D">
                  <w:pPr>
                    <w:pStyle w:val="63"/>
                    <w:keepNext w:val="0"/>
                    <w:keepLines w:val="0"/>
                    <w:pageBreakBefore w:val="0"/>
                    <w:widowControl w:val="0"/>
                    <w:kinsoku/>
                    <w:wordWrap/>
                    <w:overflowPunct/>
                    <w:topLinePunct w:val="0"/>
                    <w:autoSpaceDE/>
                    <w:autoSpaceDN/>
                    <w:bidi w:val="0"/>
                    <w:adjustRightInd/>
                    <w:snapToGrid w:val="0"/>
                    <w:spacing w:line="240" w:lineRule="atLeas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316938.54</w:t>
                  </w:r>
                </w:p>
              </w:tc>
              <w:tc>
                <w:tcPr>
                  <w:tcW w:w="1675" w:type="dxa"/>
                  <w:tcBorders>
                    <w:tl2br w:val="nil"/>
                    <w:tr2bl w:val="nil"/>
                  </w:tcBorders>
                  <w:vAlign w:val="center"/>
                </w:tcPr>
                <w:p w14:paraId="570FCB54">
                  <w:pPr>
                    <w:pStyle w:val="63"/>
                    <w:keepNext w:val="0"/>
                    <w:keepLines w:val="0"/>
                    <w:pageBreakBefore w:val="0"/>
                    <w:widowControl w:val="0"/>
                    <w:kinsoku/>
                    <w:wordWrap/>
                    <w:overflowPunct/>
                    <w:topLinePunct w:val="0"/>
                    <w:autoSpaceDE/>
                    <w:autoSpaceDN/>
                    <w:bidi w:val="0"/>
                    <w:adjustRightInd/>
                    <w:snapToGrid w:val="0"/>
                    <w:spacing w:line="240" w:lineRule="atLeas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t>0.00</w:t>
                  </w:r>
                </w:p>
              </w:tc>
              <w:tc>
                <w:tcPr>
                  <w:tcW w:w="847" w:type="dxa"/>
                  <w:tcBorders>
                    <w:tl2br w:val="nil"/>
                    <w:tr2bl w:val="nil"/>
                  </w:tcBorders>
                  <w:vAlign w:val="center"/>
                </w:tcPr>
                <w:p w14:paraId="3E77F2F5">
                  <w:pPr>
                    <w:pStyle w:val="63"/>
                    <w:keepNext w:val="0"/>
                    <w:keepLines w:val="0"/>
                    <w:pageBreakBefore w:val="0"/>
                    <w:widowControl w:val="0"/>
                    <w:kinsoku/>
                    <w:wordWrap/>
                    <w:overflowPunct/>
                    <w:topLinePunct w:val="0"/>
                    <w:autoSpaceDE/>
                    <w:autoSpaceDN/>
                    <w:bidi w:val="0"/>
                    <w:adjustRightInd/>
                    <w:snapToGrid w:val="0"/>
                    <w:spacing w:line="240" w:lineRule="atLeast"/>
                    <w:ind w:left="0" w:leftChars="0" w:right="0" w:rightChars="0" w:firstLine="0" w:firstLineChars="0"/>
                    <w:jc w:val="center"/>
                    <w:textAlignment w:val="auto"/>
                    <w:rPr>
                      <w:rFonts w:hint="default" w:ascii="Times New Roman" w:hAnsi="Times New Roman" w:cs="Times New Roman"/>
                      <w:b w:val="0"/>
                      <w:bCs w:val="0"/>
                      <w:color w:val="000000" w:themeColor="text1"/>
                      <w:sz w:val="21"/>
                      <w:szCs w:val="21"/>
                      <w:highlight w:val="none"/>
                      <w:vertAlign w:val="baseline"/>
                      <w:lang w:val="en-US" w:eastAsia="zh-CN"/>
                      <w14:textFill>
                        <w14:solidFill>
                          <w14:schemeClr w14:val="tx1"/>
                        </w14:solidFill>
                      </w14:textFill>
                    </w:rPr>
                  </w:pPr>
                </w:p>
              </w:tc>
            </w:tr>
          </w:tbl>
          <w:p w14:paraId="4954107B">
            <w:pPr>
              <w:pStyle w:val="49"/>
              <w:spacing w:before="24" w:after="24" w:line="360" w:lineRule="auto"/>
              <w:ind w:left="0" w:leftChars="0" w:firstLine="0" w:firstLineChars="0"/>
              <w:jc w:val="left"/>
              <w:rPr>
                <w:rFonts w:hint="default" w:ascii="Times New Roman" w:hAnsi="Times New Roman" w:cs="Times New Roman"/>
                <w:color w:val="000000" w:themeColor="text1"/>
                <w14:textFill>
                  <w14:solidFill>
                    <w14:schemeClr w14:val="tx1"/>
                  </w14:solidFill>
                </w14:textFill>
              </w:rPr>
            </w:pPr>
          </w:p>
          <w:p w14:paraId="5C89A676">
            <w:pPr>
              <w:rPr>
                <w:rFonts w:hint="default" w:ascii="Times New Roman" w:hAnsi="Times New Roman" w:cs="Times New Roman"/>
                <w:color w:val="000000" w:themeColor="text1"/>
                <w14:textFill>
                  <w14:solidFill>
                    <w14:schemeClr w14:val="tx1"/>
                  </w14:solidFill>
                </w14:textFill>
              </w:rPr>
            </w:pPr>
          </w:p>
          <w:p w14:paraId="4BB045D0">
            <w:pPr>
              <w:rPr>
                <w:rFonts w:hint="default" w:ascii="Times New Roman" w:hAnsi="Times New Roman" w:cs="Times New Roman"/>
                <w:color w:val="000000" w:themeColor="text1"/>
                <w14:textFill>
                  <w14:solidFill>
                    <w14:schemeClr w14:val="tx1"/>
                  </w14:solidFill>
                </w14:textFill>
              </w:rPr>
            </w:pPr>
          </w:p>
          <w:p w14:paraId="69B96F36">
            <w:pPr>
              <w:rPr>
                <w:rFonts w:hint="default" w:ascii="Times New Roman" w:hAnsi="Times New Roman" w:cs="Times New Roman"/>
                <w:color w:val="000000" w:themeColor="text1"/>
                <w14:textFill>
                  <w14:solidFill>
                    <w14:schemeClr w14:val="tx1"/>
                  </w14:solidFill>
                </w14:textFill>
              </w:rPr>
            </w:pPr>
          </w:p>
          <w:p w14:paraId="718EC1D9">
            <w:pPr>
              <w:rPr>
                <w:rFonts w:hint="default" w:ascii="Times New Roman" w:hAnsi="Times New Roman" w:cs="Times New Roman"/>
                <w:color w:val="000000" w:themeColor="text1"/>
                <w14:textFill>
                  <w14:solidFill>
                    <w14:schemeClr w14:val="tx1"/>
                  </w14:solidFill>
                </w14:textFill>
              </w:rPr>
            </w:pPr>
          </w:p>
          <w:p w14:paraId="1F675FF9">
            <w:pPr>
              <w:rPr>
                <w:rFonts w:hint="default" w:ascii="Times New Roman" w:hAnsi="Times New Roman" w:cs="Times New Roman"/>
                <w:color w:val="000000" w:themeColor="text1"/>
                <w14:textFill>
                  <w14:solidFill>
                    <w14:schemeClr w14:val="tx1"/>
                  </w14:solidFill>
                </w14:textFill>
              </w:rPr>
            </w:pPr>
          </w:p>
          <w:p w14:paraId="3680D4C3">
            <w:pPr>
              <w:rPr>
                <w:rFonts w:hint="default" w:ascii="Times New Roman" w:hAnsi="Times New Roman" w:cs="Times New Roman"/>
                <w:color w:val="000000" w:themeColor="text1"/>
                <w14:textFill>
                  <w14:solidFill>
                    <w14:schemeClr w14:val="tx1"/>
                  </w14:solidFill>
                </w14:textFill>
              </w:rPr>
            </w:pPr>
          </w:p>
          <w:p w14:paraId="31851FD0">
            <w:pPr>
              <w:rPr>
                <w:rFonts w:hint="default" w:ascii="Times New Roman" w:hAnsi="Times New Roman" w:cs="Times New Roman"/>
                <w:color w:val="000000" w:themeColor="text1"/>
                <w14:textFill>
                  <w14:solidFill>
                    <w14:schemeClr w14:val="tx1"/>
                  </w14:solidFill>
                </w14:textFill>
              </w:rPr>
            </w:pPr>
          </w:p>
          <w:p w14:paraId="6B5F2F8E">
            <w:pPr>
              <w:rPr>
                <w:rFonts w:hint="default" w:ascii="Times New Roman" w:hAnsi="Times New Roman" w:cs="Times New Roman"/>
                <w:color w:val="000000" w:themeColor="text1"/>
                <w14:textFill>
                  <w14:solidFill>
                    <w14:schemeClr w14:val="tx1"/>
                  </w14:solidFill>
                </w14:textFill>
              </w:rPr>
            </w:pPr>
          </w:p>
          <w:p w14:paraId="6E3D5EEA">
            <w:pPr>
              <w:rPr>
                <w:rFonts w:hint="default" w:ascii="Times New Roman" w:hAnsi="Times New Roman" w:cs="Times New Roman"/>
                <w:color w:val="000000" w:themeColor="text1"/>
                <w14:textFill>
                  <w14:solidFill>
                    <w14:schemeClr w14:val="tx1"/>
                  </w14:solidFill>
                </w14:textFill>
              </w:rPr>
            </w:pPr>
          </w:p>
          <w:p w14:paraId="3979B792">
            <w:pPr>
              <w:rPr>
                <w:rFonts w:hint="default" w:ascii="Times New Roman" w:hAnsi="Times New Roman" w:cs="Times New Roman"/>
                <w:color w:val="000000" w:themeColor="text1"/>
                <w14:textFill>
                  <w14:solidFill>
                    <w14:schemeClr w14:val="tx1"/>
                  </w14:solidFill>
                </w14:textFill>
              </w:rPr>
            </w:pPr>
          </w:p>
          <w:p w14:paraId="50A16646">
            <w:pPr>
              <w:pStyle w:val="45"/>
              <w:rPr>
                <w:rFonts w:hint="default" w:ascii="Times New Roman" w:hAnsi="Times New Roman" w:cs="Times New Roman"/>
                <w:color w:val="000000" w:themeColor="text1"/>
                <w14:textFill>
                  <w14:solidFill>
                    <w14:schemeClr w14:val="tx1"/>
                  </w14:solidFill>
                </w14:textFill>
              </w:rPr>
            </w:pPr>
          </w:p>
          <w:p w14:paraId="16A184A1">
            <w:pPr>
              <w:rPr>
                <w:rFonts w:hint="default" w:ascii="Times New Roman" w:hAnsi="Times New Roman" w:cs="Times New Roman"/>
                <w:color w:val="000000" w:themeColor="text1"/>
                <w14:textFill>
                  <w14:solidFill>
                    <w14:schemeClr w14:val="tx1"/>
                  </w14:solidFill>
                </w14:textFill>
              </w:rPr>
            </w:pPr>
          </w:p>
          <w:p w14:paraId="30C00DD0">
            <w:pPr>
              <w:ind w:left="0" w:leftChars="0" w:firstLine="0" w:firstLineChars="0"/>
              <w:rPr>
                <w:rFonts w:hint="default"/>
                <w:color w:val="000000" w:themeColor="text1"/>
                <w14:textFill>
                  <w14:solidFill>
                    <w14:schemeClr w14:val="tx1"/>
                  </w14:solidFill>
                </w14:textFill>
              </w:rPr>
            </w:pPr>
          </w:p>
        </w:tc>
      </w:tr>
    </w:tbl>
    <w:p w14:paraId="35B7E937">
      <w:pPr>
        <w:pStyle w:val="12"/>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jc w:val="center"/>
        <w:textAlignment w:val="auto"/>
        <w:rPr>
          <w:rStyle w:val="35"/>
          <w:rFonts w:hint="default" w:ascii="Times New Roman" w:hAnsi="Times New Roman" w:cs="Times New Roman"/>
          <w:b w:val="0"/>
          <w:bCs w:val="0"/>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br w:type="page"/>
      </w:r>
      <w:r>
        <w:rPr>
          <w:rStyle w:val="35"/>
          <w:rFonts w:hint="default" w:ascii="Times New Roman" w:hAnsi="Times New Roman" w:cs="Times New Roman"/>
          <w:b/>
          <w:bCs/>
          <w:color w:val="000000" w:themeColor="text1"/>
          <w:lang w:eastAsia="zh-CN"/>
          <w14:textFill>
            <w14:solidFill>
              <w14:schemeClr w14:val="tx1"/>
            </w14:solidFill>
          </w14:textFill>
        </w:rPr>
        <w:t>三、生态环境现状、保护目标及评价标准</w:t>
      </w:r>
    </w:p>
    <w:tbl>
      <w:tblPr>
        <w:tblStyle w:val="27"/>
        <w:tblW w:w="5026"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28" w:type="dxa"/>
          <w:left w:w="28" w:type="dxa"/>
          <w:bottom w:w="28" w:type="dxa"/>
          <w:right w:w="28" w:type="dxa"/>
        </w:tblCellMar>
      </w:tblPr>
      <w:tblGrid>
        <w:gridCol w:w="289"/>
        <w:gridCol w:w="8110"/>
      </w:tblGrid>
      <w:tr w14:paraId="0B6AFDD7">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28" w:type="dxa"/>
            <w:left w:w="28" w:type="dxa"/>
            <w:bottom w:w="28" w:type="dxa"/>
            <w:right w:w="28" w:type="dxa"/>
          </w:tblCellMar>
        </w:tblPrEx>
        <w:trPr>
          <w:trHeight w:val="1997" w:hRule="atLeast"/>
          <w:jc w:val="center"/>
        </w:trPr>
        <w:tc>
          <w:tcPr>
            <w:tcW w:w="172" w:type="pct"/>
            <w:noWrap w:val="0"/>
            <w:vAlign w:val="center"/>
          </w:tcPr>
          <w:p w14:paraId="5962FF29">
            <w:pPr>
              <w:adjustRightInd w:val="0"/>
              <w:snapToGrid w:val="0"/>
              <w:ind w:firstLine="0" w:firstLineChars="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生态环境现状</w:t>
            </w:r>
          </w:p>
        </w:tc>
        <w:tc>
          <w:tcPr>
            <w:tcW w:w="4827" w:type="pct"/>
            <w:noWrap w:val="0"/>
            <w:vAlign w:val="center"/>
          </w:tcPr>
          <w:p w14:paraId="61743019">
            <w:pPr>
              <w:adjustRightInd w:val="0"/>
              <w:snapToGrid w:val="0"/>
              <w:ind w:firstLine="482"/>
              <w:rPr>
                <w:rFonts w:hint="default" w:ascii="Times New Roman" w:hAnsi="Times New Roman" w:eastAsia="宋体" w:cs="Times New Roman"/>
                <w:b/>
                <w:color w:val="000000" w:themeColor="text1"/>
                <w:szCs w:val="22"/>
                <w:lang w:eastAsia="zh-CN"/>
                <w14:textFill>
                  <w14:solidFill>
                    <w14:schemeClr w14:val="tx1"/>
                  </w14:solidFill>
                </w14:textFill>
              </w:rPr>
            </w:pPr>
            <w:r>
              <w:rPr>
                <w:rFonts w:hint="default" w:ascii="Times New Roman" w:hAnsi="Times New Roman" w:cs="Times New Roman"/>
                <w:b/>
                <w:color w:val="000000" w:themeColor="text1"/>
                <w:szCs w:val="22"/>
                <w14:textFill>
                  <w14:solidFill>
                    <w14:schemeClr w14:val="tx1"/>
                  </w14:solidFill>
                </w14:textFill>
              </w:rPr>
              <w:t>1</w:t>
            </w:r>
            <w:r>
              <w:rPr>
                <w:rFonts w:hint="default" w:ascii="Times New Roman" w:hAnsi="Times New Roman" w:cs="Times New Roman"/>
                <w:b/>
                <w:color w:val="000000" w:themeColor="text1"/>
                <w:szCs w:val="22"/>
                <w:lang w:val="en-US" w:eastAsia="zh-CN"/>
                <w14:textFill>
                  <w14:solidFill>
                    <w14:schemeClr w14:val="tx1"/>
                  </w14:solidFill>
                </w14:textFill>
              </w:rPr>
              <w:t xml:space="preserve"> </w:t>
            </w:r>
            <w:r>
              <w:rPr>
                <w:rFonts w:hint="default" w:ascii="Times New Roman" w:hAnsi="Times New Roman" w:cs="Times New Roman"/>
                <w:b/>
                <w:color w:val="000000" w:themeColor="text1"/>
                <w:szCs w:val="22"/>
                <w14:textFill>
                  <w14:solidFill>
                    <w14:schemeClr w14:val="tx1"/>
                  </w14:solidFill>
                </w14:textFill>
              </w:rPr>
              <w:t>环境空气质量</w:t>
            </w:r>
            <w:r>
              <w:rPr>
                <w:rFonts w:hint="default" w:ascii="Times New Roman" w:hAnsi="Times New Roman" w:cs="Times New Roman"/>
                <w:b/>
                <w:color w:val="000000" w:themeColor="text1"/>
                <w:szCs w:val="22"/>
                <w:lang w:eastAsia="zh-CN"/>
                <w14:textFill>
                  <w14:solidFill>
                    <w14:schemeClr w14:val="tx1"/>
                  </w14:solidFill>
                </w14:textFill>
              </w:rPr>
              <w:t>现状</w:t>
            </w:r>
          </w:p>
          <w:p w14:paraId="3ADEFE1B">
            <w:pPr>
              <w:ind w:firstLine="480"/>
              <w:jc w:val="both"/>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本次评价采用《2023年宁夏生态环境质量状况公报》中固原市数据（PM</w:t>
            </w:r>
            <w:r>
              <w:rPr>
                <w:rFonts w:hint="default" w:ascii="Times New Roman" w:hAnsi="Times New Roman" w:cs="Times New Roman"/>
                <w:color w:val="000000" w:themeColor="text1"/>
                <w:vertAlign w:val="subscript"/>
                <w14:textFill>
                  <w14:solidFill>
                    <w14:schemeClr w14:val="tx1"/>
                  </w14:solidFill>
                </w14:textFill>
              </w:rPr>
              <w:t>10</w:t>
            </w:r>
            <w:r>
              <w:rPr>
                <w:rFonts w:hint="default" w:ascii="Times New Roman" w:hAnsi="Times New Roman" w:cs="Times New Roman"/>
                <w:color w:val="000000" w:themeColor="text1"/>
                <w14:textFill>
                  <w14:solidFill>
                    <w14:schemeClr w14:val="tx1"/>
                  </w14:solidFill>
                </w14:textFill>
              </w:rPr>
              <w:t>、PM</w:t>
            </w:r>
            <w:r>
              <w:rPr>
                <w:rFonts w:hint="default" w:ascii="Times New Roman" w:hAnsi="Times New Roman" w:cs="Times New Roman"/>
                <w:color w:val="000000" w:themeColor="text1"/>
                <w:vertAlign w:val="subscript"/>
                <w14:textFill>
                  <w14:solidFill>
                    <w14:schemeClr w14:val="tx1"/>
                  </w14:solidFill>
                </w14:textFill>
              </w:rPr>
              <w:t>2.5</w:t>
            </w:r>
            <w:r>
              <w:rPr>
                <w:rFonts w:hint="default" w:ascii="Times New Roman" w:hAnsi="Times New Roman" w:cs="Times New Roman"/>
                <w:color w:val="000000" w:themeColor="text1"/>
                <w14:textFill>
                  <w14:solidFill>
                    <w14:schemeClr w14:val="tx1"/>
                  </w14:solidFill>
                </w14:textFill>
              </w:rPr>
              <w:t>为剔除沙尘天气后）进行区域环境空气质量评价，固原市2023年6项基本污染物浓度见表3-1。</w:t>
            </w:r>
          </w:p>
          <w:p w14:paraId="1A99090C">
            <w:pPr>
              <w:pStyle w:val="63"/>
              <w:spacing w:line="240" w:lineRule="auto"/>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表3-1  区域公布的环境空气质量现状评价表</w:t>
            </w:r>
          </w:p>
          <w:tbl>
            <w:tblPr>
              <w:tblStyle w:val="27"/>
              <w:tblW w:w="799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864"/>
              <w:gridCol w:w="1064"/>
              <w:gridCol w:w="1063"/>
              <w:gridCol w:w="1064"/>
              <w:gridCol w:w="1090"/>
            </w:tblGrid>
            <w:tr w14:paraId="65604A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851" w:type="dxa"/>
                  <w:noWrap w:val="0"/>
                  <w:vAlign w:val="center"/>
                </w:tcPr>
                <w:p w14:paraId="77BE578F">
                  <w:pPr>
                    <w:pStyle w:val="70"/>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污染物</w:t>
                  </w:r>
                </w:p>
              </w:tc>
              <w:tc>
                <w:tcPr>
                  <w:tcW w:w="2864" w:type="dxa"/>
                  <w:noWrap w:val="0"/>
                  <w:vAlign w:val="center"/>
                </w:tcPr>
                <w:p w14:paraId="521F479F">
                  <w:pPr>
                    <w:pStyle w:val="70"/>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年评价指标</w:t>
                  </w:r>
                </w:p>
              </w:tc>
              <w:tc>
                <w:tcPr>
                  <w:tcW w:w="1064" w:type="dxa"/>
                  <w:noWrap w:val="0"/>
                  <w:vAlign w:val="center"/>
                </w:tcPr>
                <w:p w14:paraId="7F86EEB9">
                  <w:pPr>
                    <w:pStyle w:val="70"/>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现状浓度（μg/m</w:t>
                  </w:r>
                  <w:r>
                    <w:rPr>
                      <w:rFonts w:hint="default" w:ascii="Times New Roman" w:hAnsi="Times New Roman" w:cs="Times New Roman"/>
                      <w:b/>
                      <w:bCs/>
                      <w:color w:val="000000" w:themeColor="text1"/>
                      <w:highlight w:val="none"/>
                      <w:vertAlign w:val="superscript"/>
                      <w14:textFill>
                        <w14:solidFill>
                          <w14:schemeClr w14:val="tx1"/>
                        </w14:solidFill>
                      </w14:textFill>
                    </w:rPr>
                    <w:t>3</w:t>
                  </w:r>
                  <w:r>
                    <w:rPr>
                      <w:rFonts w:hint="default" w:ascii="Times New Roman" w:hAnsi="Times New Roman" w:cs="Times New Roman"/>
                      <w:b/>
                      <w:bCs/>
                      <w:color w:val="000000" w:themeColor="text1"/>
                      <w:highlight w:val="none"/>
                      <w14:textFill>
                        <w14:solidFill>
                          <w14:schemeClr w14:val="tx1"/>
                        </w14:solidFill>
                      </w14:textFill>
                    </w:rPr>
                    <w:t>）</w:t>
                  </w:r>
                </w:p>
              </w:tc>
              <w:tc>
                <w:tcPr>
                  <w:tcW w:w="1063" w:type="dxa"/>
                  <w:noWrap w:val="0"/>
                  <w:vAlign w:val="center"/>
                </w:tcPr>
                <w:p w14:paraId="02C805C2">
                  <w:pPr>
                    <w:pStyle w:val="70"/>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标准值（μg/m</w:t>
                  </w:r>
                  <w:r>
                    <w:rPr>
                      <w:rFonts w:hint="default" w:ascii="Times New Roman" w:hAnsi="Times New Roman" w:cs="Times New Roman"/>
                      <w:b/>
                      <w:bCs/>
                      <w:color w:val="000000" w:themeColor="text1"/>
                      <w:highlight w:val="none"/>
                      <w:vertAlign w:val="superscript"/>
                      <w14:textFill>
                        <w14:solidFill>
                          <w14:schemeClr w14:val="tx1"/>
                        </w14:solidFill>
                      </w14:textFill>
                    </w:rPr>
                    <w:t>3</w:t>
                  </w:r>
                  <w:r>
                    <w:rPr>
                      <w:rFonts w:hint="default" w:ascii="Times New Roman" w:hAnsi="Times New Roman" w:cs="Times New Roman"/>
                      <w:b/>
                      <w:bCs/>
                      <w:color w:val="000000" w:themeColor="text1"/>
                      <w:highlight w:val="none"/>
                      <w14:textFill>
                        <w14:solidFill>
                          <w14:schemeClr w14:val="tx1"/>
                        </w14:solidFill>
                      </w14:textFill>
                    </w:rPr>
                    <w:t>）</w:t>
                  </w:r>
                </w:p>
              </w:tc>
              <w:tc>
                <w:tcPr>
                  <w:tcW w:w="1064" w:type="dxa"/>
                  <w:noWrap w:val="0"/>
                  <w:vAlign w:val="center"/>
                </w:tcPr>
                <w:p w14:paraId="571E90FF">
                  <w:pPr>
                    <w:pStyle w:val="70"/>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占标率（%）</w:t>
                  </w:r>
                </w:p>
              </w:tc>
              <w:tc>
                <w:tcPr>
                  <w:tcW w:w="1090" w:type="dxa"/>
                  <w:noWrap w:val="0"/>
                  <w:vAlign w:val="center"/>
                </w:tcPr>
                <w:p w14:paraId="1484EAEF">
                  <w:pPr>
                    <w:pStyle w:val="70"/>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达标情况</w:t>
                  </w:r>
                </w:p>
              </w:tc>
            </w:tr>
            <w:tr w14:paraId="4B5767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851" w:type="dxa"/>
                  <w:noWrap w:val="0"/>
                  <w:vAlign w:val="center"/>
                </w:tcPr>
                <w:p w14:paraId="60C20144">
                  <w:pPr>
                    <w:pStyle w:val="70"/>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PM</w:t>
                  </w:r>
                  <w:r>
                    <w:rPr>
                      <w:rFonts w:hint="default" w:ascii="Times New Roman" w:hAnsi="Times New Roman" w:cs="Times New Roman"/>
                      <w:color w:val="000000" w:themeColor="text1"/>
                      <w:highlight w:val="none"/>
                      <w:vertAlign w:val="subscript"/>
                      <w14:textFill>
                        <w14:solidFill>
                          <w14:schemeClr w14:val="tx1"/>
                        </w14:solidFill>
                      </w14:textFill>
                    </w:rPr>
                    <w:t>10</w:t>
                  </w:r>
                </w:p>
              </w:tc>
              <w:tc>
                <w:tcPr>
                  <w:tcW w:w="2864" w:type="dxa"/>
                  <w:vMerge w:val="restart"/>
                  <w:noWrap w:val="0"/>
                  <w:vAlign w:val="center"/>
                </w:tcPr>
                <w:p w14:paraId="44F72742">
                  <w:pPr>
                    <w:pStyle w:val="70"/>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年平均质量浓度</w:t>
                  </w:r>
                </w:p>
              </w:tc>
              <w:tc>
                <w:tcPr>
                  <w:tcW w:w="1064" w:type="dxa"/>
                  <w:noWrap w:val="0"/>
                  <w:vAlign w:val="center"/>
                </w:tcPr>
                <w:p w14:paraId="7BF0E8F4">
                  <w:pPr>
                    <w:pStyle w:val="70"/>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48</w:t>
                  </w:r>
                </w:p>
              </w:tc>
              <w:tc>
                <w:tcPr>
                  <w:tcW w:w="1063" w:type="dxa"/>
                  <w:noWrap w:val="0"/>
                  <w:vAlign w:val="center"/>
                </w:tcPr>
                <w:p w14:paraId="4FAD8DB5">
                  <w:pPr>
                    <w:pStyle w:val="70"/>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70</w:t>
                  </w:r>
                </w:p>
              </w:tc>
              <w:tc>
                <w:tcPr>
                  <w:tcW w:w="1064" w:type="dxa"/>
                  <w:noWrap w:val="0"/>
                  <w:vAlign w:val="center"/>
                </w:tcPr>
                <w:p w14:paraId="6FB9710A">
                  <w:pPr>
                    <w:pStyle w:val="70"/>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68.6</w:t>
                  </w:r>
                </w:p>
              </w:tc>
              <w:tc>
                <w:tcPr>
                  <w:tcW w:w="1090" w:type="dxa"/>
                  <w:noWrap w:val="0"/>
                  <w:vAlign w:val="center"/>
                </w:tcPr>
                <w:p w14:paraId="42483ED7">
                  <w:pPr>
                    <w:pStyle w:val="70"/>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达标</w:t>
                  </w:r>
                </w:p>
              </w:tc>
            </w:tr>
            <w:tr w14:paraId="6C6731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851" w:type="dxa"/>
                  <w:noWrap w:val="0"/>
                  <w:vAlign w:val="center"/>
                </w:tcPr>
                <w:p w14:paraId="70DAD740">
                  <w:pPr>
                    <w:pStyle w:val="70"/>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PM</w:t>
                  </w:r>
                  <w:r>
                    <w:rPr>
                      <w:rFonts w:hint="default" w:ascii="Times New Roman" w:hAnsi="Times New Roman" w:cs="Times New Roman"/>
                      <w:color w:val="000000" w:themeColor="text1"/>
                      <w:highlight w:val="none"/>
                      <w:vertAlign w:val="subscript"/>
                      <w14:textFill>
                        <w14:solidFill>
                          <w14:schemeClr w14:val="tx1"/>
                        </w14:solidFill>
                      </w14:textFill>
                    </w:rPr>
                    <w:t>2.5</w:t>
                  </w:r>
                </w:p>
              </w:tc>
              <w:tc>
                <w:tcPr>
                  <w:tcW w:w="2864" w:type="dxa"/>
                  <w:vMerge w:val="continue"/>
                  <w:noWrap w:val="0"/>
                  <w:vAlign w:val="center"/>
                </w:tcPr>
                <w:p w14:paraId="7A654647">
                  <w:pPr>
                    <w:pStyle w:val="70"/>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p>
              </w:tc>
              <w:tc>
                <w:tcPr>
                  <w:tcW w:w="1064" w:type="dxa"/>
                  <w:noWrap w:val="0"/>
                  <w:vAlign w:val="center"/>
                </w:tcPr>
                <w:p w14:paraId="39AF3BFE">
                  <w:pPr>
                    <w:pStyle w:val="70"/>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28</w:t>
                  </w:r>
                </w:p>
              </w:tc>
              <w:tc>
                <w:tcPr>
                  <w:tcW w:w="1063" w:type="dxa"/>
                  <w:noWrap w:val="0"/>
                  <w:vAlign w:val="center"/>
                </w:tcPr>
                <w:p w14:paraId="19447794">
                  <w:pPr>
                    <w:pStyle w:val="70"/>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35</w:t>
                  </w:r>
                </w:p>
              </w:tc>
              <w:tc>
                <w:tcPr>
                  <w:tcW w:w="1064" w:type="dxa"/>
                  <w:noWrap w:val="0"/>
                  <w:vAlign w:val="center"/>
                </w:tcPr>
                <w:p w14:paraId="3A1D914D">
                  <w:pPr>
                    <w:pStyle w:val="70"/>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80.0</w:t>
                  </w:r>
                </w:p>
              </w:tc>
              <w:tc>
                <w:tcPr>
                  <w:tcW w:w="1090" w:type="dxa"/>
                  <w:noWrap w:val="0"/>
                  <w:vAlign w:val="center"/>
                </w:tcPr>
                <w:p w14:paraId="1D889759">
                  <w:pPr>
                    <w:pStyle w:val="70"/>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达标</w:t>
                  </w:r>
                </w:p>
              </w:tc>
            </w:tr>
            <w:tr w14:paraId="0A17DF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851" w:type="dxa"/>
                  <w:noWrap w:val="0"/>
                  <w:vAlign w:val="center"/>
                </w:tcPr>
                <w:p w14:paraId="6CF8BF7B">
                  <w:pPr>
                    <w:pStyle w:val="70"/>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SO</w:t>
                  </w:r>
                  <w:r>
                    <w:rPr>
                      <w:rFonts w:hint="default" w:ascii="Times New Roman" w:hAnsi="Times New Roman" w:cs="Times New Roman"/>
                      <w:color w:val="000000" w:themeColor="text1"/>
                      <w:highlight w:val="none"/>
                      <w:vertAlign w:val="subscript"/>
                      <w14:textFill>
                        <w14:solidFill>
                          <w14:schemeClr w14:val="tx1"/>
                        </w14:solidFill>
                      </w14:textFill>
                    </w:rPr>
                    <w:t>2</w:t>
                  </w:r>
                </w:p>
              </w:tc>
              <w:tc>
                <w:tcPr>
                  <w:tcW w:w="2864" w:type="dxa"/>
                  <w:vMerge w:val="continue"/>
                  <w:noWrap w:val="0"/>
                  <w:vAlign w:val="center"/>
                </w:tcPr>
                <w:p w14:paraId="3F96186E">
                  <w:pPr>
                    <w:pStyle w:val="70"/>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p>
              </w:tc>
              <w:tc>
                <w:tcPr>
                  <w:tcW w:w="1064" w:type="dxa"/>
                  <w:noWrap w:val="0"/>
                  <w:vAlign w:val="center"/>
                </w:tcPr>
                <w:p w14:paraId="75EA093A">
                  <w:pPr>
                    <w:pStyle w:val="70"/>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6</w:t>
                  </w:r>
                </w:p>
              </w:tc>
              <w:tc>
                <w:tcPr>
                  <w:tcW w:w="1063" w:type="dxa"/>
                  <w:noWrap w:val="0"/>
                  <w:vAlign w:val="center"/>
                </w:tcPr>
                <w:p w14:paraId="0755A5F7">
                  <w:pPr>
                    <w:pStyle w:val="70"/>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60</w:t>
                  </w:r>
                </w:p>
              </w:tc>
              <w:tc>
                <w:tcPr>
                  <w:tcW w:w="1064" w:type="dxa"/>
                  <w:noWrap w:val="0"/>
                  <w:vAlign w:val="center"/>
                </w:tcPr>
                <w:p w14:paraId="27668470">
                  <w:pPr>
                    <w:pStyle w:val="70"/>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10.0</w:t>
                  </w:r>
                </w:p>
              </w:tc>
              <w:tc>
                <w:tcPr>
                  <w:tcW w:w="1090" w:type="dxa"/>
                  <w:noWrap w:val="0"/>
                  <w:vAlign w:val="center"/>
                </w:tcPr>
                <w:p w14:paraId="1EB20C60">
                  <w:pPr>
                    <w:pStyle w:val="70"/>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达标</w:t>
                  </w:r>
                </w:p>
              </w:tc>
            </w:tr>
            <w:tr w14:paraId="0B8B36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851" w:type="dxa"/>
                  <w:noWrap w:val="0"/>
                  <w:vAlign w:val="center"/>
                </w:tcPr>
                <w:p w14:paraId="20E7B609">
                  <w:pPr>
                    <w:pStyle w:val="70"/>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NO</w:t>
                  </w:r>
                  <w:r>
                    <w:rPr>
                      <w:rFonts w:hint="default" w:ascii="Times New Roman" w:hAnsi="Times New Roman" w:cs="Times New Roman"/>
                      <w:color w:val="000000" w:themeColor="text1"/>
                      <w:highlight w:val="none"/>
                      <w:vertAlign w:val="subscript"/>
                      <w14:textFill>
                        <w14:solidFill>
                          <w14:schemeClr w14:val="tx1"/>
                        </w14:solidFill>
                      </w14:textFill>
                    </w:rPr>
                    <w:t>2</w:t>
                  </w:r>
                </w:p>
              </w:tc>
              <w:tc>
                <w:tcPr>
                  <w:tcW w:w="2864" w:type="dxa"/>
                  <w:vMerge w:val="continue"/>
                  <w:noWrap w:val="0"/>
                  <w:vAlign w:val="center"/>
                </w:tcPr>
                <w:p w14:paraId="7FD46A76">
                  <w:pPr>
                    <w:pStyle w:val="70"/>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p>
              </w:tc>
              <w:tc>
                <w:tcPr>
                  <w:tcW w:w="1064" w:type="dxa"/>
                  <w:noWrap w:val="0"/>
                  <w:vAlign w:val="center"/>
                </w:tcPr>
                <w:p w14:paraId="4123203B">
                  <w:pPr>
                    <w:pStyle w:val="70"/>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18</w:t>
                  </w:r>
                </w:p>
              </w:tc>
              <w:tc>
                <w:tcPr>
                  <w:tcW w:w="1063" w:type="dxa"/>
                  <w:noWrap w:val="0"/>
                  <w:vAlign w:val="center"/>
                </w:tcPr>
                <w:p w14:paraId="34858EE0">
                  <w:pPr>
                    <w:pStyle w:val="70"/>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40</w:t>
                  </w:r>
                </w:p>
              </w:tc>
              <w:tc>
                <w:tcPr>
                  <w:tcW w:w="1064" w:type="dxa"/>
                  <w:noWrap w:val="0"/>
                  <w:vAlign w:val="center"/>
                </w:tcPr>
                <w:p w14:paraId="78F99F53">
                  <w:pPr>
                    <w:pStyle w:val="70"/>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45.0</w:t>
                  </w:r>
                </w:p>
              </w:tc>
              <w:tc>
                <w:tcPr>
                  <w:tcW w:w="1090" w:type="dxa"/>
                  <w:noWrap w:val="0"/>
                  <w:vAlign w:val="center"/>
                </w:tcPr>
                <w:p w14:paraId="2910DC67">
                  <w:pPr>
                    <w:pStyle w:val="70"/>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达标</w:t>
                  </w:r>
                </w:p>
              </w:tc>
            </w:tr>
            <w:tr w14:paraId="390451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51" w:type="dxa"/>
                  <w:noWrap w:val="0"/>
                  <w:vAlign w:val="center"/>
                </w:tcPr>
                <w:p w14:paraId="2C4A372E">
                  <w:pPr>
                    <w:pStyle w:val="70"/>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CO</w:t>
                  </w:r>
                </w:p>
              </w:tc>
              <w:tc>
                <w:tcPr>
                  <w:tcW w:w="2864" w:type="dxa"/>
                  <w:noWrap w:val="0"/>
                  <w:vAlign w:val="center"/>
                </w:tcPr>
                <w:p w14:paraId="3C716D4C">
                  <w:pPr>
                    <w:pStyle w:val="70"/>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24h平均第95百分位数（mg/m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w:t>
                  </w:r>
                </w:p>
              </w:tc>
              <w:tc>
                <w:tcPr>
                  <w:tcW w:w="1064" w:type="dxa"/>
                  <w:noWrap w:val="0"/>
                  <w:vAlign w:val="center"/>
                </w:tcPr>
                <w:p w14:paraId="509F3016">
                  <w:pPr>
                    <w:pStyle w:val="70"/>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1.0</w:t>
                  </w:r>
                </w:p>
              </w:tc>
              <w:tc>
                <w:tcPr>
                  <w:tcW w:w="1063" w:type="dxa"/>
                  <w:noWrap w:val="0"/>
                  <w:vAlign w:val="center"/>
                </w:tcPr>
                <w:p w14:paraId="19FD9244">
                  <w:pPr>
                    <w:pStyle w:val="70"/>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w:t>
                  </w:r>
                </w:p>
              </w:tc>
              <w:tc>
                <w:tcPr>
                  <w:tcW w:w="1064" w:type="dxa"/>
                  <w:noWrap w:val="0"/>
                  <w:vAlign w:val="center"/>
                </w:tcPr>
                <w:p w14:paraId="0BA21C95">
                  <w:pPr>
                    <w:pStyle w:val="70"/>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25.0</w:t>
                  </w:r>
                </w:p>
              </w:tc>
              <w:tc>
                <w:tcPr>
                  <w:tcW w:w="1090" w:type="dxa"/>
                  <w:noWrap w:val="0"/>
                  <w:vAlign w:val="center"/>
                </w:tcPr>
                <w:p w14:paraId="7F8F9E16">
                  <w:pPr>
                    <w:pStyle w:val="70"/>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达标</w:t>
                  </w:r>
                </w:p>
              </w:tc>
            </w:tr>
            <w:tr w14:paraId="4ECB9B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851" w:type="dxa"/>
                  <w:noWrap w:val="0"/>
                  <w:vAlign w:val="center"/>
                </w:tcPr>
                <w:p w14:paraId="2B7E6DED">
                  <w:pPr>
                    <w:pStyle w:val="70"/>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O</w:t>
                  </w:r>
                  <w:r>
                    <w:rPr>
                      <w:rFonts w:hint="default" w:ascii="Times New Roman" w:hAnsi="Times New Roman" w:cs="Times New Roman"/>
                      <w:color w:val="000000" w:themeColor="text1"/>
                      <w:highlight w:val="none"/>
                      <w:vertAlign w:val="subscript"/>
                      <w14:textFill>
                        <w14:solidFill>
                          <w14:schemeClr w14:val="tx1"/>
                        </w14:solidFill>
                      </w14:textFill>
                    </w:rPr>
                    <w:t>3</w:t>
                  </w:r>
                </w:p>
              </w:tc>
              <w:tc>
                <w:tcPr>
                  <w:tcW w:w="2864" w:type="dxa"/>
                  <w:noWrap w:val="0"/>
                  <w:vAlign w:val="center"/>
                </w:tcPr>
                <w:p w14:paraId="5AFC35EE">
                  <w:pPr>
                    <w:pStyle w:val="70"/>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日最大8h平均值第90百分位数</w:t>
                  </w:r>
                </w:p>
              </w:tc>
              <w:tc>
                <w:tcPr>
                  <w:tcW w:w="1064" w:type="dxa"/>
                  <w:noWrap w:val="0"/>
                  <w:vAlign w:val="center"/>
                </w:tcPr>
                <w:p w14:paraId="20096659">
                  <w:pPr>
                    <w:pStyle w:val="70"/>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131</w:t>
                  </w:r>
                </w:p>
              </w:tc>
              <w:tc>
                <w:tcPr>
                  <w:tcW w:w="1063" w:type="dxa"/>
                  <w:noWrap w:val="0"/>
                  <w:vAlign w:val="center"/>
                </w:tcPr>
                <w:p w14:paraId="5FED0EC7">
                  <w:pPr>
                    <w:pStyle w:val="70"/>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160</w:t>
                  </w:r>
                </w:p>
              </w:tc>
              <w:tc>
                <w:tcPr>
                  <w:tcW w:w="1064" w:type="dxa"/>
                  <w:noWrap w:val="0"/>
                  <w:vAlign w:val="center"/>
                </w:tcPr>
                <w:p w14:paraId="12BCA1A4">
                  <w:pPr>
                    <w:pStyle w:val="70"/>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81.88</w:t>
                  </w:r>
                </w:p>
              </w:tc>
              <w:tc>
                <w:tcPr>
                  <w:tcW w:w="1090" w:type="dxa"/>
                  <w:noWrap w:val="0"/>
                  <w:vAlign w:val="center"/>
                </w:tcPr>
                <w:p w14:paraId="31E8E142">
                  <w:pPr>
                    <w:pStyle w:val="70"/>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达标</w:t>
                  </w:r>
                </w:p>
              </w:tc>
            </w:tr>
          </w:tbl>
          <w:p w14:paraId="26F308ED">
            <w:pPr>
              <w:pStyle w:val="14"/>
              <w:adjustRightInd w:val="0"/>
              <w:snapToGrid w:val="0"/>
              <w:ind w:firstLine="480"/>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kern w:val="0"/>
                <w:szCs w:val="24"/>
                <w:lang w:bidi="ar"/>
                <w14:textFill>
                  <w14:solidFill>
                    <w14:schemeClr w14:val="tx1"/>
                  </w14:solidFill>
                </w14:textFill>
              </w:rPr>
              <w:t>由上表可看出，</w:t>
            </w:r>
            <w:r>
              <w:rPr>
                <w:rFonts w:hint="default" w:ascii="Times New Roman" w:hAnsi="Times New Roman" w:cs="Times New Roman"/>
                <w:color w:val="000000" w:themeColor="text1"/>
                <w:szCs w:val="24"/>
                <w14:textFill>
                  <w14:solidFill>
                    <w14:schemeClr w14:val="tx1"/>
                  </w14:solidFill>
                </w14:textFill>
              </w:rPr>
              <w:t>评价区范围内PM</w:t>
            </w:r>
            <w:r>
              <w:rPr>
                <w:rFonts w:hint="default" w:ascii="Times New Roman" w:hAnsi="Times New Roman" w:cs="Times New Roman"/>
                <w:color w:val="000000" w:themeColor="text1"/>
                <w:szCs w:val="24"/>
                <w:vertAlign w:val="subscript"/>
                <w14:textFill>
                  <w14:solidFill>
                    <w14:schemeClr w14:val="tx1"/>
                  </w14:solidFill>
                </w14:textFill>
              </w:rPr>
              <w:t>10</w:t>
            </w:r>
            <w:r>
              <w:rPr>
                <w:rFonts w:hint="default" w:ascii="Times New Roman" w:hAnsi="Times New Roman" w:cs="Times New Roman"/>
                <w:color w:val="000000" w:themeColor="text1"/>
                <w:szCs w:val="24"/>
                <w14:textFill>
                  <w14:solidFill>
                    <w14:schemeClr w14:val="tx1"/>
                  </w14:solidFill>
                </w14:textFill>
              </w:rPr>
              <w:t>、PM</w:t>
            </w:r>
            <w:r>
              <w:rPr>
                <w:rFonts w:hint="default" w:ascii="Times New Roman" w:hAnsi="Times New Roman" w:cs="Times New Roman"/>
                <w:color w:val="000000" w:themeColor="text1"/>
                <w:szCs w:val="24"/>
                <w:vertAlign w:val="subscript"/>
                <w14:textFill>
                  <w14:solidFill>
                    <w14:schemeClr w14:val="tx1"/>
                  </w14:solidFill>
                </w14:textFill>
              </w:rPr>
              <w:t>2.5</w:t>
            </w:r>
            <w:r>
              <w:rPr>
                <w:rFonts w:hint="default" w:ascii="Times New Roman" w:hAnsi="Times New Roman" w:cs="Times New Roman"/>
                <w:color w:val="000000" w:themeColor="text1"/>
                <w:szCs w:val="24"/>
                <w14:textFill>
                  <w14:solidFill>
                    <w14:schemeClr w14:val="tx1"/>
                  </w14:solidFill>
                </w14:textFill>
              </w:rPr>
              <w:t>、SO</w:t>
            </w:r>
            <w:r>
              <w:rPr>
                <w:rFonts w:hint="default" w:ascii="Times New Roman" w:hAnsi="Times New Roman" w:cs="Times New Roman"/>
                <w:color w:val="000000" w:themeColor="text1"/>
                <w:szCs w:val="24"/>
                <w:vertAlign w:val="subscript"/>
                <w14:textFill>
                  <w14:solidFill>
                    <w14:schemeClr w14:val="tx1"/>
                  </w14:solidFill>
                </w14:textFill>
              </w:rPr>
              <w:t>2</w:t>
            </w:r>
            <w:r>
              <w:rPr>
                <w:rFonts w:hint="default" w:ascii="Times New Roman" w:hAnsi="Times New Roman" w:cs="Times New Roman"/>
                <w:color w:val="000000" w:themeColor="text1"/>
                <w:szCs w:val="24"/>
                <w14:textFill>
                  <w14:solidFill>
                    <w14:schemeClr w14:val="tx1"/>
                  </w14:solidFill>
                </w14:textFill>
              </w:rPr>
              <w:t>、NO</w:t>
            </w:r>
            <w:r>
              <w:rPr>
                <w:rFonts w:hint="default" w:ascii="Times New Roman" w:hAnsi="Times New Roman" w:cs="Times New Roman"/>
                <w:color w:val="000000" w:themeColor="text1"/>
                <w:szCs w:val="24"/>
                <w:vertAlign w:val="subscript"/>
                <w14:textFill>
                  <w14:solidFill>
                    <w14:schemeClr w14:val="tx1"/>
                  </w14:solidFill>
                </w14:textFill>
              </w:rPr>
              <w:t>2</w:t>
            </w:r>
            <w:r>
              <w:rPr>
                <w:rFonts w:hint="default" w:ascii="Times New Roman" w:hAnsi="Times New Roman" w:cs="Times New Roman"/>
                <w:color w:val="000000" w:themeColor="text1"/>
                <w:szCs w:val="24"/>
                <w14:textFill>
                  <w14:solidFill>
                    <w14:schemeClr w14:val="tx1"/>
                  </w14:solidFill>
                </w14:textFill>
              </w:rPr>
              <w:t>、的年平均质量浓度</w:t>
            </w:r>
            <w:r>
              <w:rPr>
                <w:rFonts w:hint="default" w:ascii="Times New Roman" w:hAnsi="Times New Roman" w:cs="Times New Roman"/>
                <w:color w:val="000000" w:themeColor="text1"/>
                <w:szCs w:val="24"/>
                <w:lang w:eastAsia="zh-CN"/>
                <w14:textFill>
                  <w14:solidFill>
                    <w14:schemeClr w14:val="tx1"/>
                  </w14:solidFill>
                </w14:textFill>
              </w:rPr>
              <w:t>、</w:t>
            </w:r>
            <w:r>
              <w:rPr>
                <w:rFonts w:hint="default" w:ascii="Times New Roman" w:hAnsi="Times New Roman" w:cs="Times New Roman"/>
                <w:color w:val="000000" w:themeColor="text1"/>
                <w:szCs w:val="24"/>
                <w14:textFill>
                  <w14:solidFill>
                    <w14:schemeClr w14:val="tx1"/>
                  </w14:solidFill>
                </w14:textFill>
              </w:rPr>
              <w:t>C</w:t>
            </w:r>
            <w:r>
              <w:rPr>
                <w:rFonts w:hint="default" w:ascii="Times New Roman" w:hAnsi="Times New Roman" w:eastAsia="宋体" w:cs="Times New Roman"/>
                <w:color w:val="000000" w:themeColor="text1"/>
                <w:szCs w:val="24"/>
                <w14:textFill>
                  <w14:solidFill>
                    <w14:schemeClr w14:val="tx1"/>
                  </w14:solidFill>
                </w14:textFill>
              </w:rPr>
              <w:t>O</w:t>
            </w:r>
            <w:r>
              <w:rPr>
                <w:rFonts w:hint="default" w:ascii="Times New Roman" w:hAnsi="Times New Roman" w:eastAsia="宋体" w:cs="Times New Roman"/>
                <w:color w:val="000000" w:themeColor="text1"/>
                <w:szCs w:val="24"/>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Cs w:val="24"/>
                <w14:textFill>
                  <w14:solidFill>
                    <w14:schemeClr w14:val="tx1"/>
                  </w14:solidFill>
                </w14:textFill>
              </w:rPr>
              <w:t>24小时平均第95百分位数、O</w:t>
            </w:r>
            <w:r>
              <w:rPr>
                <w:rFonts w:hint="default" w:ascii="Times New Roman" w:hAnsi="Times New Roman" w:eastAsia="宋体" w:cs="Times New Roman"/>
                <w:color w:val="000000" w:themeColor="text1"/>
                <w:szCs w:val="24"/>
                <w:vertAlign w:val="subscript"/>
                <w14:textFill>
                  <w14:solidFill>
                    <w14:schemeClr w14:val="tx1"/>
                  </w14:solidFill>
                </w14:textFill>
              </w:rPr>
              <w:t>3</w:t>
            </w:r>
            <w:r>
              <w:rPr>
                <w:rFonts w:hint="default" w:ascii="Times New Roman" w:hAnsi="Times New Roman" w:eastAsia="宋体" w:cs="Times New Roman"/>
                <w:color w:val="000000" w:themeColor="text1"/>
                <w:szCs w:val="24"/>
                <w:lang w:val="en-US" w:eastAsia="zh-CN"/>
                <w14:textFill>
                  <w14:solidFill>
                    <w14:schemeClr w14:val="tx1"/>
                  </w14:solidFill>
                </w14:textFill>
              </w:rPr>
              <w:t>日最大8小时平均值第90百分位</w:t>
            </w:r>
            <w:r>
              <w:rPr>
                <w:rFonts w:hint="default" w:ascii="Times New Roman" w:hAnsi="Times New Roman" w:eastAsia="宋体" w:cs="Times New Roman"/>
                <w:color w:val="000000" w:themeColor="text1"/>
                <w:szCs w:val="24"/>
                <w14:textFill>
                  <w14:solidFill>
                    <w14:schemeClr w14:val="tx1"/>
                  </w14:solidFill>
                </w14:textFill>
              </w:rPr>
              <w:t>数均满足《环境空气质量标准》（GB3095-2012）及2018年修改单中的二级标准，根据《环境影响评价技术导则大气环境》（HJ2.2-2018）6.4.1.1的要求，六项污染物全部达标即为城</w:t>
            </w:r>
            <w:r>
              <w:rPr>
                <w:rFonts w:hint="default" w:ascii="Times New Roman" w:hAnsi="Times New Roman" w:cs="Times New Roman"/>
                <w:color w:val="000000" w:themeColor="text1"/>
                <w:szCs w:val="24"/>
                <w14:textFill>
                  <w14:solidFill>
                    <w14:schemeClr w14:val="tx1"/>
                  </w14:solidFill>
                </w14:textFill>
              </w:rPr>
              <w:t>市环境空气质量达标，因此，本项目所在区域环境空气质量为达标区。</w:t>
            </w:r>
          </w:p>
          <w:p w14:paraId="54C1F961">
            <w:pPr>
              <w:adjustRightInd w:val="0"/>
              <w:snapToGrid w:val="0"/>
              <w:ind w:firstLine="482"/>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2</w:t>
            </w:r>
            <w:r>
              <w:rPr>
                <w:rFonts w:hint="default" w:ascii="Times New Roman" w:hAnsi="Times New Roman" w:cs="Times New Roman"/>
                <w:b/>
                <w:bCs/>
                <w:color w:val="000000" w:themeColor="text1"/>
                <w:highlight w:val="none"/>
                <w:lang w:val="en-US" w:eastAsia="zh-CN"/>
                <w14:textFill>
                  <w14:solidFill>
                    <w14:schemeClr w14:val="tx1"/>
                  </w14:solidFill>
                </w14:textFill>
              </w:rPr>
              <w:t xml:space="preserve"> </w:t>
            </w:r>
            <w:r>
              <w:rPr>
                <w:rFonts w:hint="default" w:ascii="Times New Roman" w:hAnsi="Times New Roman" w:cs="Times New Roman"/>
                <w:b/>
                <w:bCs/>
                <w:color w:val="000000" w:themeColor="text1"/>
                <w:highlight w:val="none"/>
                <w14:textFill>
                  <w14:solidFill>
                    <w14:schemeClr w14:val="tx1"/>
                  </w14:solidFill>
                </w14:textFill>
              </w:rPr>
              <w:t>地表水环境质量</w:t>
            </w:r>
            <w:r>
              <w:rPr>
                <w:rFonts w:hint="default" w:ascii="Times New Roman" w:hAnsi="Times New Roman" w:cs="Times New Roman"/>
                <w:b/>
                <w:bCs/>
                <w:color w:val="000000" w:themeColor="text1"/>
                <w:highlight w:val="none"/>
                <w:lang w:eastAsia="zh-CN"/>
                <w14:textFill>
                  <w14:solidFill>
                    <w14:schemeClr w14:val="tx1"/>
                  </w14:solidFill>
                </w14:textFill>
              </w:rPr>
              <w:t>现状</w:t>
            </w:r>
          </w:p>
          <w:p w14:paraId="6F2C1C46">
            <w:pPr>
              <w:autoSpaceDE w:val="0"/>
              <w:autoSpaceDN w:val="0"/>
              <w:adjustRightInd w:val="0"/>
              <w:snapToGrid w:val="0"/>
              <w:ind w:firstLine="470" w:firstLineChars="196"/>
              <w:jc w:val="both"/>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cs="Times New Roman"/>
                <w:bCs/>
                <w:color w:val="000000" w:themeColor="text1"/>
                <w:sz w:val="24"/>
                <w:lang w:val="en-US" w:eastAsia="zh-CN"/>
                <w14:textFill>
                  <w14:solidFill>
                    <w14:schemeClr w14:val="tx1"/>
                  </w14:solidFill>
                </w14:textFill>
              </w:rPr>
              <w:t>本项目产业发展部分项目区域无陆地表面的河流（江河、运河及渠道）、湖泊、水库等地表水体，因此不进行地表水环境现状调查。</w:t>
            </w:r>
          </w:p>
          <w:p w14:paraId="64B55A84">
            <w:pPr>
              <w:autoSpaceDE w:val="0"/>
              <w:autoSpaceDN w:val="0"/>
              <w:adjustRightInd w:val="0"/>
              <w:snapToGrid w:val="0"/>
              <w:ind w:firstLine="472" w:firstLineChars="196"/>
              <w:rPr>
                <w:rFonts w:hint="default" w:ascii="Times New Roman" w:hAnsi="Times New Roman" w:eastAsia="宋体" w:cs="Times New Roman"/>
                <w:b/>
                <w:color w:val="000000" w:themeColor="text1"/>
                <w:lang w:eastAsia="zh-CN"/>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3</w:t>
            </w:r>
            <w:r>
              <w:rPr>
                <w:rFonts w:hint="default" w:ascii="Times New Roman" w:hAnsi="Times New Roman" w:cs="Times New Roman"/>
                <w:b/>
                <w:color w:val="000000" w:themeColor="text1"/>
                <w:lang w:val="en-US" w:eastAsia="zh-CN"/>
                <w14:textFill>
                  <w14:solidFill>
                    <w14:schemeClr w14:val="tx1"/>
                  </w14:solidFill>
                </w14:textFill>
              </w:rPr>
              <w:t xml:space="preserve"> </w:t>
            </w:r>
            <w:r>
              <w:rPr>
                <w:rFonts w:hint="default" w:ascii="Times New Roman" w:hAnsi="Times New Roman" w:cs="Times New Roman"/>
                <w:b/>
                <w:color w:val="000000" w:themeColor="text1"/>
                <w14:textFill>
                  <w14:solidFill>
                    <w14:schemeClr w14:val="tx1"/>
                  </w14:solidFill>
                </w14:textFill>
              </w:rPr>
              <w:t>声</w:t>
            </w:r>
            <w:r>
              <w:rPr>
                <w:rFonts w:hint="default" w:ascii="Times New Roman" w:hAnsi="Times New Roman" w:cs="Times New Roman"/>
                <w:b/>
                <w:color w:val="000000" w:themeColor="text1"/>
                <w:lang w:eastAsia="zh-CN"/>
                <w14:textFill>
                  <w14:solidFill>
                    <w14:schemeClr w14:val="tx1"/>
                  </w14:solidFill>
                </w14:textFill>
              </w:rPr>
              <w:t>环境质量现状</w:t>
            </w:r>
          </w:p>
          <w:p w14:paraId="74638708">
            <w:pPr>
              <w:autoSpaceDE w:val="0"/>
              <w:autoSpaceDN w:val="0"/>
              <w:adjustRightInd w:val="0"/>
              <w:ind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cs="Times New Roman"/>
                <w:b w:val="0"/>
                <w:bCs/>
                <w:color w:val="000000" w:themeColor="text1"/>
                <w:lang w:val="en-US" w:eastAsia="zh-CN"/>
                <w14:textFill>
                  <w14:solidFill>
                    <w14:schemeClr w14:val="tx1"/>
                  </w14:solidFill>
                </w14:textFill>
              </w:rPr>
              <w:t>本项目位于泾源县黄花乡，项目200米范围内无医院、学校、机关、科研单位、住宅等需要保持安静的声环境保护目标，无需进行声环境质量现状评价。</w:t>
            </w:r>
          </w:p>
          <w:p w14:paraId="31F96BFE">
            <w:pPr>
              <w:autoSpaceDE w:val="0"/>
              <w:autoSpaceDN w:val="0"/>
              <w:adjustRightInd w:val="0"/>
              <w:ind w:firstLine="482"/>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4</w:t>
            </w:r>
            <w:r>
              <w:rPr>
                <w:rFonts w:hint="default" w:ascii="Times New Roman" w:hAnsi="Times New Roman" w:cs="Times New Roman"/>
                <w:b/>
                <w:bCs/>
                <w:color w:val="000000" w:themeColor="text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highlight w:val="none"/>
                <w14:textFill>
                  <w14:solidFill>
                    <w14:schemeClr w14:val="tx1"/>
                  </w14:solidFill>
                </w14:textFill>
              </w:rPr>
              <w:t>土壤</w:t>
            </w:r>
            <w:r>
              <w:rPr>
                <w:rFonts w:hint="default" w:ascii="Times New Roman" w:hAnsi="Times New Roman" w:eastAsia="宋体" w:cs="Times New Roman"/>
                <w:b/>
                <w:bCs/>
                <w:color w:val="000000" w:themeColor="text1"/>
                <w:highlight w:val="none"/>
                <w:lang w:eastAsia="zh-CN"/>
                <w14:textFill>
                  <w14:solidFill>
                    <w14:schemeClr w14:val="tx1"/>
                  </w14:solidFill>
                </w14:textFill>
              </w:rPr>
              <w:t>环境现状</w:t>
            </w:r>
          </w:p>
          <w:p w14:paraId="682389E2">
            <w:pPr>
              <w:autoSpaceDE w:val="0"/>
              <w:autoSpaceDN w:val="0"/>
              <w:adjustRightInd w:val="0"/>
              <w:ind w:firstLine="480"/>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color w:val="000000" w:themeColor="text1"/>
                <w:highlight w:val="none"/>
                <w:lang w:eastAsia="zh-CN"/>
                <w14:textFill>
                  <w14:solidFill>
                    <w14:schemeClr w14:val="tx1"/>
                  </w14:solidFill>
                </w14:textFill>
              </w:rPr>
              <w:t>）土壤类型</w:t>
            </w:r>
          </w:p>
          <w:p w14:paraId="7CC52A39">
            <w:pPr>
              <w:autoSpaceDE w:val="0"/>
              <w:autoSpaceDN w:val="0"/>
              <w:adjustRightInd w:val="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评价区域土壤主要为灰褐，土类型主要以新积土为主。不存在黄绵土及灰钙土。</w:t>
            </w:r>
          </w:p>
          <w:p w14:paraId="19539D2A">
            <w:pPr>
              <w:autoSpaceDE w:val="0"/>
              <w:autoSpaceDN w:val="0"/>
              <w:adjustRightInd w:val="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新积土是因河流涨水泥沙积石或因人工治河造田垫的新土而形成的土壤。多分布于河滩地。为幼龄星土壤，有机质含量降低。河流沉积的土壤剖面上下均匀，人工堆垫的土壤层次混乱。新积土地多处于海拔较低的河谷地带，水热条件较好，可作为造林地或农田，但要防止洪水冲刷。</w:t>
            </w:r>
          </w:p>
          <w:p w14:paraId="6661F1B2">
            <w:pPr>
              <w:adjustRightInd w:val="0"/>
              <w:snapToGrid w:val="0"/>
              <w:ind w:firstLine="480"/>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lang w:eastAsia="zh-CN"/>
                <w14:textFill>
                  <w14:solidFill>
                    <w14:schemeClr w14:val="tx1"/>
                  </w14:solidFill>
                </w14:textFill>
              </w:rPr>
              <w:t>）土壤侵蚀强度</w:t>
            </w:r>
          </w:p>
          <w:p w14:paraId="72DF1A8C">
            <w:pPr>
              <w:adjustRightInd w:val="0"/>
              <w:snapToGrid w:val="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固原市泾源县位于宁夏南部山区，地貌类型属黄土丘陵沟壑地貌，水土流失类型区属黄土丘陵沟壑区第二副区。项目区的水土流失形式为水力侵蚀。依据《开发建设项目水土流失防治标准》规定，产业园建设区水土流失防治标准的执行等级为一级标准。评价区以水力侵蚀为主的西北黄土高原区，土壤侵蚀模数允许值为1000t/km²•a。</w:t>
            </w:r>
          </w:p>
          <w:p w14:paraId="55B6C57E">
            <w:pPr>
              <w:adjustRightInd w:val="0"/>
              <w:snapToGrid w:val="0"/>
              <w:ind w:firstLine="48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查阅宁夏土壤侵蚀图和《土壤侵蚀分类分级标准》（SL190-2007），并结合项目区地形、地貌、土壤及植被覆盖度等情况综合分析，确定项目区的土壤侵蚀以水力侵蚀为主，侵蚀强度为中度，平均土壤侵蚀模数为1200t/km</w:t>
            </w:r>
            <w:r>
              <w:rPr>
                <w:rFonts w:hint="default" w:ascii="Times New Roman" w:hAnsi="Times New Roman" w:cs="Times New Roman"/>
                <w:color w:val="000000" w:themeColor="text1"/>
                <w:vertAlign w:val="super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•a。</w:t>
            </w:r>
          </w:p>
          <w:p w14:paraId="1A891E7D">
            <w:pPr>
              <w:ind w:firstLine="482"/>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 xml:space="preserve">5 </w:t>
            </w:r>
            <w:r>
              <w:rPr>
                <w:rFonts w:hint="default" w:ascii="Times New Roman" w:hAnsi="Times New Roman" w:eastAsia="宋体" w:cs="Times New Roman"/>
                <w:b/>
                <w:bCs/>
                <w:color w:val="000000" w:themeColor="text1"/>
                <w:lang w:val="en-US" w:eastAsia="zh-CN"/>
                <w14:textFill>
                  <w14:solidFill>
                    <w14:schemeClr w14:val="tx1"/>
                  </w14:solidFill>
                </w14:textFill>
              </w:rPr>
              <w:t>地下水环境</w:t>
            </w:r>
          </w:p>
          <w:p w14:paraId="6FB98881">
            <w:pPr>
              <w:ind w:firstLine="482"/>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本项目为</w:t>
            </w:r>
            <w:r>
              <w:rPr>
                <w:rFonts w:hint="default" w:ascii="Times New Roman" w:hAnsi="Times New Roman" w:cs="Times New Roman"/>
                <w:color w:val="000000" w:themeColor="text1"/>
                <w:sz w:val="24"/>
                <w:szCs w:val="24"/>
                <w:lang w:val="en-US" w:eastAsia="zh-CN"/>
                <w14:textFill>
                  <w14:solidFill>
                    <w14:schemeClr w14:val="tx1"/>
                  </w14:solidFill>
                </w14:textFill>
              </w:rPr>
              <w:t>房地产建设</w:t>
            </w:r>
            <w:r>
              <w:rPr>
                <w:rFonts w:hint="default" w:ascii="Times New Roman" w:hAnsi="Times New Roman" w:cs="Times New Roman"/>
                <w:color w:val="000000" w:themeColor="text1"/>
                <w:sz w:val="24"/>
                <w:szCs w:val="24"/>
                <w:lang w:eastAsia="zh-CN"/>
                <w14:textFill>
                  <w14:solidFill>
                    <w14:schemeClr w14:val="tx1"/>
                  </w14:solidFill>
                </w14:textFill>
              </w:rPr>
              <w:t>项目，根据《环境影响评价技术导则</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lang w:eastAsia="zh-CN"/>
                <w14:textFill>
                  <w14:solidFill>
                    <w14:schemeClr w14:val="tx1"/>
                  </w14:solidFill>
                </w14:textFill>
              </w:rPr>
              <w:t>地下水环境》（HJ610-2016）附录A，本项目属于“</w:t>
            </w:r>
            <w:r>
              <w:rPr>
                <w:rFonts w:hint="default" w:ascii="Times New Roman" w:hAnsi="Times New Roman" w:cs="Times New Roman"/>
                <w:color w:val="000000" w:themeColor="text1"/>
                <w:sz w:val="24"/>
                <w:szCs w:val="24"/>
                <w:lang w:val="en-US" w:eastAsia="zh-CN"/>
                <w14:textFill>
                  <w14:solidFill>
                    <w14:schemeClr w14:val="tx1"/>
                  </w14:solidFill>
                </w14:textFill>
              </w:rPr>
              <w:t>U 城镇基础设施及房地产156、房地产开发、宾馆、酒店、办公用房等，涉及环境敏感区的报告表</w:t>
            </w:r>
            <w:r>
              <w:rPr>
                <w:rFonts w:hint="default" w:ascii="Times New Roman" w:hAnsi="Times New Roman" w:cs="Times New Roman"/>
                <w:color w:val="000000" w:themeColor="text1"/>
                <w:sz w:val="24"/>
                <w:szCs w:val="24"/>
                <w:lang w:eastAsia="zh-CN"/>
                <w14:textFill>
                  <w14:solidFill>
                    <w14:schemeClr w14:val="tx1"/>
                  </w14:solidFill>
                </w14:textFill>
              </w:rPr>
              <w:t>，地下水环境影响评价类别为IV类，不需要开展地下水环境现状调查。</w:t>
            </w:r>
          </w:p>
          <w:p w14:paraId="38CD8A8D">
            <w:pPr>
              <w:autoSpaceDE w:val="0"/>
              <w:autoSpaceDN w:val="0"/>
              <w:adjustRightInd w:val="0"/>
              <w:ind w:firstLine="482"/>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 xml:space="preserve">6 </w:t>
            </w:r>
            <w:r>
              <w:rPr>
                <w:rFonts w:hint="default" w:ascii="Times New Roman" w:hAnsi="Times New Roman" w:cs="Times New Roman"/>
                <w:b/>
                <w:bCs/>
                <w:color w:val="000000" w:themeColor="text1"/>
                <w14:textFill>
                  <w14:solidFill>
                    <w14:schemeClr w14:val="tx1"/>
                  </w14:solidFill>
                </w14:textFill>
              </w:rPr>
              <w:t>生态</w:t>
            </w:r>
            <w:r>
              <w:rPr>
                <w:rFonts w:hint="default" w:ascii="Times New Roman" w:hAnsi="Times New Roman" w:cs="Times New Roman"/>
                <w:b/>
                <w:bCs/>
                <w:color w:val="000000" w:themeColor="text1"/>
                <w:lang w:eastAsia="zh-CN"/>
                <w14:textFill>
                  <w14:solidFill>
                    <w14:schemeClr w14:val="tx1"/>
                  </w14:solidFill>
                </w14:textFill>
              </w:rPr>
              <w:t>环境</w:t>
            </w:r>
          </w:p>
          <w:p w14:paraId="5CEB1917">
            <w:pPr>
              <w:autoSpaceDE w:val="0"/>
              <w:autoSpaceDN w:val="0"/>
              <w:adjustRightInd w:val="0"/>
              <w:ind w:firstLine="482"/>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 xml:space="preserve">6.1 </w:t>
            </w:r>
            <w:r>
              <w:rPr>
                <w:rFonts w:hint="default" w:ascii="Times New Roman" w:hAnsi="Times New Roman" w:cs="Times New Roman"/>
                <w:b/>
                <w:bCs/>
                <w:color w:val="000000" w:themeColor="text1"/>
                <w14:textFill>
                  <w14:solidFill>
                    <w14:schemeClr w14:val="tx1"/>
                  </w14:solidFill>
                </w14:textFill>
              </w:rPr>
              <w:t>陆生生态</w:t>
            </w:r>
            <w:r>
              <w:rPr>
                <w:rFonts w:hint="default" w:ascii="Times New Roman" w:hAnsi="Times New Roman" w:cs="Times New Roman"/>
                <w:b/>
                <w:bCs/>
                <w:color w:val="000000" w:themeColor="text1"/>
                <w:lang w:eastAsia="zh-CN"/>
                <w14:textFill>
                  <w14:solidFill>
                    <w14:schemeClr w14:val="tx1"/>
                  </w14:solidFill>
                </w14:textFill>
              </w:rPr>
              <w:t>环境现状</w:t>
            </w:r>
          </w:p>
          <w:p w14:paraId="46624412">
            <w:pPr>
              <w:autoSpaceDE w:val="0"/>
              <w:autoSpaceDN w:val="0"/>
              <w:adjustRightInd w:val="0"/>
              <w:ind w:firstLine="482"/>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（1）植被</w:t>
            </w:r>
          </w:p>
          <w:p w14:paraId="5C995272">
            <w:pPr>
              <w:adjustRightInd w:val="0"/>
              <w:snapToGrid w:val="0"/>
              <w:ind w:firstLine="480"/>
              <w:rPr>
                <w:rFonts w:hint="default" w:ascii="Times New Roman" w:hAnsi="Times New Roman" w:eastAsia="宋体" w:cs="Times New Roman"/>
                <w:color w:val="000000" w:themeColor="text1"/>
                <w:highlight w:val="yellow"/>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对照宁夏植被区划图以及本次生态调查结论，项目区位于</w:t>
            </w:r>
            <w:r>
              <w:rPr>
                <w:rFonts w:hint="default" w:ascii="Times New Roman" w:hAnsi="Times New Roman" w:cs="Times New Roman"/>
                <w:color w:val="000000" w:themeColor="text1"/>
                <w:lang w:val="en-US" w:eastAsia="zh-CN"/>
                <w14:textFill>
                  <w14:solidFill>
                    <w14:schemeClr w14:val="tx1"/>
                  </w14:solidFill>
                </w14:textFill>
              </w:rPr>
              <w:t>宁夏黄土高原南部草原化森林草原及栽培植被小区</w:t>
            </w:r>
            <w:r>
              <w:rPr>
                <w:rFonts w:hint="default" w:ascii="Times New Roman" w:hAnsi="Times New Roman" w:cs="Times New Roman"/>
                <w:color w:val="000000" w:themeColor="text1"/>
                <w14:textFill>
                  <w14:solidFill>
                    <w14:schemeClr w14:val="tx1"/>
                  </w14:solidFill>
                </w14:textFill>
              </w:rPr>
              <w:t>（IAL</w:t>
            </w:r>
            <w:r>
              <w:rPr>
                <w:rFonts w:hint="default" w:ascii="Times New Roman" w:hAnsi="Times New Roman" w:cs="Times New Roman"/>
                <w:color w:val="000000" w:themeColor="text1"/>
                <w:vertAlign w:val="subscript"/>
                <w14:textFill>
                  <w14:solidFill>
                    <w14:schemeClr w14:val="tx1"/>
                  </w14:solidFill>
                </w14:textFill>
              </w:rPr>
              <w:t>1</w:t>
            </w:r>
            <w:r>
              <w:rPr>
                <w:rFonts w:hint="default" w:ascii="Times New Roman" w:hAnsi="Times New Roman" w:cs="Times New Roman"/>
                <w:color w:val="000000" w:themeColor="text1"/>
                <w:vertAlign w:val="subscript"/>
                <w:lang w:val="en-US" w:eastAsia="zh-CN"/>
                <w14:textFill>
                  <w14:solidFill>
                    <w14:schemeClr w14:val="tx1"/>
                  </w14:solidFill>
                </w14:textFill>
              </w:rPr>
              <w:t>a</w:t>
            </w:r>
            <w:r>
              <w:rPr>
                <w:rFonts w:hint="default" w:ascii="Times New Roman" w:hAnsi="Times New Roman" w:cs="Times New Roman"/>
                <w:color w:val="000000" w:themeColor="text1"/>
                <w14:textFill>
                  <w14:solidFill>
                    <w14:schemeClr w14:val="tx1"/>
                  </w14:solidFill>
                </w14:textFill>
              </w:rPr>
              <w:t>），自然植被属于</w:t>
            </w:r>
            <w:r>
              <w:rPr>
                <w:rFonts w:hint="default" w:ascii="Times New Roman" w:hAnsi="Times New Roman" w:cs="Times New Roman"/>
                <w:color w:val="000000" w:themeColor="text1"/>
                <w:lang w:val="en-US" w:eastAsia="zh-CN"/>
                <w14:textFill>
                  <w14:solidFill>
                    <w14:schemeClr w14:val="tx1"/>
                  </w14:solidFill>
                </w14:textFill>
              </w:rPr>
              <w:t>灌丛和山地疏林</w:t>
            </w:r>
            <w:r>
              <w:rPr>
                <w:rFonts w:hint="default" w:ascii="Times New Roman" w:hAnsi="Times New Roman" w:cs="Times New Roman"/>
                <w:color w:val="000000" w:themeColor="text1"/>
                <w14:textFill>
                  <w14:solidFill>
                    <w14:schemeClr w14:val="tx1"/>
                  </w14:solidFill>
                </w14:textFill>
              </w:rPr>
              <w:t>。经现场调查，项目区</w:t>
            </w:r>
            <w:r>
              <w:rPr>
                <w:rFonts w:hint="default" w:ascii="Times New Roman" w:hAnsi="Times New Roman" w:cs="Times New Roman"/>
                <w:color w:val="000000" w:themeColor="text1"/>
                <w:lang w:val="en-US" w:eastAsia="zh-CN"/>
                <w14:textFill>
                  <w14:solidFill>
                    <w14:schemeClr w14:val="tx1"/>
                  </w14:solidFill>
                </w14:textFill>
              </w:rPr>
              <w:t>以草灌为主，存在的主要植被为落叶松、油松、云杉、小叶杨、刺槐、旱柳等，灌木主要有山杏、山毛桃、沙棘等，片区现状植被覆盖率70.30%</w:t>
            </w:r>
            <w:r>
              <w:rPr>
                <w:rFonts w:hint="default" w:ascii="Times New Roman" w:hAnsi="Times New Roman" w:cs="Times New Roman"/>
                <w:color w:val="000000" w:themeColor="text1"/>
                <w14:textFill>
                  <w14:solidFill>
                    <w14:schemeClr w14:val="tx1"/>
                  </w14:solidFill>
                </w14:textFill>
              </w:rPr>
              <w:t>。不存在珍稀濒危植被及保护物种。</w:t>
            </w:r>
          </w:p>
          <w:p w14:paraId="0D70431A">
            <w:pPr>
              <w:autoSpaceDE w:val="0"/>
              <w:autoSpaceDN w:val="0"/>
              <w:adjustRightInd w:val="0"/>
              <w:ind w:firstLine="482"/>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（2）动物</w:t>
            </w:r>
          </w:p>
          <w:p w14:paraId="656F4267">
            <w:pPr>
              <w:autoSpaceDE w:val="0"/>
              <w:autoSpaceDN w:val="0"/>
              <w:adjustRightInd w:val="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泾源县内的野生动物种群已达上千种，野生动物213种，其中两栖类5种，爬行类4种，鸟类158种，哺乳类39种。</w:t>
            </w:r>
            <w:r>
              <w:rPr>
                <w:rFonts w:hint="default" w:ascii="Times New Roman" w:hAnsi="Times New Roman" w:cs="Times New Roman"/>
                <w:color w:val="000000" w:themeColor="text1"/>
                <w:lang w:val="en-US" w:eastAsia="zh-CN"/>
                <w14:textFill>
                  <w14:solidFill>
                    <w14:schemeClr w14:val="tx1"/>
                  </w14:solidFill>
                </w14:textFill>
              </w:rPr>
              <w:t>经现场调查，评价</w:t>
            </w:r>
            <w:r>
              <w:rPr>
                <w:rFonts w:hint="default" w:ascii="Times New Roman" w:hAnsi="Times New Roman" w:cs="Times New Roman"/>
                <w:color w:val="000000" w:themeColor="text1"/>
                <w14:textFill>
                  <w14:solidFill>
                    <w14:schemeClr w14:val="tx1"/>
                  </w14:solidFill>
                </w14:textFill>
              </w:rPr>
              <w:t>区域无大型野生动物分布，主要为小型爬行类动物、小型哺乳类动物及鸟类。其中爬行类动物主要有壁虎和蛇类；哺乳类动物主要有田鼠、野兔等；鸟类主要有乌鸦、喜鹊、麻雀等，无国家及地方珍稀保护动物在工程建设区域分布。此外项目占地区域内无湖泊、水库及大型河流水域，大型迁徙性（如鹰、野鸭、鹤等）候鸟不会在此栖息。此外项目占地区域内无湖泊、水库及大型河流水域，大型迁徙性（如鹰、野鸭、鹤等）候鸟不会在此栖息。</w:t>
            </w:r>
          </w:p>
          <w:p w14:paraId="45F5C7B6">
            <w:pPr>
              <w:ind w:firstLine="482"/>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 xml:space="preserve">7 </w:t>
            </w:r>
            <w:r>
              <w:rPr>
                <w:rFonts w:hint="default" w:ascii="Times New Roman" w:hAnsi="Times New Roman" w:cs="Times New Roman"/>
                <w:b/>
                <w:bCs/>
                <w:color w:val="000000" w:themeColor="text1"/>
                <w14:textFill>
                  <w14:solidFill>
                    <w14:schemeClr w14:val="tx1"/>
                  </w14:solidFill>
                </w14:textFill>
              </w:rPr>
              <w:t>项目所在地主体功能区划</w:t>
            </w:r>
          </w:p>
          <w:p w14:paraId="2E846B7F">
            <w:pPr>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本项目位于泾源县黄花乡，拟选建设地点</w:t>
            </w:r>
            <w:r>
              <w:rPr>
                <w:rFonts w:hint="eastAsia" w:cs="Times New Roman"/>
                <w:color w:val="000000" w:themeColor="text1"/>
                <w:lang w:val="en-US" w:eastAsia="zh-CN"/>
                <w14:textFill>
                  <w14:solidFill>
                    <w14:schemeClr w14:val="tx1"/>
                  </w14:solidFill>
                </w14:textFill>
              </w:rPr>
              <w:t>紧邻</w:t>
            </w:r>
            <w:r>
              <w:rPr>
                <w:rFonts w:hint="default" w:ascii="Times New Roman" w:hAnsi="Times New Roman" w:cs="Times New Roman"/>
                <w:color w:val="000000" w:themeColor="text1"/>
                <w:lang w:val="en-US" w:eastAsia="zh-CN"/>
                <w14:textFill>
                  <w14:solidFill>
                    <w14:schemeClr w14:val="tx1"/>
                  </w14:solidFill>
                </w14:textFill>
              </w:rPr>
              <w:t>六盘山自治区级自然保护区，距离保护区最近距离</w:t>
            </w:r>
            <w:r>
              <w:rPr>
                <w:rFonts w:hint="eastAsia" w:cs="Times New Roman"/>
                <w:color w:val="000000" w:themeColor="text1"/>
                <w:lang w:val="en-US" w:eastAsia="zh-CN"/>
                <w14:textFill>
                  <w14:solidFill>
                    <w14:schemeClr w14:val="tx1"/>
                  </w14:solidFill>
                </w14:textFill>
              </w:rPr>
              <w:t>不到1</w:t>
            </w:r>
            <w:r>
              <w:rPr>
                <w:rFonts w:hint="default" w:ascii="Times New Roman" w:hAnsi="Times New Roman" w:cs="Times New Roman"/>
                <w:color w:val="000000" w:themeColor="text1"/>
                <w:lang w:val="en-US" w:eastAsia="zh-CN"/>
                <w14:textFill>
                  <w14:solidFill>
                    <w14:schemeClr w14:val="tx1"/>
                  </w14:solidFill>
                </w14:textFill>
              </w:rPr>
              <w:t>m。根据《自治区人民政府关于印发宁夏回族自治区主体功能区规划的通知》（宁政发〔2014〕53号，2014年6月18日）（以下简称《通知》），国土空间按开发方式分为优化开发区域、重点开发区域、限制开发区域和禁止开发区域。对照宁夏主体功能区规划图，本项目位于国家重点生态功能区，本项目所在区域主体</w:t>
            </w:r>
            <w:r>
              <w:rPr>
                <w:rFonts w:hint="default" w:ascii="Times New Roman" w:hAnsi="Times New Roman" w:cs="Times New Roman"/>
                <w:color w:val="000000" w:themeColor="text1"/>
                <w14:textFill>
                  <w14:solidFill>
                    <w14:schemeClr w14:val="tx1"/>
                  </w14:solidFill>
                </w14:textFill>
              </w:rPr>
              <w:t>功能区</w:t>
            </w:r>
            <w:r>
              <w:rPr>
                <w:rFonts w:hint="default" w:ascii="Times New Roman" w:hAnsi="Times New Roman" w:cs="Times New Roman"/>
                <w:color w:val="000000" w:themeColor="text1"/>
                <w:lang w:val="en-US" w:eastAsia="zh-CN"/>
                <w14:textFill>
                  <w14:solidFill>
                    <w14:schemeClr w14:val="tx1"/>
                  </w14:solidFill>
                </w14:textFill>
              </w:rPr>
              <w:t>规</w:t>
            </w:r>
            <w:r>
              <w:rPr>
                <w:rFonts w:hint="default" w:ascii="Times New Roman" w:hAnsi="Times New Roman" w:cs="Times New Roman"/>
                <w:color w:val="000000" w:themeColor="text1"/>
                <w14:textFill>
                  <w14:solidFill>
                    <w14:schemeClr w14:val="tx1"/>
                  </w14:solidFill>
                </w14:textFill>
              </w:rPr>
              <w:t>划</w:t>
            </w:r>
            <w:r>
              <w:rPr>
                <w:rFonts w:hint="default" w:ascii="Times New Roman" w:hAnsi="Times New Roman" w:cs="Times New Roman"/>
                <w:color w:val="000000" w:themeColor="text1"/>
                <w:highlight w:val="none"/>
                <w14:textFill>
                  <w14:solidFill>
                    <w14:schemeClr w14:val="tx1"/>
                  </w14:solidFill>
                </w14:textFill>
              </w:rPr>
              <w:t>见附图</w:t>
            </w:r>
            <w:r>
              <w:rPr>
                <w:rFonts w:hint="eastAsia" w:cs="Times New Roman"/>
                <w:color w:val="000000" w:themeColor="text1"/>
                <w:highlight w:val="none"/>
                <w:lang w:val="en-US" w:eastAsia="zh-CN"/>
                <w14:textFill>
                  <w14:solidFill>
                    <w14:schemeClr w14:val="tx1"/>
                  </w14:solidFill>
                </w14:textFill>
              </w:rPr>
              <w:t>9</w:t>
            </w:r>
            <w:r>
              <w:rPr>
                <w:rFonts w:hint="default" w:ascii="Times New Roman" w:hAnsi="Times New Roman" w:cs="Times New Roman"/>
                <w:color w:val="000000" w:themeColor="text1"/>
                <w:highlight w:val="none"/>
                <w14:textFill>
                  <w14:solidFill>
                    <w14:schemeClr w14:val="tx1"/>
                  </w14:solidFill>
                </w14:textFill>
              </w:rPr>
              <w:t>。</w:t>
            </w:r>
          </w:p>
          <w:p w14:paraId="24C9A48E">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生态功能区是指生态系统十分重要，关系全国或较大范围区域的生态安全，生态系统脆弱，需要在国土空间开发中限制进行大规模高强度工业化、城镇化开发，以保持并提高生态产品供给能力的区域。</w:t>
            </w:r>
          </w:p>
          <w:p w14:paraId="44D7B470">
            <w:pPr>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本项目为房地产建设，不属于</w:t>
            </w:r>
            <w:r>
              <w:rPr>
                <w:rFonts w:hint="default" w:ascii="Times New Roman" w:hAnsi="Times New Roman" w:cs="Times New Roman"/>
                <w:color w:val="000000" w:themeColor="text1"/>
                <w:lang w:val="en-US" w:eastAsia="zh-CN"/>
                <w14:textFill>
                  <w14:solidFill>
                    <w14:schemeClr w14:val="tx1"/>
                  </w14:solidFill>
                </w14:textFill>
              </w:rPr>
              <w:t>大规模高强度工业化、城镇化开发，故本项目的建设符合所在地主体功能区规划。</w:t>
            </w:r>
          </w:p>
          <w:p w14:paraId="66189213">
            <w:pPr>
              <w:ind w:firstLine="482"/>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 xml:space="preserve">8 </w:t>
            </w:r>
            <w:r>
              <w:rPr>
                <w:rFonts w:hint="default" w:ascii="Times New Roman" w:hAnsi="Times New Roman" w:cs="Times New Roman"/>
                <w:b/>
                <w:bCs/>
                <w:color w:val="000000" w:themeColor="text1"/>
                <w14:textFill>
                  <w14:solidFill>
                    <w14:schemeClr w14:val="tx1"/>
                  </w14:solidFill>
                </w14:textFill>
              </w:rPr>
              <w:t>项目所在地生态功能区划</w:t>
            </w:r>
          </w:p>
          <w:p w14:paraId="1B82FA4E">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根据《宁夏生态功能区划》（2003.10），宁夏生态功能区共划分为3个一级区，10个二级区，37个三级区，本工程位于</w:t>
            </w:r>
            <w:r>
              <w:rPr>
                <w:rFonts w:hint="default" w:ascii="Times New Roman" w:hAnsi="Times New Roman" w:cs="Times New Roman"/>
                <w:color w:val="000000" w:themeColor="text1"/>
                <w14:textFill>
                  <w14:solidFill>
                    <w14:schemeClr w14:val="tx1"/>
                  </w14:solidFill>
                </w14:textFill>
              </w:rPr>
              <w:t>六盘山山地河谷人工林草生态功能区，是以提供生态产品为主体功能的地区。</w:t>
            </w:r>
            <w:r>
              <w:rPr>
                <w:rFonts w:hint="default" w:ascii="Times New Roman" w:hAnsi="Times New Roman" w:cs="Times New Roman"/>
                <w:color w:val="000000" w:themeColor="text1"/>
                <w:lang w:val="en-US" w:eastAsia="zh-CN"/>
                <w14:textFill>
                  <w14:solidFill>
                    <w14:schemeClr w14:val="tx1"/>
                  </w14:solidFill>
                </w14:textFill>
              </w:rPr>
              <w:t>本</w:t>
            </w:r>
            <w:r>
              <w:rPr>
                <w:rFonts w:hint="default" w:ascii="Times New Roman" w:hAnsi="Times New Roman" w:cs="Times New Roman"/>
                <w:color w:val="000000" w:themeColor="text1"/>
                <w14:textFill>
                  <w14:solidFill>
                    <w14:schemeClr w14:val="tx1"/>
                  </w14:solidFill>
                </w14:textFill>
              </w:rPr>
              <w:t>项目所在区域生态功能区</w:t>
            </w:r>
            <w:r>
              <w:rPr>
                <w:rFonts w:hint="default" w:ascii="Times New Roman" w:hAnsi="Times New Roman" w:cs="Times New Roman"/>
                <w:color w:val="000000" w:themeColor="text1"/>
                <w:lang w:val="en-US" w:eastAsia="zh-CN"/>
                <w14:textFill>
                  <w14:solidFill>
                    <w14:schemeClr w14:val="tx1"/>
                  </w14:solidFill>
                </w14:textFill>
              </w:rPr>
              <w:t>规</w:t>
            </w:r>
            <w:r>
              <w:rPr>
                <w:rFonts w:hint="default" w:ascii="Times New Roman" w:hAnsi="Times New Roman" w:cs="Times New Roman"/>
                <w:color w:val="000000" w:themeColor="text1"/>
                <w14:textFill>
                  <w14:solidFill>
                    <w14:schemeClr w14:val="tx1"/>
                  </w14:solidFill>
                </w14:textFill>
              </w:rPr>
              <w:t>划见</w:t>
            </w:r>
            <w:r>
              <w:rPr>
                <w:rFonts w:hint="default" w:ascii="Times New Roman" w:hAnsi="Times New Roman" w:cs="Times New Roman"/>
                <w:color w:val="000000" w:themeColor="text1"/>
                <w:lang w:eastAsia="zh-CN"/>
                <w14:textFill>
                  <w14:solidFill>
                    <w14:schemeClr w14:val="tx1"/>
                  </w14:solidFill>
                </w14:textFill>
              </w:rPr>
              <w:t>附</w:t>
            </w:r>
            <w:r>
              <w:rPr>
                <w:rFonts w:hint="default" w:ascii="Times New Roman" w:hAnsi="Times New Roman" w:cs="Times New Roman"/>
                <w:color w:val="000000" w:themeColor="text1"/>
                <w14:textFill>
                  <w14:solidFill>
                    <w14:schemeClr w14:val="tx1"/>
                  </w14:solidFill>
                </w14:textFill>
              </w:rPr>
              <w:t>图</w:t>
            </w:r>
            <w:r>
              <w:rPr>
                <w:rFonts w:hint="eastAsia" w:ascii="Times New Roman" w:hAnsi="Times New Roman" w:cs="Times New Roman"/>
                <w:color w:val="000000" w:themeColor="text1"/>
                <w:lang w:val="en-US" w:eastAsia="zh-CN"/>
                <w14:textFill>
                  <w14:solidFill>
                    <w14:schemeClr w14:val="tx1"/>
                  </w14:solidFill>
                </w14:textFill>
              </w:rPr>
              <w:t>10</w:t>
            </w:r>
            <w:r>
              <w:rPr>
                <w:rFonts w:hint="default" w:ascii="Times New Roman" w:hAnsi="Times New Roman" w:cs="Times New Roman"/>
                <w:color w:val="000000" w:themeColor="text1"/>
                <w14:textFill>
                  <w14:solidFill>
                    <w14:schemeClr w14:val="tx1"/>
                  </w14:solidFill>
                </w14:textFill>
              </w:rPr>
              <w:t>。</w:t>
            </w:r>
          </w:p>
        </w:tc>
      </w:tr>
      <w:tr w14:paraId="04870A0E">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28" w:type="dxa"/>
            <w:left w:w="28" w:type="dxa"/>
            <w:bottom w:w="28" w:type="dxa"/>
            <w:right w:w="28" w:type="dxa"/>
          </w:tblCellMar>
        </w:tblPrEx>
        <w:trPr>
          <w:trHeight w:val="3767" w:hRule="atLeast"/>
          <w:jc w:val="center"/>
        </w:trPr>
        <w:tc>
          <w:tcPr>
            <w:tcW w:w="172" w:type="pct"/>
            <w:noWrap w:val="0"/>
            <w:vAlign w:val="center"/>
          </w:tcPr>
          <w:p w14:paraId="0D2C3F71">
            <w:pPr>
              <w:adjustRightInd w:val="0"/>
              <w:snapToGrid w:val="0"/>
              <w:ind w:firstLine="0" w:firstLineChars="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与项目有关的原有环境污染和生态破坏问题</w:t>
            </w:r>
          </w:p>
        </w:tc>
        <w:tc>
          <w:tcPr>
            <w:tcW w:w="4827" w:type="pct"/>
            <w:noWrap w:val="0"/>
            <w:vAlign w:val="center"/>
          </w:tcPr>
          <w:p w14:paraId="4C5DFE48">
            <w:pPr>
              <w:adjustRightInd w:val="0"/>
              <w:snapToGrid w:val="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本项目</w:t>
            </w:r>
            <w:r>
              <w:rPr>
                <w:rFonts w:hint="default" w:ascii="Times New Roman" w:hAnsi="Times New Roman" w:cs="Times New Roman"/>
                <w:color w:val="000000" w:themeColor="text1"/>
                <w:kern w:val="0"/>
                <w:lang w:val="en-US" w:eastAsia="zh-CN"/>
                <w14:textFill>
                  <w14:solidFill>
                    <w14:schemeClr w14:val="tx1"/>
                  </w14:solidFill>
                </w14:textFill>
              </w:rPr>
              <w:t>属于新建项目，</w:t>
            </w:r>
            <w:r>
              <w:rPr>
                <w:rFonts w:hint="default" w:ascii="Times New Roman" w:hAnsi="Times New Roman" w:cs="Times New Roman"/>
                <w:color w:val="000000" w:themeColor="text1"/>
                <w:kern w:val="0"/>
                <w14:textFill>
                  <w14:solidFill>
                    <w14:schemeClr w14:val="tx1"/>
                  </w14:solidFill>
                </w14:textFill>
              </w:rPr>
              <w:t>尚未动工建设，未造成环境污染及生态破坏问题。</w:t>
            </w:r>
          </w:p>
        </w:tc>
      </w:tr>
      <w:tr w14:paraId="3BD5489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28" w:type="dxa"/>
            <w:left w:w="28" w:type="dxa"/>
            <w:bottom w:w="28" w:type="dxa"/>
            <w:right w:w="28" w:type="dxa"/>
          </w:tblCellMar>
        </w:tblPrEx>
        <w:trPr>
          <w:trHeight w:val="3005" w:hRule="atLeast"/>
          <w:jc w:val="center"/>
        </w:trPr>
        <w:tc>
          <w:tcPr>
            <w:tcW w:w="172" w:type="pct"/>
            <w:noWrap w:val="0"/>
            <w:vAlign w:val="center"/>
          </w:tcPr>
          <w:p w14:paraId="2E68FD33">
            <w:pPr>
              <w:adjustRightInd w:val="0"/>
              <w:snapToGrid w:val="0"/>
              <w:ind w:firstLine="0" w:firstLineChars="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生态环境保护目标</w:t>
            </w:r>
          </w:p>
        </w:tc>
        <w:tc>
          <w:tcPr>
            <w:tcW w:w="4827" w:type="pct"/>
            <w:noWrap w:val="0"/>
            <w:vAlign w:val="center"/>
          </w:tcPr>
          <w:p w14:paraId="253BECFD">
            <w:pPr>
              <w:adjustRightInd w:val="0"/>
              <w:snapToGrid w:val="0"/>
              <w:ind w:firstLine="482"/>
              <w:jc w:val="left"/>
              <w:rPr>
                <w:rFonts w:hint="default" w:ascii="Times New Roman" w:hAnsi="Times New Roman" w:eastAsia="宋体" w:cs="Times New Roman"/>
                <w:b/>
                <w:bCs/>
                <w:color w:val="000000" w:themeColor="text1"/>
                <w:kern w:val="24"/>
                <w:lang w:val="en-US" w:eastAsia="zh-CN"/>
                <w14:textFill>
                  <w14:solidFill>
                    <w14:schemeClr w14:val="tx1"/>
                  </w14:solidFill>
                </w14:textFill>
              </w:rPr>
            </w:pPr>
            <w:r>
              <w:rPr>
                <w:rFonts w:hint="default" w:ascii="Times New Roman" w:hAnsi="Times New Roman" w:cs="Times New Roman"/>
                <w:b/>
                <w:bCs/>
                <w:color w:val="000000" w:themeColor="text1"/>
                <w:kern w:val="24"/>
                <w:lang w:val="en-US" w:eastAsia="zh-CN"/>
                <w14:textFill>
                  <w14:solidFill>
                    <w14:schemeClr w14:val="tx1"/>
                  </w14:solidFill>
                </w14:textFill>
              </w:rPr>
              <w:t>1 环境评价范围</w:t>
            </w:r>
          </w:p>
          <w:p w14:paraId="4930C4B6">
            <w:pPr>
              <w:adjustRightInd w:val="0"/>
              <w:snapToGrid w:val="0"/>
              <w:ind w:firstLine="482"/>
              <w:jc w:val="left"/>
              <w:rPr>
                <w:rFonts w:hint="default" w:ascii="Times New Roman" w:hAnsi="Times New Roman" w:eastAsia="宋体" w:cs="Times New Roman"/>
                <w:b/>
                <w:bCs/>
                <w:color w:val="000000" w:themeColor="text1"/>
                <w:kern w:val="24"/>
                <w:lang w:val="en-US" w:eastAsia="zh-CN"/>
                <w14:textFill>
                  <w14:solidFill>
                    <w14:schemeClr w14:val="tx1"/>
                  </w14:solidFill>
                </w14:textFill>
              </w:rPr>
            </w:pPr>
            <w:r>
              <w:rPr>
                <w:rFonts w:hint="default" w:ascii="Times New Roman" w:hAnsi="Times New Roman" w:cs="Times New Roman"/>
                <w:b/>
                <w:bCs/>
                <w:color w:val="000000" w:themeColor="text1"/>
                <w:kern w:val="24"/>
                <w14:textFill>
                  <w14:solidFill>
                    <w14:schemeClr w14:val="tx1"/>
                  </w14:solidFill>
                </w14:textFill>
              </w:rPr>
              <w:t>1</w:t>
            </w:r>
            <w:r>
              <w:rPr>
                <w:rFonts w:hint="default" w:ascii="Times New Roman" w:hAnsi="Times New Roman" w:cs="Times New Roman"/>
                <w:b/>
                <w:bCs/>
                <w:color w:val="000000" w:themeColor="text1"/>
                <w:kern w:val="24"/>
                <w:lang w:val="en-US" w:eastAsia="zh-CN"/>
                <w14:textFill>
                  <w14:solidFill>
                    <w14:schemeClr w14:val="tx1"/>
                  </w14:solidFill>
                </w14:textFill>
              </w:rPr>
              <w:t>.1</w:t>
            </w:r>
            <w:r>
              <w:rPr>
                <w:rFonts w:hint="default" w:ascii="Times New Roman" w:hAnsi="Times New Roman" w:cs="Times New Roman"/>
                <w:b/>
                <w:bCs/>
                <w:color w:val="000000" w:themeColor="text1"/>
                <w:kern w:val="24"/>
                <w14:textFill>
                  <w14:solidFill>
                    <w14:schemeClr w14:val="tx1"/>
                  </w14:solidFill>
                </w14:textFill>
              </w:rPr>
              <w:t xml:space="preserve"> 大气环境</w:t>
            </w:r>
            <w:r>
              <w:rPr>
                <w:rFonts w:hint="default" w:ascii="Times New Roman" w:hAnsi="Times New Roman" w:eastAsia="宋体" w:cs="Times New Roman"/>
                <w:b/>
                <w:bCs/>
                <w:color w:val="000000" w:themeColor="text1"/>
                <w:kern w:val="24"/>
                <w:lang w:val="en-US" w:eastAsia="zh-CN"/>
                <w14:textFill>
                  <w14:solidFill>
                    <w14:schemeClr w14:val="tx1"/>
                  </w14:solidFill>
                </w14:textFill>
              </w:rPr>
              <w:t>评价范围</w:t>
            </w:r>
          </w:p>
          <w:p w14:paraId="38D9554E">
            <w:pPr>
              <w:adjustRightInd w:val="0"/>
              <w:snapToGrid w:val="0"/>
              <w:ind w:firstLine="480"/>
              <w:jc w:val="left"/>
              <w:rPr>
                <w:rFonts w:hint="default" w:ascii="Times New Roman" w:hAnsi="Times New Roman" w:eastAsia="宋体" w:cs="Times New Roman"/>
                <w:color w:val="000000" w:themeColor="text1"/>
                <w:kern w:val="24"/>
                <w:highlight w:val="red"/>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依据《环境影响评价技术导则 大气环境》(HJ2.2-2018)，</w:t>
            </w:r>
            <w:r>
              <w:rPr>
                <w:rFonts w:hint="default" w:ascii="Times New Roman" w:hAnsi="Times New Roman" w:cs="Times New Roman"/>
                <w:color w:val="000000" w:themeColor="text1"/>
                <w:lang w:val="en-US" w:eastAsia="zh-CN"/>
                <w14:textFill>
                  <w14:solidFill>
                    <w14:schemeClr w14:val="tx1"/>
                  </w14:solidFill>
                </w14:textFill>
              </w:rPr>
              <w:t>本项目位于二类环境空气功能区，</w:t>
            </w:r>
            <w:r>
              <w:rPr>
                <w:rFonts w:hint="default" w:ascii="Times New Roman" w:hAnsi="Times New Roman" w:eastAsia="宋体" w:cs="Times New Roman"/>
                <w:color w:val="000000" w:themeColor="text1"/>
                <w:lang w:val="en-US" w:eastAsia="zh-CN"/>
                <w14:textFill>
                  <w14:solidFill>
                    <w14:schemeClr w14:val="tx1"/>
                  </w14:solidFill>
                </w14:textFill>
              </w:rPr>
              <w:t>本次大气环境影响评价等级定</w:t>
            </w:r>
            <w:r>
              <w:rPr>
                <w:rFonts w:hint="default" w:ascii="Times New Roman" w:hAnsi="Times New Roman" w:cs="Times New Roman"/>
                <w:color w:val="000000" w:themeColor="text1"/>
                <w:lang w:val="en-US" w:eastAsia="zh-CN"/>
                <w14:textFill>
                  <w14:solidFill>
                    <w14:schemeClr w14:val="tx1"/>
                  </w14:solidFill>
                </w14:textFill>
              </w:rPr>
              <w:t>为三</w:t>
            </w:r>
            <w:r>
              <w:rPr>
                <w:rFonts w:hint="default" w:ascii="Times New Roman" w:hAnsi="Times New Roman" w:eastAsia="宋体" w:cs="Times New Roman"/>
                <w:color w:val="000000" w:themeColor="text1"/>
                <w:lang w:val="en-US" w:eastAsia="zh-CN"/>
                <w14:textFill>
                  <w14:solidFill>
                    <w14:schemeClr w14:val="tx1"/>
                  </w14:solidFill>
                </w14:textFill>
              </w:rPr>
              <w:t>级，评价范围取以项目厂址为中心区域，自厂界外延</w:t>
            </w:r>
            <w:r>
              <w:rPr>
                <w:rFonts w:hint="default" w:ascii="Times New Roman" w:hAnsi="Times New Roman" w:cs="Times New Roman"/>
                <w:color w:val="000000" w:themeColor="text1"/>
                <w:highlight w:val="none"/>
                <w:lang w:val="en-US" w:eastAsia="zh-CN"/>
                <w14:textFill>
                  <w14:solidFill>
                    <w14:schemeClr w14:val="tx1"/>
                  </w14:solidFill>
                </w14:textFill>
              </w:rPr>
              <w:t>200m</w:t>
            </w:r>
            <w:r>
              <w:rPr>
                <w:rFonts w:hint="default" w:ascii="Times New Roman" w:hAnsi="Times New Roman" w:eastAsia="宋体" w:cs="Times New Roman"/>
                <w:color w:val="000000" w:themeColor="text1"/>
                <w:highlight w:val="none"/>
                <w:lang w:val="en-US" w:eastAsia="zh-CN"/>
                <w14:textFill>
                  <w14:solidFill>
                    <w14:schemeClr w14:val="tx1"/>
                  </w14:solidFill>
                </w14:textFill>
              </w:rPr>
              <w:t>范围内的区域。</w:t>
            </w:r>
            <w:r>
              <w:rPr>
                <w:rFonts w:hint="default" w:ascii="Times New Roman" w:hAnsi="Times New Roman" w:cs="Times New Roman"/>
                <w:color w:val="000000" w:themeColor="text1"/>
                <w:highlight w:val="none"/>
                <w:lang w:val="en-US" w:eastAsia="zh-CN"/>
                <w14:textFill>
                  <w14:solidFill>
                    <w14:schemeClr w14:val="tx1"/>
                  </w14:solidFill>
                </w14:textFill>
              </w:rPr>
              <w:t>本项目大气环境保护目标为六盘山自治区级自然保护区。</w:t>
            </w:r>
          </w:p>
          <w:p w14:paraId="627115FD">
            <w:pPr>
              <w:adjustRightInd w:val="0"/>
              <w:snapToGrid w:val="0"/>
              <w:ind w:firstLine="482"/>
              <w:jc w:val="left"/>
              <w:rPr>
                <w:rFonts w:hint="default" w:ascii="Times New Roman" w:hAnsi="Times New Roman" w:cs="Times New Roman"/>
                <w:b/>
                <w:bCs/>
                <w:color w:val="000000" w:themeColor="text1"/>
                <w:kern w:val="24"/>
                <w:lang w:val="en-US"/>
                <w14:textFill>
                  <w14:solidFill>
                    <w14:schemeClr w14:val="tx1"/>
                  </w14:solidFill>
                </w14:textFill>
              </w:rPr>
            </w:pPr>
            <w:r>
              <w:rPr>
                <w:rFonts w:hint="default" w:ascii="Times New Roman" w:hAnsi="Times New Roman" w:cs="Times New Roman"/>
                <w:b/>
                <w:bCs/>
                <w:color w:val="000000" w:themeColor="text1"/>
                <w:kern w:val="24"/>
                <w:lang w:val="en-US" w:eastAsia="zh-CN"/>
                <w14:textFill>
                  <w14:solidFill>
                    <w14:schemeClr w14:val="tx1"/>
                  </w14:solidFill>
                </w14:textFill>
              </w:rPr>
              <w:t>1.</w:t>
            </w:r>
            <w:r>
              <w:rPr>
                <w:rFonts w:hint="default" w:ascii="Times New Roman" w:hAnsi="Times New Roman" w:cs="Times New Roman"/>
                <w:b/>
                <w:bCs/>
                <w:color w:val="000000" w:themeColor="text1"/>
                <w:kern w:val="24"/>
                <w14:textFill>
                  <w14:solidFill>
                    <w14:schemeClr w14:val="tx1"/>
                  </w14:solidFill>
                </w14:textFill>
              </w:rPr>
              <w:t>2 声环境</w:t>
            </w:r>
            <w:r>
              <w:rPr>
                <w:rFonts w:hint="default" w:ascii="Times New Roman" w:hAnsi="Times New Roman" w:eastAsia="宋体" w:cs="Times New Roman"/>
                <w:b/>
                <w:bCs/>
                <w:color w:val="000000" w:themeColor="text1"/>
                <w:kern w:val="24"/>
                <w:lang w:val="en-US" w:eastAsia="zh-CN"/>
                <w14:textFill>
                  <w14:solidFill>
                    <w14:schemeClr w14:val="tx1"/>
                  </w14:solidFill>
                </w14:textFill>
              </w:rPr>
              <w:t>评价范围</w:t>
            </w:r>
          </w:p>
          <w:p w14:paraId="28D01B23">
            <w:pPr>
              <w:keepNext w:val="0"/>
              <w:keepLines w:val="0"/>
              <w:widowControl/>
              <w:suppressLineNumbers w:val="0"/>
              <w:jc w:val="left"/>
              <w:rPr>
                <w:rFonts w:hint="default" w:ascii="Times New Roman" w:hAnsi="Times New Roman" w:eastAsia="宋体" w:cs="Times New Roman"/>
                <w:color w:val="000000" w:themeColor="text1"/>
                <w:kern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根据《环境影响评价技术导则</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 xml:space="preserve">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声环境》（HJ2.4-2021），</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本</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项目</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建设地点所在区域声环境功能区为2类，</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评价等级确定为</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二</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级评价，评价范围为占地范围外200m范围内区域</w:t>
            </w:r>
            <w:r>
              <w:rPr>
                <w:rFonts w:hint="default" w:ascii="Times New Roman" w:hAnsi="Times New Roman" w:cs="Times New Roman"/>
                <w:color w:val="000000" w:themeColor="text1"/>
                <w:kern w:val="24"/>
                <w14:textFill>
                  <w14:solidFill>
                    <w14:schemeClr w14:val="tx1"/>
                  </w14:solidFill>
                </w14:textFill>
              </w:rPr>
              <w:t>。</w:t>
            </w:r>
            <w:r>
              <w:rPr>
                <w:rFonts w:hint="default" w:ascii="Times New Roman" w:hAnsi="Times New Roman" w:cs="Times New Roman"/>
                <w:color w:val="000000" w:themeColor="text1"/>
                <w:kern w:val="24"/>
                <w:lang w:val="en-US" w:eastAsia="zh-CN"/>
                <w14:textFill>
                  <w14:solidFill>
                    <w14:schemeClr w14:val="tx1"/>
                  </w14:solidFill>
                </w14:textFill>
              </w:rPr>
              <w:t>本项目占地范围外200m无声环境保护目标。</w:t>
            </w:r>
          </w:p>
          <w:p w14:paraId="7BFBAE3B">
            <w:pPr>
              <w:pStyle w:val="57"/>
              <w:ind w:firstLine="482"/>
              <w:rPr>
                <w:rFonts w:hint="default" w:ascii="Times New Roman" w:hAnsi="Times New Roman" w:cs="Times New Roman"/>
                <w:b/>
                <w:bCs/>
                <w:color w:val="000000" w:themeColor="text1"/>
                <w:kern w:val="24"/>
                <w:lang w:val="en-US"/>
                <w14:textFill>
                  <w14:solidFill>
                    <w14:schemeClr w14:val="tx1"/>
                  </w14:solidFill>
                </w14:textFill>
              </w:rPr>
            </w:pPr>
            <w:r>
              <w:rPr>
                <w:rFonts w:hint="default" w:ascii="Times New Roman" w:hAnsi="Times New Roman" w:cs="Times New Roman"/>
                <w:b/>
                <w:bCs/>
                <w:color w:val="000000" w:themeColor="text1"/>
                <w:kern w:val="24"/>
                <w:lang w:val="en-US" w:eastAsia="zh-CN"/>
                <w14:textFill>
                  <w14:solidFill>
                    <w14:schemeClr w14:val="tx1"/>
                  </w14:solidFill>
                </w14:textFill>
              </w:rPr>
              <w:t>1.</w:t>
            </w:r>
            <w:r>
              <w:rPr>
                <w:rFonts w:hint="default" w:ascii="Times New Roman" w:hAnsi="Times New Roman" w:cs="Times New Roman"/>
                <w:b/>
                <w:bCs/>
                <w:color w:val="000000" w:themeColor="text1"/>
                <w:kern w:val="24"/>
                <w14:textFill>
                  <w14:solidFill>
                    <w14:schemeClr w14:val="tx1"/>
                  </w14:solidFill>
                </w14:textFill>
              </w:rPr>
              <w:t>3 地表水环境</w:t>
            </w:r>
            <w:r>
              <w:rPr>
                <w:rFonts w:hint="default" w:ascii="Times New Roman" w:hAnsi="Times New Roman" w:eastAsia="宋体" w:cs="Times New Roman"/>
                <w:b/>
                <w:bCs/>
                <w:color w:val="000000" w:themeColor="text1"/>
                <w:kern w:val="24"/>
                <w:lang w:val="en-US" w:eastAsia="zh-CN"/>
                <w14:textFill>
                  <w14:solidFill>
                    <w14:schemeClr w14:val="tx1"/>
                  </w14:solidFill>
                </w14:textFill>
              </w:rPr>
              <w:t>评价范围</w:t>
            </w:r>
          </w:p>
          <w:p w14:paraId="35E75145">
            <w:pPr>
              <w:keepNext w:val="0"/>
              <w:keepLines w:val="0"/>
              <w:widowControl/>
              <w:suppressLineNumbers w:val="0"/>
              <w:jc w:val="left"/>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根据本项目特点，运营期产生的废水主要为生活污水和</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医疗废水</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餐饮废水经隔油后与生活污水经化粪池预处理，后一起与医疗废水</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经MBR膜生物反应工艺处理，达到《医疗机构水污染物排放标准》（GB18466-2005）、《城市污水再生利用 城市再用水水质》（GB/T18920-2020）、《城市污水再生利用 景观环境用水水质》（GB/T18921-2019）相关标准后回用于项目区绿化、道路清扫及景观环境。</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本项目废水作为回水利用，不排放到外环境，且项目所在区域无常年地表径流，按三级B评价。本项目地表水环境风险影响范围内无地表水环境保护目标。</w:t>
            </w:r>
          </w:p>
          <w:p w14:paraId="2E1E26A5">
            <w:pPr>
              <w:pStyle w:val="57"/>
              <w:ind w:firstLine="482"/>
              <w:rPr>
                <w:rFonts w:hint="default" w:ascii="Times New Roman" w:hAnsi="Times New Roman" w:cs="Times New Roman"/>
                <w:b/>
                <w:bCs/>
                <w:color w:val="000000" w:themeColor="text1"/>
                <w:kern w:val="24"/>
                <w:lang w:val="en-US"/>
                <w14:textFill>
                  <w14:solidFill>
                    <w14:schemeClr w14:val="tx1"/>
                  </w14:solidFill>
                </w14:textFill>
              </w:rPr>
            </w:pPr>
            <w:r>
              <w:rPr>
                <w:rFonts w:hint="default" w:ascii="Times New Roman" w:hAnsi="Times New Roman" w:cs="Times New Roman"/>
                <w:b/>
                <w:bCs/>
                <w:color w:val="000000" w:themeColor="text1"/>
                <w:kern w:val="24"/>
                <w:lang w:val="en-US" w:eastAsia="zh-CN"/>
                <w14:textFill>
                  <w14:solidFill>
                    <w14:schemeClr w14:val="tx1"/>
                  </w14:solidFill>
                </w14:textFill>
              </w:rPr>
              <w:t>1.</w:t>
            </w:r>
            <w:r>
              <w:rPr>
                <w:rFonts w:hint="default" w:ascii="Times New Roman" w:hAnsi="Times New Roman" w:cs="Times New Roman"/>
                <w:b/>
                <w:bCs/>
                <w:color w:val="000000" w:themeColor="text1"/>
                <w:kern w:val="24"/>
                <w14:textFill>
                  <w14:solidFill>
                    <w14:schemeClr w14:val="tx1"/>
                  </w14:solidFill>
                </w14:textFill>
              </w:rPr>
              <w:t>4 地下水环境</w:t>
            </w:r>
            <w:r>
              <w:rPr>
                <w:rFonts w:hint="default" w:ascii="Times New Roman" w:hAnsi="Times New Roman" w:eastAsia="宋体" w:cs="Times New Roman"/>
                <w:b/>
                <w:bCs/>
                <w:color w:val="000000" w:themeColor="text1"/>
                <w:kern w:val="24"/>
                <w:lang w:val="en-US" w:eastAsia="zh-CN"/>
                <w14:textFill>
                  <w14:solidFill>
                    <w14:schemeClr w14:val="tx1"/>
                  </w14:solidFill>
                </w14:textFill>
              </w:rPr>
              <w:t>评价范围</w:t>
            </w:r>
          </w:p>
          <w:p w14:paraId="77F68309">
            <w:pPr>
              <w:keepNext w:val="0"/>
              <w:keepLines w:val="0"/>
              <w:widowControl/>
              <w:suppressLineNumbers w:val="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根据《环境影响评价技术导则地下水环境》（HJ610-2016）附录A，本项目为Ⅳ类项目，Ⅳ类项目不开展地下水环境影响评价。</w:t>
            </w:r>
          </w:p>
          <w:p w14:paraId="77127F19">
            <w:pPr>
              <w:pStyle w:val="57"/>
              <w:ind w:firstLine="482"/>
              <w:rPr>
                <w:rFonts w:hint="default" w:ascii="Times New Roman" w:hAnsi="Times New Roman" w:cs="Times New Roman"/>
                <w:b/>
                <w:bCs/>
                <w:color w:val="000000" w:themeColor="text1"/>
                <w:kern w:val="24"/>
                <w:lang w:val="en-US"/>
                <w14:textFill>
                  <w14:solidFill>
                    <w14:schemeClr w14:val="tx1"/>
                  </w14:solidFill>
                </w14:textFill>
              </w:rPr>
            </w:pPr>
            <w:r>
              <w:rPr>
                <w:rFonts w:hint="default" w:ascii="Times New Roman" w:hAnsi="Times New Roman" w:cs="Times New Roman"/>
                <w:b/>
                <w:bCs/>
                <w:color w:val="000000" w:themeColor="text1"/>
                <w:kern w:val="24"/>
                <w:lang w:val="en-US" w:eastAsia="zh-CN"/>
                <w14:textFill>
                  <w14:solidFill>
                    <w14:schemeClr w14:val="tx1"/>
                  </w14:solidFill>
                </w14:textFill>
              </w:rPr>
              <w:t>1.</w:t>
            </w:r>
            <w:r>
              <w:rPr>
                <w:rFonts w:hint="default" w:ascii="Times New Roman" w:hAnsi="Times New Roman" w:cs="Times New Roman"/>
                <w:b/>
                <w:bCs/>
                <w:color w:val="000000" w:themeColor="text1"/>
                <w:kern w:val="24"/>
                <w14:textFill>
                  <w14:solidFill>
                    <w14:schemeClr w14:val="tx1"/>
                  </w14:solidFill>
                </w14:textFill>
              </w:rPr>
              <w:t>5 生态环境</w:t>
            </w:r>
            <w:r>
              <w:rPr>
                <w:rFonts w:hint="default" w:ascii="Times New Roman" w:hAnsi="Times New Roman" w:eastAsia="宋体" w:cs="Times New Roman"/>
                <w:b/>
                <w:bCs/>
                <w:color w:val="000000" w:themeColor="text1"/>
                <w:kern w:val="24"/>
                <w:lang w:val="en-US" w:eastAsia="zh-CN"/>
                <w14:textFill>
                  <w14:solidFill>
                    <w14:schemeClr w14:val="tx1"/>
                  </w14:solidFill>
                </w14:textFill>
              </w:rPr>
              <w:t>评价范围</w:t>
            </w:r>
          </w:p>
          <w:p w14:paraId="3A014F2E">
            <w:pPr>
              <w:adjustRightInd w:val="0"/>
              <w:snapToGrid w:val="0"/>
              <w:ind w:firstLine="480"/>
              <w:jc w:val="left"/>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kern w:val="24"/>
                <w:highlight w:val="none"/>
                <w:lang w:val="en-US" w:eastAsia="zh-CN"/>
                <w14:textFill>
                  <w14:solidFill>
                    <w14:schemeClr w14:val="tx1"/>
                  </w14:solidFill>
                </w14:textFill>
              </w:rPr>
              <w:t>本项目建设地点</w:t>
            </w:r>
            <w:r>
              <w:rPr>
                <w:rFonts w:hint="eastAsia" w:cs="Times New Roman"/>
                <w:color w:val="000000" w:themeColor="text1"/>
                <w:kern w:val="24"/>
                <w:highlight w:val="none"/>
                <w:lang w:val="en-US" w:eastAsia="zh-CN"/>
                <w14:textFill>
                  <w14:solidFill>
                    <w14:schemeClr w14:val="tx1"/>
                  </w14:solidFill>
                </w14:textFill>
              </w:rPr>
              <w:t>紧邻</w:t>
            </w:r>
            <w:r>
              <w:rPr>
                <w:rFonts w:hint="default" w:ascii="Times New Roman" w:hAnsi="Times New Roman" w:cs="Times New Roman"/>
                <w:color w:val="000000" w:themeColor="text1"/>
                <w:kern w:val="24"/>
                <w:highlight w:val="none"/>
                <w:lang w:val="en-US" w:eastAsia="zh-CN"/>
                <w14:textFill>
                  <w14:solidFill>
                    <w14:schemeClr w14:val="tx1"/>
                  </w14:solidFill>
                </w14:textFill>
              </w:rPr>
              <w:t>六盘山自治区级</w:t>
            </w:r>
            <w:r>
              <w:rPr>
                <w:rFonts w:hint="default" w:ascii="Times New Roman" w:hAnsi="Times New Roman" w:cs="Times New Roman"/>
                <w:color w:val="000000" w:themeColor="text1"/>
                <w:kern w:val="24"/>
                <w:highlight w:val="none"/>
                <w14:textFill>
                  <w14:solidFill>
                    <w14:schemeClr w14:val="tx1"/>
                  </w14:solidFill>
                </w14:textFill>
              </w:rPr>
              <w:t>自然保护区</w:t>
            </w:r>
            <w:r>
              <w:rPr>
                <w:rFonts w:hint="default" w:ascii="Times New Roman" w:hAnsi="Times New Roman" w:cs="Times New Roman"/>
                <w:color w:val="000000" w:themeColor="text1"/>
                <w:kern w:val="24"/>
                <w:highlight w:val="none"/>
                <w:lang w:val="en-US" w:eastAsia="zh-CN"/>
                <w14:textFill>
                  <w14:solidFill>
                    <w14:schemeClr w14:val="tx1"/>
                  </w14:solidFill>
                </w14:textFill>
              </w:rPr>
              <w:t>，距自然保护区最近距离</w:t>
            </w:r>
            <w:r>
              <w:rPr>
                <w:rFonts w:hint="eastAsia" w:cs="Times New Roman"/>
                <w:color w:val="000000" w:themeColor="text1"/>
                <w:kern w:val="24"/>
                <w:highlight w:val="none"/>
                <w:lang w:val="en-US" w:eastAsia="zh-CN"/>
                <w14:textFill>
                  <w14:solidFill>
                    <w14:schemeClr w14:val="tx1"/>
                  </w14:solidFill>
                </w14:textFill>
              </w:rPr>
              <w:t>不到1</w:t>
            </w:r>
            <w:r>
              <w:rPr>
                <w:rFonts w:hint="default" w:ascii="Times New Roman" w:hAnsi="Times New Roman" w:cs="Times New Roman"/>
                <w:color w:val="000000" w:themeColor="text1"/>
                <w:kern w:val="24"/>
                <w:highlight w:val="none"/>
                <w:lang w:val="en-US" w:eastAsia="zh-CN"/>
                <w14:textFill>
                  <w14:solidFill>
                    <w14:schemeClr w14:val="tx1"/>
                  </w14:solidFill>
                </w14:textFill>
              </w:rPr>
              <w:t>m，</w:t>
            </w:r>
            <w:r>
              <w:rPr>
                <w:rFonts w:hint="default" w:ascii="Times New Roman" w:hAnsi="Times New Roman" w:cs="Times New Roman"/>
                <w:color w:val="000000" w:themeColor="text1"/>
                <w:kern w:val="24"/>
                <w:highlight w:val="none"/>
                <w14:textFill>
                  <w14:solidFill>
                    <w14:schemeClr w14:val="tx1"/>
                  </w14:solidFill>
                </w14:textFill>
              </w:rPr>
              <w:t>根据《环境影响评价技术导则</w:t>
            </w:r>
            <w:r>
              <w:rPr>
                <w:rFonts w:hint="default" w:ascii="Times New Roman" w:hAnsi="Times New Roman" w:cs="Times New Roman"/>
                <w:color w:val="000000" w:themeColor="text1"/>
                <w:kern w:val="24"/>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kern w:val="24"/>
                <w:highlight w:val="none"/>
                <w14:textFill>
                  <w14:solidFill>
                    <w14:schemeClr w14:val="tx1"/>
                  </w14:solidFill>
                </w14:textFill>
              </w:rPr>
              <w:t>生态影响》（HJ19-2022）</w:t>
            </w:r>
            <w:r>
              <w:rPr>
                <w:rFonts w:hint="default" w:ascii="Times New Roman" w:hAnsi="Times New Roman" w:cs="Times New Roman"/>
                <w:color w:val="000000" w:themeColor="text1"/>
                <w:kern w:val="24"/>
                <w:highlight w:val="none"/>
                <w:lang w:val="en-US" w:eastAsia="zh-CN"/>
                <w14:textFill>
                  <w14:solidFill>
                    <w14:schemeClr w14:val="tx1"/>
                  </w14:solidFill>
                </w14:textFill>
              </w:rPr>
              <w:t>，工程占地面积为0.148111km</w:t>
            </w:r>
            <w:r>
              <w:rPr>
                <w:rFonts w:hint="default" w:ascii="Times New Roman" w:hAnsi="Times New Roman" w:cs="Times New Roman"/>
                <w:color w:val="000000" w:themeColor="text1"/>
                <w:kern w:val="24"/>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kern w:val="24"/>
                <w:highlight w:val="none"/>
                <w:lang w:val="en-US" w:eastAsia="zh-CN"/>
                <w14:textFill>
                  <w14:solidFill>
                    <w14:schemeClr w14:val="tx1"/>
                  </w14:solidFill>
                </w14:textFill>
              </w:rPr>
              <w:t>，规模不足20km</w:t>
            </w:r>
            <w:r>
              <w:rPr>
                <w:rFonts w:hint="default" w:ascii="Times New Roman" w:hAnsi="Times New Roman" w:cs="Times New Roman"/>
                <w:color w:val="000000" w:themeColor="text1"/>
                <w:kern w:val="24"/>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kern w:val="24"/>
                <w:highlight w:val="none"/>
                <w:lang w:val="en-US" w:eastAsia="zh-CN"/>
                <w14:textFill>
                  <w14:solidFill>
                    <w14:schemeClr w14:val="tx1"/>
                  </w14:solidFill>
                </w14:textFill>
              </w:rPr>
              <w:t>，确定</w:t>
            </w:r>
            <w:r>
              <w:rPr>
                <w:rFonts w:hint="default" w:ascii="Times New Roman" w:hAnsi="Times New Roman" w:cs="Times New Roman"/>
                <w:color w:val="000000" w:themeColor="text1"/>
                <w:kern w:val="24"/>
                <w:highlight w:val="none"/>
                <w14:textFill>
                  <w14:solidFill>
                    <w14:schemeClr w14:val="tx1"/>
                  </w14:solidFill>
                </w14:textFill>
              </w:rPr>
              <w:t>本项目生态评价等级为</w:t>
            </w:r>
            <w:r>
              <w:rPr>
                <w:rFonts w:hint="default" w:ascii="Times New Roman" w:hAnsi="Times New Roman" w:cs="Times New Roman"/>
                <w:color w:val="000000" w:themeColor="text1"/>
                <w:kern w:val="24"/>
                <w:highlight w:val="none"/>
                <w:lang w:val="en-US" w:eastAsia="zh-CN"/>
                <w14:textFill>
                  <w14:solidFill>
                    <w14:schemeClr w14:val="tx1"/>
                  </w14:solidFill>
                </w14:textFill>
              </w:rPr>
              <w:t>三</w:t>
            </w:r>
            <w:r>
              <w:rPr>
                <w:rFonts w:hint="default" w:ascii="Times New Roman" w:hAnsi="Times New Roman" w:cs="Times New Roman"/>
                <w:color w:val="000000" w:themeColor="text1"/>
                <w:kern w:val="24"/>
                <w:highlight w:val="none"/>
                <w14:textFill>
                  <w14:solidFill>
                    <w14:schemeClr w14:val="tx1"/>
                  </w14:solidFill>
                </w14:textFill>
              </w:rPr>
              <w:t>级。综合考虑工程影响区域生态完整性，工程生态评价范围为项目</w:t>
            </w:r>
            <w:r>
              <w:rPr>
                <w:rFonts w:hint="default" w:ascii="Times New Roman" w:hAnsi="Times New Roman" w:cs="Times New Roman"/>
                <w:color w:val="000000" w:themeColor="text1"/>
                <w:kern w:val="24"/>
                <w:highlight w:val="none"/>
                <w:lang w:val="en-US" w:eastAsia="zh-CN"/>
                <w14:textFill>
                  <w14:solidFill>
                    <w14:schemeClr w14:val="tx1"/>
                  </w14:solidFill>
                </w14:textFill>
              </w:rPr>
              <w:t>工程边界</w:t>
            </w:r>
            <w:r>
              <w:rPr>
                <w:rFonts w:hint="default" w:ascii="Times New Roman" w:hAnsi="Times New Roman" w:cs="Times New Roman"/>
                <w:color w:val="000000" w:themeColor="text1"/>
                <w:kern w:val="24"/>
                <w:highlight w:val="none"/>
                <w14:textFill>
                  <w14:solidFill>
                    <w14:schemeClr w14:val="tx1"/>
                  </w14:solidFill>
                </w14:textFill>
              </w:rPr>
              <w:t>外</w:t>
            </w:r>
            <w:r>
              <w:rPr>
                <w:rFonts w:hint="default" w:ascii="Times New Roman" w:hAnsi="Times New Roman" w:cs="Times New Roman"/>
                <w:color w:val="000000" w:themeColor="text1"/>
                <w:kern w:val="24"/>
                <w:highlight w:val="none"/>
                <w:lang w:val="en-US" w:eastAsia="zh-CN"/>
                <w14:textFill>
                  <w14:solidFill>
                    <w14:schemeClr w14:val="tx1"/>
                  </w14:solidFill>
                </w14:textFill>
              </w:rPr>
              <w:t>5</w:t>
            </w:r>
            <w:r>
              <w:rPr>
                <w:rFonts w:hint="default" w:ascii="Times New Roman" w:hAnsi="Times New Roman" w:cs="Times New Roman"/>
                <w:color w:val="000000" w:themeColor="text1"/>
                <w:kern w:val="24"/>
                <w:highlight w:val="none"/>
                <w14:textFill>
                  <w14:solidFill>
                    <w14:schemeClr w14:val="tx1"/>
                  </w14:solidFill>
                </w14:textFill>
              </w:rPr>
              <w:t>00m范围。</w:t>
            </w:r>
            <w:r>
              <w:rPr>
                <w:rFonts w:hint="default" w:ascii="Times New Roman" w:hAnsi="Times New Roman" w:cs="Times New Roman"/>
                <w:color w:val="000000" w:themeColor="text1"/>
                <w:highlight w:val="none"/>
                <w:lang w:val="en-US" w:eastAsia="zh-CN"/>
                <w14:textFill>
                  <w14:solidFill>
                    <w14:schemeClr w14:val="tx1"/>
                  </w14:solidFill>
                </w14:textFill>
              </w:rPr>
              <w:t>本项目生态环境保护目标为六盘山自治区级自然保护区。</w:t>
            </w:r>
          </w:p>
          <w:p w14:paraId="601797D5">
            <w:pPr>
              <w:adjustRightInd w:val="0"/>
              <w:snapToGrid w:val="0"/>
              <w:ind w:firstLine="480"/>
              <w:jc w:val="left"/>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本项目环境评价范围与环境保护目标分布图见附图1</w:t>
            </w:r>
            <w:r>
              <w:rPr>
                <w:rFonts w:hint="eastAsia"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color w:val="000000" w:themeColor="text1"/>
                <w:highlight w:val="none"/>
                <w:lang w:val="en-US" w:eastAsia="zh-CN"/>
                <w14:textFill>
                  <w14:solidFill>
                    <w14:schemeClr w14:val="tx1"/>
                  </w14:solidFill>
                </w14:textFill>
              </w:rPr>
              <w:t>。</w:t>
            </w:r>
          </w:p>
          <w:p w14:paraId="65CF7E50">
            <w:pPr>
              <w:adjustRightInd w:val="0"/>
              <w:snapToGrid w:val="0"/>
              <w:ind w:firstLine="480"/>
              <w:jc w:val="left"/>
              <w:rPr>
                <w:rFonts w:hint="default" w:ascii="Times New Roman" w:hAnsi="Times New Roman" w:eastAsia="宋体" w:cs="Times New Roman"/>
                <w:b/>
                <w:bCs/>
                <w:color w:val="000000" w:themeColor="text1"/>
                <w:kern w:val="24"/>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4"/>
                <w:sz w:val="24"/>
                <w:szCs w:val="24"/>
                <w:lang w:val="en-US" w:eastAsia="zh-CN" w:bidi="ar-SA"/>
                <w14:textFill>
                  <w14:solidFill>
                    <w14:schemeClr w14:val="tx1"/>
                  </w14:solidFill>
                </w14:textFill>
              </w:rPr>
              <w:t>2 环境保护目标</w:t>
            </w:r>
          </w:p>
          <w:p w14:paraId="73D4F9A1">
            <w:pPr>
              <w:adjustRightInd w:val="0"/>
              <w:snapToGrid w:val="0"/>
              <w:ind w:firstLine="48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本项目主要环境保护目标见表3-2。</w:t>
            </w:r>
          </w:p>
          <w:p w14:paraId="03CC7F29">
            <w:pPr>
              <w:pStyle w:val="63"/>
              <w:spacing w:line="240" w:lineRule="auto"/>
              <w:ind w:firstLine="0" w:firstLineChars="0"/>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表3-</w:t>
            </w:r>
            <w:r>
              <w:rPr>
                <w:rFonts w:hint="default" w:ascii="Times New Roman" w:hAnsi="Times New Roman"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  本项目主要环境保护目标</w:t>
            </w:r>
          </w:p>
          <w:tbl>
            <w:tblPr>
              <w:tblStyle w:val="28"/>
              <w:tblW w:w="8016"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1531"/>
              <w:gridCol w:w="2346"/>
              <w:gridCol w:w="1335"/>
              <w:gridCol w:w="1604"/>
            </w:tblGrid>
            <w:tr w14:paraId="73A349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1200" w:type="dxa"/>
                  <w:tcBorders>
                    <w:tl2br w:val="nil"/>
                    <w:tr2bl w:val="nil"/>
                  </w:tcBorders>
                  <w:vAlign w:val="center"/>
                </w:tcPr>
                <w:p w14:paraId="2A7A8C73">
                  <w:pPr>
                    <w:adjustRightInd w:val="0"/>
                    <w:snapToGrid w:val="0"/>
                    <w:spacing w:line="240" w:lineRule="auto"/>
                    <w:ind w:left="0" w:leftChars="0" w:right="0" w:rightChars="0" w:firstLine="0" w:firstLineChars="0"/>
                    <w:jc w:val="center"/>
                    <w:rPr>
                      <w:rFonts w:hint="default" w:ascii="Times New Roman" w:hAnsi="Times New Roman" w:eastAsia="宋体" w:cs="Times New Roman"/>
                      <w:b/>
                      <w:bCs/>
                      <w:snapToGrid w:val="0"/>
                      <w:color w:val="000000" w:themeColor="text1"/>
                      <w:kern w:val="0"/>
                      <w:sz w:val="21"/>
                      <w:szCs w:val="21"/>
                      <w:lang w:val="en-US" w:eastAsia="zh-CN"/>
                      <w14:textFill>
                        <w14:solidFill>
                          <w14:schemeClr w14:val="tx1"/>
                        </w14:solidFill>
                      </w14:textFill>
                    </w:rPr>
                  </w:pPr>
                  <w:r>
                    <w:rPr>
                      <w:rFonts w:hint="default" w:ascii="Times New Roman" w:hAnsi="Times New Roman" w:cs="Times New Roman"/>
                      <w:b/>
                      <w:bCs/>
                      <w:snapToGrid w:val="0"/>
                      <w:color w:val="000000" w:themeColor="text1"/>
                      <w:kern w:val="0"/>
                      <w:sz w:val="21"/>
                      <w:szCs w:val="21"/>
                      <w:lang w:val="en-US" w:eastAsia="zh-CN"/>
                      <w14:textFill>
                        <w14:solidFill>
                          <w14:schemeClr w14:val="tx1"/>
                        </w14:solidFill>
                      </w14:textFill>
                    </w:rPr>
                    <w:t>环境保护目标</w:t>
                  </w:r>
                  <w:r>
                    <w:rPr>
                      <w:rFonts w:hint="default" w:ascii="Times New Roman" w:hAnsi="Times New Roman" w:eastAsia="宋体" w:cs="Times New Roman"/>
                      <w:b/>
                      <w:bCs/>
                      <w:snapToGrid w:val="0"/>
                      <w:color w:val="000000" w:themeColor="text1"/>
                      <w:kern w:val="0"/>
                      <w:sz w:val="21"/>
                      <w:szCs w:val="21"/>
                      <w:lang w:val="en-US" w:eastAsia="zh-CN"/>
                      <w14:textFill>
                        <w14:solidFill>
                          <w14:schemeClr w14:val="tx1"/>
                        </w14:solidFill>
                      </w14:textFill>
                    </w:rPr>
                    <w:t>名称</w:t>
                  </w:r>
                </w:p>
              </w:tc>
              <w:tc>
                <w:tcPr>
                  <w:tcW w:w="1531" w:type="dxa"/>
                  <w:tcBorders>
                    <w:tl2br w:val="nil"/>
                    <w:tr2bl w:val="nil"/>
                  </w:tcBorders>
                  <w:vAlign w:val="center"/>
                </w:tcPr>
                <w:p w14:paraId="5F1DFD9B">
                  <w:pPr>
                    <w:adjustRightInd w:val="0"/>
                    <w:snapToGrid w:val="0"/>
                    <w:spacing w:line="240" w:lineRule="auto"/>
                    <w:ind w:left="0" w:leftChars="0" w:right="0" w:rightChars="0" w:firstLine="0" w:firstLineChars="0"/>
                    <w:jc w:val="center"/>
                    <w:rPr>
                      <w:rFonts w:hint="default" w:ascii="Times New Roman" w:hAnsi="Times New Roman" w:eastAsia="宋体" w:cs="Times New Roman"/>
                      <w:b/>
                      <w:bCs/>
                      <w:snapToGrid w:val="0"/>
                      <w:color w:val="000000" w:themeColor="text1"/>
                      <w:kern w:val="0"/>
                      <w:sz w:val="21"/>
                      <w:szCs w:val="21"/>
                      <w:lang w:val="en-US" w:eastAsia="zh-CN"/>
                      <w14:textFill>
                        <w14:solidFill>
                          <w14:schemeClr w14:val="tx1"/>
                        </w14:solidFill>
                      </w14:textFill>
                    </w:rPr>
                  </w:pPr>
                  <w:r>
                    <w:rPr>
                      <w:rFonts w:hint="default" w:ascii="Times New Roman" w:hAnsi="Times New Roman" w:cs="Times New Roman"/>
                      <w:b/>
                      <w:bCs/>
                      <w:snapToGrid w:val="0"/>
                      <w:color w:val="000000" w:themeColor="text1"/>
                      <w:kern w:val="0"/>
                      <w:sz w:val="21"/>
                      <w:szCs w:val="21"/>
                      <w:lang w:val="en-US" w:eastAsia="zh-CN"/>
                      <w14:textFill>
                        <w14:solidFill>
                          <w14:schemeClr w14:val="tx1"/>
                        </w14:solidFill>
                      </w14:textFill>
                    </w:rPr>
                    <w:t>与建设项目的位置关系</w:t>
                  </w:r>
                </w:p>
              </w:tc>
              <w:tc>
                <w:tcPr>
                  <w:tcW w:w="2346" w:type="dxa"/>
                  <w:tcBorders>
                    <w:tl2br w:val="nil"/>
                    <w:tr2bl w:val="nil"/>
                  </w:tcBorders>
                  <w:vAlign w:val="center"/>
                </w:tcPr>
                <w:p w14:paraId="2D0B016F">
                  <w:pPr>
                    <w:adjustRightInd w:val="0"/>
                    <w:snapToGrid w:val="0"/>
                    <w:spacing w:line="240" w:lineRule="auto"/>
                    <w:ind w:left="0" w:leftChars="0" w:right="0" w:rightChars="0" w:firstLine="0" w:firstLineChars="0"/>
                    <w:jc w:val="center"/>
                    <w:rPr>
                      <w:rFonts w:hint="default" w:ascii="Times New Roman" w:hAnsi="Times New Roman" w:eastAsia="宋体" w:cs="Times New Roman"/>
                      <w:b/>
                      <w:bCs/>
                      <w:snapToGrid w:val="0"/>
                      <w:color w:val="000000" w:themeColor="text1"/>
                      <w:kern w:val="0"/>
                      <w:sz w:val="21"/>
                      <w:szCs w:val="21"/>
                      <w:lang w:val="en-US" w:eastAsia="zh-CN"/>
                      <w14:textFill>
                        <w14:solidFill>
                          <w14:schemeClr w14:val="tx1"/>
                        </w14:solidFill>
                      </w14:textFill>
                    </w:rPr>
                  </w:pPr>
                  <w:r>
                    <w:rPr>
                      <w:rFonts w:hint="default" w:ascii="Times New Roman" w:hAnsi="Times New Roman" w:cs="Times New Roman"/>
                      <w:b/>
                      <w:bCs/>
                      <w:snapToGrid w:val="0"/>
                      <w:color w:val="000000" w:themeColor="text1"/>
                      <w:kern w:val="0"/>
                      <w:sz w:val="21"/>
                      <w:szCs w:val="21"/>
                      <w:lang w:val="en-US" w:eastAsia="zh-CN"/>
                      <w14:textFill>
                        <w14:solidFill>
                          <w14:schemeClr w14:val="tx1"/>
                        </w14:solidFill>
                      </w14:textFill>
                    </w:rPr>
                    <w:t>规模</w:t>
                  </w:r>
                </w:p>
              </w:tc>
              <w:tc>
                <w:tcPr>
                  <w:tcW w:w="1335" w:type="dxa"/>
                  <w:tcBorders>
                    <w:tl2br w:val="nil"/>
                    <w:tr2bl w:val="nil"/>
                  </w:tcBorders>
                  <w:vAlign w:val="center"/>
                </w:tcPr>
                <w:p w14:paraId="40E0C388">
                  <w:pPr>
                    <w:adjustRightInd w:val="0"/>
                    <w:snapToGrid w:val="0"/>
                    <w:spacing w:line="240" w:lineRule="auto"/>
                    <w:ind w:left="0" w:leftChars="0" w:right="0" w:rightChars="0" w:firstLine="0" w:firstLineChars="0"/>
                    <w:jc w:val="center"/>
                    <w:rPr>
                      <w:rFonts w:hint="default" w:ascii="Times New Roman" w:hAnsi="Times New Roman" w:eastAsia="宋体" w:cs="Times New Roman"/>
                      <w:b/>
                      <w:bCs/>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lang w:val="en-US" w:eastAsia="zh-CN"/>
                      <w14:textFill>
                        <w14:solidFill>
                          <w14:schemeClr w14:val="tx1"/>
                        </w14:solidFill>
                      </w14:textFill>
                    </w:rPr>
                    <w:t>环境功能区</w:t>
                  </w:r>
                </w:p>
              </w:tc>
              <w:tc>
                <w:tcPr>
                  <w:tcW w:w="1604" w:type="dxa"/>
                  <w:tcBorders>
                    <w:tl2br w:val="nil"/>
                    <w:tr2bl w:val="nil"/>
                  </w:tcBorders>
                  <w:shd w:val="clear" w:color="auto" w:fill="auto"/>
                  <w:vAlign w:val="center"/>
                </w:tcPr>
                <w:p w14:paraId="1B4596CF">
                  <w:pPr>
                    <w:adjustRightInd w:val="0"/>
                    <w:snapToGrid w:val="0"/>
                    <w:spacing w:line="240" w:lineRule="auto"/>
                    <w:ind w:left="0" w:leftChars="0" w:right="0" w:rightChars="0" w:firstLine="0" w:firstLineChars="0"/>
                    <w:jc w:val="center"/>
                    <w:rPr>
                      <w:rFonts w:hint="default" w:ascii="Times New Roman" w:hAnsi="Times New Roman" w:eastAsia="宋体" w:cs="Times New Roman"/>
                      <w:b/>
                      <w:bCs/>
                      <w:snapToGrid w:val="0"/>
                      <w:color w:val="000000" w:themeColor="text1"/>
                      <w:kern w:val="0"/>
                      <w:sz w:val="21"/>
                      <w:szCs w:val="21"/>
                      <w:lang w:val="en-US" w:eastAsia="zh-CN"/>
                      <w14:textFill>
                        <w14:solidFill>
                          <w14:schemeClr w14:val="tx1"/>
                        </w14:solidFill>
                      </w14:textFill>
                    </w:rPr>
                  </w:pPr>
                  <w:r>
                    <w:rPr>
                      <w:rFonts w:hint="default" w:ascii="Times New Roman" w:hAnsi="Times New Roman" w:cs="Times New Roman"/>
                      <w:b/>
                      <w:bCs/>
                      <w:snapToGrid w:val="0"/>
                      <w:color w:val="000000" w:themeColor="text1"/>
                      <w:kern w:val="0"/>
                      <w:sz w:val="21"/>
                      <w:szCs w:val="21"/>
                      <w:lang w:val="en-US" w:eastAsia="zh-CN"/>
                      <w14:textFill>
                        <w14:solidFill>
                          <w14:schemeClr w14:val="tx1"/>
                        </w14:solidFill>
                      </w14:textFill>
                    </w:rPr>
                    <w:t>主要保护对象</w:t>
                  </w:r>
                </w:p>
              </w:tc>
            </w:tr>
            <w:tr w14:paraId="5681A7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200" w:type="dxa"/>
                  <w:tcBorders>
                    <w:tl2br w:val="nil"/>
                    <w:tr2bl w:val="nil"/>
                  </w:tcBorders>
                  <w:vAlign w:val="center"/>
                </w:tcPr>
                <w:p w14:paraId="4F6EE275">
                  <w:pPr>
                    <w:adjustRightInd w:val="0"/>
                    <w:snapToGrid w:val="0"/>
                    <w:spacing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六盘山自然保护区</w:t>
                  </w:r>
                </w:p>
              </w:tc>
              <w:tc>
                <w:tcPr>
                  <w:tcW w:w="1531" w:type="dxa"/>
                  <w:vMerge w:val="restart"/>
                  <w:tcBorders>
                    <w:tl2br w:val="nil"/>
                    <w:tr2bl w:val="nil"/>
                  </w:tcBorders>
                  <w:vAlign w:val="center"/>
                </w:tcPr>
                <w:p w14:paraId="2E834531">
                  <w:pPr>
                    <w:adjustRightInd w:val="0"/>
                    <w:snapToGrid w:val="0"/>
                    <w:spacing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拟建地点</w:t>
                  </w:r>
                  <w:r>
                    <w:rPr>
                      <w:rFonts w:hint="eastAsia" w:cs="Times New Roman"/>
                      <w:snapToGrid w:val="0"/>
                      <w:color w:val="000000" w:themeColor="text1"/>
                      <w:kern w:val="0"/>
                      <w:sz w:val="21"/>
                      <w:szCs w:val="21"/>
                      <w:highlight w:val="none"/>
                      <w:lang w:val="en-US" w:eastAsia="zh-CN"/>
                      <w14:textFill>
                        <w14:solidFill>
                          <w14:schemeClr w14:val="tx1"/>
                        </w14:solidFill>
                      </w14:textFill>
                    </w:rPr>
                    <w:t>紧邻</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六盘山</w:t>
                  </w:r>
                  <w:r>
                    <w:rPr>
                      <w:rFonts w:hint="default"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自治区级</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自然保护区</w:t>
                  </w:r>
                  <w:r>
                    <w:rPr>
                      <w:rFonts w:hint="default"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，距保护区最近距离</w:t>
                  </w:r>
                  <w:r>
                    <w:rPr>
                      <w:rFonts w:hint="eastAsia" w:cs="Times New Roman"/>
                      <w:snapToGrid w:val="0"/>
                      <w:color w:val="000000" w:themeColor="text1"/>
                      <w:kern w:val="0"/>
                      <w:sz w:val="21"/>
                      <w:szCs w:val="21"/>
                      <w:highlight w:val="none"/>
                      <w:lang w:val="en-US" w:eastAsia="zh-CN"/>
                      <w14:textFill>
                        <w14:solidFill>
                          <w14:schemeClr w14:val="tx1"/>
                        </w14:solidFill>
                      </w14:textFill>
                    </w:rPr>
                    <w:t>不到1</w:t>
                  </w:r>
                  <w:r>
                    <w:rPr>
                      <w:rFonts w:hint="default"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m</w:t>
                  </w:r>
                </w:p>
              </w:tc>
              <w:tc>
                <w:tcPr>
                  <w:tcW w:w="2346" w:type="dxa"/>
                  <w:tcBorders>
                    <w:tl2br w:val="nil"/>
                    <w:tr2bl w:val="nil"/>
                  </w:tcBorders>
                  <w:vAlign w:val="center"/>
                </w:tcPr>
                <w:p w14:paraId="6209A782">
                  <w:pPr>
                    <w:adjustRightInd w:val="0"/>
                    <w:snapToGrid w:val="0"/>
                    <w:spacing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项目厂址为中心区域，自厂界外延200m</w:t>
                  </w:r>
                  <w:r>
                    <w:rPr>
                      <w:rFonts w:hint="default" w:ascii="Times New Roman" w:hAnsi="Times New Roman" w:cs="Times New Roman"/>
                      <w:snapToGrid w:val="0"/>
                      <w:color w:val="000000" w:themeColor="text1"/>
                      <w:kern w:val="0"/>
                      <w:sz w:val="21"/>
                      <w:szCs w:val="21"/>
                      <w:highlight w:val="none"/>
                      <w:lang w:val="en-US" w:eastAsia="zh-CN"/>
                      <w14:textFill>
                        <w14:solidFill>
                          <w14:schemeClr w14:val="tx1"/>
                        </w14:solidFill>
                      </w14:textFill>
                    </w:rPr>
                    <w:t>与自然保护区交合范围</w:t>
                  </w:r>
                </w:p>
              </w:tc>
              <w:tc>
                <w:tcPr>
                  <w:tcW w:w="1335" w:type="dxa"/>
                  <w:tcBorders>
                    <w:tl2br w:val="nil"/>
                    <w:tr2bl w:val="nil"/>
                  </w:tcBorders>
                  <w:vAlign w:val="center"/>
                </w:tcPr>
                <w:p w14:paraId="33629B59">
                  <w:pPr>
                    <w:adjustRightInd w:val="0"/>
                    <w:snapToGrid w:val="0"/>
                    <w:spacing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环境空气</w:t>
                  </w:r>
                  <w:r>
                    <w:rPr>
                      <w:rFonts w:hint="default" w:ascii="Times New Roman" w:hAnsi="Times New Roman" w:cs="Times New Roman"/>
                      <w:snapToGrid w:val="0"/>
                      <w:color w:val="000000" w:themeColor="text1"/>
                      <w:kern w:val="0"/>
                      <w:sz w:val="21"/>
                      <w:szCs w:val="21"/>
                      <w:lang w:val="en-US" w:eastAsia="zh-CN"/>
                      <w14:textFill>
                        <w14:solidFill>
                          <w14:schemeClr w14:val="tx1"/>
                        </w14:solidFill>
                      </w14:textFill>
                    </w:rPr>
                    <w:t>二</w:t>
                  </w: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类功能区</w:t>
                  </w:r>
                </w:p>
              </w:tc>
              <w:tc>
                <w:tcPr>
                  <w:tcW w:w="1604" w:type="dxa"/>
                  <w:tcBorders>
                    <w:tl2br w:val="nil"/>
                    <w:tr2bl w:val="nil"/>
                  </w:tcBorders>
                  <w:vAlign w:val="center"/>
                </w:tcPr>
                <w:p w14:paraId="053DCF2F">
                  <w:pPr>
                    <w:adjustRightInd w:val="0"/>
                    <w:snapToGrid w:val="0"/>
                    <w:spacing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大气环境</w:t>
                  </w:r>
                </w:p>
              </w:tc>
            </w:tr>
            <w:tr w14:paraId="116B1D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1200" w:type="dxa"/>
                  <w:tcBorders>
                    <w:tl2br w:val="nil"/>
                    <w:tr2bl w:val="nil"/>
                  </w:tcBorders>
                  <w:vAlign w:val="center"/>
                </w:tcPr>
                <w:p w14:paraId="3078743F">
                  <w:pPr>
                    <w:adjustRightInd w:val="0"/>
                    <w:snapToGrid w:val="0"/>
                    <w:spacing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六盘山自然保护区</w:t>
                  </w:r>
                </w:p>
              </w:tc>
              <w:tc>
                <w:tcPr>
                  <w:tcW w:w="1531" w:type="dxa"/>
                  <w:vMerge w:val="continue"/>
                  <w:tcBorders>
                    <w:tl2br w:val="nil"/>
                    <w:tr2bl w:val="nil"/>
                  </w:tcBorders>
                  <w:vAlign w:val="center"/>
                </w:tcPr>
                <w:p w14:paraId="000AFD8D">
                  <w:pPr>
                    <w:adjustRightInd w:val="0"/>
                    <w:snapToGrid w:val="0"/>
                    <w:spacing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p>
              </w:tc>
              <w:tc>
                <w:tcPr>
                  <w:tcW w:w="2346" w:type="dxa"/>
                  <w:tcBorders>
                    <w:tl2br w:val="nil"/>
                    <w:tr2bl w:val="nil"/>
                  </w:tcBorders>
                  <w:vAlign w:val="center"/>
                </w:tcPr>
                <w:p w14:paraId="0F9A5486">
                  <w:pPr>
                    <w:adjustRightInd w:val="0"/>
                    <w:snapToGrid w:val="0"/>
                    <w:spacing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项目工程两侧边界外500m</w:t>
                  </w:r>
                  <w:r>
                    <w:rPr>
                      <w:rFonts w:hint="default" w:ascii="Times New Roman" w:hAnsi="Times New Roman" w:cs="Times New Roman"/>
                      <w:snapToGrid w:val="0"/>
                      <w:color w:val="000000" w:themeColor="text1"/>
                      <w:kern w:val="0"/>
                      <w:sz w:val="21"/>
                      <w:szCs w:val="21"/>
                      <w:lang w:val="en-US" w:eastAsia="zh-CN"/>
                      <w14:textFill>
                        <w14:solidFill>
                          <w14:schemeClr w14:val="tx1"/>
                        </w14:solidFill>
                      </w14:textFill>
                    </w:rPr>
                    <w:t>与自然保护区交合范围</w:t>
                  </w:r>
                </w:p>
              </w:tc>
              <w:tc>
                <w:tcPr>
                  <w:tcW w:w="1335" w:type="dxa"/>
                  <w:tcBorders>
                    <w:tl2br w:val="nil"/>
                    <w:tr2bl w:val="nil"/>
                  </w:tcBorders>
                  <w:vAlign w:val="center"/>
                </w:tcPr>
                <w:p w14:paraId="3F23B7D2">
                  <w:pPr>
                    <w:adjustRightInd w:val="0"/>
                    <w:snapToGrid w:val="0"/>
                    <w:spacing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0"/>
                      <w:sz w:val="21"/>
                      <w:szCs w:val="21"/>
                      <w:lang w:val="en-US" w:eastAsia="zh-CN"/>
                      <w14:textFill>
                        <w14:solidFill>
                          <w14:schemeClr w14:val="tx1"/>
                        </w14:solidFill>
                      </w14:textFill>
                    </w:rPr>
                    <w:t>-</w:t>
                  </w:r>
                </w:p>
              </w:tc>
              <w:tc>
                <w:tcPr>
                  <w:tcW w:w="1604" w:type="dxa"/>
                  <w:tcBorders>
                    <w:tl2br w:val="nil"/>
                    <w:tr2bl w:val="nil"/>
                  </w:tcBorders>
                  <w:vAlign w:val="center"/>
                </w:tcPr>
                <w:p w14:paraId="669FB87D">
                  <w:pPr>
                    <w:adjustRightInd w:val="0"/>
                    <w:snapToGrid w:val="0"/>
                    <w:spacing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生态环境</w:t>
                  </w:r>
                </w:p>
              </w:tc>
            </w:tr>
          </w:tbl>
          <w:p w14:paraId="305DB308">
            <w:pPr>
              <w:adjustRightInd w:val="0"/>
              <w:snapToGrid w:val="0"/>
              <w:ind w:left="0" w:leftChars="0" w:right="0" w:rightChars="0" w:firstLine="0" w:firstLineChars="0"/>
              <w:jc w:val="center"/>
              <w:rPr>
                <w:rFonts w:hint="default" w:ascii="Times New Roman" w:hAnsi="Times New Roman" w:eastAsia="宋体" w:cs="Times New Roman"/>
                <w:b/>
                <w:color w:val="000000" w:themeColor="text1"/>
                <w:spacing w:val="0"/>
                <w:kern w:val="2"/>
                <w:sz w:val="21"/>
                <w:szCs w:val="21"/>
                <w:lang w:val="en-US" w:eastAsia="zh-CN" w:bidi="ar-SA"/>
                <w14:textFill>
                  <w14:solidFill>
                    <w14:schemeClr w14:val="tx1"/>
                  </w14:solidFill>
                </w14:textFill>
              </w:rPr>
            </w:pPr>
          </w:p>
        </w:tc>
      </w:tr>
      <w:tr w14:paraId="0142C1AE">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28" w:type="dxa"/>
            <w:left w:w="28" w:type="dxa"/>
            <w:bottom w:w="28" w:type="dxa"/>
            <w:right w:w="28" w:type="dxa"/>
          </w:tblCellMar>
        </w:tblPrEx>
        <w:trPr>
          <w:trHeight w:val="10438" w:hRule="atLeast"/>
          <w:jc w:val="center"/>
        </w:trPr>
        <w:tc>
          <w:tcPr>
            <w:tcW w:w="172" w:type="pct"/>
            <w:noWrap w:val="0"/>
            <w:vAlign w:val="center"/>
          </w:tcPr>
          <w:p w14:paraId="7D6EC505">
            <w:pPr>
              <w:adjustRightInd w:val="0"/>
              <w:snapToGrid w:val="0"/>
              <w:ind w:firstLine="0" w:firstLineChars="0"/>
              <w:jc w:val="center"/>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评价</w:t>
            </w:r>
          </w:p>
          <w:p w14:paraId="082E29BD">
            <w:pPr>
              <w:adjustRightInd w:val="0"/>
              <w:snapToGrid w:val="0"/>
              <w:ind w:firstLine="0" w:firstLineChars="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标准</w:t>
            </w:r>
          </w:p>
        </w:tc>
        <w:tc>
          <w:tcPr>
            <w:tcW w:w="4827" w:type="pct"/>
            <w:noWrap w:val="0"/>
            <w:vAlign w:val="center"/>
          </w:tcPr>
          <w:p w14:paraId="49CB8A39">
            <w:pPr>
              <w:pStyle w:val="55"/>
              <w:spacing w:line="360" w:lineRule="auto"/>
              <w:ind w:firstLine="482"/>
              <w:jc w:val="both"/>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 xml:space="preserve">1 </w:t>
            </w:r>
            <w:r>
              <w:rPr>
                <w:rFonts w:hint="default" w:ascii="Times New Roman" w:hAnsi="Times New Roman" w:cs="Times New Roman"/>
                <w:b/>
                <w:bCs/>
                <w:color w:val="000000" w:themeColor="text1"/>
                <w:sz w:val="24"/>
                <w:szCs w:val="24"/>
                <w:lang w:val="en-US" w:eastAsia="zh-CN"/>
                <w14:textFill>
                  <w14:solidFill>
                    <w14:schemeClr w14:val="tx1"/>
                  </w14:solidFill>
                </w14:textFill>
              </w:rPr>
              <w:t>环境质量标准</w:t>
            </w:r>
          </w:p>
          <w:p w14:paraId="18E07188">
            <w:pPr>
              <w:pStyle w:val="55"/>
              <w:spacing w:line="360" w:lineRule="auto"/>
              <w:ind w:firstLine="482"/>
              <w:jc w:val="both"/>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1.1</w:t>
            </w:r>
            <w:r>
              <w:rPr>
                <w:rFonts w:hint="default" w:ascii="Times New Roman" w:hAnsi="Times New Roman" w:cs="Times New Roman"/>
                <w:b/>
                <w:bCs/>
                <w:color w:val="000000" w:themeColor="text1"/>
                <w:sz w:val="24"/>
                <w:szCs w:val="24"/>
                <w14:textFill>
                  <w14:solidFill>
                    <w14:schemeClr w14:val="tx1"/>
                  </w14:solidFill>
                </w14:textFill>
              </w:rPr>
              <w:t>大气环境质量标准</w:t>
            </w:r>
          </w:p>
          <w:p w14:paraId="0694082D">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spacing w:val="0"/>
                <w:sz w:val="24"/>
                <w:szCs w:val="24"/>
                <w:highlight w:val="none"/>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本项目大气环境质量执行</w:t>
            </w:r>
            <w:r>
              <w:rPr>
                <w:rFonts w:hint="default" w:ascii="Times New Roman" w:hAnsi="Times New Roman" w:eastAsia="宋体" w:cs="Times New Roman"/>
                <w:color w:val="000000" w:themeColor="text1"/>
                <w14:textFill>
                  <w14:solidFill>
                    <w14:schemeClr w14:val="tx1"/>
                  </w14:solidFill>
                </w14:textFill>
              </w:rPr>
              <w:t>《环境空气质量标准》（GB3095-2012）</w:t>
            </w:r>
            <w:r>
              <w:rPr>
                <w:rFonts w:hint="default" w:ascii="Times New Roman" w:hAnsi="Times New Roman" w:cs="Times New Roman"/>
                <w:color w:val="000000" w:themeColor="text1"/>
                <w:lang w:val="en-US" w:eastAsia="zh-CN"/>
                <w14:textFill>
                  <w14:solidFill>
                    <w14:schemeClr w14:val="tx1"/>
                  </w14:solidFill>
                </w14:textFill>
              </w:rPr>
              <w:t>及2018年修改单二</w:t>
            </w:r>
            <w:r>
              <w:rPr>
                <w:rFonts w:hint="default" w:ascii="Times New Roman" w:hAnsi="Times New Roman" w:eastAsia="宋体" w:cs="Times New Roman"/>
                <w:color w:val="000000" w:themeColor="text1"/>
                <w14:textFill>
                  <w14:solidFill>
                    <w14:schemeClr w14:val="tx1"/>
                  </w14:solidFill>
                </w14:textFill>
              </w:rPr>
              <w:t>级标准。主要指标见下</w:t>
            </w:r>
            <w:r>
              <w:rPr>
                <w:rFonts w:hint="default" w:ascii="Times New Roman" w:hAnsi="Times New Roman" w:eastAsia="宋体" w:cs="Times New Roman"/>
                <w:color w:val="000000" w:themeColor="text1"/>
                <w:spacing w:val="0"/>
                <w14:textFill>
                  <w14:solidFill>
                    <w14:schemeClr w14:val="tx1"/>
                  </w14:solidFill>
                </w14:textFill>
              </w:rPr>
              <w:t>表：</w:t>
            </w:r>
          </w:p>
          <w:p w14:paraId="4669D169">
            <w:pPr>
              <w:pStyle w:val="63"/>
              <w:spacing w:line="240" w:lineRule="auto"/>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表3-</w:t>
            </w:r>
            <w:r>
              <w:rPr>
                <w:rFonts w:hint="default" w:ascii="Times New Roman" w:hAnsi="Times New Roman"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  环境空气质量标准</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0"/>
              <w:gridCol w:w="1026"/>
              <w:gridCol w:w="2024"/>
              <w:gridCol w:w="2359"/>
              <w:gridCol w:w="1852"/>
            </w:tblGrid>
            <w:tr w14:paraId="22B945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90" w:type="pct"/>
                  <w:noWrap w:val="0"/>
                  <w:vAlign w:val="center"/>
                </w:tcPr>
                <w:p w14:paraId="0EDFE0DD">
                  <w:pPr>
                    <w:adjustRightInd w:val="0"/>
                    <w:snapToGrid w:val="0"/>
                    <w:spacing w:line="240" w:lineRule="auto"/>
                    <w:ind w:firstLine="0" w:firstLineChars="0"/>
                    <w:jc w:val="center"/>
                    <w:rPr>
                      <w:rFonts w:hint="default" w:ascii="Times New Roman" w:hAnsi="Times New Roman" w:eastAsia="宋体" w:cs="Times New Roman"/>
                      <w:b/>
                      <w:bCs/>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14:textFill>
                        <w14:solidFill>
                          <w14:schemeClr w14:val="tx1"/>
                        </w14:solidFill>
                      </w14:textFill>
                    </w:rPr>
                    <w:t>序号</w:t>
                  </w:r>
                </w:p>
              </w:tc>
              <w:tc>
                <w:tcPr>
                  <w:tcW w:w="637" w:type="pct"/>
                  <w:noWrap w:val="0"/>
                  <w:vAlign w:val="center"/>
                </w:tcPr>
                <w:p w14:paraId="7BAAFDC6">
                  <w:pPr>
                    <w:adjustRightInd w:val="0"/>
                    <w:snapToGrid w:val="0"/>
                    <w:spacing w:line="240" w:lineRule="auto"/>
                    <w:ind w:firstLine="0" w:firstLineChars="0"/>
                    <w:jc w:val="center"/>
                    <w:rPr>
                      <w:rFonts w:hint="default" w:ascii="Times New Roman" w:hAnsi="Times New Roman" w:eastAsia="宋体" w:cs="Times New Roman"/>
                      <w:b/>
                      <w:bCs/>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14:textFill>
                        <w14:solidFill>
                          <w14:schemeClr w14:val="tx1"/>
                        </w14:solidFill>
                      </w14:textFill>
                    </w:rPr>
                    <w:t>污染物</w:t>
                  </w:r>
                </w:p>
              </w:tc>
              <w:tc>
                <w:tcPr>
                  <w:tcW w:w="1256" w:type="pct"/>
                  <w:noWrap w:val="0"/>
                  <w:vAlign w:val="center"/>
                </w:tcPr>
                <w:p w14:paraId="048F7C9A">
                  <w:pPr>
                    <w:adjustRightInd w:val="0"/>
                    <w:snapToGrid w:val="0"/>
                    <w:spacing w:line="240" w:lineRule="auto"/>
                    <w:ind w:firstLine="0" w:firstLineChars="0"/>
                    <w:jc w:val="center"/>
                    <w:rPr>
                      <w:rFonts w:hint="default" w:ascii="Times New Roman" w:hAnsi="Times New Roman" w:eastAsia="宋体" w:cs="Times New Roman"/>
                      <w:b/>
                      <w:bCs/>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14:textFill>
                        <w14:solidFill>
                          <w14:schemeClr w14:val="tx1"/>
                        </w14:solidFill>
                      </w14:textFill>
                    </w:rPr>
                    <w:t>年平均值（µg/m</w:t>
                  </w:r>
                  <w:r>
                    <w:rPr>
                      <w:rFonts w:hint="default" w:ascii="Times New Roman" w:hAnsi="Times New Roman" w:eastAsia="宋体" w:cs="Times New Roman"/>
                      <w:b/>
                      <w:bCs/>
                      <w:snapToGrid w:val="0"/>
                      <w:color w:val="000000" w:themeColor="text1"/>
                      <w:kern w:val="0"/>
                      <w:sz w:val="21"/>
                      <w:szCs w:val="21"/>
                      <w:vertAlign w:val="superscript"/>
                      <w14:textFill>
                        <w14:solidFill>
                          <w14:schemeClr w14:val="tx1"/>
                        </w14:solidFill>
                      </w14:textFill>
                    </w:rPr>
                    <w:t>3</w:t>
                  </w:r>
                  <w:r>
                    <w:rPr>
                      <w:rFonts w:hint="default" w:ascii="Times New Roman" w:hAnsi="Times New Roman" w:eastAsia="宋体" w:cs="Times New Roman"/>
                      <w:b/>
                      <w:bCs/>
                      <w:snapToGrid w:val="0"/>
                      <w:color w:val="000000" w:themeColor="text1"/>
                      <w:kern w:val="0"/>
                      <w:sz w:val="21"/>
                      <w:szCs w:val="21"/>
                      <w14:textFill>
                        <w14:solidFill>
                          <w14:schemeClr w14:val="tx1"/>
                        </w14:solidFill>
                      </w14:textFill>
                    </w:rPr>
                    <w:t>）</w:t>
                  </w:r>
                </w:p>
              </w:tc>
              <w:tc>
                <w:tcPr>
                  <w:tcW w:w="1465" w:type="pct"/>
                  <w:noWrap w:val="0"/>
                  <w:vAlign w:val="center"/>
                </w:tcPr>
                <w:p w14:paraId="4968F9B3">
                  <w:pPr>
                    <w:adjustRightInd w:val="0"/>
                    <w:snapToGrid w:val="0"/>
                    <w:spacing w:line="240" w:lineRule="auto"/>
                    <w:ind w:firstLine="0" w:firstLineChars="0"/>
                    <w:jc w:val="center"/>
                    <w:rPr>
                      <w:rFonts w:hint="default" w:ascii="Times New Roman" w:hAnsi="Times New Roman" w:eastAsia="宋体" w:cs="Times New Roman"/>
                      <w:b/>
                      <w:bCs/>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14:textFill>
                        <w14:solidFill>
                          <w14:schemeClr w14:val="tx1"/>
                        </w14:solidFill>
                      </w14:textFill>
                    </w:rPr>
                    <w:t>24小时平均（µg/m</w:t>
                  </w:r>
                  <w:r>
                    <w:rPr>
                      <w:rFonts w:hint="default" w:ascii="Times New Roman" w:hAnsi="Times New Roman" w:eastAsia="宋体" w:cs="Times New Roman"/>
                      <w:b/>
                      <w:bCs/>
                      <w:snapToGrid w:val="0"/>
                      <w:color w:val="000000" w:themeColor="text1"/>
                      <w:kern w:val="0"/>
                      <w:sz w:val="21"/>
                      <w:szCs w:val="21"/>
                      <w:vertAlign w:val="superscript"/>
                      <w14:textFill>
                        <w14:solidFill>
                          <w14:schemeClr w14:val="tx1"/>
                        </w14:solidFill>
                      </w14:textFill>
                    </w:rPr>
                    <w:t>3</w:t>
                  </w:r>
                  <w:r>
                    <w:rPr>
                      <w:rFonts w:hint="default" w:ascii="Times New Roman" w:hAnsi="Times New Roman" w:eastAsia="宋体" w:cs="Times New Roman"/>
                      <w:b/>
                      <w:bCs/>
                      <w:snapToGrid w:val="0"/>
                      <w:color w:val="000000" w:themeColor="text1"/>
                      <w:kern w:val="0"/>
                      <w:sz w:val="21"/>
                      <w:szCs w:val="21"/>
                      <w14:textFill>
                        <w14:solidFill>
                          <w14:schemeClr w14:val="tx1"/>
                        </w14:solidFill>
                      </w14:textFill>
                    </w:rPr>
                    <w:t>）</w:t>
                  </w:r>
                </w:p>
              </w:tc>
              <w:tc>
                <w:tcPr>
                  <w:tcW w:w="1150" w:type="pct"/>
                  <w:noWrap w:val="0"/>
                  <w:vAlign w:val="center"/>
                </w:tcPr>
                <w:p w14:paraId="7D24DE48">
                  <w:pPr>
                    <w:adjustRightInd w:val="0"/>
                    <w:snapToGrid w:val="0"/>
                    <w:spacing w:line="240" w:lineRule="auto"/>
                    <w:ind w:firstLine="0" w:firstLineChars="0"/>
                    <w:jc w:val="center"/>
                    <w:rPr>
                      <w:rFonts w:hint="default" w:ascii="Times New Roman" w:hAnsi="Times New Roman" w:eastAsia="宋体" w:cs="Times New Roman"/>
                      <w:b/>
                      <w:bCs/>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14:textFill>
                        <w14:solidFill>
                          <w14:schemeClr w14:val="tx1"/>
                        </w14:solidFill>
                      </w14:textFill>
                    </w:rPr>
                    <w:t>标准来源</w:t>
                  </w:r>
                </w:p>
              </w:tc>
            </w:tr>
            <w:tr w14:paraId="5968F6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90" w:type="pct"/>
                  <w:noWrap w:val="0"/>
                  <w:vAlign w:val="center"/>
                </w:tcPr>
                <w:p w14:paraId="732768EE">
                  <w:pPr>
                    <w:adjustRightInd w:val="0"/>
                    <w:snapToGrid w:val="0"/>
                    <w:spacing w:line="240" w:lineRule="auto"/>
                    <w:ind w:firstLine="0" w:firstLineChars="0"/>
                    <w:jc w:val="center"/>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1</w:t>
                  </w:r>
                </w:p>
              </w:tc>
              <w:tc>
                <w:tcPr>
                  <w:tcW w:w="637" w:type="pct"/>
                  <w:noWrap w:val="0"/>
                  <w:vAlign w:val="center"/>
                </w:tcPr>
                <w:p w14:paraId="35AF77B7">
                  <w:pPr>
                    <w:adjustRightInd w:val="0"/>
                    <w:snapToGrid w:val="0"/>
                    <w:spacing w:line="240" w:lineRule="auto"/>
                    <w:ind w:firstLine="0" w:firstLineChars="0"/>
                    <w:jc w:val="center"/>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SO</w:t>
                  </w:r>
                  <w:r>
                    <w:rPr>
                      <w:rFonts w:hint="default" w:ascii="Times New Roman" w:hAnsi="Times New Roman" w:eastAsia="宋体" w:cs="Times New Roman"/>
                      <w:snapToGrid w:val="0"/>
                      <w:color w:val="000000" w:themeColor="text1"/>
                      <w:kern w:val="0"/>
                      <w:sz w:val="21"/>
                      <w:szCs w:val="21"/>
                      <w:vertAlign w:val="subscript"/>
                      <w14:textFill>
                        <w14:solidFill>
                          <w14:schemeClr w14:val="tx1"/>
                        </w14:solidFill>
                      </w14:textFill>
                    </w:rPr>
                    <w:t>2</w:t>
                  </w:r>
                </w:p>
              </w:tc>
              <w:tc>
                <w:tcPr>
                  <w:tcW w:w="1256" w:type="pct"/>
                  <w:noWrap w:val="0"/>
                  <w:vAlign w:val="center"/>
                </w:tcPr>
                <w:p w14:paraId="571A2FC0">
                  <w:pPr>
                    <w:adjustRightInd w:val="0"/>
                    <w:snapToGrid w:val="0"/>
                    <w:spacing w:line="240" w:lineRule="auto"/>
                    <w:ind w:firstLine="0" w:firstLineChars="0"/>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0"/>
                      <w:sz w:val="21"/>
                      <w:szCs w:val="21"/>
                      <w:lang w:val="en-US" w:eastAsia="zh-CN"/>
                      <w14:textFill>
                        <w14:solidFill>
                          <w14:schemeClr w14:val="tx1"/>
                        </w14:solidFill>
                      </w14:textFill>
                    </w:rPr>
                    <w:t>60</w:t>
                  </w:r>
                </w:p>
              </w:tc>
              <w:tc>
                <w:tcPr>
                  <w:tcW w:w="1465" w:type="pct"/>
                  <w:noWrap w:val="0"/>
                  <w:vAlign w:val="center"/>
                </w:tcPr>
                <w:p w14:paraId="69362396">
                  <w:pPr>
                    <w:adjustRightInd w:val="0"/>
                    <w:snapToGrid w:val="0"/>
                    <w:spacing w:line="240" w:lineRule="auto"/>
                    <w:ind w:firstLine="0" w:firstLineChars="0"/>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0"/>
                      <w:sz w:val="21"/>
                      <w:szCs w:val="21"/>
                      <w:lang w:val="en-US" w:eastAsia="zh-CN"/>
                      <w14:textFill>
                        <w14:solidFill>
                          <w14:schemeClr w14:val="tx1"/>
                        </w14:solidFill>
                      </w14:textFill>
                    </w:rPr>
                    <w:t>150</w:t>
                  </w:r>
                </w:p>
              </w:tc>
              <w:tc>
                <w:tcPr>
                  <w:tcW w:w="1150" w:type="pct"/>
                  <w:vMerge w:val="restart"/>
                  <w:noWrap w:val="0"/>
                  <w:vAlign w:val="center"/>
                </w:tcPr>
                <w:p w14:paraId="12514F7E">
                  <w:pPr>
                    <w:adjustRightInd w:val="0"/>
                    <w:snapToGrid w:val="0"/>
                    <w:spacing w:line="240" w:lineRule="auto"/>
                    <w:ind w:firstLine="0" w:firstLineChars="0"/>
                    <w:jc w:val="center"/>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GB3095-2012</w:t>
                  </w:r>
                </w:p>
                <w:p w14:paraId="1016948C">
                  <w:pPr>
                    <w:adjustRightInd w:val="0"/>
                    <w:snapToGrid w:val="0"/>
                    <w:spacing w:line="240" w:lineRule="auto"/>
                    <w:ind w:firstLine="0" w:firstLineChars="0"/>
                    <w:jc w:val="center"/>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cs="Times New Roman"/>
                      <w:snapToGrid w:val="0"/>
                      <w:color w:val="000000" w:themeColor="text1"/>
                      <w:kern w:val="0"/>
                      <w:sz w:val="21"/>
                      <w:szCs w:val="21"/>
                      <w:lang w:val="en-US" w:eastAsia="zh-CN"/>
                      <w14:textFill>
                        <w14:solidFill>
                          <w14:schemeClr w14:val="tx1"/>
                        </w14:solidFill>
                      </w14:textFill>
                    </w:rPr>
                    <w:t>二</w:t>
                  </w:r>
                  <w:r>
                    <w:rPr>
                      <w:rFonts w:hint="default" w:ascii="Times New Roman" w:hAnsi="Times New Roman" w:eastAsia="宋体" w:cs="Times New Roman"/>
                      <w:snapToGrid w:val="0"/>
                      <w:color w:val="000000" w:themeColor="text1"/>
                      <w:kern w:val="0"/>
                      <w:sz w:val="21"/>
                      <w:szCs w:val="21"/>
                      <w14:textFill>
                        <w14:solidFill>
                          <w14:schemeClr w14:val="tx1"/>
                        </w14:solidFill>
                      </w14:textFill>
                    </w:rPr>
                    <w:t>级标准及2018年修改单</w:t>
                  </w:r>
                </w:p>
              </w:tc>
            </w:tr>
            <w:tr w14:paraId="3A9BFE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90" w:type="pct"/>
                  <w:noWrap w:val="0"/>
                  <w:vAlign w:val="center"/>
                </w:tcPr>
                <w:p w14:paraId="18D6D592">
                  <w:pPr>
                    <w:adjustRightInd w:val="0"/>
                    <w:snapToGrid w:val="0"/>
                    <w:spacing w:line="240" w:lineRule="auto"/>
                    <w:ind w:firstLine="0" w:firstLineChars="0"/>
                    <w:jc w:val="center"/>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2</w:t>
                  </w:r>
                </w:p>
              </w:tc>
              <w:tc>
                <w:tcPr>
                  <w:tcW w:w="637" w:type="pct"/>
                  <w:noWrap w:val="0"/>
                  <w:vAlign w:val="center"/>
                </w:tcPr>
                <w:p w14:paraId="3D218855">
                  <w:pPr>
                    <w:adjustRightInd w:val="0"/>
                    <w:snapToGrid w:val="0"/>
                    <w:spacing w:line="240" w:lineRule="auto"/>
                    <w:ind w:firstLine="0" w:firstLineChars="0"/>
                    <w:jc w:val="center"/>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NO</w:t>
                  </w:r>
                  <w:r>
                    <w:rPr>
                      <w:rFonts w:hint="default" w:ascii="Times New Roman" w:hAnsi="Times New Roman" w:eastAsia="宋体" w:cs="Times New Roman"/>
                      <w:snapToGrid w:val="0"/>
                      <w:color w:val="000000" w:themeColor="text1"/>
                      <w:kern w:val="0"/>
                      <w:sz w:val="21"/>
                      <w:szCs w:val="21"/>
                      <w:vertAlign w:val="subscript"/>
                      <w14:textFill>
                        <w14:solidFill>
                          <w14:schemeClr w14:val="tx1"/>
                        </w14:solidFill>
                      </w14:textFill>
                    </w:rPr>
                    <w:t>2</w:t>
                  </w:r>
                </w:p>
              </w:tc>
              <w:tc>
                <w:tcPr>
                  <w:tcW w:w="1256" w:type="pct"/>
                  <w:noWrap w:val="0"/>
                  <w:vAlign w:val="center"/>
                </w:tcPr>
                <w:p w14:paraId="06D70669">
                  <w:pPr>
                    <w:adjustRightInd w:val="0"/>
                    <w:snapToGrid w:val="0"/>
                    <w:spacing w:line="240" w:lineRule="auto"/>
                    <w:ind w:firstLine="0" w:firstLineChars="0"/>
                    <w:jc w:val="center"/>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40</w:t>
                  </w:r>
                </w:p>
              </w:tc>
              <w:tc>
                <w:tcPr>
                  <w:tcW w:w="1465" w:type="pct"/>
                  <w:noWrap w:val="0"/>
                  <w:vAlign w:val="center"/>
                </w:tcPr>
                <w:p w14:paraId="54564242">
                  <w:pPr>
                    <w:adjustRightInd w:val="0"/>
                    <w:snapToGrid w:val="0"/>
                    <w:spacing w:line="240" w:lineRule="auto"/>
                    <w:ind w:firstLine="0" w:firstLineChars="0"/>
                    <w:jc w:val="center"/>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80</w:t>
                  </w:r>
                </w:p>
              </w:tc>
              <w:tc>
                <w:tcPr>
                  <w:tcW w:w="1150" w:type="pct"/>
                  <w:vMerge w:val="continue"/>
                  <w:noWrap w:val="0"/>
                  <w:vAlign w:val="center"/>
                </w:tcPr>
                <w:p w14:paraId="09631B13">
                  <w:pPr>
                    <w:adjustRightInd w:val="0"/>
                    <w:snapToGrid w:val="0"/>
                    <w:spacing w:line="240" w:lineRule="auto"/>
                    <w:ind w:firstLine="0" w:firstLineChars="0"/>
                    <w:jc w:val="center"/>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tc>
            </w:tr>
            <w:tr w14:paraId="7C3ACE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90" w:type="pct"/>
                  <w:noWrap w:val="0"/>
                  <w:vAlign w:val="center"/>
                </w:tcPr>
                <w:p w14:paraId="50A18ACF">
                  <w:pPr>
                    <w:adjustRightInd w:val="0"/>
                    <w:snapToGrid w:val="0"/>
                    <w:spacing w:line="240" w:lineRule="auto"/>
                    <w:ind w:firstLine="0" w:firstLineChars="0"/>
                    <w:jc w:val="center"/>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3</w:t>
                  </w:r>
                </w:p>
              </w:tc>
              <w:tc>
                <w:tcPr>
                  <w:tcW w:w="637" w:type="pct"/>
                  <w:noWrap w:val="0"/>
                  <w:vAlign w:val="center"/>
                </w:tcPr>
                <w:p w14:paraId="33473109">
                  <w:pPr>
                    <w:adjustRightInd w:val="0"/>
                    <w:snapToGrid w:val="0"/>
                    <w:spacing w:line="240" w:lineRule="auto"/>
                    <w:ind w:firstLine="0" w:firstLineChars="0"/>
                    <w:jc w:val="center"/>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PM</w:t>
                  </w:r>
                  <w:r>
                    <w:rPr>
                      <w:rFonts w:hint="default" w:ascii="Times New Roman" w:hAnsi="Times New Roman" w:eastAsia="宋体" w:cs="Times New Roman"/>
                      <w:snapToGrid w:val="0"/>
                      <w:color w:val="000000" w:themeColor="text1"/>
                      <w:kern w:val="0"/>
                      <w:sz w:val="21"/>
                      <w:szCs w:val="21"/>
                      <w:vertAlign w:val="subscript"/>
                      <w14:textFill>
                        <w14:solidFill>
                          <w14:schemeClr w14:val="tx1"/>
                        </w14:solidFill>
                      </w14:textFill>
                    </w:rPr>
                    <w:t>10</w:t>
                  </w:r>
                </w:p>
              </w:tc>
              <w:tc>
                <w:tcPr>
                  <w:tcW w:w="1256" w:type="pct"/>
                  <w:noWrap w:val="0"/>
                  <w:vAlign w:val="center"/>
                </w:tcPr>
                <w:p w14:paraId="69EC954A">
                  <w:pPr>
                    <w:adjustRightInd w:val="0"/>
                    <w:snapToGrid w:val="0"/>
                    <w:spacing w:line="240" w:lineRule="auto"/>
                    <w:ind w:firstLine="0" w:firstLineChars="0"/>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0"/>
                      <w:sz w:val="21"/>
                      <w:szCs w:val="21"/>
                      <w:lang w:val="en-US" w:eastAsia="zh-CN"/>
                      <w14:textFill>
                        <w14:solidFill>
                          <w14:schemeClr w14:val="tx1"/>
                        </w14:solidFill>
                      </w14:textFill>
                    </w:rPr>
                    <w:t>70</w:t>
                  </w:r>
                </w:p>
              </w:tc>
              <w:tc>
                <w:tcPr>
                  <w:tcW w:w="1465" w:type="pct"/>
                  <w:noWrap w:val="0"/>
                  <w:vAlign w:val="center"/>
                </w:tcPr>
                <w:p w14:paraId="64424870">
                  <w:pPr>
                    <w:adjustRightInd w:val="0"/>
                    <w:snapToGrid w:val="0"/>
                    <w:spacing w:line="240" w:lineRule="auto"/>
                    <w:ind w:firstLine="0" w:firstLineChars="0"/>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0"/>
                      <w:sz w:val="21"/>
                      <w:szCs w:val="21"/>
                      <w:lang w:val="en-US" w:eastAsia="zh-CN"/>
                      <w14:textFill>
                        <w14:solidFill>
                          <w14:schemeClr w14:val="tx1"/>
                        </w14:solidFill>
                      </w14:textFill>
                    </w:rPr>
                    <w:t>1</w:t>
                  </w: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50</w:t>
                  </w:r>
                </w:p>
              </w:tc>
              <w:tc>
                <w:tcPr>
                  <w:tcW w:w="1150" w:type="pct"/>
                  <w:vMerge w:val="continue"/>
                  <w:noWrap w:val="0"/>
                  <w:vAlign w:val="center"/>
                </w:tcPr>
                <w:p w14:paraId="4B9D185F">
                  <w:pPr>
                    <w:adjustRightInd w:val="0"/>
                    <w:snapToGrid w:val="0"/>
                    <w:spacing w:line="240" w:lineRule="auto"/>
                    <w:ind w:firstLine="0" w:firstLineChars="0"/>
                    <w:jc w:val="center"/>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tc>
            </w:tr>
            <w:tr w14:paraId="6D6BFC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90" w:type="pct"/>
                  <w:noWrap w:val="0"/>
                  <w:vAlign w:val="center"/>
                </w:tcPr>
                <w:p w14:paraId="4C9BCDAE">
                  <w:pPr>
                    <w:adjustRightInd w:val="0"/>
                    <w:snapToGrid w:val="0"/>
                    <w:spacing w:line="240" w:lineRule="auto"/>
                    <w:ind w:firstLine="0" w:firstLineChars="0"/>
                    <w:jc w:val="center"/>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4</w:t>
                  </w:r>
                </w:p>
              </w:tc>
              <w:tc>
                <w:tcPr>
                  <w:tcW w:w="637" w:type="pct"/>
                  <w:noWrap w:val="0"/>
                  <w:vAlign w:val="center"/>
                </w:tcPr>
                <w:p w14:paraId="14D052DC">
                  <w:pPr>
                    <w:adjustRightInd w:val="0"/>
                    <w:snapToGrid w:val="0"/>
                    <w:spacing w:line="240" w:lineRule="auto"/>
                    <w:ind w:firstLine="0" w:firstLineChars="0"/>
                    <w:jc w:val="center"/>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PM</w:t>
                  </w:r>
                  <w:r>
                    <w:rPr>
                      <w:rFonts w:hint="default" w:ascii="Times New Roman" w:hAnsi="Times New Roman" w:eastAsia="宋体" w:cs="Times New Roman"/>
                      <w:snapToGrid w:val="0"/>
                      <w:color w:val="000000" w:themeColor="text1"/>
                      <w:kern w:val="0"/>
                      <w:sz w:val="21"/>
                      <w:szCs w:val="21"/>
                      <w:vertAlign w:val="subscript"/>
                      <w14:textFill>
                        <w14:solidFill>
                          <w14:schemeClr w14:val="tx1"/>
                        </w14:solidFill>
                      </w14:textFill>
                    </w:rPr>
                    <w:t>2.5</w:t>
                  </w:r>
                </w:p>
              </w:tc>
              <w:tc>
                <w:tcPr>
                  <w:tcW w:w="1256" w:type="pct"/>
                  <w:noWrap w:val="0"/>
                  <w:vAlign w:val="center"/>
                </w:tcPr>
                <w:p w14:paraId="0B7FC62C">
                  <w:pPr>
                    <w:adjustRightInd w:val="0"/>
                    <w:snapToGrid w:val="0"/>
                    <w:spacing w:line="240" w:lineRule="auto"/>
                    <w:ind w:firstLine="0" w:firstLineChars="0"/>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0"/>
                      <w:sz w:val="21"/>
                      <w:szCs w:val="21"/>
                      <w:lang w:val="en-US" w:eastAsia="zh-CN"/>
                      <w14:textFill>
                        <w14:solidFill>
                          <w14:schemeClr w14:val="tx1"/>
                        </w14:solidFill>
                      </w14:textFill>
                    </w:rPr>
                    <w:t>35</w:t>
                  </w:r>
                </w:p>
              </w:tc>
              <w:tc>
                <w:tcPr>
                  <w:tcW w:w="1465" w:type="pct"/>
                  <w:noWrap w:val="0"/>
                  <w:vAlign w:val="center"/>
                </w:tcPr>
                <w:p w14:paraId="13DBA7DE">
                  <w:pPr>
                    <w:adjustRightInd w:val="0"/>
                    <w:snapToGrid w:val="0"/>
                    <w:spacing w:line="240" w:lineRule="auto"/>
                    <w:ind w:firstLine="0" w:firstLineChars="0"/>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0"/>
                      <w:sz w:val="21"/>
                      <w:szCs w:val="21"/>
                      <w:lang w:val="en-US" w:eastAsia="zh-CN"/>
                      <w14:textFill>
                        <w14:solidFill>
                          <w14:schemeClr w14:val="tx1"/>
                        </w14:solidFill>
                      </w14:textFill>
                    </w:rPr>
                    <w:t>75</w:t>
                  </w:r>
                </w:p>
              </w:tc>
              <w:tc>
                <w:tcPr>
                  <w:tcW w:w="1150" w:type="pct"/>
                  <w:vMerge w:val="continue"/>
                  <w:noWrap w:val="0"/>
                  <w:vAlign w:val="center"/>
                </w:tcPr>
                <w:p w14:paraId="399D5EF3">
                  <w:pPr>
                    <w:adjustRightInd w:val="0"/>
                    <w:snapToGrid w:val="0"/>
                    <w:spacing w:line="240" w:lineRule="auto"/>
                    <w:ind w:firstLine="0" w:firstLineChars="0"/>
                    <w:jc w:val="center"/>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tc>
            </w:tr>
            <w:tr w14:paraId="05996E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90" w:type="pct"/>
                  <w:noWrap w:val="0"/>
                  <w:vAlign w:val="center"/>
                </w:tcPr>
                <w:p w14:paraId="1D4D727C">
                  <w:pPr>
                    <w:adjustRightInd w:val="0"/>
                    <w:snapToGrid w:val="0"/>
                    <w:spacing w:line="240" w:lineRule="auto"/>
                    <w:ind w:firstLine="0" w:firstLineChars="0"/>
                    <w:jc w:val="center"/>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5</w:t>
                  </w:r>
                </w:p>
              </w:tc>
              <w:tc>
                <w:tcPr>
                  <w:tcW w:w="637" w:type="pct"/>
                  <w:noWrap w:val="0"/>
                  <w:vAlign w:val="center"/>
                </w:tcPr>
                <w:p w14:paraId="32915474">
                  <w:pPr>
                    <w:adjustRightInd w:val="0"/>
                    <w:snapToGrid w:val="0"/>
                    <w:spacing w:line="240" w:lineRule="auto"/>
                    <w:ind w:firstLine="0" w:firstLineChars="0"/>
                    <w:jc w:val="center"/>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CO</w:t>
                  </w:r>
                </w:p>
              </w:tc>
              <w:tc>
                <w:tcPr>
                  <w:tcW w:w="1256" w:type="pct"/>
                  <w:noWrap w:val="0"/>
                  <w:vAlign w:val="center"/>
                </w:tcPr>
                <w:p w14:paraId="510775E6">
                  <w:pPr>
                    <w:adjustRightInd w:val="0"/>
                    <w:snapToGrid w:val="0"/>
                    <w:spacing w:line="240" w:lineRule="auto"/>
                    <w:ind w:firstLine="0" w:firstLineChars="0"/>
                    <w:jc w:val="center"/>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4</w:t>
                  </w:r>
                  <w:r>
                    <w:rPr>
                      <w:rFonts w:hint="default" w:ascii="Times New Roman" w:hAnsi="Times New Roman" w:eastAsia="宋体" w:cs="Times New Roman"/>
                      <w:snapToGrid w:val="0"/>
                      <w:color w:val="000000" w:themeColor="text1"/>
                      <w:kern w:val="0"/>
                      <w:sz w:val="21"/>
                      <w:szCs w:val="21"/>
                      <w14:textFill>
                        <w14:solidFill>
                          <w14:schemeClr w14:val="tx1"/>
                        </w14:solidFill>
                      </w14:textFill>
                    </w:rPr>
                    <w:t>（mg/m</w:t>
                  </w:r>
                  <w:r>
                    <w:rPr>
                      <w:rFonts w:hint="default" w:ascii="Times New Roman" w:hAnsi="Times New Roman" w:eastAsia="宋体" w:cs="Times New Roman"/>
                      <w:snapToGrid w:val="0"/>
                      <w:color w:val="000000" w:themeColor="text1"/>
                      <w:kern w:val="0"/>
                      <w:sz w:val="21"/>
                      <w:szCs w:val="21"/>
                      <w:vertAlign w:val="superscript"/>
                      <w14:textFill>
                        <w14:solidFill>
                          <w14:schemeClr w14:val="tx1"/>
                        </w14:solidFill>
                      </w14:textFill>
                    </w:rPr>
                    <w:t>3</w:t>
                  </w:r>
                  <w:r>
                    <w:rPr>
                      <w:rFonts w:hint="default" w:ascii="Times New Roman" w:hAnsi="Times New Roman" w:eastAsia="宋体" w:cs="Times New Roman"/>
                      <w:snapToGrid w:val="0"/>
                      <w:color w:val="000000" w:themeColor="text1"/>
                      <w:kern w:val="0"/>
                      <w:sz w:val="21"/>
                      <w:szCs w:val="21"/>
                      <w14:textFill>
                        <w14:solidFill>
                          <w14:schemeClr w14:val="tx1"/>
                        </w14:solidFill>
                      </w14:textFill>
                    </w:rPr>
                    <w:t>）</w:t>
                  </w:r>
                </w:p>
              </w:tc>
              <w:tc>
                <w:tcPr>
                  <w:tcW w:w="1465" w:type="pct"/>
                  <w:noWrap w:val="0"/>
                  <w:vAlign w:val="center"/>
                </w:tcPr>
                <w:p w14:paraId="42066E12">
                  <w:pPr>
                    <w:adjustRightInd w:val="0"/>
                    <w:snapToGrid w:val="0"/>
                    <w:spacing w:line="240" w:lineRule="auto"/>
                    <w:ind w:firstLine="0" w:firstLineChars="0"/>
                    <w:jc w:val="center"/>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t>10</w:t>
                  </w:r>
                  <w:r>
                    <w:rPr>
                      <w:rFonts w:hint="default" w:ascii="Times New Roman" w:hAnsi="Times New Roman" w:eastAsia="宋体" w:cs="Times New Roman"/>
                      <w:snapToGrid w:val="0"/>
                      <w:color w:val="000000" w:themeColor="text1"/>
                      <w:kern w:val="0"/>
                      <w:sz w:val="21"/>
                      <w:szCs w:val="21"/>
                      <w14:textFill>
                        <w14:solidFill>
                          <w14:schemeClr w14:val="tx1"/>
                        </w14:solidFill>
                      </w14:textFill>
                    </w:rPr>
                    <w:t>（mg/m</w:t>
                  </w:r>
                  <w:r>
                    <w:rPr>
                      <w:rFonts w:hint="default" w:ascii="Times New Roman" w:hAnsi="Times New Roman" w:eastAsia="宋体" w:cs="Times New Roman"/>
                      <w:snapToGrid w:val="0"/>
                      <w:color w:val="000000" w:themeColor="text1"/>
                      <w:kern w:val="0"/>
                      <w:sz w:val="21"/>
                      <w:szCs w:val="21"/>
                      <w:vertAlign w:val="superscript"/>
                      <w14:textFill>
                        <w14:solidFill>
                          <w14:schemeClr w14:val="tx1"/>
                        </w14:solidFill>
                      </w14:textFill>
                    </w:rPr>
                    <w:t>3</w:t>
                  </w:r>
                  <w:r>
                    <w:rPr>
                      <w:rFonts w:hint="default" w:ascii="Times New Roman" w:hAnsi="Times New Roman" w:eastAsia="宋体" w:cs="Times New Roman"/>
                      <w:snapToGrid w:val="0"/>
                      <w:color w:val="000000" w:themeColor="text1"/>
                      <w:kern w:val="0"/>
                      <w:sz w:val="21"/>
                      <w:szCs w:val="21"/>
                      <w14:textFill>
                        <w14:solidFill>
                          <w14:schemeClr w14:val="tx1"/>
                        </w14:solidFill>
                      </w14:textFill>
                    </w:rPr>
                    <w:t>）</w:t>
                  </w:r>
                </w:p>
              </w:tc>
              <w:tc>
                <w:tcPr>
                  <w:tcW w:w="1150" w:type="pct"/>
                  <w:vMerge w:val="continue"/>
                  <w:noWrap w:val="0"/>
                  <w:vAlign w:val="center"/>
                </w:tcPr>
                <w:p w14:paraId="3A361D37">
                  <w:pPr>
                    <w:adjustRightInd w:val="0"/>
                    <w:snapToGrid w:val="0"/>
                    <w:spacing w:line="240" w:lineRule="auto"/>
                    <w:ind w:firstLine="0" w:firstLineChars="0"/>
                    <w:jc w:val="center"/>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tc>
            </w:tr>
            <w:tr w14:paraId="72F740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90" w:type="pct"/>
                  <w:noWrap w:val="0"/>
                  <w:vAlign w:val="center"/>
                </w:tcPr>
                <w:p w14:paraId="5F0FB2AF">
                  <w:pPr>
                    <w:adjustRightInd w:val="0"/>
                    <w:snapToGrid w:val="0"/>
                    <w:spacing w:line="240" w:lineRule="auto"/>
                    <w:ind w:firstLine="0" w:firstLineChars="0"/>
                    <w:jc w:val="center"/>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6</w:t>
                  </w:r>
                </w:p>
              </w:tc>
              <w:tc>
                <w:tcPr>
                  <w:tcW w:w="637" w:type="pct"/>
                  <w:noWrap w:val="0"/>
                  <w:vAlign w:val="center"/>
                </w:tcPr>
                <w:p w14:paraId="5517E00D">
                  <w:pPr>
                    <w:adjustRightInd w:val="0"/>
                    <w:snapToGrid w:val="0"/>
                    <w:spacing w:line="240" w:lineRule="auto"/>
                    <w:ind w:firstLine="0" w:firstLineChars="0"/>
                    <w:jc w:val="center"/>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O</w:t>
                  </w:r>
                  <w:r>
                    <w:rPr>
                      <w:rFonts w:hint="default" w:ascii="Times New Roman" w:hAnsi="Times New Roman" w:eastAsia="宋体" w:cs="Times New Roman"/>
                      <w:snapToGrid w:val="0"/>
                      <w:color w:val="000000" w:themeColor="text1"/>
                      <w:kern w:val="0"/>
                      <w:sz w:val="21"/>
                      <w:szCs w:val="21"/>
                      <w:vertAlign w:val="subscript"/>
                      <w14:textFill>
                        <w14:solidFill>
                          <w14:schemeClr w14:val="tx1"/>
                        </w14:solidFill>
                      </w14:textFill>
                    </w:rPr>
                    <w:t>3</w:t>
                  </w:r>
                </w:p>
              </w:tc>
              <w:tc>
                <w:tcPr>
                  <w:tcW w:w="1256" w:type="pct"/>
                  <w:noWrap w:val="0"/>
                  <w:vAlign w:val="center"/>
                </w:tcPr>
                <w:p w14:paraId="6916243D">
                  <w:pPr>
                    <w:adjustRightInd w:val="0"/>
                    <w:snapToGrid w:val="0"/>
                    <w:spacing w:line="240" w:lineRule="auto"/>
                    <w:ind w:firstLine="0" w:firstLineChars="0"/>
                    <w:jc w:val="center"/>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w:t>
                  </w:r>
                </w:p>
              </w:tc>
              <w:tc>
                <w:tcPr>
                  <w:tcW w:w="1465" w:type="pct"/>
                  <w:noWrap w:val="0"/>
                  <w:vAlign w:val="center"/>
                </w:tcPr>
                <w:p w14:paraId="1C0F2069">
                  <w:pPr>
                    <w:adjustRightInd w:val="0"/>
                    <w:snapToGrid w:val="0"/>
                    <w:spacing w:line="240" w:lineRule="auto"/>
                    <w:ind w:firstLine="0" w:firstLineChars="0"/>
                    <w:jc w:val="center"/>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1</w:t>
                  </w:r>
                  <w:r>
                    <w:rPr>
                      <w:rFonts w:hint="default" w:ascii="Times New Roman" w:hAnsi="Times New Roman" w:cs="Times New Roman"/>
                      <w:snapToGrid w:val="0"/>
                      <w:color w:val="000000" w:themeColor="text1"/>
                      <w:kern w:val="0"/>
                      <w:sz w:val="21"/>
                      <w:szCs w:val="21"/>
                      <w:lang w:val="en-US" w:eastAsia="zh-CN"/>
                      <w14:textFill>
                        <w14:solidFill>
                          <w14:schemeClr w14:val="tx1"/>
                        </w14:solidFill>
                      </w14:textFill>
                    </w:rPr>
                    <w:t>6</w:t>
                  </w:r>
                  <w:r>
                    <w:rPr>
                      <w:rFonts w:hint="default" w:ascii="Times New Roman" w:hAnsi="Times New Roman" w:eastAsia="宋体" w:cs="Times New Roman"/>
                      <w:snapToGrid w:val="0"/>
                      <w:color w:val="000000" w:themeColor="text1"/>
                      <w:kern w:val="0"/>
                      <w:sz w:val="21"/>
                      <w:szCs w:val="21"/>
                      <w14:textFill>
                        <w14:solidFill>
                          <w14:schemeClr w14:val="tx1"/>
                        </w14:solidFill>
                      </w14:textFill>
                    </w:rPr>
                    <w:t>0（日最大8h平均）</w:t>
                  </w:r>
                </w:p>
              </w:tc>
              <w:tc>
                <w:tcPr>
                  <w:tcW w:w="1150" w:type="pct"/>
                  <w:vMerge w:val="continue"/>
                  <w:noWrap w:val="0"/>
                  <w:vAlign w:val="center"/>
                </w:tcPr>
                <w:p w14:paraId="35C2AE2D">
                  <w:pPr>
                    <w:adjustRightInd w:val="0"/>
                    <w:snapToGrid w:val="0"/>
                    <w:spacing w:line="240" w:lineRule="auto"/>
                    <w:ind w:firstLine="0" w:firstLineChars="0"/>
                    <w:jc w:val="center"/>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tc>
            </w:tr>
            <w:tr w14:paraId="176259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90" w:type="pct"/>
                  <w:noWrap w:val="0"/>
                  <w:vAlign w:val="center"/>
                </w:tcPr>
                <w:p w14:paraId="003C7C2F">
                  <w:pPr>
                    <w:adjustRightInd w:val="0"/>
                    <w:snapToGrid w:val="0"/>
                    <w:spacing w:line="240" w:lineRule="auto"/>
                    <w:ind w:firstLine="0" w:firstLineChars="0"/>
                    <w:jc w:val="center"/>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7</w:t>
                  </w:r>
                </w:p>
              </w:tc>
              <w:tc>
                <w:tcPr>
                  <w:tcW w:w="637" w:type="pct"/>
                  <w:noWrap w:val="0"/>
                  <w:vAlign w:val="center"/>
                </w:tcPr>
                <w:p w14:paraId="74E96FD2">
                  <w:pPr>
                    <w:adjustRightInd w:val="0"/>
                    <w:snapToGrid w:val="0"/>
                    <w:spacing w:line="240" w:lineRule="auto"/>
                    <w:ind w:firstLine="0" w:firstLineChars="0"/>
                    <w:jc w:val="center"/>
                    <w:rPr>
                      <w:rFonts w:hint="default"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14:textFill>
                        <w14:solidFill>
                          <w14:schemeClr w14:val="tx1"/>
                        </w14:solidFill>
                      </w14:textFill>
                    </w:rPr>
                    <w:t>TSP</w:t>
                  </w:r>
                </w:p>
              </w:tc>
              <w:tc>
                <w:tcPr>
                  <w:tcW w:w="1256" w:type="pct"/>
                  <w:noWrap w:val="0"/>
                  <w:vAlign w:val="center"/>
                </w:tcPr>
                <w:p w14:paraId="7E1ADC01">
                  <w:pPr>
                    <w:adjustRightInd w:val="0"/>
                    <w:snapToGrid w:val="0"/>
                    <w:spacing w:line="240" w:lineRule="auto"/>
                    <w:ind w:firstLine="0" w:firstLineChars="0"/>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0"/>
                      <w:sz w:val="21"/>
                      <w:szCs w:val="21"/>
                      <w:lang w:val="en-US" w:eastAsia="zh-CN"/>
                      <w14:textFill>
                        <w14:solidFill>
                          <w14:schemeClr w14:val="tx1"/>
                        </w14:solidFill>
                      </w14:textFill>
                    </w:rPr>
                    <w:t>/</w:t>
                  </w:r>
                </w:p>
              </w:tc>
              <w:tc>
                <w:tcPr>
                  <w:tcW w:w="1465" w:type="pct"/>
                  <w:noWrap w:val="0"/>
                  <w:vAlign w:val="center"/>
                </w:tcPr>
                <w:p w14:paraId="109823FB">
                  <w:pPr>
                    <w:adjustRightInd w:val="0"/>
                    <w:snapToGrid w:val="0"/>
                    <w:spacing w:line="240" w:lineRule="auto"/>
                    <w:ind w:firstLine="0" w:firstLineChars="0"/>
                    <w:jc w:val="center"/>
                    <w:rPr>
                      <w:rFonts w:hint="default" w:ascii="Times New Roman" w:hAnsi="Times New Roman" w:eastAsia="宋体" w:cs="Times New Roman"/>
                      <w:snapToGrid w:val="0"/>
                      <w:color w:val="000000" w:themeColor="text1"/>
                      <w:kern w:val="0"/>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0"/>
                      <w:sz w:val="21"/>
                      <w:szCs w:val="21"/>
                      <w:lang w:val="en-US" w:eastAsia="zh-CN"/>
                      <w14:textFill>
                        <w14:solidFill>
                          <w14:schemeClr w14:val="tx1"/>
                        </w14:solidFill>
                      </w14:textFill>
                    </w:rPr>
                    <w:t>300</w:t>
                  </w:r>
                </w:p>
              </w:tc>
              <w:tc>
                <w:tcPr>
                  <w:tcW w:w="1150" w:type="pct"/>
                  <w:vMerge w:val="continue"/>
                  <w:noWrap w:val="0"/>
                  <w:vAlign w:val="center"/>
                </w:tcPr>
                <w:p w14:paraId="5F93AD95">
                  <w:pPr>
                    <w:adjustRightInd w:val="0"/>
                    <w:snapToGrid w:val="0"/>
                    <w:spacing w:line="240" w:lineRule="auto"/>
                    <w:ind w:firstLine="0" w:firstLineChars="0"/>
                    <w:jc w:val="center"/>
                    <w:rPr>
                      <w:rFonts w:hint="default" w:ascii="Times New Roman" w:hAnsi="Times New Roman" w:eastAsia="宋体" w:cs="Times New Roman"/>
                      <w:snapToGrid w:val="0"/>
                      <w:color w:val="000000" w:themeColor="text1"/>
                      <w:kern w:val="0"/>
                      <w:sz w:val="21"/>
                      <w:szCs w:val="21"/>
                      <w14:textFill>
                        <w14:solidFill>
                          <w14:schemeClr w14:val="tx1"/>
                        </w14:solidFill>
                      </w14:textFill>
                    </w:rPr>
                  </w:pPr>
                </w:p>
              </w:tc>
            </w:tr>
          </w:tbl>
          <w:p w14:paraId="06D25E97">
            <w:pPr>
              <w:pStyle w:val="55"/>
              <w:spacing w:line="360" w:lineRule="auto"/>
              <w:ind w:firstLine="482"/>
              <w:jc w:val="both"/>
              <w:rPr>
                <w:rFonts w:hint="default" w:ascii="Times New Roman" w:hAnsi="Times New Roman" w:cs="Times New Roman"/>
                <w:b/>
                <w:bCs/>
                <w:color w:val="000000" w:themeColor="text1"/>
                <w:spacing w:val="0"/>
                <w:sz w:val="24"/>
                <w:szCs w:val="24"/>
                <w14:textFill>
                  <w14:solidFill>
                    <w14:schemeClr w14:val="tx1"/>
                  </w14:solidFill>
                </w14:textFill>
              </w:rPr>
            </w:pPr>
            <w:r>
              <w:rPr>
                <w:rFonts w:hint="default" w:ascii="Times New Roman" w:hAnsi="Times New Roman" w:cs="Times New Roman"/>
                <w:b/>
                <w:bCs/>
                <w:color w:val="000000" w:themeColor="text1"/>
                <w:spacing w:val="0"/>
                <w:sz w:val="24"/>
                <w:szCs w:val="24"/>
                <w:highlight w:val="none"/>
                <w:lang w:val="en-US" w:eastAsia="zh-CN"/>
                <w14:textFill>
                  <w14:solidFill>
                    <w14:schemeClr w14:val="tx1"/>
                  </w14:solidFill>
                </w14:textFill>
              </w:rPr>
              <w:t>1.</w:t>
            </w:r>
            <w:r>
              <w:rPr>
                <w:rFonts w:hint="default" w:ascii="Times New Roman" w:hAnsi="Times New Roman" w:cs="Times New Roman"/>
                <w:b/>
                <w:bCs/>
                <w:color w:val="000000" w:themeColor="text1"/>
                <w:spacing w:val="0"/>
                <w:sz w:val="24"/>
                <w:szCs w:val="24"/>
                <w:highlight w:val="none"/>
                <w14:textFill>
                  <w14:solidFill>
                    <w14:schemeClr w14:val="tx1"/>
                  </w14:solidFill>
                </w14:textFill>
              </w:rPr>
              <w:t xml:space="preserve">2 </w:t>
            </w:r>
            <w:r>
              <w:rPr>
                <w:rFonts w:hint="default" w:ascii="Times New Roman" w:hAnsi="Times New Roman" w:cs="Times New Roman"/>
                <w:b/>
                <w:bCs/>
                <w:color w:val="000000" w:themeColor="text1"/>
                <w:spacing w:val="0"/>
                <w:sz w:val="24"/>
                <w:szCs w:val="24"/>
                <w14:textFill>
                  <w14:solidFill>
                    <w14:schemeClr w14:val="tx1"/>
                  </w14:solidFill>
                </w14:textFill>
              </w:rPr>
              <w:t>声环境质量标准</w:t>
            </w:r>
          </w:p>
          <w:p w14:paraId="4204CBFA">
            <w:pPr>
              <w:spacing w:line="360" w:lineRule="auto"/>
              <w:ind w:firstLine="480"/>
              <w:rPr>
                <w:rFonts w:hint="default" w:ascii="Times New Roman" w:hAnsi="Times New Roman" w:eastAsia="宋体" w:cs="Times New Roman"/>
                <w:color w:val="000000" w:themeColor="text1"/>
                <w:spacing w:val="0"/>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声环境质量执行《声环境质量标准》（GB3096-2008）中的</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4"/>
                <w:szCs w:val="24"/>
                <w:highlight w:val="none"/>
                <w14:textFill>
                  <w14:solidFill>
                    <w14:schemeClr w14:val="tx1"/>
                  </w14:solidFill>
                </w14:textFill>
              </w:rPr>
              <w:t>类区标准。主要指标见下表：</w:t>
            </w:r>
          </w:p>
          <w:p w14:paraId="4E0CFA6B">
            <w:pPr>
              <w:pStyle w:val="63"/>
              <w:spacing w:line="240" w:lineRule="auto"/>
              <w:ind w:firstLine="0" w:firstLineChars="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表3-</w:t>
            </w:r>
            <w:r>
              <w:rPr>
                <w:rFonts w:hint="default" w:ascii="Times New Roman" w:hAnsi="Times New Roman" w:cs="Times New Roman"/>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  声环境评价标准  单位：dB(A)</w:t>
            </w:r>
          </w:p>
          <w:tbl>
            <w:tblPr>
              <w:tblStyle w:val="27"/>
              <w:tblW w:w="79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90"/>
              <w:gridCol w:w="1990"/>
              <w:gridCol w:w="1989"/>
              <w:gridCol w:w="1989"/>
            </w:tblGrid>
            <w:tr w14:paraId="64AE84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250" w:type="pct"/>
                  <w:noWrap w:val="0"/>
                  <w:vAlign w:val="center"/>
                </w:tcPr>
                <w:p w14:paraId="762C9AE2">
                  <w:pPr>
                    <w:snapToGrid w:val="0"/>
                    <w:spacing w:line="240" w:lineRule="auto"/>
                    <w:ind w:firstLine="0" w:firstLineChars="0"/>
                    <w:jc w:val="center"/>
                    <w:rPr>
                      <w:rFonts w:hint="default" w:ascii="Times New Roman" w:hAnsi="Times New Roman" w:eastAsia="宋体" w:cs="Times New Roman"/>
                      <w:b/>
                      <w:bCs/>
                      <w:color w:val="000000" w:themeColor="text1"/>
                      <w:spacing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sz w:val="21"/>
                      <w:szCs w:val="21"/>
                      <w14:textFill>
                        <w14:solidFill>
                          <w14:schemeClr w14:val="tx1"/>
                        </w14:solidFill>
                      </w14:textFill>
                    </w:rPr>
                    <w:t>功能类型</w:t>
                  </w:r>
                </w:p>
              </w:tc>
              <w:tc>
                <w:tcPr>
                  <w:tcW w:w="1250" w:type="pct"/>
                  <w:noWrap w:val="0"/>
                  <w:vAlign w:val="center"/>
                </w:tcPr>
                <w:p w14:paraId="1F8A894A">
                  <w:pPr>
                    <w:snapToGrid w:val="0"/>
                    <w:spacing w:line="240" w:lineRule="auto"/>
                    <w:ind w:firstLine="0" w:firstLineChars="0"/>
                    <w:jc w:val="center"/>
                    <w:rPr>
                      <w:rFonts w:hint="default" w:ascii="Times New Roman" w:hAnsi="Times New Roman" w:eastAsia="宋体" w:cs="Times New Roman"/>
                      <w:b/>
                      <w:bCs/>
                      <w:color w:val="000000" w:themeColor="text1"/>
                      <w:spacing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sz w:val="21"/>
                      <w:szCs w:val="21"/>
                      <w14:textFill>
                        <w14:solidFill>
                          <w14:schemeClr w14:val="tx1"/>
                        </w14:solidFill>
                      </w14:textFill>
                    </w:rPr>
                    <w:t>昼间标准</w:t>
                  </w:r>
                </w:p>
              </w:tc>
              <w:tc>
                <w:tcPr>
                  <w:tcW w:w="1249" w:type="pct"/>
                  <w:noWrap w:val="0"/>
                  <w:vAlign w:val="center"/>
                </w:tcPr>
                <w:p w14:paraId="788CAAFD">
                  <w:pPr>
                    <w:snapToGrid w:val="0"/>
                    <w:spacing w:line="240" w:lineRule="auto"/>
                    <w:ind w:firstLine="0" w:firstLineChars="0"/>
                    <w:jc w:val="center"/>
                    <w:rPr>
                      <w:rFonts w:hint="default" w:ascii="Times New Roman" w:hAnsi="Times New Roman" w:eastAsia="宋体" w:cs="Times New Roman"/>
                      <w:b/>
                      <w:bCs/>
                      <w:color w:val="000000" w:themeColor="text1"/>
                      <w:spacing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sz w:val="21"/>
                      <w:szCs w:val="21"/>
                      <w14:textFill>
                        <w14:solidFill>
                          <w14:schemeClr w14:val="tx1"/>
                        </w14:solidFill>
                      </w14:textFill>
                    </w:rPr>
                    <w:t>夜间标准</w:t>
                  </w:r>
                </w:p>
              </w:tc>
              <w:tc>
                <w:tcPr>
                  <w:tcW w:w="1249" w:type="pct"/>
                  <w:noWrap w:val="0"/>
                  <w:vAlign w:val="center"/>
                </w:tcPr>
                <w:p w14:paraId="4AAAD654">
                  <w:pPr>
                    <w:snapToGrid w:val="0"/>
                    <w:spacing w:line="240" w:lineRule="auto"/>
                    <w:ind w:firstLine="0" w:firstLineChars="0"/>
                    <w:jc w:val="center"/>
                    <w:rPr>
                      <w:rFonts w:hint="default" w:ascii="Times New Roman" w:hAnsi="Times New Roman" w:eastAsia="宋体" w:cs="Times New Roman"/>
                      <w:b/>
                      <w:bCs/>
                      <w:color w:val="000000" w:themeColor="text1"/>
                      <w:spacing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sz w:val="21"/>
                      <w:szCs w:val="21"/>
                      <w14:textFill>
                        <w14:solidFill>
                          <w14:schemeClr w14:val="tx1"/>
                        </w14:solidFill>
                      </w14:textFill>
                    </w:rPr>
                    <w:t>等效声级</w:t>
                  </w:r>
                </w:p>
              </w:tc>
            </w:tr>
            <w:tr w14:paraId="69EC79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50" w:type="pct"/>
                  <w:shd w:val="clear" w:color="auto" w:fill="auto"/>
                  <w:noWrap w:val="0"/>
                  <w:vAlign w:val="center"/>
                </w:tcPr>
                <w:p w14:paraId="70F6AD69">
                  <w:pPr>
                    <w:snapToGrid w:val="0"/>
                    <w:spacing w:line="240" w:lineRule="auto"/>
                    <w:ind w:firstLine="0" w:firstLineChars="0"/>
                    <w:jc w:val="cente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2类</w:t>
                  </w:r>
                </w:p>
              </w:tc>
              <w:tc>
                <w:tcPr>
                  <w:tcW w:w="1250" w:type="pct"/>
                  <w:shd w:val="clear" w:color="auto" w:fill="auto"/>
                  <w:noWrap w:val="0"/>
                  <w:vAlign w:val="center"/>
                </w:tcPr>
                <w:p w14:paraId="7705E481">
                  <w:pPr>
                    <w:snapToGrid w:val="0"/>
                    <w:spacing w:line="240" w:lineRule="auto"/>
                    <w:ind w:firstLine="0" w:firstLineChars="0"/>
                    <w:jc w:val="cente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60</w:t>
                  </w:r>
                </w:p>
              </w:tc>
              <w:tc>
                <w:tcPr>
                  <w:tcW w:w="1249" w:type="pct"/>
                  <w:shd w:val="clear" w:color="auto" w:fill="auto"/>
                  <w:noWrap w:val="0"/>
                  <w:vAlign w:val="center"/>
                </w:tcPr>
                <w:p w14:paraId="63DE9194">
                  <w:pPr>
                    <w:snapToGrid w:val="0"/>
                    <w:spacing w:line="240" w:lineRule="auto"/>
                    <w:ind w:firstLine="0" w:firstLineChars="0"/>
                    <w:jc w:val="cente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50</w:t>
                  </w:r>
                </w:p>
              </w:tc>
              <w:tc>
                <w:tcPr>
                  <w:tcW w:w="1249" w:type="pct"/>
                  <w:shd w:val="clear" w:color="auto" w:fill="auto"/>
                  <w:noWrap w:val="0"/>
                  <w:vAlign w:val="center"/>
                </w:tcPr>
                <w:p w14:paraId="0FA6289D">
                  <w:pPr>
                    <w:snapToGrid w:val="0"/>
                    <w:spacing w:line="240" w:lineRule="auto"/>
                    <w:ind w:firstLine="0" w:firstLineChars="0"/>
                    <w:jc w:val="center"/>
                    <w:rPr>
                      <w:rFonts w:hint="default" w:ascii="Times New Roman" w:hAnsi="Times New Roman" w:eastAsia="宋体" w:cs="Times New Roman"/>
                      <w:b/>
                      <w:bCs/>
                      <w:color w:val="000000" w:themeColor="text1"/>
                      <w:spacing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sz w:val="21"/>
                      <w:szCs w:val="21"/>
                      <w14:textFill>
                        <w14:solidFill>
                          <w14:schemeClr w14:val="tx1"/>
                        </w14:solidFill>
                      </w14:textFill>
                    </w:rPr>
                    <w:t>dB</w:t>
                  </w:r>
                  <w:r>
                    <w:rPr>
                      <w:rFonts w:hint="default" w:ascii="Times New Roman" w:hAnsi="Times New Roman" w:eastAsia="宋体" w:cs="Times New Roman"/>
                      <w:b/>
                      <w:bCs/>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b/>
                      <w:bCs/>
                      <w:color w:val="000000" w:themeColor="text1"/>
                      <w:spacing w:val="0"/>
                      <w:sz w:val="21"/>
                      <w:szCs w:val="21"/>
                      <w14:textFill>
                        <w14:solidFill>
                          <w14:schemeClr w14:val="tx1"/>
                        </w14:solidFill>
                      </w14:textFill>
                    </w:rPr>
                    <w:t>A</w:t>
                  </w:r>
                  <w:r>
                    <w:rPr>
                      <w:rFonts w:hint="default" w:ascii="Times New Roman" w:hAnsi="Times New Roman" w:eastAsia="宋体" w:cs="Times New Roman"/>
                      <w:b/>
                      <w:bCs/>
                      <w:color w:val="000000" w:themeColor="text1"/>
                      <w:spacing w:val="0"/>
                      <w:sz w:val="21"/>
                      <w:szCs w:val="21"/>
                      <w:lang w:eastAsia="zh-CN"/>
                      <w14:textFill>
                        <w14:solidFill>
                          <w14:schemeClr w14:val="tx1"/>
                        </w14:solidFill>
                      </w14:textFill>
                    </w:rPr>
                    <w:t>）</w:t>
                  </w:r>
                </w:p>
              </w:tc>
            </w:tr>
          </w:tbl>
          <w:p w14:paraId="500EBE43">
            <w:pPr>
              <w:pStyle w:val="55"/>
              <w:spacing w:line="360" w:lineRule="auto"/>
              <w:ind w:firstLine="482"/>
              <w:jc w:val="both"/>
              <w:rPr>
                <w:rFonts w:hint="default" w:ascii="Times New Roman" w:hAnsi="Times New Roman" w:cs="Times New Roman"/>
                <w:b/>
                <w:bCs/>
                <w:color w:val="000000" w:themeColor="text1"/>
                <w:spacing w:val="0"/>
                <w:sz w:val="24"/>
                <w:szCs w:val="24"/>
                <w:lang w:val="en-US" w:eastAsia="zh-CN"/>
                <w14:textFill>
                  <w14:solidFill>
                    <w14:schemeClr w14:val="tx1"/>
                  </w14:solidFill>
                </w14:textFill>
              </w:rPr>
            </w:pPr>
            <w:r>
              <w:rPr>
                <w:rFonts w:hint="default" w:ascii="Times New Roman" w:hAnsi="Times New Roman" w:cs="Times New Roman"/>
                <w:b/>
                <w:bCs/>
                <w:color w:val="000000" w:themeColor="text1"/>
                <w:spacing w:val="0"/>
                <w:sz w:val="24"/>
                <w:szCs w:val="24"/>
                <w:lang w:val="en-US" w:eastAsia="zh-CN"/>
                <w14:textFill>
                  <w14:solidFill>
                    <w14:schemeClr w14:val="tx1"/>
                  </w14:solidFill>
                </w14:textFill>
              </w:rPr>
              <w:t>2 污染物排放标准</w:t>
            </w:r>
          </w:p>
          <w:p w14:paraId="21565376">
            <w:pPr>
              <w:pStyle w:val="55"/>
              <w:spacing w:line="360" w:lineRule="auto"/>
              <w:ind w:firstLine="482"/>
              <w:jc w:val="both"/>
              <w:rPr>
                <w:rFonts w:hint="default" w:ascii="Times New Roman" w:hAnsi="Times New Roman" w:cs="Times New Roman"/>
                <w:b/>
                <w:bCs/>
                <w:color w:val="000000" w:themeColor="text1"/>
                <w:spacing w:val="0"/>
                <w:sz w:val="24"/>
                <w:szCs w:val="24"/>
                <w14:textFill>
                  <w14:solidFill>
                    <w14:schemeClr w14:val="tx1"/>
                  </w14:solidFill>
                </w14:textFill>
              </w:rPr>
            </w:pPr>
            <w:r>
              <w:rPr>
                <w:rFonts w:hint="default" w:ascii="Times New Roman" w:hAnsi="Times New Roman" w:cs="Times New Roman"/>
                <w:b/>
                <w:bCs/>
                <w:color w:val="000000" w:themeColor="text1"/>
                <w:spacing w:val="0"/>
                <w:sz w:val="24"/>
                <w:szCs w:val="24"/>
                <w:lang w:val="en-US" w:eastAsia="zh-CN"/>
                <w14:textFill>
                  <w14:solidFill>
                    <w14:schemeClr w14:val="tx1"/>
                  </w14:solidFill>
                </w14:textFill>
              </w:rPr>
              <w:t>2.1</w:t>
            </w:r>
            <w:r>
              <w:rPr>
                <w:rFonts w:hint="default" w:ascii="Times New Roman" w:hAnsi="Times New Roman" w:cs="Times New Roman"/>
                <w:b/>
                <w:bCs/>
                <w:color w:val="000000" w:themeColor="text1"/>
                <w:spacing w:val="0"/>
                <w:sz w:val="24"/>
                <w:szCs w:val="24"/>
                <w14:textFill>
                  <w14:solidFill>
                    <w14:schemeClr w14:val="tx1"/>
                  </w14:solidFill>
                </w14:textFill>
              </w:rPr>
              <w:t xml:space="preserve"> 大气污染物排放标准</w:t>
            </w:r>
          </w:p>
          <w:p w14:paraId="3DE81244">
            <w:pPr>
              <w:spacing w:line="360" w:lineRule="auto"/>
              <w:ind w:firstLine="480"/>
              <w:rPr>
                <w:rFonts w:hint="default" w:ascii="Times New Roman" w:hAnsi="Times New Roman" w:eastAsia="宋体" w:cs="Times New Roman"/>
                <w:bCs/>
                <w:color w:val="000000" w:themeColor="text1"/>
                <w:spacing w:val="0"/>
                <w14:textFill>
                  <w14:solidFill>
                    <w14:schemeClr w14:val="tx1"/>
                  </w14:solidFill>
                </w14:textFill>
              </w:rPr>
            </w:pPr>
            <w:r>
              <w:rPr>
                <w:rFonts w:hint="default" w:ascii="Times New Roman" w:hAnsi="Times New Roman" w:cs="Times New Roman"/>
                <w:bCs/>
                <w:color w:val="000000" w:themeColor="text1"/>
                <w:spacing w:val="0"/>
                <w14:textFill>
                  <w14:solidFill>
                    <w14:schemeClr w14:val="tx1"/>
                  </w14:solidFill>
                </w14:textFill>
              </w:rPr>
              <w:t>施工期大气污染物排放执行《大气污染物综合排放标准》（GB16297-1996）</w:t>
            </w:r>
            <w:r>
              <w:rPr>
                <w:rFonts w:hint="default" w:ascii="Times New Roman" w:hAnsi="Times New Roman" w:cs="Times New Roman"/>
                <w:bCs/>
                <w:color w:val="000000" w:themeColor="text1"/>
                <w:spacing w:val="0"/>
                <w:lang w:val="en-US" w:eastAsia="zh-CN"/>
                <w14:textFill>
                  <w14:solidFill>
                    <w14:schemeClr w14:val="tx1"/>
                  </w14:solidFill>
                </w14:textFill>
              </w:rPr>
              <w:t>表2中的</w:t>
            </w:r>
            <w:r>
              <w:rPr>
                <w:rFonts w:hint="default" w:ascii="Times New Roman" w:hAnsi="Times New Roman" w:cs="Times New Roman"/>
                <w:bCs/>
                <w:color w:val="000000" w:themeColor="text1"/>
                <w:spacing w:val="0"/>
                <w14:textFill>
                  <w14:solidFill>
                    <w14:schemeClr w14:val="tx1"/>
                  </w14:solidFill>
                </w14:textFill>
              </w:rPr>
              <w:t>无组织排放监控浓度限值标准。</w:t>
            </w:r>
            <w:r>
              <w:rPr>
                <w:rFonts w:hint="default" w:ascii="Times New Roman" w:hAnsi="Times New Roman" w:eastAsia="宋体" w:cs="Times New Roman"/>
                <w:bCs/>
                <w:color w:val="000000" w:themeColor="text1"/>
                <w:spacing w:val="0"/>
                <w14:textFill>
                  <w14:solidFill>
                    <w14:schemeClr w14:val="tx1"/>
                  </w14:solidFill>
                </w14:textFill>
              </w:rPr>
              <w:t>主要指标见下表：</w:t>
            </w:r>
          </w:p>
          <w:p w14:paraId="15A5CEFA">
            <w:pPr>
              <w:pStyle w:val="63"/>
              <w:spacing w:line="240" w:lineRule="auto"/>
              <w:ind w:firstLine="0" w:firstLineChars="0"/>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表3-</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 xml:space="preserve">  大气污染物综合排放标准  单位：mg/m</w:t>
            </w:r>
            <w:r>
              <w:rPr>
                <w:rFonts w:hint="default" w:ascii="Times New Roman" w:hAnsi="Times New Roman" w:eastAsia="宋体" w:cs="Times New Roman"/>
                <w:color w:val="000000" w:themeColor="text1"/>
                <w:spacing w:val="0"/>
                <w:sz w:val="21"/>
                <w:szCs w:val="21"/>
                <w:vertAlign w:val="superscript"/>
                <w:lang w:val="en-US" w:eastAsia="zh-CN"/>
                <w14:textFill>
                  <w14:solidFill>
                    <w14:schemeClr w14:val="tx1"/>
                  </w14:solidFill>
                </w14:textFill>
              </w:rPr>
              <w:t>3</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11"/>
              <w:gridCol w:w="1696"/>
              <w:gridCol w:w="4147"/>
            </w:tblGrid>
            <w:tr w14:paraId="49ABFB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2" w:type="pct"/>
                  <w:noWrap w:val="0"/>
                  <w:vAlign w:val="center"/>
                </w:tcPr>
                <w:p w14:paraId="36AC3230">
                  <w:pPr>
                    <w:snapToGrid w:val="0"/>
                    <w:spacing w:line="240" w:lineRule="auto"/>
                    <w:ind w:firstLine="0" w:firstLineChars="0"/>
                    <w:jc w:val="center"/>
                    <w:rPr>
                      <w:rFonts w:hint="default" w:ascii="Times New Roman" w:hAnsi="Times New Roman" w:eastAsia="宋体" w:cs="Times New Roman"/>
                      <w:b/>
                      <w:bCs/>
                      <w:color w:val="000000" w:themeColor="text1"/>
                      <w:spacing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sz w:val="21"/>
                      <w:szCs w:val="21"/>
                      <w14:textFill>
                        <w14:solidFill>
                          <w14:schemeClr w14:val="tx1"/>
                        </w14:solidFill>
                      </w14:textFill>
                    </w:rPr>
                    <w:t>污染物</w:t>
                  </w:r>
                </w:p>
              </w:tc>
              <w:tc>
                <w:tcPr>
                  <w:tcW w:w="1052" w:type="pct"/>
                  <w:noWrap w:val="0"/>
                  <w:vAlign w:val="center"/>
                </w:tcPr>
                <w:p w14:paraId="4DCCDE0A">
                  <w:pPr>
                    <w:snapToGrid w:val="0"/>
                    <w:spacing w:line="240" w:lineRule="auto"/>
                    <w:ind w:firstLine="0" w:firstLineChars="0"/>
                    <w:jc w:val="center"/>
                    <w:rPr>
                      <w:rFonts w:hint="default" w:ascii="Times New Roman" w:hAnsi="Times New Roman" w:eastAsia="宋体" w:cs="Times New Roman"/>
                      <w:b/>
                      <w:bCs/>
                      <w:color w:val="000000" w:themeColor="text1"/>
                      <w:spacing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sz w:val="21"/>
                      <w:szCs w:val="21"/>
                      <w14:textFill>
                        <w14:solidFill>
                          <w14:schemeClr w14:val="tx1"/>
                        </w14:solidFill>
                      </w14:textFill>
                    </w:rPr>
                    <w:t>浓度</w:t>
                  </w:r>
                </w:p>
              </w:tc>
              <w:tc>
                <w:tcPr>
                  <w:tcW w:w="2574" w:type="pct"/>
                  <w:noWrap w:val="0"/>
                  <w:vAlign w:val="center"/>
                </w:tcPr>
                <w:p w14:paraId="3D64DC87">
                  <w:pPr>
                    <w:snapToGrid w:val="0"/>
                    <w:spacing w:line="240" w:lineRule="auto"/>
                    <w:ind w:firstLine="0" w:firstLineChars="0"/>
                    <w:jc w:val="cente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pPr>
                  <w:r>
                    <w:rPr>
                      <w:rFonts w:hint="default" w:ascii="Times New Roman" w:hAnsi="Times New Roman" w:cs="Times New Roman"/>
                      <w:b/>
                      <w:bCs/>
                      <w:color w:val="000000" w:themeColor="text1"/>
                      <w:spacing w:val="0"/>
                      <w:sz w:val="21"/>
                      <w:szCs w:val="21"/>
                      <w:lang w:val="en-US" w:eastAsia="zh-CN"/>
                      <w14:textFill>
                        <w14:solidFill>
                          <w14:schemeClr w14:val="tx1"/>
                        </w14:solidFill>
                      </w14:textFill>
                    </w:rPr>
                    <w:t>参考标准</w:t>
                  </w:r>
                </w:p>
              </w:tc>
            </w:tr>
            <w:tr w14:paraId="123F21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2" w:type="pct"/>
                  <w:noWrap w:val="0"/>
                  <w:vAlign w:val="center"/>
                </w:tcPr>
                <w:p w14:paraId="41A8698E">
                  <w:pPr>
                    <w:snapToGrid w:val="0"/>
                    <w:spacing w:line="240" w:lineRule="auto"/>
                    <w:ind w:firstLine="0" w:firstLineChars="0"/>
                    <w:jc w:val="center"/>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颗粒物</w:t>
                  </w:r>
                </w:p>
              </w:tc>
              <w:tc>
                <w:tcPr>
                  <w:tcW w:w="1052" w:type="pct"/>
                  <w:noWrap w:val="0"/>
                  <w:vAlign w:val="center"/>
                </w:tcPr>
                <w:p w14:paraId="6BB66782">
                  <w:pPr>
                    <w:snapToGrid w:val="0"/>
                    <w:spacing w:line="240" w:lineRule="auto"/>
                    <w:ind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lang w:val="en-US" w:eastAsia="zh-CN"/>
                      <w14:textFill>
                        <w14:solidFill>
                          <w14:schemeClr w14:val="tx1"/>
                        </w14:solidFill>
                      </w14:textFill>
                    </w:rPr>
                    <w:t>1.0</w:t>
                  </w:r>
                </w:p>
              </w:tc>
              <w:tc>
                <w:tcPr>
                  <w:tcW w:w="2574" w:type="pct"/>
                  <w:noWrap w:val="0"/>
                  <w:vAlign w:val="center"/>
                </w:tcPr>
                <w:p w14:paraId="56B13940">
                  <w:pPr>
                    <w:snapToGrid w:val="0"/>
                    <w:spacing w:line="240" w:lineRule="auto"/>
                    <w:ind w:firstLine="0" w:firstLineChars="0"/>
                    <w:jc w:val="center"/>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《大气污染物综合排放标准》（GB16297-1996）表2无组织排放监控浓度限值</w:t>
                  </w:r>
                </w:p>
              </w:tc>
            </w:tr>
          </w:tbl>
          <w:p w14:paraId="6285CEAF">
            <w:pPr>
              <w:spacing w:line="360" w:lineRule="auto"/>
              <w:ind w:firstLine="480"/>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项目营运期产生的废气主要为餐饮油烟废气和污水处理站恶臭。</w:t>
            </w:r>
          </w:p>
          <w:p w14:paraId="7B164162">
            <w:pPr>
              <w:spacing w:line="360" w:lineRule="auto"/>
              <w:ind w:firstLine="480"/>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本项目运营期设置15个灶头，</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餐饮油烟废气执行《饮食业油烟排放标准》（试行）（GB18483-2001）大型规模标准要求，最高允许排放浓度参照表3-</w:t>
            </w:r>
            <w:r>
              <w:rPr>
                <w:rFonts w:hint="default" w:ascii="Times New Roman" w:hAnsi="Times New Roman" w:cs="Times New Roman"/>
                <w:color w:val="000000" w:themeColor="text1"/>
                <w:spacing w:val="0"/>
                <w:sz w:val="24"/>
                <w:szCs w:val="24"/>
                <w:highlight w:val="none"/>
                <w:lang w:val="en-US" w:eastAsia="zh-CN"/>
                <w14:textFill>
                  <w14:solidFill>
                    <w14:schemeClr w14:val="tx1"/>
                  </w14:solidFill>
                </w14:textFill>
              </w:rPr>
              <w:t>6中大型饮食单位规模要求</w:t>
            </w:r>
            <w:r>
              <w:rPr>
                <w:rFonts w:hint="default" w:ascii="Times New Roman" w:hAnsi="Times New Roman" w:eastAsia="宋体" w:cs="Times New Roman"/>
                <w:color w:val="000000" w:themeColor="text1"/>
                <w:spacing w:val="0"/>
                <w:sz w:val="24"/>
                <w:szCs w:val="24"/>
                <w:highlight w:val="none"/>
                <w:lang w:val="en-US" w:eastAsia="zh-CN"/>
                <w14:textFill>
                  <w14:solidFill>
                    <w14:schemeClr w14:val="tx1"/>
                  </w14:solidFill>
                </w14:textFill>
              </w:rPr>
              <w:t>。</w:t>
            </w:r>
          </w:p>
          <w:p w14:paraId="60F61187">
            <w:pPr>
              <w:pStyle w:val="63"/>
              <w:spacing w:line="240" w:lineRule="auto"/>
              <w:ind w:firstLine="0" w:firstLineChars="0"/>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表3-</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6</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 xml:space="preserve">  《饮食业油烟排放标准（试行）》(GB18483-2001)</w:t>
            </w:r>
          </w:p>
          <w:tbl>
            <w:tblPr>
              <w:tblStyle w:val="28"/>
              <w:tblW w:w="799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11"/>
              <w:gridCol w:w="1593"/>
              <w:gridCol w:w="1604"/>
              <w:gridCol w:w="1591"/>
            </w:tblGrid>
            <w:tr w14:paraId="09DFA8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211" w:type="dxa"/>
                  <w:tcBorders>
                    <w:tl2br w:val="nil"/>
                    <w:tr2bl w:val="nil"/>
                  </w:tcBorders>
                  <w:vAlign w:val="center"/>
                </w:tcPr>
                <w:p w14:paraId="769045C8">
                  <w:pPr>
                    <w:snapToGrid w:val="0"/>
                    <w:spacing w:line="240" w:lineRule="auto"/>
                    <w:ind w:firstLine="0" w:firstLineChars="0"/>
                    <w:jc w:val="cente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t>饮食业单位规模</w:t>
                  </w:r>
                </w:p>
              </w:tc>
              <w:tc>
                <w:tcPr>
                  <w:tcW w:w="1593" w:type="dxa"/>
                  <w:tcBorders>
                    <w:tl2br w:val="nil"/>
                    <w:tr2bl w:val="nil"/>
                  </w:tcBorders>
                  <w:shd w:val="clear" w:color="auto" w:fill="auto"/>
                  <w:vAlign w:val="center"/>
                </w:tcPr>
                <w:p w14:paraId="77E7DD71">
                  <w:pPr>
                    <w:snapToGrid w:val="0"/>
                    <w:spacing w:line="240" w:lineRule="auto"/>
                    <w:ind w:firstLine="0" w:firstLineChars="0"/>
                    <w:jc w:val="cente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14:textFill>
                        <w14:solidFill>
                          <w14:schemeClr w14:val="tx1"/>
                        </w14:solidFill>
                      </w14:textFill>
                    </w:rPr>
                    <w:t>小型</w:t>
                  </w:r>
                </w:p>
              </w:tc>
              <w:tc>
                <w:tcPr>
                  <w:tcW w:w="1604" w:type="dxa"/>
                  <w:tcBorders>
                    <w:tl2br w:val="nil"/>
                    <w:tr2bl w:val="nil"/>
                  </w:tcBorders>
                  <w:shd w:val="clear" w:color="auto" w:fill="auto"/>
                  <w:vAlign w:val="center"/>
                </w:tcPr>
                <w:p w14:paraId="14D833EF">
                  <w:pPr>
                    <w:snapToGrid w:val="0"/>
                    <w:spacing w:line="240" w:lineRule="auto"/>
                    <w:ind w:firstLine="0" w:firstLineChars="0"/>
                    <w:jc w:val="cente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14:textFill>
                        <w14:solidFill>
                          <w14:schemeClr w14:val="tx1"/>
                        </w14:solidFill>
                      </w14:textFill>
                    </w:rPr>
                    <w:t>中型</w:t>
                  </w:r>
                </w:p>
              </w:tc>
              <w:tc>
                <w:tcPr>
                  <w:tcW w:w="1591" w:type="dxa"/>
                  <w:tcBorders>
                    <w:tl2br w:val="nil"/>
                    <w:tr2bl w:val="nil"/>
                  </w:tcBorders>
                  <w:shd w:val="clear" w:color="auto" w:fill="auto"/>
                  <w:vAlign w:val="center"/>
                </w:tcPr>
                <w:p w14:paraId="4A24F896">
                  <w:pPr>
                    <w:snapToGrid w:val="0"/>
                    <w:spacing w:line="240" w:lineRule="auto"/>
                    <w:ind w:firstLine="0" w:firstLineChars="0"/>
                    <w:jc w:val="cente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14:textFill>
                        <w14:solidFill>
                          <w14:schemeClr w14:val="tx1"/>
                        </w14:solidFill>
                      </w14:textFill>
                    </w:rPr>
                    <w:t>大型</w:t>
                  </w:r>
                </w:p>
              </w:tc>
            </w:tr>
            <w:tr w14:paraId="4293E1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211" w:type="dxa"/>
                  <w:tcBorders>
                    <w:tl2br w:val="nil"/>
                    <w:tr2bl w:val="nil"/>
                  </w:tcBorders>
                  <w:shd w:val="clear" w:color="auto" w:fill="auto"/>
                  <w:vAlign w:val="center"/>
                </w:tcPr>
                <w:p w14:paraId="158035F9">
                  <w:pPr>
                    <w:snapToGrid w:val="0"/>
                    <w:spacing w:line="240" w:lineRule="auto"/>
                    <w:ind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基准灶头数</w:t>
                  </w:r>
                </w:p>
              </w:tc>
              <w:tc>
                <w:tcPr>
                  <w:tcW w:w="1593" w:type="dxa"/>
                  <w:tcBorders>
                    <w:tl2br w:val="nil"/>
                    <w:tr2bl w:val="nil"/>
                  </w:tcBorders>
                  <w:shd w:val="clear" w:color="auto" w:fill="auto"/>
                  <w:vAlign w:val="center"/>
                </w:tcPr>
                <w:p w14:paraId="0AFFDCB2">
                  <w:pPr>
                    <w:snapToGrid w:val="0"/>
                    <w:spacing w:line="240" w:lineRule="auto"/>
                    <w:ind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≥1，&lt;3</w:t>
                  </w:r>
                </w:p>
              </w:tc>
              <w:tc>
                <w:tcPr>
                  <w:tcW w:w="1604" w:type="dxa"/>
                  <w:tcBorders>
                    <w:tl2br w:val="nil"/>
                    <w:tr2bl w:val="nil"/>
                  </w:tcBorders>
                  <w:shd w:val="clear" w:color="auto" w:fill="auto"/>
                  <w:vAlign w:val="center"/>
                </w:tcPr>
                <w:p w14:paraId="748AD4CB">
                  <w:pPr>
                    <w:snapToGrid w:val="0"/>
                    <w:spacing w:line="240" w:lineRule="auto"/>
                    <w:ind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≥3，&lt;6</w:t>
                  </w:r>
                </w:p>
              </w:tc>
              <w:tc>
                <w:tcPr>
                  <w:tcW w:w="1591" w:type="dxa"/>
                  <w:tcBorders>
                    <w:tl2br w:val="nil"/>
                    <w:tr2bl w:val="nil"/>
                  </w:tcBorders>
                  <w:shd w:val="clear" w:color="auto" w:fill="auto"/>
                  <w:vAlign w:val="center"/>
                </w:tcPr>
                <w:p w14:paraId="344A6BEA">
                  <w:pPr>
                    <w:snapToGrid w:val="0"/>
                    <w:spacing w:line="240" w:lineRule="auto"/>
                    <w:ind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≥6</w:t>
                  </w:r>
                </w:p>
              </w:tc>
            </w:tr>
            <w:tr w14:paraId="0B997F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211" w:type="dxa"/>
                  <w:tcBorders>
                    <w:tl2br w:val="nil"/>
                    <w:tr2bl w:val="nil"/>
                  </w:tcBorders>
                  <w:shd w:val="clear" w:color="auto" w:fill="auto"/>
                  <w:vAlign w:val="center"/>
                </w:tcPr>
                <w:p w14:paraId="425ECCB3">
                  <w:pPr>
                    <w:snapToGrid w:val="0"/>
                    <w:spacing w:line="240" w:lineRule="auto"/>
                    <w:ind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油烟最高允许排放浓度（mg/m</w:t>
                  </w:r>
                  <w:r>
                    <w:rPr>
                      <w:rFonts w:hint="default" w:ascii="Times New Roman" w:hAnsi="Times New Roman" w:eastAsia="宋体" w:cs="Times New Roman"/>
                      <w:color w:val="000000" w:themeColor="text1"/>
                      <w:spacing w:val="0"/>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pacing w:val="0"/>
                      <w:sz w:val="21"/>
                      <w:szCs w:val="21"/>
                      <w14:textFill>
                        <w14:solidFill>
                          <w14:schemeClr w14:val="tx1"/>
                        </w14:solidFill>
                      </w14:textFill>
                    </w:rPr>
                    <w:t>）</w:t>
                  </w:r>
                </w:p>
              </w:tc>
              <w:tc>
                <w:tcPr>
                  <w:tcW w:w="4788" w:type="dxa"/>
                  <w:gridSpan w:val="3"/>
                  <w:tcBorders>
                    <w:tl2br w:val="nil"/>
                    <w:tr2bl w:val="nil"/>
                  </w:tcBorders>
                  <w:shd w:val="clear" w:color="auto" w:fill="auto"/>
                  <w:vAlign w:val="center"/>
                </w:tcPr>
                <w:p w14:paraId="7F9F1B98">
                  <w:pPr>
                    <w:snapToGrid w:val="0"/>
                    <w:spacing w:line="240" w:lineRule="auto"/>
                    <w:ind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2.0</w:t>
                  </w:r>
                </w:p>
              </w:tc>
            </w:tr>
            <w:tr w14:paraId="0C9119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211" w:type="dxa"/>
                  <w:tcBorders>
                    <w:tl2br w:val="nil"/>
                    <w:tr2bl w:val="nil"/>
                  </w:tcBorders>
                  <w:shd w:val="clear" w:color="auto" w:fill="auto"/>
                  <w:vAlign w:val="center"/>
                </w:tcPr>
                <w:p w14:paraId="53AE4502">
                  <w:pPr>
                    <w:snapToGrid w:val="0"/>
                    <w:spacing w:line="240" w:lineRule="auto"/>
                    <w:ind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净化设施最低去除率（%）</w:t>
                  </w:r>
                </w:p>
              </w:tc>
              <w:tc>
                <w:tcPr>
                  <w:tcW w:w="1593" w:type="dxa"/>
                  <w:tcBorders>
                    <w:tl2br w:val="nil"/>
                    <w:tr2bl w:val="nil"/>
                  </w:tcBorders>
                  <w:shd w:val="clear" w:color="auto" w:fill="auto"/>
                  <w:vAlign w:val="center"/>
                </w:tcPr>
                <w:p w14:paraId="12592BB0">
                  <w:pPr>
                    <w:snapToGrid w:val="0"/>
                    <w:spacing w:line="240" w:lineRule="auto"/>
                    <w:ind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60</w:t>
                  </w:r>
                </w:p>
              </w:tc>
              <w:tc>
                <w:tcPr>
                  <w:tcW w:w="1604" w:type="dxa"/>
                  <w:tcBorders>
                    <w:tl2br w:val="nil"/>
                    <w:tr2bl w:val="nil"/>
                  </w:tcBorders>
                  <w:shd w:val="clear" w:color="auto" w:fill="auto"/>
                  <w:vAlign w:val="center"/>
                </w:tcPr>
                <w:p w14:paraId="4D76E524">
                  <w:pPr>
                    <w:snapToGrid w:val="0"/>
                    <w:spacing w:line="240" w:lineRule="auto"/>
                    <w:ind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75</w:t>
                  </w:r>
                </w:p>
              </w:tc>
              <w:tc>
                <w:tcPr>
                  <w:tcW w:w="1591" w:type="dxa"/>
                  <w:tcBorders>
                    <w:tl2br w:val="nil"/>
                    <w:tr2bl w:val="nil"/>
                  </w:tcBorders>
                  <w:shd w:val="clear" w:color="auto" w:fill="auto"/>
                  <w:vAlign w:val="center"/>
                </w:tcPr>
                <w:p w14:paraId="4C46C191">
                  <w:pPr>
                    <w:snapToGrid w:val="0"/>
                    <w:spacing w:line="240" w:lineRule="auto"/>
                    <w:ind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85</w:t>
                  </w:r>
                </w:p>
              </w:tc>
            </w:tr>
            <w:tr w14:paraId="6408FB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7999" w:type="dxa"/>
                  <w:gridSpan w:val="4"/>
                  <w:tcBorders>
                    <w:tl2br w:val="nil"/>
                    <w:tr2bl w:val="nil"/>
                  </w:tcBorders>
                  <w:shd w:val="clear" w:color="auto" w:fill="auto"/>
                  <w:vAlign w:val="center"/>
                </w:tcPr>
                <w:p w14:paraId="5220BA06">
                  <w:pPr>
                    <w:snapToGrid w:val="0"/>
                    <w:spacing w:line="240" w:lineRule="auto"/>
                    <w:ind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lang w:val="en-US" w:eastAsia="zh-CN"/>
                      <w14:textFill>
                        <w14:solidFill>
                          <w14:schemeClr w14:val="tx1"/>
                        </w14:solidFill>
                      </w14:textFill>
                    </w:rPr>
                    <w:t>注：单个灶头基准排风量：大、中、小型均为2000m</w:t>
                  </w:r>
                  <w:r>
                    <w:rPr>
                      <w:rFonts w:hint="default" w:ascii="Times New Roman" w:hAnsi="Times New Roman" w:cs="Times New Roman"/>
                      <w:color w:val="000000" w:themeColor="text1"/>
                      <w:spacing w:val="0"/>
                      <w:sz w:val="21"/>
                      <w:szCs w:val="21"/>
                      <w:vertAlign w:val="superscript"/>
                      <w:lang w:val="en-US" w:eastAsia="zh-CN"/>
                      <w14:textFill>
                        <w14:solidFill>
                          <w14:schemeClr w14:val="tx1"/>
                        </w14:solidFill>
                      </w14:textFill>
                    </w:rPr>
                    <w:t>3</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/h</w:t>
                  </w:r>
                </w:p>
              </w:tc>
            </w:tr>
          </w:tbl>
          <w:p w14:paraId="51D87392">
            <w:pPr>
              <w:keepNext w:val="0"/>
              <w:keepLines w:val="0"/>
              <w:pageBreakBefore w:val="0"/>
              <w:widowControl w:val="0"/>
              <w:numPr>
                <w:ilvl w:val="0"/>
                <w:numId w:val="0"/>
              </w:numPr>
              <w:kinsoku/>
              <w:wordWrap/>
              <w:overflowPunct/>
              <w:topLinePunct w:val="0"/>
              <w:autoSpaceDE w:val="0"/>
              <w:autoSpaceDN w:val="0"/>
              <w:bidi w:val="0"/>
              <w:adjustRightInd w:val="0"/>
              <w:snapToGrid/>
              <w:ind w:firstLine="48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污水处理站恶臭执行《恶臭污染物排放标准》（GB14554-93）表2恶臭污染物排放标准值。具体指标见下表：</w:t>
            </w:r>
          </w:p>
          <w:p w14:paraId="3926B5E3">
            <w:pPr>
              <w:pStyle w:val="63"/>
              <w:spacing w:line="240" w:lineRule="auto"/>
              <w:ind w:firstLine="0" w:firstLineChars="0"/>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表3-</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7</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 xml:space="preserve">  污水处理站恶臭污染物最高允许浓度</w:t>
            </w:r>
          </w:p>
          <w:tbl>
            <w:tblPr>
              <w:tblStyle w:val="28"/>
              <w:tblW w:w="801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87"/>
              <w:gridCol w:w="2766"/>
              <w:gridCol w:w="2766"/>
            </w:tblGrid>
            <w:tr w14:paraId="5D5A6A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7" w:type="dxa"/>
                  <w:tcBorders>
                    <w:tl2br w:val="nil"/>
                    <w:tr2bl w:val="nil"/>
                  </w:tcBorders>
                  <w:shd w:val="clear" w:color="auto" w:fill="auto"/>
                  <w:vAlign w:val="center"/>
                </w:tcPr>
                <w:p w14:paraId="68194990">
                  <w:pPr>
                    <w:numPr>
                      <w:ilvl w:val="0"/>
                      <w:numId w:val="0"/>
                    </w:numPr>
                    <w:snapToGrid w:val="0"/>
                    <w:spacing w:line="240" w:lineRule="auto"/>
                    <w:ind w:left="0" w:leftChars="0" w:right="0" w:rightChars="0" w:firstLine="0" w:firstLineChars="0"/>
                    <w:jc w:val="cente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t>污染物项目</w:t>
                  </w:r>
                </w:p>
              </w:tc>
              <w:tc>
                <w:tcPr>
                  <w:tcW w:w="2766" w:type="dxa"/>
                  <w:tcBorders>
                    <w:tl2br w:val="nil"/>
                    <w:tr2bl w:val="nil"/>
                  </w:tcBorders>
                  <w:vAlign w:val="center"/>
                </w:tcPr>
                <w:p w14:paraId="08946191">
                  <w:pPr>
                    <w:numPr>
                      <w:ilvl w:val="0"/>
                      <w:numId w:val="0"/>
                    </w:numPr>
                    <w:snapToGrid w:val="0"/>
                    <w:spacing w:line="240" w:lineRule="auto"/>
                    <w:ind w:left="0" w:leftChars="0" w:right="0" w:rightChars="0" w:firstLine="0" w:firstLineChars="0"/>
                    <w:jc w:val="cente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t>排气筒高度（m）</w:t>
                  </w:r>
                </w:p>
              </w:tc>
              <w:tc>
                <w:tcPr>
                  <w:tcW w:w="2766" w:type="dxa"/>
                  <w:tcBorders>
                    <w:tl2br w:val="nil"/>
                    <w:tr2bl w:val="nil"/>
                  </w:tcBorders>
                  <w:vAlign w:val="center"/>
                </w:tcPr>
                <w:p w14:paraId="22893E33">
                  <w:pPr>
                    <w:numPr>
                      <w:ilvl w:val="0"/>
                      <w:numId w:val="0"/>
                    </w:numPr>
                    <w:snapToGrid w:val="0"/>
                    <w:spacing w:line="240" w:lineRule="auto"/>
                    <w:ind w:left="0" w:leftChars="0" w:right="0" w:rightChars="0" w:firstLine="0" w:firstLineChars="0"/>
                    <w:jc w:val="cente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t>执行标准</w:t>
                  </w:r>
                </w:p>
              </w:tc>
            </w:tr>
            <w:tr w14:paraId="2B23A2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7" w:type="dxa"/>
                  <w:tcBorders>
                    <w:tl2br w:val="nil"/>
                    <w:tr2bl w:val="nil"/>
                  </w:tcBorders>
                  <w:shd w:val="clear" w:color="auto" w:fill="auto"/>
                  <w:vAlign w:val="center"/>
                </w:tcPr>
                <w:p w14:paraId="655B3058">
                  <w:pPr>
                    <w:numPr>
                      <w:ilvl w:val="0"/>
                      <w:numId w:val="0"/>
                    </w:num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NH</w:t>
                  </w:r>
                  <w:r>
                    <w:rPr>
                      <w:rFonts w:hint="default" w:ascii="Times New Roman" w:hAnsi="Times New Roman" w:eastAsia="宋体" w:cs="Times New Roman"/>
                      <w:color w:val="000000" w:themeColor="text1"/>
                      <w:spacing w:val="0"/>
                      <w:sz w:val="21"/>
                      <w:szCs w:val="21"/>
                      <w:vertAlign w:val="subscript"/>
                      <w14:textFill>
                        <w14:solidFill>
                          <w14:schemeClr w14:val="tx1"/>
                        </w14:solidFill>
                      </w14:textFill>
                    </w:rPr>
                    <w:t>3</w:t>
                  </w:r>
                </w:p>
              </w:tc>
              <w:tc>
                <w:tcPr>
                  <w:tcW w:w="2766" w:type="dxa"/>
                  <w:vMerge w:val="restart"/>
                  <w:tcBorders>
                    <w:tl2br w:val="nil"/>
                    <w:tr2bl w:val="nil"/>
                  </w:tcBorders>
                  <w:vAlign w:val="center"/>
                </w:tcPr>
                <w:p w14:paraId="130718A9">
                  <w:pPr>
                    <w:numPr>
                      <w:ilvl w:val="0"/>
                      <w:numId w:val="0"/>
                    </w:num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15m</w:t>
                  </w:r>
                </w:p>
              </w:tc>
              <w:tc>
                <w:tcPr>
                  <w:tcW w:w="2766" w:type="dxa"/>
                  <w:vMerge w:val="restart"/>
                  <w:tcBorders>
                    <w:tl2br w:val="nil"/>
                    <w:tr2bl w:val="nil"/>
                  </w:tcBorders>
                  <w:vAlign w:val="center"/>
                </w:tcPr>
                <w:p w14:paraId="2EA70B7A">
                  <w:pPr>
                    <w:numPr>
                      <w:ilvl w:val="0"/>
                      <w:numId w:val="0"/>
                    </w:num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《恶臭污染物排放标准》（GB14554-93）表2</w:t>
                  </w:r>
                </w:p>
              </w:tc>
            </w:tr>
            <w:tr w14:paraId="2E22CF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7" w:type="dxa"/>
                  <w:tcBorders>
                    <w:tl2br w:val="nil"/>
                    <w:tr2bl w:val="nil"/>
                  </w:tcBorders>
                  <w:shd w:val="clear" w:color="auto" w:fill="auto"/>
                  <w:vAlign w:val="center"/>
                </w:tcPr>
                <w:p w14:paraId="0A583D09">
                  <w:pPr>
                    <w:numPr>
                      <w:ilvl w:val="0"/>
                      <w:numId w:val="0"/>
                    </w:num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H</w:t>
                  </w:r>
                  <w:r>
                    <w:rPr>
                      <w:rFonts w:hint="default" w:ascii="Times New Roman" w:hAnsi="Times New Roman" w:eastAsia="宋体" w:cs="Times New Roman"/>
                      <w:color w:val="000000" w:themeColor="text1"/>
                      <w:spacing w:val="0"/>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S</w:t>
                  </w:r>
                </w:p>
              </w:tc>
              <w:tc>
                <w:tcPr>
                  <w:tcW w:w="2766" w:type="dxa"/>
                  <w:vMerge w:val="continue"/>
                  <w:tcBorders>
                    <w:tl2br w:val="nil"/>
                    <w:tr2bl w:val="nil"/>
                  </w:tcBorders>
                  <w:vAlign w:val="center"/>
                </w:tcPr>
                <w:p w14:paraId="2243F78D">
                  <w:pPr>
                    <w:tabs>
                      <w:tab w:val="left" w:pos="3405"/>
                    </w:tabs>
                    <w:adjustRightInd w:val="0"/>
                    <w:snapToGrid w:val="0"/>
                    <w:spacing w:line="360" w:lineRule="auto"/>
                    <w:ind w:left="0" w:leftChars="0" w:right="0" w:rightChars="0" w:firstLine="0" w:firstLineChars="0"/>
                    <w:jc w:val="center"/>
                    <w:rPr>
                      <w:rFonts w:hint="default" w:ascii="Times New Roman" w:hAnsi="Times New Roman" w:eastAsia="宋体" w:cs="Times New Roman"/>
                      <w:color w:val="000000" w:themeColor="text1"/>
                      <w:sz w:val="24"/>
                      <w:vertAlign w:val="baseline"/>
                      <w:lang w:val="en-US" w:eastAsia="zh-CN"/>
                      <w14:textFill>
                        <w14:solidFill>
                          <w14:schemeClr w14:val="tx1"/>
                        </w14:solidFill>
                      </w14:textFill>
                    </w:rPr>
                  </w:pPr>
                </w:p>
              </w:tc>
              <w:tc>
                <w:tcPr>
                  <w:tcW w:w="2766" w:type="dxa"/>
                  <w:vMerge w:val="continue"/>
                  <w:tcBorders>
                    <w:tl2br w:val="nil"/>
                    <w:tr2bl w:val="nil"/>
                  </w:tcBorders>
                  <w:vAlign w:val="center"/>
                </w:tcPr>
                <w:p w14:paraId="6E428E1B">
                  <w:pPr>
                    <w:tabs>
                      <w:tab w:val="left" w:pos="3405"/>
                    </w:tabs>
                    <w:adjustRightInd w:val="0"/>
                    <w:snapToGrid w:val="0"/>
                    <w:spacing w:line="360" w:lineRule="auto"/>
                    <w:ind w:left="0" w:leftChars="0" w:right="0" w:rightChars="0" w:firstLine="0" w:firstLineChars="0"/>
                    <w:jc w:val="center"/>
                    <w:rPr>
                      <w:rFonts w:hint="default" w:ascii="Times New Roman" w:hAnsi="Times New Roman" w:eastAsia="宋体" w:cs="Times New Roman"/>
                      <w:color w:val="000000" w:themeColor="text1"/>
                      <w:sz w:val="24"/>
                      <w:vertAlign w:val="baseline"/>
                      <w:lang w:val="en-US" w:eastAsia="zh-CN"/>
                      <w14:textFill>
                        <w14:solidFill>
                          <w14:schemeClr w14:val="tx1"/>
                        </w14:solidFill>
                      </w14:textFill>
                    </w:rPr>
                  </w:pPr>
                </w:p>
              </w:tc>
            </w:tr>
            <w:tr w14:paraId="0AF36A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87" w:type="dxa"/>
                  <w:tcBorders>
                    <w:tl2br w:val="nil"/>
                    <w:tr2bl w:val="nil"/>
                  </w:tcBorders>
                  <w:shd w:val="clear" w:color="auto" w:fill="auto"/>
                  <w:vAlign w:val="center"/>
                </w:tcPr>
                <w:p w14:paraId="0C5F306F">
                  <w:pPr>
                    <w:numPr>
                      <w:ilvl w:val="0"/>
                      <w:numId w:val="0"/>
                    </w:num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臭气浓度（无量纲）</w:t>
                  </w:r>
                </w:p>
              </w:tc>
              <w:tc>
                <w:tcPr>
                  <w:tcW w:w="2766" w:type="dxa"/>
                  <w:vMerge w:val="continue"/>
                  <w:tcBorders>
                    <w:tl2br w:val="nil"/>
                    <w:tr2bl w:val="nil"/>
                  </w:tcBorders>
                  <w:vAlign w:val="center"/>
                </w:tcPr>
                <w:p w14:paraId="16B0AC21">
                  <w:pPr>
                    <w:tabs>
                      <w:tab w:val="left" w:pos="3405"/>
                    </w:tabs>
                    <w:adjustRightInd w:val="0"/>
                    <w:snapToGrid w:val="0"/>
                    <w:spacing w:line="360" w:lineRule="auto"/>
                    <w:ind w:left="0" w:leftChars="0" w:right="0" w:rightChars="0" w:firstLine="0" w:firstLineChars="0"/>
                    <w:jc w:val="center"/>
                    <w:rPr>
                      <w:rFonts w:hint="default" w:ascii="Times New Roman" w:hAnsi="Times New Roman" w:eastAsia="宋体" w:cs="Times New Roman"/>
                      <w:color w:val="000000" w:themeColor="text1"/>
                      <w:sz w:val="24"/>
                      <w:vertAlign w:val="baseline"/>
                      <w:lang w:val="en-US" w:eastAsia="zh-CN"/>
                      <w14:textFill>
                        <w14:solidFill>
                          <w14:schemeClr w14:val="tx1"/>
                        </w14:solidFill>
                      </w14:textFill>
                    </w:rPr>
                  </w:pPr>
                </w:p>
              </w:tc>
              <w:tc>
                <w:tcPr>
                  <w:tcW w:w="2766" w:type="dxa"/>
                  <w:vMerge w:val="continue"/>
                  <w:tcBorders>
                    <w:tl2br w:val="nil"/>
                    <w:tr2bl w:val="nil"/>
                  </w:tcBorders>
                  <w:vAlign w:val="center"/>
                </w:tcPr>
                <w:p w14:paraId="3D955A85">
                  <w:pPr>
                    <w:tabs>
                      <w:tab w:val="left" w:pos="3405"/>
                    </w:tabs>
                    <w:adjustRightInd w:val="0"/>
                    <w:snapToGrid w:val="0"/>
                    <w:spacing w:line="360" w:lineRule="auto"/>
                    <w:ind w:left="0" w:leftChars="0" w:right="0" w:rightChars="0" w:firstLine="0" w:firstLineChars="0"/>
                    <w:jc w:val="center"/>
                    <w:rPr>
                      <w:rFonts w:hint="default" w:ascii="Times New Roman" w:hAnsi="Times New Roman" w:eastAsia="宋体" w:cs="Times New Roman"/>
                      <w:color w:val="000000" w:themeColor="text1"/>
                      <w:sz w:val="24"/>
                      <w:vertAlign w:val="baseline"/>
                      <w:lang w:val="en-US" w:eastAsia="zh-CN"/>
                      <w14:textFill>
                        <w14:solidFill>
                          <w14:schemeClr w14:val="tx1"/>
                        </w14:solidFill>
                      </w14:textFill>
                    </w:rPr>
                  </w:pPr>
                </w:p>
              </w:tc>
            </w:tr>
          </w:tbl>
          <w:p w14:paraId="59633B39">
            <w:pPr>
              <w:pStyle w:val="55"/>
              <w:spacing w:line="360" w:lineRule="auto"/>
              <w:ind w:firstLine="482"/>
              <w:jc w:val="both"/>
              <w:rPr>
                <w:rFonts w:hint="default" w:ascii="Times New Roman" w:hAnsi="Times New Roman" w:cs="Times New Roman"/>
                <w:b/>
                <w:bCs/>
                <w:color w:val="000000" w:themeColor="text1"/>
                <w:spacing w:val="0"/>
                <w:sz w:val="24"/>
                <w:szCs w:val="24"/>
                <w14:textFill>
                  <w14:solidFill>
                    <w14:schemeClr w14:val="tx1"/>
                  </w14:solidFill>
                </w14:textFill>
              </w:rPr>
            </w:pPr>
            <w:r>
              <w:rPr>
                <w:rFonts w:hint="default" w:ascii="Times New Roman" w:hAnsi="Times New Roman" w:cs="Times New Roman"/>
                <w:b/>
                <w:bCs/>
                <w:color w:val="000000" w:themeColor="text1"/>
                <w:spacing w:val="0"/>
                <w:sz w:val="24"/>
                <w:szCs w:val="24"/>
                <w:lang w:val="en-US" w:eastAsia="zh-CN"/>
                <w14:textFill>
                  <w14:solidFill>
                    <w14:schemeClr w14:val="tx1"/>
                  </w14:solidFill>
                </w14:textFill>
              </w:rPr>
              <w:t>2.2</w:t>
            </w:r>
            <w:r>
              <w:rPr>
                <w:rFonts w:hint="default" w:ascii="Times New Roman" w:hAnsi="Times New Roman" w:cs="Times New Roman"/>
                <w:b/>
                <w:bCs/>
                <w:color w:val="000000" w:themeColor="text1"/>
                <w:spacing w:val="0"/>
                <w:sz w:val="24"/>
                <w:szCs w:val="24"/>
                <w14:textFill>
                  <w14:solidFill>
                    <w14:schemeClr w14:val="tx1"/>
                  </w14:solidFill>
                </w14:textFill>
              </w:rPr>
              <w:t xml:space="preserve"> 废水污染物排放</w:t>
            </w:r>
          </w:p>
          <w:p w14:paraId="6340D29A">
            <w:pPr>
              <w:keepNext w:val="0"/>
              <w:keepLines w:val="0"/>
              <w:pageBreakBefore w:val="0"/>
              <w:widowControl w:val="0"/>
              <w:numPr>
                <w:ilvl w:val="0"/>
                <w:numId w:val="0"/>
              </w:numPr>
              <w:kinsoku/>
              <w:wordWrap/>
              <w:overflowPunct/>
              <w:topLinePunct w:val="0"/>
              <w:autoSpaceDE w:val="0"/>
              <w:autoSpaceDN w:val="0"/>
              <w:bidi w:val="0"/>
              <w:adjustRightInd w:val="0"/>
              <w:snapToGrid/>
              <w:ind w:firstLine="48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本项目废水分为生活废水和医疗废水。项目餐饮废水经隔油后与生活污水经化粪池预处理，后一起与医疗废水经MBR膜生物反应工艺处理，达到《医疗机构水污染物排放标准》（GB18466-2005）、《城市污水再生利用 城市再用水水质》（GB/T18920-2020）、《城市污水再生利用 景观环境用水水质》（GB/T18921-2019）相关标准后回用于项目区绿化、道路清扫及景观环境。本项目回用水质执行标准见表3-8。</w:t>
            </w:r>
          </w:p>
          <w:p w14:paraId="623755DF">
            <w:pPr>
              <w:pStyle w:val="63"/>
              <w:spacing w:line="240" w:lineRule="auto"/>
              <w:ind w:firstLine="0" w:firstLineChars="0"/>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表3-</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8</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 xml:space="preserve">  本项目回用水质执行标准一览表</w:t>
            </w:r>
          </w:p>
          <w:tbl>
            <w:tblPr>
              <w:tblStyle w:val="28"/>
              <w:tblW w:w="803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0"/>
              <w:gridCol w:w="2192"/>
              <w:gridCol w:w="2273"/>
              <w:gridCol w:w="2913"/>
            </w:tblGrid>
            <w:tr w14:paraId="47B72C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60" w:type="dxa"/>
                  <w:tcBorders>
                    <w:tl2br w:val="nil"/>
                    <w:tr2bl w:val="nil"/>
                  </w:tcBorders>
                  <w:vAlign w:val="center"/>
                </w:tcPr>
                <w:p w14:paraId="1008CFB1">
                  <w:pPr>
                    <w:numPr>
                      <w:ilvl w:val="0"/>
                      <w:numId w:val="0"/>
                    </w:numPr>
                    <w:snapToGrid w:val="0"/>
                    <w:spacing w:line="240" w:lineRule="auto"/>
                    <w:ind w:left="0" w:leftChars="0" w:right="0" w:rightChars="0" w:firstLine="0" w:firstLineChars="0"/>
                    <w:jc w:val="cente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t>序号</w:t>
                  </w:r>
                </w:p>
              </w:tc>
              <w:tc>
                <w:tcPr>
                  <w:tcW w:w="2192" w:type="dxa"/>
                  <w:tcBorders>
                    <w:tl2br w:val="nil"/>
                    <w:tr2bl w:val="nil"/>
                  </w:tcBorders>
                  <w:vAlign w:val="center"/>
                </w:tcPr>
                <w:p w14:paraId="45594428">
                  <w:pPr>
                    <w:numPr>
                      <w:ilvl w:val="0"/>
                      <w:numId w:val="0"/>
                    </w:numPr>
                    <w:snapToGrid w:val="0"/>
                    <w:spacing w:line="240" w:lineRule="auto"/>
                    <w:ind w:left="0" w:leftChars="0" w:right="0" w:rightChars="0" w:firstLine="0" w:firstLineChars="0"/>
                    <w:jc w:val="cente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t>项目</w:t>
                  </w:r>
                </w:p>
              </w:tc>
              <w:tc>
                <w:tcPr>
                  <w:tcW w:w="2273" w:type="dxa"/>
                  <w:tcBorders>
                    <w:tl2br w:val="nil"/>
                    <w:tr2bl w:val="nil"/>
                  </w:tcBorders>
                  <w:vAlign w:val="center"/>
                </w:tcPr>
                <w:p w14:paraId="34EBC9F4">
                  <w:pPr>
                    <w:numPr>
                      <w:ilvl w:val="0"/>
                      <w:numId w:val="0"/>
                    </w:numPr>
                    <w:snapToGrid w:val="0"/>
                    <w:spacing w:line="240" w:lineRule="auto"/>
                    <w:ind w:left="0" w:leftChars="0" w:right="0" w:rightChars="0" w:firstLine="0" w:firstLineChars="0"/>
                    <w:jc w:val="cente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t>排放标准</w:t>
                  </w:r>
                </w:p>
              </w:tc>
              <w:tc>
                <w:tcPr>
                  <w:tcW w:w="2913" w:type="dxa"/>
                  <w:tcBorders>
                    <w:tl2br w:val="nil"/>
                    <w:tr2bl w:val="nil"/>
                  </w:tcBorders>
                  <w:vAlign w:val="center"/>
                </w:tcPr>
                <w:p w14:paraId="2FB235D5">
                  <w:pPr>
                    <w:numPr>
                      <w:ilvl w:val="0"/>
                      <w:numId w:val="0"/>
                    </w:numPr>
                    <w:snapToGrid w:val="0"/>
                    <w:spacing w:line="240" w:lineRule="auto"/>
                    <w:ind w:left="0" w:leftChars="0" w:right="0" w:rightChars="0" w:firstLine="0" w:firstLineChars="0"/>
                    <w:jc w:val="cente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t>备注</w:t>
                  </w:r>
                </w:p>
              </w:tc>
            </w:tr>
            <w:tr w14:paraId="4DE703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0" w:type="dxa"/>
                  <w:tcBorders>
                    <w:tl2br w:val="nil"/>
                    <w:tr2bl w:val="nil"/>
                  </w:tcBorders>
                  <w:vAlign w:val="center"/>
                </w:tcPr>
                <w:p w14:paraId="01ED2B2E">
                  <w:pPr>
                    <w:numPr>
                      <w:ilvl w:val="0"/>
                      <w:numId w:val="0"/>
                    </w:num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1</w:t>
                  </w:r>
                </w:p>
              </w:tc>
              <w:tc>
                <w:tcPr>
                  <w:tcW w:w="2192" w:type="dxa"/>
                  <w:tcBorders>
                    <w:tl2br w:val="nil"/>
                    <w:tr2bl w:val="nil"/>
                  </w:tcBorders>
                  <w:vAlign w:val="center"/>
                </w:tcPr>
                <w:p w14:paraId="2CF0582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基本要求</w:t>
                  </w:r>
                </w:p>
              </w:tc>
              <w:tc>
                <w:tcPr>
                  <w:tcW w:w="2273" w:type="dxa"/>
                  <w:tcBorders>
                    <w:tl2br w:val="nil"/>
                    <w:tr2bl w:val="nil"/>
                  </w:tcBorders>
                  <w:vAlign w:val="center"/>
                </w:tcPr>
                <w:p w14:paraId="3378537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无漂浮物，无令人不愉快的嗅和味</w:t>
                  </w:r>
                </w:p>
              </w:tc>
              <w:tc>
                <w:tcPr>
                  <w:tcW w:w="2913" w:type="dxa"/>
                  <w:tcBorders>
                    <w:tl2br w:val="nil"/>
                    <w:tr2bl w:val="nil"/>
                  </w:tcBorders>
                  <w:vAlign w:val="center"/>
                </w:tcPr>
                <w:p w14:paraId="148B956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《城市污水再生利用 景观环境用水水质》（GB/T18921-2019）</w:t>
                  </w:r>
                </w:p>
              </w:tc>
            </w:tr>
            <w:tr w14:paraId="3E226B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0" w:type="dxa"/>
                  <w:tcBorders>
                    <w:tl2br w:val="nil"/>
                    <w:tr2bl w:val="nil"/>
                  </w:tcBorders>
                  <w:vAlign w:val="center"/>
                </w:tcPr>
                <w:p w14:paraId="31420398">
                  <w:pPr>
                    <w:numPr>
                      <w:ilvl w:val="0"/>
                      <w:numId w:val="0"/>
                    </w:num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2</w:t>
                  </w:r>
                </w:p>
              </w:tc>
              <w:tc>
                <w:tcPr>
                  <w:tcW w:w="2192" w:type="dxa"/>
                  <w:tcBorders>
                    <w:tl2br w:val="nil"/>
                    <w:tr2bl w:val="nil"/>
                  </w:tcBorders>
                  <w:vAlign w:val="center"/>
                </w:tcPr>
                <w:p w14:paraId="72F3742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pH</w:t>
                  </w:r>
                </w:p>
              </w:tc>
              <w:tc>
                <w:tcPr>
                  <w:tcW w:w="2273" w:type="dxa"/>
                  <w:tcBorders>
                    <w:tl2br w:val="nil"/>
                    <w:tr2bl w:val="nil"/>
                  </w:tcBorders>
                  <w:vAlign w:val="center"/>
                </w:tcPr>
                <w:p w14:paraId="46CD6D4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6.0-9.0</w:t>
                  </w:r>
                </w:p>
              </w:tc>
              <w:tc>
                <w:tcPr>
                  <w:tcW w:w="2913" w:type="dxa"/>
                  <w:tcBorders>
                    <w:tl2br w:val="nil"/>
                    <w:tr2bl w:val="nil"/>
                  </w:tcBorders>
                  <w:vAlign w:val="center"/>
                </w:tcPr>
                <w:p w14:paraId="74BD1D4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r w14:paraId="625BF6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0" w:type="dxa"/>
                  <w:tcBorders>
                    <w:tl2br w:val="nil"/>
                    <w:tr2bl w:val="nil"/>
                  </w:tcBorders>
                  <w:vAlign w:val="center"/>
                </w:tcPr>
                <w:p w14:paraId="112FC012">
                  <w:pPr>
                    <w:numPr>
                      <w:ilvl w:val="0"/>
                      <w:numId w:val="0"/>
                    </w:num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3</w:t>
                  </w:r>
                </w:p>
              </w:tc>
              <w:tc>
                <w:tcPr>
                  <w:tcW w:w="2192" w:type="dxa"/>
                  <w:tcBorders>
                    <w:tl2br w:val="nil"/>
                    <w:tr2bl w:val="nil"/>
                  </w:tcBorders>
                  <w:vAlign w:val="center"/>
                </w:tcPr>
                <w:p w14:paraId="2BC7CD0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色度</w:t>
                  </w:r>
                  <w:r>
                    <w:rPr>
                      <w:rFonts w:hint="default" w:ascii="Times New Roman" w:hAnsi="Times New Roman" w:cs="Times New Roman"/>
                      <w:color w:val="000000" w:themeColor="text1"/>
                      <w:sz w:val="21"/>
                      <w:szCs w:val="21"/>
                      <w:lang w:val="en-US" w:eastAsia="zh-CN"/>
                      <w14:textFill>
                        <w14:solidFill>
                          <w14:schemeClr w14:val="tx1"/>
                        </w14:solidFill>
                      </w14:textFill>
                    </w:rPr>
                    <w:t>/度</w:t>
                  </w:r>
                </w:p>
              </w:tc>
              <w:tc>
                <w:tcPr>
                  <w:tcW w:w="2273" w:type="dxa"/>
                  <w:tcBorders>
                    <w:tl2br w:val="nil"/>
                    <w:tr2bl w:val="nil"/>
                  </w:tcBorders>
                  <w:vAlign w:val="center"/>
                </w:tcPr>
                <w:p w14:paraId="15A958B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2913" w:type="dxa"/>
                  <w:tcBorders>
                    <w:tl2br w:val="nil"/>
                    <w:tr2bl w:val="nil"/>
                  </w:tcBorders>
                  <w:vAlign w:val="center"/>
                </w:tcPr>
                <w:p w14:paraId="7FA0566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《城市污水再生利用 景观环境用水水质》（GB/T18921-2019）</w:t>
                  </w:r>
                </w:p>
              </w:tc>
            </w:tr>
            <w:tr w14:paraId="4F25D6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0" w:type="dxa"/>
                  <w:tcBorders>
                    <w:tl2br w:val="nil"/>
                    <w:tr2bl w:val="nil"/>
                  </w:tcBorders>
                  <w:vAlign w:val="center"/>
                </w:tcPr>
                <w:p w14:paraId="24570084">
                  <w:pPr>
                    <w:numPr>
                      <w:ilvl w:val="0"/>
                      <w:numId w:val="0"/>
                    </w:num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4</w:t>
                  </w:r>
                </w:p>
              </w:tc>
              <w:tc>
                <w:tcPr>
                  <w:tcW w:w="2192" w:type="dxa"/>
                  <w:tcBorders>
                    <w:tl2br w:val="nil"/>
                    <w:tr2bl w:val="nil"/>
                  </w:tcBorders>
                  <w:vAlign w:val="center"/>
                </w:tcPr>
                <w:p w14:paraId="7F18828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浊度/NTU</w:t>
                  </w:r>
                </w:p>
              </w:tc>
              <w:tc>
                <w:tcPr>
                  <w:tcW w:w="2273" w:type="dxa"/>
                  <w:tcBorders>
                    <w:tl2br w:val="nil"/>
                    <w:tr2bl w:val="nil"/>
                  </w:tcBorders>
                  <w:vAlign w:val="center"/>
                </w:tcPr>
                <w:p w14:paraId="43A8411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2913" w:type="dxa"/>
                  <w:tcBorders>
                    <w:tl2br w:val="nil"/>
                    <w:tr2bl w:val="nil"/>
                  </w:tcBorders>
                  <w:vAlign w:val="center"/>
                </w:tcPr>
                <w:p w14:paraId="45759A2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《城市污水再生利用 城市再用水水质》（GB/T18920-2020）</w:t>
                  </w:r>
                </w:p>
              </w:tc>
            </w:tr>
            <w:tr w14:paraId="31B9F9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0" w:type="dxa"/>
                  <w:tcBorders>
                    <w:tl2br w:val="nil"/>
                    <w:tr2bl w:val="nil"/>
                  </w:tcBorders>
                  <w:vAlign w:val="center"/>
                </w:tcPr>
                <w:p w14:paraId="5982A80D">
                  <w:pPr>
                    <w:numPr>
                      <w:ilvl w:val="0"/>
                      <w:numId w:val="0"/>
                    </w:num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5</w:t>
                  </w:r>
                </w:p>
              </w:tc>
              <w:tc>
                <w:tcPr>
                  <w:tcW w:w="2192" w:type="dxa"/>
                  <w:tcBorders>
                    <w:tl2br w:val="nil"/>
                    <w:tr2bl w:val="nil"/>
                  </w:tcBorders>
                  <w:vAlign w:val="center"/>
                </w:tcPr>
                <w:p w14:paraId="2C0FC0B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五日生化需氧量（BOD</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）/（mg/L）</w:t>
                  </w:r>
                </w:p>
              </w:tc>
              <w:tc>
                <w:tcPr>
                  <w:tcW w:w="2273" w:type="dxa"/>
                  <w:tcBorders>
                    <w:tl2br w:val="nil"/>
                    <w:tr2bl w:val="nil"/>
                  </w:tcBorders>
                  <w:vAlign w:val="center"/>
                </w:tcPr>
                <w:p w14:paraId="645CDE1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2913" w:type="dxa"/>
                  <w:tcBorders>
                    <w:tl2br w:val="nil"/>
                    <w:tr2bl w:val="nil"/>
                  </w:tcBorders>
                  <w:vAlign w:val="center"/>
                </w:tcPr>
                <w:p w14:paraId="5827B37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《城市污水再生利用 城市再用水水质》（GB/T18920-2020）</w:t>
                  </w:r>
                </w:p>
              </w:tc>
            </w:tr>
            <w:tr w14:paraId="5A336A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0" w:type="dxa"/>
                  <w:tcBorders>
                    <w:tl2br w:val="nil"/>
                    <w:tr2bl w:val="nil"/>
                  </w:tcBorders>
                  <w:vAlign w:val="center"/>
                </w:tcPr>
                <w:p w14:paraId="1591EAC3">
                  <w:pPr>
                    <w:numPr>
                      <w:ilvl w:val="0"/>
                      <w:numId w:val="0"/>
                    </w:num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6</w:t>
                  </w:r>
                </w:p>
              </w:tc>
              <w:tc>
                <w:tcPr>
                  <w:tcW w:w="2192" w:type="dxa"/>
                  <w:tcBorders>
                    <w:tl2br w:val="nil"/>
                    <w:tr2bl w:val="nil"/>
                  </w:tcBorders>
                  <w:vAlign w:val="center"/>
                </w:tcPr>
                <w:p w14:paraId="01950FF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总磷（以P计）/</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（mg/L）</w:t>
                  </w:r>
                </w:p>
              </w:tc>
              <w:tc>
                <w:tcPr>
                  <w:tcW w:w="2273" w:type="dxa"/>
                  <w:tcBorders>
                    <w:tl2br w:val="nil"/>
                    <w:tr2bl w:val="nil"/>
                  </w:tcBorders>
                  <w:vAlign w:val="center"/>
                </w:tcPr>
                <w:p w14:paraId="2A7A566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0.5</w:t>
                  </w:r>
                </w:p>
              </w:tc>
              <w:tc>
                <w:tcPr>
                  <w:tcW w:w="2913" w:type="dxa"/>
                  <w:tcBorders>
                    <w:tl2br w:val="nil"/>
                    <w:tr2bl w:val="nil"/>
                  </w:tcBorders>
                  <w:vAlign w:val="center"/>
                </w:tcPr>
                <w:p w14:paraId="048EFB7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《城市污水再生利用 景观环境用水水质》（GB/T18921-2019）</w:t>
                  </w:r>
                </w:p>
              </w:tc>
            </w:tr>
            <w:tr w14:paraId="05690B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0" w:type="dxa"/>
                  <w:tcBorders>
                    <w:tl2br w:val="nil"/>
                    <w:tr2bl w:val="nil"/>
                  </w:tcBorders>
                  <w:vAlign w:val="center"/>
                </w:tcPr>
                <w:p w14:paraId="33DBF729">
                  <w:pPr>
                    <w:numPr>
                      <w:ilvl w:val="0"/>
                      <w:numId w:val="0"/>
                    </w:num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7</w:t>
                  </w:r>
                </w:p>
              </w:tc>
              <w:tc>
                <w:tcPr>
                  <w:tcW w:w="2192" w:type="dxa"/>
                  <w:tcBorders>
                    <w:tl2br w:val="nil"/>
                    <w:tr2bl w:val="nil"/>
                  </w:tcBorders>
                  <w:vAlign w:val="center"/>
                </w:tcPr>
                <w:p w14:paraId="4324158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总氮（以N计）/</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（mg/L）</w:t>
                  </w:r>
                </w:p>
              </w:tc>
              <w:tc>
                <w:tcPr>
                  <w:tcW w:w="2273" w:type="dxa"/>
                  <w:tcBorders>
                    <w:tl2br w:val="nil"/>
                    <w:tr2bl w:val="nil"/>
                  </w:tcBorders>
                  <w:vAlign w:val="center"/>
                </w:tcPr>
                <w:p w14:paraId="436C4F5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lang w:val="en-US" w:eastAsia="zh-CN"/>
                      <w14:textFill>
                        <w14:solidFill>
                          <w14:schemeClr w14:val="tx1"/>
                        </w14:solidFill>
                      </w14:textFill>
                    </w:rPr>
                    <w:t>5</w:t>
                  </w:r>
                </w:p>
              </w:tc>
              <w:tc>
                <w:tcPr>
                  <w:tcW w:w="2913" w:type="dxa"/>
                  <w:tcBorders>
                    <w:tl2br w:val="nil"/>
                    <w:tr2bl w:val="nil"/>
                  </w:tcBorders>
                  <w:vAlign w:val="center"/>
                </w:tcPr>
                <w:p w14:paraId="78A9F56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《城市污水再生利用 景观环境用水水质》（GB/T18921-2019）</w:t>
                  </w:r>
                </w:p>
              </w:tc>
            </w:tr>
            <w:tr w14:paraId="360B75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0" w:type="dxa"/>
                  <w:tcBorders>
                    <w:tl2br w:val="nil"/>
                    <w:tr2bl w:val="nil"/>
                  </w:tcBorders>
                  <w:vAlign w:val="center"/>
                </w:tcPr>
                <w:p w14:paraId="0B7FB479">
                  <w:pPr>
                    <w:numPr>
                      <w:ilvl w:val="0"/>
                      <w:numId w:val="0"/>
                    </w:num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8</w:t>
                  </w:r>
                </w:p>
              </w:tc>
              <w:tc>
                <w:tcPr>
                  <w:tcW w:w="2192" w:type="dxa"/>
                  <w:tcBorders>
                    <w:tl2br w:val="nil"/>
                    <w:tr2bl w:val="nil"/>
                  </w:tcBorders>
                  <w:vAlign w:val="center"/>
                </w:tcPr>
                <w:p w14:paraId="4FFC696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氨氮/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（mg/L）</w:t>
                  </w:r>
                </w:p>
              </w:tc>
              <w:tc>
                <w:tcPr>
                  <w:tcW w:w="2273" w:type="dxa"/>
                  <w:tcBorders>
                    <w:tl2br w:val="nil"/>
                    <w:tr2bl w:val="nil"/>
                  </w:tcBorders>
                  <w:vAlign w:val="center"/>
                </w:tcPr>
                <w:p w14:paraId="6C86853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5</w:t>
                  </w:r>
                </w:p>
              </w:tc>
              <w:tc>
                <w:tcPr>
                  <w:tcW w:w="2913" w:type="dxa"/>
                  <w:tcBorders>
                    <w:tl2br w:val="nil"/>
                    <w:tr2bl w:val="nil"/>
                  </w:tcBorders>
                  <w:vAlign w:val="center"/>
                </w:tcPr>
                <w:p w14:paraId="5221DC4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《城市污水再生利用 景观环境用水水质》（GB/T18921-2019）</w:t>
                  </w:r>
                </w:p>
              </w:tc>
            </w:tr>
            <w:tr w14:paraId="12DC92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0" w:type="dxa"/>
                  <w:tcBorders>
                    <w:tl2br w:val="nil"/>
                    <w:tr2bl w:val="nil"/>
                  </w:tcBorders>
                  <w:vAlign w:val="center"/>
                </w:tcPr>
                <w:p w14:paraId="55A9246C">
                  <w:pPr>
                    <w:numPr>
                      <w:ilvl w:val="0"/>
                      <w:numId w:val="0"/>
                    </w:num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9</w:t>
                  </w:r>
                </w:p>
              </w:tc>
              <w:tc>
                <w:tcPr>
                  <w:tcW w:w="2192" w:type="dxa"/>
                  <w:tcBorders>
                    <w:tl2br w:val="nil"/>
                    <w:tr2bl w:val="nil"/>
                  </w:tcBorders>
                  <w:vAlign w:val="center"/>
                </w:tcPr>
                <w:p w14:paraId="205D80F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阴离子表面活性剂</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/（mg/L）</w:t>
                  </w:r>
                </w:p>
              </w:tc>
              <w:tc>
                <w:tcPr>
                  <w:tcW w:w="2273" w:type="dxa"/>
                  <w:tcBorders>
                    <w:tl2br w:val="nil"/>
                    <w:tr2bl w:val="nil"/>
                  </w:tcBorders>
                  <w:vAlign w:val="center"/>
                </w:tcPr>
                <w:p w14:paraId="36EB8FA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0.5</w:t>
                  </w:r>
                </w:p>
              </w:tc>
              <w:tc>
                <w:tcPr>
                  <w:tcW w:w="2913" w:type="dxa"/>
                  <w:tcBorders>
                    <w:tl2br w:val="nil"/>
                    <w:tr2bl w:val="nil"/>
                  </w:tcBorders>
                  <w:vAlign w:val="center"/>
                </w:tcPr>
                <w:p w14:paraId="7A56B7B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《城市污水再生利用 城市再用水水质》（GB/T18920-2020）</w:t>
                  </w:r>
                </w:p>
              </w:tc>
            </w:tr>
            <w:tr w14:paraId="15C222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0" w:type="dxa"/>
                  <w:tcBorders>
                    <w:tl2br w:val="nil"/>
                    <w:tr2bl w:val="nil"/>
                  </w:tcBorders>
                  <w:vAlign w:val="center"/>
                </w:tcPr>
                <w:p w14:paraId="4E8C354C">
                  <w:pPr>
                    <w:numPr>
                      <w:ilvl w:val="0"/>
                      <w:numId w:val="0"/>
                    </w:num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10</w:t>
                  </w:r>
                </w:p>
              </w:tc>
              <w:tc>
                <w:tcPr>
                  <w:tcW w:w="2192" w:type="dxa"/>
                  <w:tcBorders>
                    <w:tl2br w:val="nil"/>
                    <w:tr2bl w:val="nil"/>
                  </w:tcBorders>
                  <w:vAlign w:val="center"/>
                </w:tcPr>
                <w:p w14:paraId="44388EC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粪大肠菌群/（MPN/L）</w:t>
                  </w:r>
                </w:p>
              </w:tc>
              <w:tc>
                <w:tcPr>
                  <w:tcW w:w="2273" w:type="dxa"/>
                  <w:tcBorders>
                    <w:tl2br w:val="nil"/>
                    <w:tr2bl w:val="nil"/>
                  </w:tcBorders>
                  <w:vAlign w:val="center"/>
                </w:tcPr>
                <w:p w14:paraId="5C30071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500</w:t>
                  </w:r>
                </w:p>
              </w:tc>
              <w:tc>
                <w:tcPr>
                  <w:tcW w:w="2913" w:type="dxa"/>
                  <w:tcBorders>
                    <w:tl2br w:val="nil"/>
                    <w:tr2bl w:val="nil"/>
                  </w:tcBorders>
                  <w:vAlign w:val="center"/>
                </w:tcPr>
                <w:p w14:paraId="0B0C0B8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《医疗机构水污染物排放标准》（GB18466-2005）</w:t>
                  </w:r>
                </w:p>
              </w:tc>
            </w:tr>
            <w:tr w14:paraId="581DA0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0" w:type="dxa"/>
                  <w:tcBorders>
                    <w:tl2br w:val="nil"/>
                    <w:tr2bl w:val="nil"/>
                  </w:tcBorders>
                  <w:vAlign w:val="center"/>
                </w:tcPr>
                <w:p w14:paraId="1CF104F2">
                  <w:pPr>
                    <w:numPr>
                      <w:ilvl w:val="0"/>
                      <w:numId w:val="0"/>
                    </w:num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11</w:t>
                  </w:r>
                </w:p>
              </w:tc>
              <w:tc>
                <w:tcPr>
                  <w:tcW w:w="2192" w:type="dxa"/>
                  <w:tcBorders>
                    <w:tl2br w:val="nil"/>
                    <w:tr2bl w:val="nil"/>
                  </w:tcBorders>
                  <w:vAlign w:val="center"/>
                </w:tcPr>
                <w:p w14:paraId="3EAC459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总氯/</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（mg/L）</w:t>
                  </w:r>
                </w:p>
              </w:tc>
              <w:tc>
                <w:tcPr>
                  <w:tcW w:w="2273" w:type="dxa"/>
                  <w:tcBorders>
                    <w:tl2br w:val="nil"/>
                    <w:tr2bl w:val="nil"/>
                  </w:tcBorders>
                  <w:vAlign w:val="center"/>
                </w:tcPr>
                <w:p w14:paraId="0E47B91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w:t>
                  </w:r>
                </w:p>
              </w:tc>
              <w:tc>
                <w:tcPr>
                  <w:tcW w:w="2913" w:type="dxa"/>
                  <w:tcBorders>
                    <w:tl2br w:val="nil"/>
                    <w:tr2bl w:val="nil"/>
                  </w:tcBorders>
                  <w:vAlign w:val="center"/>
                </w:tcPr>
                <w:p w14:paraId="4A0B218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《城市污水再生利用 城市再用水水质》（GB/T18920-2020）</w:t>
                  </w:r>
                </w:p>
              </w:tc>
            </w:tr>
            <w:tr w14:paraId="0C0BF5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0" w:type="dxa"/>
                  <w:tcBorders>
                    <w:tl2br w:val="nil"/>
                    <w:tr2bl w:val="nil"/>
                  </w:tcBorders>
                  <w:vAlign w:val="center"/>
                </w:tcPr>
                <w:p w14:paraId="28768D3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12</w:t>
                  </w:r>
                </w:p>
              </w:tc>
              <w:tc>
                <w:tcPr>
                  <w:tcW w:w="2192" w:type="dxa"/>
                  <w:tcBorders>
                    <w:tl2br w:val="nil"/>
                    <w:tr2bl w:val="nil"/>
                  </w:tcBorders>
                  <w:vAlign w:val="center"/>
                </w:tcPr>
                <w:p w14:paraId="6DB7EAC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铁/</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（mg/L）</w:t>
                  </w:r>
                </w:p>
              </w:tc>
              <w:tc>
                <w:tcPr>
                  <w:tcW w:w="2273" w:type="dxa"/>
                  <w:tcBorders>
                    <w:tl2br w:val="nil"/>
                    <w:tr2bl w:val="nil"/>
                  </w:tcBorders>
                  <w:vAlign w:val="center"/>
                </w:tcPr>
                <w:p w14:paraId="1E87B3F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2913" w:type="dxa"/>
                  <w:tcBorders>
                    <w:tl2br w:val="nil"/>
                    <w:tr2bl w:val="nil"/>
                  </w:tcBorders>
                  <w:vAlign w:val="center"/>
                </w:tcPr>
                <w:p w14:paraId="44D7B7E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572BD5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0" w:type="dxa"/>
                  <w:tcBorders>
                    <w:tl2br w:val="nil"/>
                    <w:tr2bl w:val="nil"/>
                  </w:tcBorders>
                  <w:vAlign w:val="center"/>
                </w:tcPr>
                <w:p w14:paraId="045AD86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13</w:t>
                  </w:r>
                </w:p>
              </w:tc>
              <w:tc>
                <w:tcPr>
                  <w:tcW w:w="2192" w:type="dxa"/>
                  <w:tcBorders>
                    <w:tl2br w:val="nil"/>
                    <w:tr2bl w:val="nil"/>
                  </w:tcBorders>
                  <w:vAlign w:val="center"/>
                </w:tcPr>
                <w:p w14:paraId="0A58E78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锰/</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（mg/L）</w:t>
                  </w:r>
                </w:p>
              </w:tc>
              <w:tc>
                <w:tcPr>
                  <w:tcW w:w="2273" w:type="dxa"/>
                  <w:tcBorders>
                    <w:tl2br w:val="nil"/>
                    <w:tr2bl w:val="nil"/>
                  </w:tcBorders>
                  <w:vAlign w:val="center"/>
                </w:tcPr>
                <w:p w14:paraId="57E7759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2913" w:type="dxa"/>
                  <w:tcBorders>
                    <w:tl2br w:val="nil"/>
                    <w:tr2bl w:val="nil"/>
                  </w:tcBorders>
                  <w:vAlign w:val="center"/>
                </w:tcPr>
                <w:p w14:paraId="4A28BC9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5E30A3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0" w:type="dxa"/>
                  <w:tcBorders>
                    <w:tl2br w:val="nil"/>
                    <w:tr2bl w:val="nil"/>
                  </w:tcBorders>
                  <w:vAlign w:val="center"/>
                </w:tcPr>
                <w:p w14:paraId="2D99BB2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14</w:t>
                  </w:r>
                </w:p>
              </w:tc>
              <w:tc>
                <w:tcPr>
                  <w:tcW w:w="2192" w:type="dxa"/>
                  <w:tcBorders>
                    <w:tl2br w:val="nil"/>
                    <w:tr2bl w:val="nil"/>
                  </w:tcBorders>
                  <w:vAlign w:val="center"/>
                </w:tcPr>
                <w:p w14:paraId="741BAE6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溶解性总固体/</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（mg/L）</w:t>
                  </w:r>
                </w:p>
              </w:tc>
              <w:tc>
                <w:tcPr>
                  <w:tcW w:w="2273" w:type="dxa"/>
                  <w:tcBorders>
                    <w:tl2br w:val="nil"/>
                    <w:tr2bl w:val="nil"/>
                  </w:tcBorders>
                  <w:vAlign w:val="center"/>
                </w:tcPr>
                <w:p w14:paraId="0A04DE3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1000（2000）</w:t>
                  </w:r>
                </w:p>
              </w:tc>
              <w:tc>
                <w:tcPr>
                  <w:tcW w:w="2913" w:type="dxa"/>
                  <w:tcBorders>
                    <w:tl2br w:val="nil"/>
                    <w:tr2bl w:val="nil"/>
                  </w:tcBorders>
                  <w:vAlign w:val="center"/>
                </w:tcPr>
                <w:p w14:paraId="78AE2DB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《城市污水再生利用 城市再用水水质》（GB/T18920-2020）</w:t>
                  </w:r>
                </w:p>
              </w:tc>
            </w:tr>
            <w:tr w14:paraId="118829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0" w:type="dxa"/>
                  <w:tcBorders>
                    <w:tl2br w:val="nil"/>
                    <w:tr2bl w:val="nil"/>
                  </w:tcBorders>
                  <w:vAlign w:val="center"/>
                </w:tcPr>
                <w:p w14:paraId="189E78F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15</w:t>
                  </w:r>
                </w:p>
              </w:tc>
              <w:tc>
                <w:tcPr>
                  <w:tcW w:w="2192" w:type="dxa"/>
                  <w:tcBorders>
                    <w:tl2br w:val="nil"/>
                    <w:tr2bl w:val="nil"/>
                  </w:tcBorders>
                  <w:vAlign w:val="center"/>
                </w:tcPr>
                <w:p w14:paraId="13F94CA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溶解氧/</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（mg/L）</w:t>
                  </w:r>
                </w:p>
              </w:tc>
              <w:tc>
                <w:tcPr>
                  <w:tcW w:w="2273" w:type="dxa"/>
                  <w:tcBorders>
                    <w:tl2br w:val="nil"/>
                    <w:tr2bl w:val="nil"/>
                  </w:tcBorders>
                  <w:vAlign w:val="center"/>
                </w:tcPr>
                <w:p w14:paraId="6EEA3FF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w:t>
                  </w:r>
                </w:p>
              </w:tc>
              <w:tc>
                <w:tcPr>
                  <w:tcW w:w="2913" w:type="dxa"/>
                  <w:tcBorders>
                    <w:tl2br w:val="nil"/>
                    <w:tr2bl w:val="nil"/>
                  </w:tcBorders>
                  <w:vAlign w:val="center"/>
                </w:tcPr>
                <w:p w14:paraId="255D4E9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《城市污水再生利用 城市再用水水质》（GB/T18920-2020）</w:t>
                  </w:r>
                </w:p>
              </w:tc>
            </w:tr>
            <w:tr w14:paraId="2DACB8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0" w:type="dxa"/>
                  <w:tcBorders>
                    <w:tl2br w:val="nil"/>
                    <w:tr2bl w:val="nil"/>
                  </w:tcBorders>
                  <w:vAlign w:val="center"/>
                </w:tcPr>
                <w:p w14:paraId="721F07A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16</w:t>
                  </w:r>
                </w:p>
              </w:tc>
              <w:tc>
                <w:tcPr>
                  <w:tcW w:w="2192" w:type="dxa"/>
                  <w:tcBorders>
                    <w:tl2br w:val="nil"/>
                    <w:tr2bl w:val="nil"/>
                  </w:tcBorders>
                  <w:vAlign w:val="center"/>
                </w:tcPr>
                <w:p w14:paraId="7C432F8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大肠埃希氏菌/</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MPN</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100m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L</w:t>
                  </w:r>
                  <w:r>
                    <w:rPr>
                      <w:rFonts w:hint="default" w:ascii="Times New Roman" w:hAnsi="Times New Roman" w:cs="Times New Roman"/>
                      <w:color w:val="000000" w:themeColor="text1"/>
                      <w:sz w:val="21"/>
                      <w:szCs w:val="21"/>
                      <w:lang w:val="en-US" w:eastAsia="zh-CN"/>
                      <w14:textFill>
                        <w14:solidFill>
                          <w14:schemeClr w14:val="tx1"/>
                        </w14:solidFill>
                      </w14:textFill>
                    </w:rPr>
                    <w:t>或CFU/100m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L）</w:t>
                  </w:r>
                </w:p>
              </w:tc>
              <w:tc>
                <w:tcPr>
                  <w:tcW w:w="2273" w:type="dxa"/>
                  <w:tcBorders>
                    <w:tl2br w:val="nil"/>
                    <w:tr2bl w:val="nil"/>
                  </w:tcBorders>
                  <w:vAlign w:val="center"/>
                </w:tcPr>
                <w:p w14:paraId="681D9E3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无</w:t>
                  </w:r>
                </w:p>
              </w:tc>
              <w:tc>
                <w:tcPr>
                  <w:tcW w:w="2913" w:type="dxa"/>
                  <w:tcBorders>
                    <w:tl2br w:val="nil"/>
                    <w:tr2bl w:val="nil"/>
                  </w:tcBorders>
                  <w:vAlign w:val="center"/>
                </w:tcPr>
                <w:p w14:paraId="5D1204E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《城市污水再生利用 城市再用水水质》（GB/T18920-2020）</w:t>
                  </w:r>
                </w:p>
              </w:tc>
            </w:tr>
            <w:tr w14:paraId="7F049A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0" w:type="dxa"/>
                  <w:tcBorders>
                    <w:tl2br w:val="nil"/>
                    <w:tr2bl w:val="nil"/>
                  </w:tcBorders>
                  <w:vAlign w:val="center"/>
                </w:tcPr>
                <w:p w14:paraId="42D0E78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17</w:t>
                  </w:r>
                </w:p>
              </w:tc>
              <w:tc>
                <w:tcPr>
                  <w:tcW w:w="2192" w:type="dxa"/>
                  <w:tcBorders>
                    <w:tl2br w:val="nil"/>
                    <w:tr2bl w:val="nil"/>
                  </w:tcBorders>
                  <w:vAlign w:val="center"/>
                </w:tcPr>
                <w:p w14:paraId="0D828D6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肠道致病菌</w:t>
                  </w:r>
                </w:p>
              </w:tc>
              <w:tc>
                <w:tcPr>
                  <w:tcW w:w="2273" w:type="dxa"/>
                  <w:tcBorders>
                    <w:tl2br w:val="nil"/>
                    <w:tr2bl w:val="nil"/>
                  </w:tcBorders>
                  <w:vAlign w:val="center"/>
                </w:tcPr>
                <w:p w14:paraId="4F6ADD6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不得检出</w:t>
                  </w:r>
                </w:p>
              </w:tc>
              <w:tc>
                <w:tcPr>
                  <w:tcW w:w="2913" w:type="dxa"/>
                  <w:tcBorders>
                    <w:tl2br w:val="nil"/>
                    <w:tr2bl w:val="nil"/>
                  </w:tcBorders>
                  <w:vAlign w:val="center"/>
                </w:tcPr>
                <w:p w14:paraId="1E7C784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《医疗机构水污染物排放标准》（GB18466-2005）</w:t>
                  </w:r>
                </w:p>
              </w:tc>
            </w:tr>
            <w:tr w14:paraId="2E2AAD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0" w:type="dxa"/>
                  <w:tcBorders>
                    <w:tl2br w:val="nil"/>
                    <w:tr2bl w:val="nil"/>
                  </w:tcBorders>
                  <w:vAlign w:val="center"/>
                </w:tcPr>
                <w:p w14:paraId="1DD16B7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18</w:t>
                  </w:r>
                </w:p>
              </w:tc>
              <w:tc>
                <w:tcPr>
                  <w:tcW w:w="2192" w:type="dxa"/>
                  <w:tcBorders>
                    <w:tl2br w:val="nil"/>
                    <w:tr2bl w:val="nil"/>
                  </w:tcBorders>
                  <w:vAlign w:val="center"/>
                </w:tcPr>
                <w:p w14:paraId="5136E53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肠道病毒</w:t>
                  </w:r>
                </w:p>
              </w:tc>
              <w:tc>
                <w:tcPr>
                  <w:tcW w:w="2273" w:type="dxa"/>
                  <w:tcBorders>
                    <w:tl2br w:val="nil"/>
                    <w:tr2bl w:val="nil"/>
                  </w:tcBorders>
                  <w:shd w:val="clear" w:color="auto" w:fill="auto"/>
                  <w:vAlign w:val="center"/>
                </w:tcPr>
                <w:p w14:paraId="50CD943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不得检出</w:t>
                  </w:r>
                </w:p>
              </w:tc>
              <w:tc>
                <w:tcPr>
                  <w:tcW w:w="2913" w:type="dxa"/>
                  <w:tcBorders>
                    <w:tl2br w:val="nil"/>
                    <w:tr2bl w:val="nil"/>
                  </w:tcBorders>
                  <w:shd w:val="clear" w:color="auto" w:fill="auto"/>
                  <w:vAlign w:val="center"/>
                </w:tcPr>
                <w:p w14:paraId="0BA0D5F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《医疗机构水污染物排放标准》（GB18466-2005）</w:t>
                  </w:r>
                </w:p>
              </w:tc>
            </w:tr>
            <w:tr w14:paraId="574D53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0" w:type="dxa"/>
                  <w:tcBorders>
                    <w:tl2br w:val="nil"/>
                    <w:tr2bl w:val="nil"/>
                  </w:tcBorders>
                  <w:vAlign w:val="center"/>
                </w:tcPr>
                <w:p w14:paraId="131B663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19</w:t>
                  </w:r>
                </w:p>
              </w:tc>
              <w:tc>
                <w:tcPr>
                  <w:tcW w:w="2192" w:type="dxa"/>
                  <w:tcBorders>
                    <w:tl2br w:val="nil"/>
                    <w:tr2bl w:val="nil"/>
                  </w:tcBorders>
                  <w:vAlign w:val="center"/>
                </w:tcPr>
                <w:p w14:paraId="426372D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化学需氧量（COD）</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/（mg/L）</w:t>
                  </w:r>
                </w:p>
              </w:tc>
              <w:tc>
                <w:tcPr>
                  <w:tcW w:w="2273" w:type="dxa"/>
                  <w:tcBorders>
                    <w:tl2br w:val="nil"/>
                    <w:tr2bl w:val="nil"/>
                  </w:tcBorders>
                  <w:shd w:val="clear" w:color="auto" w:fill="auto"/>
                  <w:vAlign w:val="center"/>
                </w:tcPr>
                <w:p w14:paraId="501A231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60</w:t>
                  </w:r>
                </w:p>
              </w:tc>
              <w:tc>
                <w:tcPr>
                  <w:tcW w:w="2913" w:type="dxa"/>
                  <w:tcBorders>
                    <w:tl2br w:val="nil"/>
                    <w:tr2bl w:val="nil"/>
                  </w:tcBorders>
                  <w:shd w:val="clear" w:color="auto" w:fill="auto"/>
                  <w:vAlign w:val="center"/>
                </w:tcPr>
                <w:p w14:paraId="5B5356E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《医疗机构水污染物排放标准》（GB18466-2005）</w:t>
                  </w:r>
                </w:p>
              </w:tc>
            </w:tr>
            <w:tr w14:paraId="3F67C9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0" w:type="dxa"/>
                  <w:tcBorders>
                    <w:tl2br w:val="nil"/>
                    <w:tr2bl w:val="nil"/>
                  </w:tcBorders>
                  <w:vAlign w:val="center"/>
                </w:tcPr>
                <w:p w14:paraId="54D0090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w:t>
                  </w:r>
                </w:p>
              </w:tc>
              <w:tc>
                <w:tcPr>
                  <w:tcW w:w="2192" w:type="dxa"/>
                  <w:tcBorders>
                    <w:tl2br w:val="nil"/>
                    <w:tr2bl w:val="nil"/>
                  </w:tcBorders>
                  <w:vAlign w:val="center"/>
                </w:tcPr>
                <w:p w14:paraId="7FFE7A3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悬浮物（SS）</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/（mg/L）</w:t>
                  </w:r>
                </w:p>
              </w:tc>
              <w:tc>
                <w:tcPr>
                  <w:tcW w:w="2273" w:type="dxa"/>
                  <w:tcBorders>
                    <w:tl2br w:val="nil"/>
                    <w:tr2bl w:val="nil"/>
                  </w:tcBorders>
                  <w:shd w:val="clear" w:color="auto" w:fill="auto"/>
                  <w:vAlign w:val="center"/>
                </w:tcPr>
                <w:p w14:paraId="506A7AB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w:t>
                  </w:r>
                </w:p>
              </w:tc>
              <w:tc>
                <w:tcPr>
                  <w:tcW w:w="2913" w:type="dxa"/>
                  <w:tcBorders>
                    <w:tl2br w:val="nil"/>
                    <w:tr2bl w:val="nil"/>
                  </w:tcBorders>
                  <w:shd w:val="clear" w:color="auto" w:fill="auto"/>
                  <w:vAlign w:val="center"/>
                </w:tcPr>
                <w:p w14:paraId="41C82C4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《医疗机构水污染物排放标准》（GB18466-2005）</w:t>
                  </w:r>
                </w:p>
              </w:tc>
            </w:tr>
            <w:tr w14:paraId="796B3F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0" w:type="dxa"/>
                  <w:tcBorders>
                    <w:tl2br w:val="nil"/>
                    <w:tr2bl w:val="nil"/>
                  </w:tcBorders>
                  <w:vAlign w:val="center"/>
                </w:tcPr>
                <w:p w14:paraId="2FB81E5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21</w:t>
                  </w:r>
                </w:p>
              </w:tc>
              <w:tc>
                <w:tcPr>
                  <w:tcW w:w="2192" w:type="dxa"/>
                  <w:tcBorders>
                    <w:tl2br w:val="nil"/>
                    <w:tr2bl w:val="nil"/>
                  </w:tcBorders>
                  <w:vAlign w:val="center"/>
                </w:tcPr>
                <w:p w14:paraId="30862BB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动植物油</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/（mg/L）</w:t>
                  </w:r>
                </w:p>
              </w:tc>
              <w:tc>
                <w:tcPr>
                  <w:tcW w:w="2273" w:type="dxa"/>
                  <w:tcBorders>
                    <w:tl2br w:val="nil"/>
                    <w:tr2bl w:val="nil"/>
                  </w:tcBorders>
                  <w:shd w:val="clear" w:color="auto" w:fill="auto"/>
                  <w:vAlign w:val="center"/>
                </w:tcPr>
                <w:p w14:paraId="4572B2A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5</w:t>
                  </w:r>
                </w:p>
              </w:tc>
              <w:tc>
                <w:tcPr>
                  <w:tcW w:w="2913" w:type="dxa"/>
                  <w:tcBorders>
                    <w:tl2br w:val="nil"/>
                    <w:tr2bl w:val="nil"/>
                  </w:tcBorders>
                  <w:shd w:val="clear" w:color="auto" w:fill="auto"/>
                  <w:vAlign w:val="center"/>
                </w:tcPr>
                <w:p w14:paraId="43A15ED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《医疗机构水污染物排放标准》（GB18466-2005）</w:t>
                  </w:r>
                </w:p>
              </w:tc>
            </w:tr>
            <w:tr w14:paraId="361FEB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0" w:type="dxa"/>
                  <w:tcBorders>
                    <w:tl2br w:val="nil"/>
                    <w:tr2bl w:val="nil"/>
                  </w:tcBorders>
                  <w:vAlign w:val="center"/>
                </w:tcPr>
                <w:p w14:paraId="5FA42FD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22</w:t>
                  </w:r>
                </w:p>
              </w:tc>
              <w:tc>
                <w:tcPr>
                  <w:tcW w:w="2192" w:type="dxa"/>
                  <w:tcBorders>
                    <w:tl2br w:val="nil"/>
                    <w:tr2bl w:val="nil"/>
                  </w:tcBorders>
                  <w:vAlign w:val="center"/>
                </w:tcPr>
                <w:p w14:paraId="6ADD100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石油类</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/（mg/L）</w:t>
                  </w:r>
                </w:p>
              </w:tc>
              <w:tc>
                <w:tcPr>
                  <w:tcW w:w="2273" w:type="dxa"/>
                  <w:tcBorders>
                    <w:tl2br w:val="nil"/>
                    <w:tr2bl w:val="nil"/>
                  </w:tcBorders>
                  <w:shd w:val="clear" w:color="auto" w:fill="auto"/>
                  <w:vAlign w:val="center"/>
                </w:tcPr>
                <w:p w14:paraId="087FF6C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5</w:t>
                  </w:r>
                </w:p>
              </w:tc>
              <w:tc>
                <w:tcPr>
                  <w:tcW w:w="2913" w:type="dxa"/>
                  <w:tcBorders>
                    <w:tl2br w:val="nil"/>
                    <w:tr2bl w:val="nil"/>
                  </w:tcBorders>
                  <w:shd w:val="clear" w:color="auto" w:fill="auto"/>
                  <w:vAlign w:val="center"/>
                </w:tcPr>
                <w:p w14:paraId="73071F4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《医疗机构水污染物排放标准》（GB18466-2005）</w:t>
                  </w:r>
                </w:p>
              </w:tc>
            </w:tr>
            <w:tr w14:paraId="284831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0" w:type="dxa"/>
                  <w:tcBorders>
                    <w:tl2br w:val="nil"/>
                    <w:tr2bl w:val="nil"/>
                  </w:tcBorders>
                  <w:vAlign w:val="center"/>
                </w:tcPr>
                <w:p w14:paraId="342E457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23</w:t>
                  </w:r>
                </w:p>
              </w:tc>
              <w:tc>
                <w:tcPr>
                  <w:tcW w:w="2192" w:type="dxa"/>
                  <w:tcBorders>
                    <w:tl2br w:val="nil"/>
                    <w:tr2bl w:val="nil"/>
                  </w:tcBorders>
                  <w:vAlign w:val="center"/>
                </w:tcPr>
                <w:p w14:paraId="7D104F2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挥发酚</w:t>
                  </w:r>
                </w:p>
              </w:tc>
              <w:tc>
                <w:tcPr>
                  <w:tcW w:w="2273" w:type="dxa"/>
                  <w:tcBorders>
                    <w:tl2br w:val="nil"/>
                    <w:tr2bl w:val="nil"/>
                  </w:tcBorders>
                  <w:shd w:val="clear" w:color="auto" w:fill="auto"/>
                  <w:vAlign w:val="center"/>
                </w:tcPr>
                <w:p w14:paraId="07D8A34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0.5</w:t>
                  </w:r>
                </w:p>
              </w:tc>
              <w:tc>
                <w:tcPr>
                  <w:tcW w:w="2913" w:type="dxa"/>
                  <w:tcBorders>
                    <w:tl2br w:val="nil"/>
                    <w:tr2bl w:val="nil"/>
                  </w:tcBorders>
                  <w:shd w:val="clear" w:color="auto" w:fill="auto"/>
                  <w:vAlign w:val="center"/>
                </w:tcPr>
                <w:p w14:paraId="0A0F7A4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《医疗机构水污染物排放标准》（GB18466-2005）</w:t>
                  </w:r>
                </w:p>
              </w:tc>
            </w:tr>
            <w:tr w14:paraId="7176E4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0" w:type="dxa"/>
                  <w:tcBorders>
                    <w:tl2br w:val="nil"/>
                    <w:tr2bl w:val="nil"/>
                  </w:tcBorders>
                  <w:vAlign w:val="center"/>
                </w:tcPr>
                <w:p w14:paraId="13C8FAE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24</w:t>
                  </w:r>
                </w:p>
              </w:tc>
              <w:tc>
                <w:tcPr>
                  <w:tcW w:w="2192" w:type="dxa"/>
                  <w:tcBorders>
                    <w:tl2br w:val="nil"/>
                    <w:tr2bl w:val="nil"/>
                  </w:tcBorders>
                  <w:vAlign w:val="center"/>
                </w:tcPr>
                <w:p w14:paraId="422270B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总氰化物</w:t>
                  </w:r>
                </w:p>
              </w:tc>
              <w:tc>
                <w:tcPr>
                  <w:tcW w:w="2273" w:type="dxa"/>
                  <w:tcBorders>
                    <w:tl2br w:val="nil"/>
                    <w:tr2bl w:val="nil"/>
                  </w:tcBorders>
                  <w:shd w:val="clear" w:color="auto" w:fill="auto"/>
                  <w:vAlign w:val="center"/>
                </w:tcPr>
                <w:p w14:paraId="4DDF2F1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0.5</w:t>
                  </w:r>
                </w:p>
              </w:tc>
              <w:tc>
                <w:tcPr>
                  <w:tcW w:w="2913" w:type="dxa"/>
                  <w:tcBorders>
                    <w:tl2br w:val="nil"/>
                    <w:tr2bl w:val="nil"/>
                  </w:tcBorders>
                  <w:shd w:val="clear" w:color="auto" w:fill="auto"/>
                  <w:vAlign w:val="center"/>
                </w:tcPr>
                <w:p w14:paraId="6CDDE8D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《医疗机构水污染物排放标准》（GB18466-2005）</w:t>
                  </w:r>
                </w:p>
              </w:tc>
            </w:tr>
            <w:tr w14:paraId="43A1F2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0" w:type="dxa"/>
                  <w:tcBorders>
                    <w:tl2br w:val="nil"/>
                    <w:tr2bl w:val="nil"/>
                  </w:tcBorders>
                  <w:vAlign w:val="center"/>
                </w:tcPr>
                <w:p w14:paraId="53EF85C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25</w:t>
                  </w:r>
                </w:p>
              </w:tc>
              <w:tc>
                <w:tcPr>
                  <w:tcW w:w="2192" w:type="dxa"/>
                  <w:tcBorders>
                    <w:tl2br w:val="nil"/>
                    <w:tr2bl w:val="nil"/>
                  </w:tcBorders>
                  <w:vAlign w:val="center"/>
                </w:tcPr>
                <w:p w14:paraId="2298C10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总汞</w:t>
                  </w:r>
                </w:p>
              </w:tc>
              <w:tc>
                <w:tcPr>
                  <w:tcW w:w="2273" w:type="dxa"/>
                  <w:tcBorders>
                    <w:tl2br w:val="nil"/>
                    <w:tr2bl w:val="nil"/>
                  </w:tcBorders>
                  <w:shd w:val="clear" w:color="auto" w:fill="auto"/>
                  <w:vAlign w:val="center"/>
                </w:tcPr>
                <w:p w14:paraId="1AB08DD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0.05</w:t>
                  </w:r>
                </w:p>
              </w:tc>
              <w:tc>
                <w:tcPr>
                  <w:tcW w:w="2913" w:type="dxa"/>
                  <w:tcBorders>
                    <w:tl2br w:val="nil"/>
                    <w:tr2bl w:val="nil"/>
                  </w:tcBorders>
                  <w:shd w:val="clear" w:color="auto" w:fill="auto"/>
                  <w:vAlign w:val="center"/>
                </w:tcPr>
                <w:p w14:paraId="2541EE0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《医疗机构水污染物排放标准》（GB18466-2005）</w:t>
                  </w:r>
                </w:p>
              </w:tc>
            </w:tr>
            <w:tr w14:paraId="512F96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0" w:type="dxa"/>
                  <w:tcBorders>
                    <w:tl2br w:val="nil"/>
                    <w:tr2bl w:val="nil"/>
                  </w:tcBorders>
                  <w:vAlign w:val="center"/>
                </w:tcPr>
                <w:p w14:paraId="696F595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26</w:t>
                  </w:r>
                </w:p>
              </w:tc>
              <w:tc>
                <w:tcPr>
                  <w:tcW w:w="2192" w:type="dxa"/>
                  <w:tcBorders>
                    <w:tl2br w:val="nil"/>
                    <w:tr2bl w:val="nil"/>
                  </w:tcBorders>
                  <w:vAlign w:val="center"/>
                </w:tcPr>
                <w:p w14:paraId="125476C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总镉</w:t>
                  </w:r>
                </w:p>
              </w:tc>
              <w:tc>
                <w:tcPr>
                  <w:tcW w:w="2273" w:type="dxa"/>
                  <w:tcBorders>
                    <w:tl2br w:val="nil"/>
                    <w:tr2bl w:val="nil"/>
                  </w:tcBorders>
                  <w:shd w:val="clear" w:color="auto" w:fill="auto"/>
                  <w:vAlign w:val="center"/>
                </w:tcPr>
                <w:p w14:paraId="076FB94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0.1</w:t>
                  </w:r>
                </w:p>
              </w:tc>
              <w:tc>
                <w:tcPr>
                  <w:tcW w:w="2913" w:type="dxa"/>
                  <w:tcBorders>
                    <w:tl2br w:val="nil"/>
                    <w:tr2bl w:val="nil"/>
                  </w:tcBorders>
                  <w:shd w:val="clear" w:color="auto" w:fill="auto"/>
                  <w:vAlign w:val="center"/>
                </w:tcPr>
                <w:p w14:paraId="0B71F20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《医疗机构水污染物排放标准》（GB18466-2005）</w:t>
                  </w:r>
                </w:p>
              </w:tc>
            </w:tr>
            <w:tr w14:paraId="08A9CD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0" w:type="dxa"/>
                  <w:tcBorders>
                    <w:tl2br w:val="nil"/>
                    <w:tr2bl w:val="nil"/>
                  </w:tcBorders>
                  <w:vAlign w:val="center"/>
                </w:tcPr>
                <w:p w14:paraId="2C2DFE3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27</w:t>
                  </w:r>
                </w:p>
              </w:tc>
              <w:tc>
                <w:tcPr>
                  <w:tcW w:w="2192" w:type="dxa"/>
                  <w:tcBorders>
                    <w:tl2br w:val="nil"/>
                    <w:tr2bl w:val="nil"/>
                  </w:tcBorders>
                  <w:vAlign w:val="center"/>
                </w:tcPr>
                <w:p w14:paraId="7E9D546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总铬</w:t>
                  </w:r>
                </w:p>
              </w:tc>
              <w:tc>
                <w:tcPr>
                  <w:tcW w:w="2273" w:type="dxa"/>
                  <w:tcBorders>
                    <w:tl2br w:val="nil"/>
                    <w:tr2bl w:val="nil"/>
                  </w:tcBorders>
                  <w:shd w:val="clear" w:color="auto" w:fill="auto"/>
                  <w:vAlign w:val="center"/>
                </w:tcPr>
                <w:p w14:paraId="770FD78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1.5</w:t>
                  </w:r>
                </w:p>
              </w:tc>
              <w:tc>
                <w:tcPr>
                  <w:tcW w:w="2913" w:type="dxa"/>
                  <w:tcBorders>
                    <w:tl2br w:val="nil"/>
                    <w:tr2bl w:val="nil"/>
                  </w:tcBorders>
                  <w:shd w:val="clear" w:color="auto" w:fill="auto"/>
                  <w:vAlign w:val="center"/>
                </w:tcPr>
                <w:p w14:paraId="1DD2F96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《医疗机构水污染物排放标准》（GB18466-2005）</w:t>
                  </w:r>
                </w:p>
              </w:tc>
            </w:tr>
            <w:tr w14:paraId="33117D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0" w:type="dxa"/>
                  <w:tcBorders>
                    <w:tl2br w:val="nil"/>
                    <w:tr2bl w:val="nil"/>
                  </w:tcBorders>
                  <w:vAlign w:val="center"/>
                </w:tcPr>
                <w:p w14:paraId="5547069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28</w:t>
                  </w:r>
                </w:p>
              </w:tc>
              <w:tc>
                <w:tcPr>
                  <w:tcW w:w="2192" w:type="dxa"/>
                  <w:tcBorders>
                    <w:tl2br w:val="nil"/>
                    <w:tr2bl w:val="nil"/>
                  </w:tcBorders>
                  <w:vAlign w:val="center"/>
                </w:tcPr>
                <w:p w14:paraId="250E4ED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六价铬</w:t>
                  </w:r>
                </w:p>
              </w:tc>
              <w:tc>
                <w:tcPr>
                  <w:tcW w:w="2273" w:type="dxa"/>
                  <w:tcBorders>
                    <w:tl2br w:val="nil"/>
                    <w:tr2bl w:val="nil"/>
                  </w:tcBorders>
                  <w:shd w:val="clear" w:color="auto" w:fill="auto"/>
                  <w:vAlign w:val="center"/>
                </w:tcPr>
                <w:p w14:paraId="009C9FE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0.5</w:t>
                  </w:r>
                </w:p>
              </w:tc>
              <w:tc>
                <w:tcPr>
                  <w:tcW w:w="2913" w:type="dxa"/>
                  <w:tcBorders>
                    <w:tl2br w:val="nil"/>
                    <w:tr2bl w:val="nil"/>
                  </w:tcBorders>
                  <w:shd w:val="clear" w:color="auto" w:fill="auto"/>
                  <w:vAlign w:val="center"/>
                </w:tcPr>
                <w:p w14:paraId="767DD0C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《医疗机构水污染物排放标准》（GB18466-2005）</w:t>
                  </w:r>
                </w:p>
              </w:tc>
            </w:tr>
            <w:tr w14:paraId="3390B4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0" w:type="dxa"/>
                  <w:tcBorders>
                    <w:tl2br w:val="nil"/>
                    <w:tr2bl w:val="nil"/>
                  </w:tcBorders>
                  <w:vAlign w:val="center"/>
                </w:tcPr>
                <w:p w14:paraId="71D7805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29</w:t>
                  </w:r>
                </w:p>
              </w:tc>
              <w:tc>
                <w:tcPr>
                  <w:tcW w:w="2192" w:type="dxa"/>
                  <w:tcBorders>
                    <w:tl2br w:val="nil"/>
                    <w:tr2bl w:val="nil"/>
                  </w:tcBorders>
                  <w:vAlign w:val="center"/>
                </w:tcPr>
                <w:p w14:paraId="32A46F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总砷</w:t>
                  </w:r>
                </w:p>
              </w:tc>
              <w:tc>
                <w:tcPr>
                  <w:tcW w:w="2273" w:type="dxa"/>
                  <w:tcBorders>
                    <w:tl2br w:val="nil"/>
                    <w:tr2bl w:val="nil"/>
                  </w:tcBorders>
                  <w:shd w:val="clear" w:color="auto" w:fill="auto"/>
                  <w:vAlign w:val="center"/>
                </w:tcPr>
                <w:p w14:paraId="70AE772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0.5</w:t>
                  </w:r>
                </w:p>
              </w:tc>
              <w:tc>
                <w:tcPr>
                  <w:tcW w:w="2913" w:type="dxa"/>
                  <w:tcBorders>
                    <w:tl2br w:val="nil"/>
                    <w:tr2bl w:val="nil"/>
                  </w:tcBorders>
                  <w:shd w:val="clear" w:color="auto" w:fill="auto"/>
                  <w:vAlign w:val="center"/>
                </w:tcPr>
                <w:p w14:paraId="268136A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《医疗机构水污染物排放标准》（GB18466-2005）</w:t>
                  </w:r>
                </w:p>
              </w:tc>
            </w:tr>
            <w:tr w14:paraId="76057F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0" w:type="dxa"/>
                  <w:tcBorders>
                    <w:tl2br w:val="nil"/>
                    <w:tr2bl w:val="nil"/>
                  </w:tcBorders>
                  <w:vAlign w:val="center"/>
                </w:tcPr>
                <w:p w14:paraId="36589AD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30</w:t>
                  </w:r>
                </w:p>
              </w:tc>
              <w:tc>
                <w:tcPr>
                  <w:tcW w:w="2192" w:type="dxa"/>
                  <w:tcBorders>
                    <w:tl2br w:val="nil"/>
                    <w:tr2bl w:val="nil"/>
                  </w:tcBorders>
                  <w:vAlign w:val="center"/>
                </w:tcPr>
                <w:p w14:paraId="4FF6961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总铅</w:t>
                  </w:r>
                </w:p>
              </w:tc>
              <w:tc>
                <w:tcPr>
                  <w:tcW w:w="2273" w:type="dxa"/>
                  <w:tcBorders>
                    <w:tl2br w:val="nil"/>
                    <w:tr2bl w:val="nil"/>
                  </w:tcBorders>
                  <w:shd w:val="clear" w:color="auto" w:fill="auto"/>
                  <w:vAlign w:val="center"/>
                </w:tcPr>
                <w:p w14:paraId="402B683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w:t>
                  </w:r>
                </w:p>
              </w:tc>
              <w:tc>
                <w:tcPr>
                  <w:tcW w:w="2913" w:type="dxa"/>
                  <w:tcBorders>
                    <w:tl2br w:val="nil"/>
                    <w:tr2bl w:val="nil"/>
                  </w:tcBorders>
                  <w:shd w:val="clear" w:color="auto" w:fill="auto"/>
                  <w:vAlign w:val="center"/>
                </w:tcPr>
                <w:p w14:paraId="64D3AA6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《医疗机构水污染物排放标准》（GB18466-2005）</w:t>
                  </w:r>
                </w:p>
              </w:tc>
            </w:tr>
            <w:tr w14:paraId="3BB0AC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0" w:type="dxa"/>
                  <w:tcBorders>
                    <w:tl2br w:val="nil"/>
                    <w:tr2bl w:val="nil"/>
                  </w:tcBorders>
                  <w:vAlign w:val="center"/>
                </w:tcPr>
                <w:p w14:paraId="6A6991A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31</w:t>
                  </w:r>
                </w:p>
              </w:tc>
              <w:tc>
                <w:tcPr>
                  <w:tcW w:w="2192" w:type="dxa"/>
                  <w:tcBorders>
                    <w:tl2br w:val="nil"/>
                    <w:tr2bl w:val="nil"/>
                  </w:tcBorders>
                  <w:vAlign w:val="center"/>
                </w:tcPr>
                <w:p w14:paraId="7A4FDDE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总银</w:t>
                  </w:r>
                </w:p>
              </w:tc>
              <w:tc>
                <w:tcPr>
                  <w:tcW w:w="2273" w:type="dxa"/>
                  <w:tcBorders>
                    <w:tl2br w:val="nil"/>
                    <w:tr2bl w:val="nil"/>
                  </w:tcBorders>
                  <w:shd w:val="clear" w:color="auto" w:fill="auto"/>
                  <w:vAlign w:val="center"/>
                </w:tcPr>
                <w:p w14:paraId="5AB1193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0.5</w:t>
                  </w:r>
                </w:p>
              </w:tc>
              <w:tc>
                <w:tcPr>
                  <w:tcW w:w="2913" w:type="dxa"/>
                  <w:tcBorders>
                    <w:tl2br w:val="nil"/>
                    <w:tr2bl w:val="nil"/>
                  </w:tcBorders>
                  <w:shd w:val="clear" w:color="auto" w:fill="auto"/>
                  <w:vAlign w:val="center"/>
                </w:tcPr>
                <w:p w14:paraId="27B4E88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《医疗机构水污染物排放标准》（GB18466-2005）</w:t>
                  </w:r>
                </w:p>
              </w:tc>
            </w:tr>
            <w:tr w14:paraId="40C2DE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0" w:type="dxa"/>
                  <w:tcBorders>
                    <w:tl2br w:val="nil"/>
                    <w:tr2bl w:val="nil"/>
                  </w:tcBorders>
                  <w:vAlign w:val="center"/>
                </w:tcPr>
                <w:p w14:paraId="488FE05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32</w:t>
                  </w:r>
                </w:p>
              </w:tc>
              <w:tc>
                <w:tcPr>
                  <w:tcW w:w="2192" w:type="dxa"/>
                  <w:tcBorders>
                    <w:tl2br w:val="nil"/>
                    <w:tr2bl w:val="nil"/>
                  </w:tcBorders>
                  <w:vAlign w:val="center"/>
                </w:tcPr>
                <w:p w14:paraId="129E0D3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总α</w:t>
                  </w:r>
                </w:p>
              </w:tc>
              <w:tc>
                <w:tcPr>
                  <w:tcW w:w="2273" w:type="dxa"/>
                  <w:tcBorders>
                    <w:tl2br w:val="nil"/>
                    <w:tr2bl w:val="nil"/>
                  </w:tcBorders>
                  <w:shd w:val="clear" w:color="auto" w:fill="auto"/>
                  <w:vAlign w:val="center"/>
                </w:tcPr>
                <w:p w14:paraId="4C8DD0D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2913" w:type="dxa"/>
                  <w:tcBorders>
                    <w:tl2br w:val="nil"/>
                    <w:tr2bl w:val="nil"/>
                  </w:tcBorders>
                  <w:shd w:val="clear" w:color="auto" w:fill="auto"/>
                  <w:vAlign w:val="center"/>
                </w:tcPr>
                <w:p w14:paraId="0023D67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《医疗机构水污染物排放标准》（GB18466-2005）</w:t>
                  </w:r>
                </w:p>
              </w:tc>
            </w:tr>
            <w:tr w14:paraId="62E1C0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0" w:type="dxa"/>
                  <w:tcBorders>
                    <w:tl2br w:val="nil"/>
                    <w:tr2bl w:val="nil"/>
                  </w:tcBorders>
                  <w:vAlign w:val="center"/>
                </w:tcPr>
                <w:p w14:paraId="5AEF4EB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33</w:t>
                  </w:r>
                </w:p>
              </w:tc>
              <w:tc>
                <w:tcPr>
                  <w:tcW w:w="2192" w:type="dxa"/>
                  <w:tcBorders>
                    <w:tl2br w:val="nil"/>
                    <w:tr2bl w:val="nil"/>
                  </w:tcBorders>
                  <w:vAlign w:val="center"/>
                </w:tcPr>
                <w:p w14:paraId="73F22C1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总β</w:t>
                  </w:r>
                </w:p>
              </w:tc>
              <w:tc>
                <w:tcPr>
                  <w:tcW w:w="2273" w:type="dxa"/>
                  <w:tcBorders>
                    <w:tl2br w:val="nil"/>
                    <w:tr2bl w:val="nil"/>
                  </w:tcBorders>
                  <w:shd w:val="clear" w:color="auto" w:fill="auto"/>
                  <w:vAlign w:val="center"/>
                </w:tcPr>
                <w:p w14:paraId="1994E52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w:t>
                  </w:r>
                </w:p>
              </w:tc>
              <w:tc>
                <w:tcPr>
                  <w:tcW w:w="2913" w:type="dxa"/>
                  <w:tcBorders>
                    <w:tl2br w:val="nil"/>
                    <w:tr2bl w:val="nil"/>
                  </w:tcBorders>
                  <w:shd w:val="clear" w:color="auto" w:fill="auto"/>
                  <w:vAlign w:val="center"/>
                </w:tcPr>
                <w:p w14:paraId="6CDAACB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《医疗机构水污染物排放标准》（GB18466-2005）</w:t>
                  </w:r>
                </w:p>
              </w:tc>
            </w:tr>
            <w:tr w14:paraId="3BDA16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38" w:type="dxa"/>
                  <w:gridSpan w:val="4"/>
                  <w:tcBorders>
                    <w:tl2br w:val="nil"/>
                    <w:tr2bl w:val="nil"/>
                  </w:tcBorders>
                  <w:vAlign w:val="center"/>
                </w:tcPr>
                <w:p w14:paraId="13F97DC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注：括号内指标值为沿海及本地水源中溶解性固体含量较高的区域的指标</w:t>
                  </w:r>
                </w:p>
              </w:tc>
            </w:tr>
          </w:tbl>
          <w:p w14:paraId="69EFB748">
            <w:pPr>
              <w:pStyle w:val="55"/>
              <w:spacing w:line="360" w:lineRule="auto"/>
              <w:ind w:firstLine="482"/>
              <w:jc w:val="both"/>
              <w:rPr>
                <w:rFonts w:hint="default" w:ascii="Times New Roman" w:hAnsi="Times New Roman" w:cs="Times New Roman"/>
                <w:b/>
                <w:bCs/>
                <w:color w:val="000000" w:themeColor="text1"/>
                <w:spacing w:val="0"/>
                <w:sz w:val="24"/>
                <w:szCs w:val="24"/>
                <w14:textFill>
                  <w14:solidFill>
                    <w14:schemeClr w14:val="tx1"/>
                  </w14:solidFill>
                </w14:textFill>
              </w:rPr>
            </w:pPr>
            <w:r>
              <w:rPr>
                <w:rFonts w:hint="default" w:ascii="Times New Roman" w:hAnsi="Times New Roman" w:cs="Times New Roman"/>
                <w:b/>
                <w:bCs/>
                <w:color w:val="000000" w:themeColor="text1"/>
                <w:spacing w:val="0"/>
                <w:sz w:val="24"/>
                <w:szCs w:val="24"/>
                <w:lang w:val="en-US" w:eastAsia="zh-CN"/>
                <w14:textFill>
                  <w14:solidFill>
                    <w14:schemeClr w14:val="tx1"/>
                  </w14:solidFill>
                </w14:textFill>
              </w:rPr>
              <w:t>2.3</w:t>
            </w:r>
            <w:r>
              <w:rPr>
                <w:rFonts w:hint="default" w:ascii="Times New Roman" w:hAnsi="Times New Roman" w:cs="Times New Roman"/>
                <w:b/>
                <w:bCs/>
                <w:color w:val="000000" w:themeColor="text1"/>
                <w:spacing w:val="0"/>
                <w:sz w:val="24"/>
                <w:szCs w:val="24"/>
                <w14:textFill>
                  <w14:solidFill>
                    <w14:schemeClr w14:val="tx1"/>
                  </w14:solidFill>
                </w14:textFill>
              </w:rPr>
              <w:t xml:space="preserve"> 噪声排放标准</w:t>
            </w:r>
          </w:p>
          <w:p w14:paraId="7015E02C">
            <w:pPr>
              <w:keepNext w:val="0"/>
              <w:keepLines w:val="0"/>
              <w:pageBreakBefore w:val="0"/>
              <w:widowControl w:val="0"/>
              <w:numPr>
                <w:ilvl w:val="0"/>
                <w:numId w:val="0"/>
              </w:numPr>
              <w:kinsoku/>
              <w:wordWrap/>
              <w:overflowPunct/>
              <w:topLinePunct w:val="0"/>
              <w:autoSpaceDE w:val="0"/>
              <w:autoSpaceDN w:val="0"/>
              <w:bidi w:val="0"/>
              <w:adjustRightInd w:val="0"/>
              <w:snapToGrid/>
              <w:ind w:firstLine="48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施工现场均为临时性工程，执行《建筑施工场界噪声排放标准》（GB13523-2011）。主要指标见下表。</w:t>
            </w:r>
          </w:p>
          <w:p w14:paraId="3B61ADFE">
            <w:pPr>
              <w:pStyle w:val="63"/>
              <w:spacing w:line="240" w:lineRule="auto"/>
              <w:ind w:firstLine="0" w:firstLineChars="0"/>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表3-</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9</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 xml:space="preserve">  建筑施工场界环境噪声排放标准  dB(A)</w:t>
            </w:r>
          </w:p>
          <w:tbl>
            <w:tblPr>
              <w:tblStyle w:val="27"/>
              <w:tblW w:w="4993"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293"/>
              <w:gridCol w:w="3750"/>
            </w:tblGrid>
            <w:tr w14:paraId="26F81D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668" w:type="pct"/>
                  <w:noWrap w:val="0"/>
                  <w:vAlign w:val="center"/>
                </w:tcPr>
                <w:p w14:paraId="22157683">
                  <w:pPr>
                    <w:snapToGrid w:val="0"/>
                    <w:spacing w:line="240" w:lineRule="auto"/>
                    <w:ind w:left="0" w:leftChars="0" w:right="0" w:rightChars="0" w:firstLine="0" w:firstLineChars="0"/>
                    <w:jc w:val="center"/>
                    <w:rPr>
                      <w:rFonts w:hint="default" w:ascii="Times New Roman" w:hAnsi="Times New Roman" w:eastAsia="宋体" w:cs="Times New Roman"/>
                      <w:b/>
                      <w:bCs/>
                      <w:color w:val="000000" w:themeColor="text1"/>
                      <w:spacing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sz w:val="21"/>
                      <w:szCs w:val="21"/>
                      <w14:textFill>
                        <w14:solidFill>
                          <w14:schemeClr w14:val="tx1"/>
                        </w14:solidFill>
                      </w14:textFill>
                    </w:rPr>
                    <w:t>昼间</w:t>
                  </w:r>
                </w:p>
              </w:tc>
              <w:tc>
                <w:tcPr>
                  <w:tcW w:w="2331" w:type="pct"/>
                  <w:noWrap w:val="0"/>
                  <w:vAlign w:val="center"/>
                </w:tcPr>
                <w:p w14:paraId="44141878">
                  <w:pPr>
                    <w:snapToGrid w:val="0"/>
                    <w:spacing w:line="240" w:lineRule="auto"/>
                    <w:ind w:left="0" w:leftChars="0" w:right="0" w:rightChars="0" w:firstLine="0" w:firstLineChars="0"/>
                    <w:jc w:val="center"/>
                    <w:rPr>
                      <w:rFonts w:hint="default" w:ascii="Times New Roman" w:hAnsi="Times New Roman" w:eastAsia="宋体" w:cs="Times New Roman"/>
                      <w:b/>
                      <w:bCs/>
                      <w:color w:val="000000" w:themeColor="text1"/>
                      <w:spacing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sz w:val="21"/>
                      <w:szCs w:val="21"/>
                      <w14:textFill>
                        <w14:solidFill>
                          <w14:schemeClr w14:val="tx1"/>
                        </w14:solidFill>
                      </w14:textFill>
                    </w:rPr>
                    <w:t>夜间</w:t>
                  </w:r>
                </w:p>
              </w:tc>
            </w:tr>
            <w:tr w14:paraId="321FA9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668" w:type="pct"/>
                  <w:noWrap w:val="0"/>
                  <w:vAlign w:val="center"/>
                </w:tcPr>
                <w:p w14:paraId="7F63825C">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lang w:val="en-US" w:eastAsia="zh-CN"/>
                      <w14:textFill>
                        <w14:solidFill>
                          <w14:schemeClr w14:val="tx1"/>
                        </w14:solidFill>
                      </w14:textFill>
                    </w:rPr>
                    <w:t>70</w:t>
                  </w:r>
                </w:p>
              </w:tc>
              <w:tc>
                <w:tcPr>
                  <w:tcW w:w="2331" w:type="pct"/>
                  <w:noWrap w:val="0"/>
                  <w:vAlign w:val="center"/>
                </w:tcPr>
                <w:p w14:paraId="1DA5414A">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55</w:t>
                  </w:r>
                </w:p>
              </w:tc>
            </w:tr>
            <w:tr w14:paraId="79A57FC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2"/>
                  <w:noWrap w:val="0"/>
                  <w:vAlign w:val="center"/>
                </w:tcPr>
                <w:p w14:paraId="7FE28E43">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夜间噪声最大声级超过限值的幅度不得高于15dB</w:t>
                  </w:r>
                  <w:r>
                    <w:rPr>
                      <w:rFonts w:hint="default" w:ascii="Times New Roman" w:hAnsi="Times New Roman" w:cs="Times New Roman"/>
                      <w:color w:val="000000" w:themeColor="text1"/>
                      <w:spacing w:val="0"/>
                      <w:sz w:val="21"/>
                      <w:szCs w:val="21"/>
                      <w:lang w:eastAsia="zh-CN"/>
                      <w14:textFill>
                        <w14:solidFill>
                          <w14:schemeClr w14:val="tx1"/>
                        </w14:solidFill>
                      </w14:textFill>
                    </w:rPr>
                    <w:t>（</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A</w:t>
                  </w:r>
                  <w:r>
                    <w:rPr>
                      <w:rFonts w:hint="default" w:ascii="Times New Roman" w:hAnsi="Times New Roman" w:cs="Times New Roman"/>
                      <w:color w:val="000000" w:themeColor="text1"/>
                      <w:spacing w:val="0"/>
                      <w:sz w:val="21"/>
                      <w:szCs w:val="21"/>
                      <w:lang w:eastAsia="zh-CN"/>
                      <w14:textFill>
                        <w14:solidFill>
                          <w14:schemeClr w14:val="tx1"/>
                        </w14:solidFill>
                      </w14:textFill>
                    </w:rPr>
                    <w:t>）</w:t>
                  </w:r>
                </w:p>
              </w:tc>
            </w:tr>
          </w:tbl>
          <w:p w14:paraId="54BBC417">
            <w:pPr>
              <w:keepNext w:val="0"/>
              <w:keepLines w:val="0"/>
              <w:pageBreakBefore w:val="0"/>
              <w:widowControl w:val="0"/>
              <w:numPr>
                <w:ilvl w:val="0"/>
                <w:numId w:val="0"/>
              </w:numPr>
              <w:kinsoku/>
              <w:wordWrap/>
              <w:overflowPunct/>
              <w:topLinePunct w:val="0"/>
              <w:autoSpaceDE w:val="0"/>
              <w:autoSpaceDN w:val="0"/>
              <w:bidi w:val="0"/>
              <w:adjustRightInd w:val="0"/>
              <w:snapToGrid/>
              <w:ind w:firstLine="48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厂界噪声执行《工业企业厂界环境噪声排放标准》（GB12348-2008）中表1的2类标准。具体噪声排放标准值见下表：</w:t>
            </w:r>
          </w:p>
          <w:p w14:paraId="42ED3E0C">
            <w:pPr>
              <w:pStyle w:val="63"/>
              <w:spacing w:line="240" w:lineRule="auto"/>
              <w:ind w:firstLine="0" w:firstLineChars="0"/>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表3-1</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 xml:space="preserve">  《工业企业厂界环境噪声排放标准》单位：dB（A）</w:t>
            </w:r>
          </w:p>
          <w:tbl>
            <w:tblPr>
              <w:tblStyle w:val="28"/>
              <w:tblW w:w="799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2"/>
              <w:gridCol w:w="1213"/>
              <w:gridCol w:w="1412"/>
              <w:gridCol w:w="4242"/>
            </w:tblGrid>
            <w:tr w14:paraId="0A7E70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132" w:type="dxa"/>
                  <w:tcBorders>
                    <w:tl2br w:val="nil"/>
                    <w:tr2bl w:val="nil"/>
                  </w:tcBorders>
                  <w:vAlign w:val="center"/>
                </w:tcPr>
                <w:p w14:paraId="1818A74A">
                  <w:pPr>
                    <w:snapToGrid w:val="0"/>
                    <w:spacing w:line="240" w:lineRule="auto"/>
                    <w:ind w:left="0" w:leftChars="0" w:right="0" w:rightChars="0" w:firstLine="0" w:firstLineChars="0"/>
                    <w:jc w:val="cente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t>标准类别</w:t>
                  </w:r>
                </w:p>
              </w:tc>
              <w:tc>
                <w:tcPr>
                  <w:tcW w:w="1213" w:type="dxa"/>
                  <w:tcBorders>
                    <w:tl2br w:val="nil"/>
                    <w:tr2bl w:val="nil"/>
                  </w:tcBorders>
                  <w:vAlign w:val="center"/>
                </w:tcPr>
                <w:p w14:paraId="077AAD31">
                  <w:pPr>
                    <w:snapToGrid w:val="0"/>
                    <w:spacing w:line="240" w:lineRule="auto"/>
                    <w:ind w:left="0" w:leftChars="0" w:right="0" w:rightChars="0" w:firstLine="0" w:firstLineChars="0"/>
                    <w:jc w:val="cente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t>昼间</w:t>
                  </w:r>
                </w:p>
              </w:tc>
              <w:tc>
                <w:tcPr>
                  <w:tcW w:w="1412" w:type="dxa"/>
                  <w:tcBorders>
                    <w:tl2br w:val="nil"/>
                    <w:tr2bl w:val="nil"/>
                  </w:tcBorders>
                  <w:vAlign w:val="center"/>
                </w:tcPr>
                <w:p w14:paraId="0023B5AC">
                  <w:pPr>
                    <w:snapToGrid w:val="0"/>
                    <w:spacing w:line="240" w:lineRule="auto"/>
                    <w:ind w:left="0" w:leftChars="0" w:right="0" w:rightChars="0" w:firstLine="0" w:firstLineChars="0"/>
                    <w:jc w:val="cente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t>夜间</w:t>
                  </w:r>
                </w:p>
              </w:tc>
              <w:tc>
                <w:tcPr>
                  <w:tcW w:w="4242" w:type="dxa"/>
                  <w:tcBorders>
                    <w:tl2br w:val="nil"/>
                    <w:tr2bl w:val="nil"/>
                  </w:tcBorders>
                  <w:vAlign w:val="center"/>
                </w:tcPr>
                <w:p w14:paraId="6F4A02E0">
                  <w:pPr>
                    <w:snapToGrid w:val="0"/>
                    <w:spacing w:line="240" w:lineRule="auto"/>
                    <w:ind w:left="0" w:leftChars="0" w:right="0" w:rightChars="0" w:firstLine="0" w:firstLineChars="0"/>
                    <w:jc w:val="cente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t>执行标准</w:t>
                  </w:r>
                </w:p>
              </w:tc>
            </w:tr>
            <w:tr w14:paraId="5BB5D1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132" w:type="dxa"/>
                  <w:tcBorders>
                    <w:tl2br w:val="nil"/>
                    <w:tr2bl w:val="nil"/>
                  </w:tcBorders>
                  <w:vAlign w:val="center"/>
                </w:tcPr>
                <w:p w14:paraId="46730133">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2类</w:t>
                  </w:r>
                </w:p>
              </w:tc>
              <w:tc>
                <w:tcPr>
                  <w:tcW w:w="1213" w:type="dxa"/>
                  <w:tcBorders>
                    <w:tl2br w:val="nil"/>
                    <w:tr2bl w:val="nil"/>
                  </w:tcBorders>
                  <w:vAlign w:val="center"/>
                </w:tcPr>
                <w:p w14:paraId="33FECAB8">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60</w:t>
                  </w:r>
                </w:p>
              </w:tc>
              <w:tc>
                <w:tcPr>
                  <w:tcW w:w="1412" w:type="dxa"/>
                  <w:tcBorders>
                    <w:tl2br w:val="nil"/>
                    <w:tr2bl w:val="nil"/>
                  </w:tcBorders>
                  <w:vAlign w:val="center"/>
                </w:tcPr>
                <w:p w14:paraId="358F5AF4">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50</w:t>
                  </w:r>
                </w:p>
              </w:tc>
              <w:tc>
                <w:tcPr>
                  <w:tcW w:w="4242" w:type="dxa"/>
                  <w:tcBorders>
                    <w:tl2br w:val="nil"/>
                    <w:tr2bl w:val="nil"/>
                  </w:tcBorders>
                  <w:vAlign w:val="center"/>
                </w:tcPr>
                <w:p w14:paraId="13B13C28">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《工业企业厂界环境噪声排放标准》（GB12348-2008）</w:t>
                  </w:r>
                  <w:r>
                    <w:rPr>
                      <w:rFonts w:hint="default" w:ascii="Times New Roman" w:hAnsi="Times New Roman" w:cs="Times New Roman"/>
                      <w:color w:val="000000" w:themeColor="text1"/>
                      <w:spacing w:val="0"/>
                      <w:sz w:val="21"/>
                      <w:szCs w:val="21"/>
                      <w:lang w:val="en-US" w:eastAsia="zh-CN"/>
                      <w14:textFill>
                        <w14:solidFill>
                          <w14:schemeClr w14:val="tx1"/>
                        </w14:solidFill>
                      </w14:textFill>
                    </w:rPr>
                    <w:t>表1</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中的2类标准</w:t>
                  </w:r>
                </w:p>
              </w:tc>
            </w:tr>
          </w:tbl>
          <w:p w14:paraId="65F3E8E8">
            <w:pPr>
              <w:ind w:firstLine="472" w:firstLineChars="196"/>
              <w:rPr>
                <w:rFonts w:hint="default" w:ascii="Times New Roman" w:hAnsi="Times New Roman" w:eastAsia="宋体" w:cs="Times New Roman"/>
                <w:b/>
                <w:bCs/>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2"/>
                <w:sz w:val="24"/>
                <w:szCs w:val="24"/>
                <w:lang w:val="en-US" w:eastAsia="zh-CN" w:bidi="ar-SA"/>
                <w14:textFill>
                  <w14:solidFill>
                    <w14:schemeClr w14:val="tx1"/>
                  </w14:solidFill>
                </w14:textFill>
              </w:rPr>
              <w:t>2.4 固体废物</w:t>
            </w:r>
          </w:p>
          <w:p w14:paraId="73CF3D3C">
            <w:pPr>
              <w:keepNext w:val="0"/>
              <w:keepLines w:val="0"/>
              <w:widowControl/>
              <w:suppressLineNumbers w:val="0"/>
              <w:jc w:val="left"/>
              <w:rPr>
                <w:rFonts w:hint="default" w:ascii="Times New Roman" w:hAnsi="Times New Roman" w:eastAsia="宋体" w:cs="Times New Roman"/>
                <w:b/>
                <w:bCs/>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一般固体废物贮存和处置按照《一般固体废物分类与代码》（GBT39198-2020）进行分类贮存或处置，危险废物执行《危险废物贮存污染控制标准》GB18597-2023；生活垃圾处理执行《城市生活垃圾处理及污染防治技术政策》（建城〔2000〕120号）和《生活垃圾处理技术指南》（建城〔2010〕61号）的有关规定；固废的管理还应满足《中华人民共和国固体废物污染环境防治法》和《宁夏回族自治区固体废物污染环境防治条例》等国家、省市关于固体废物污染环境防治的法律法规。</w:t>
            </w:r>
          </w:p>
        </w:tc>
      </w:tr>
      <w:tr w14:paraId="0572819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28" w:type="dxa"/>
            <w:left w:w="28" w:type="dxa"/>
            <w:bottom w:w="28" w:type="dxa"/>
            <w:right w:w="28" w:type="dxa"/>
          </w:tblCellMar>
        </w:tblPrEx>
        <w:trPr>
          <w:trHeight w:val="3223" w:hRule="atLeast"/>
          <w:jc w:val="center"/>
        </w:trPr>
        <w:tc>
          <w:tcPr>
            <w:tcW w:w="172" w:type="pct"/>
            <w:noWrap w:val="0"/>
            <w:vAlign w:val="center"/>
          </w:tcPr>
          <w:p w14:paraId="07A3E209">
            <w:pPr>
              <w:adjustRightInd w:val="0"/>
              <w:snapToGrid w:val="0"/>
              <w:ind w:left="0" w:leftChars="0" w:right="0" w:rightChars="0" w:firstLine="0" w:firstLineChars="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其他</w:t>
            </w:r>
          </w:p>
        </w:tc>
        <w:tc>
          <w:tcPr>
            <w:tcW w:w="4827" w:type="pct"/>
            <w:noWrap w:val="0"/>
            <w:vAlign w:val="center"/>
          </w:tcPr>
          <w:p w14:paraId="429D94E8">
            <w:pPr>
              <w:ind w:left="0" w:leftChars="0" w:right="0" w:rightChars="0" w:firstLine="0" w:firstLineChars="0"/>
              <w:jc w:val="both"/>
              <w:rPr>
                <w:rFonts w:hint="default" w:ascii="Times New Roman" w:hAnsi="Times New Roman" w:cs="Times New Roman"/>
                <w:color w:val="000000" w:themeColor="text1"/>
                <w14:textFill>
                  <w14:solidFill>
                    <w14:schemeClr w14:val="tx1"/>
                  </w14:solidFill>
                </w14:textFill>
              </w:rPr>
            </w:pPr>
          </w:p>
          <w:p w14:paraId="13858B90">
            <w:pPr>
              <w:ind w:left="0" w:leftChars="0" w:right="0" w:rightChars="0"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无</w:t>
            </w:r>
          </w:p>
        </w:tc>
      </w:tr>
    </w:tbl>
    <w:p w14:paraId="60AD549C">
      <w:pP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sectPr>
          <w:pgSz w:w="11906" w:h="16838"/>
          <w:pgMar w:top="1440" w:right="1803" w:bottom="1440" w:left="1803" w:header="851" w:footer="1077" w:gutter="0"/>
          <w:pgBorders>
            <w:top w:val="none" w:sz="0" w:space="0"/>
            <w:left w:val="none" w:sz="0" w:space="0"/>
            <w:bottom w:val="none" w:sz="0" w:space="0"/>
            <w:right w:val="none" w:sz="0" w:space="0"/>
          </w:pgBorders>
          <w:pgNumType w:fmt="numberInDash"/>
          <w:cols w:space="720" w:num="1"/>
          <w:rtlGutter w:val="0"/>
          <w:docGrid w:linePitch="312" w:charSpace="0"/>
        </w:sectPr>
      </w:pPr>
    </w:p>
    <w:p w14:paraId="187CE6AB">
      <w:pPr>
        <w:pStyle w:val="2"/>
        <w:keepNext/>
        <w:keepLines w:val="0"/>
        <w:pageBreakBefore w:val="0"/>
        <w:widowControl w:val="0"/>
        <w:kinsoku/>
        <w:wordWrap/>
        <w:overflowPunct w:val="0"/>
        <w:topLinePunct w:val="0"/>
        <w:autoSpaceDE/>
        <w:autoSpaceDN/>
        <w:bidi w:val="0"/>
        <w:adjustRightInd/>
        <w:snapToGrid w:val="0"/>
        <w:spacing w:after="0" w:line="240" w:lineRule="auto"/>
        <w:ind w:left="0" w:leftChars="0" w:right="0" w:rightChars="0" w:firstLine="0" w:firstLineChars="0"/>
        <w:jc w:val="center"/>
        <w:textAlignment w:val="auto"/>
        <w:rPr>
          <w:rStyle w:val="35"/>
          <w:rFonts w:hint="default" w:ascii="Times New Roman" w:hAnsi="Times New Roman" w:cs="Times New Roman"/>
          <w:b w:val="0"/>
          <w:bCs w:val="0"/>
          <w:color w:val="000000" w:themeColor="text1"/>
          <w14:textFill>
            <w14:solidFill>
              <w14:schemeClr w14:val="tx1"/>
            </w14:solidFill>
          </w14:textFill>
        </w:rPr>
      </w:pPr>
      <w:r>
        <w:rPr>
          <w:rStyle w:val="35"/>
          <w:rFonts w:hint="default" w:ascii="Times New Roman" w:hAnsi="Times New Roman" w:cs="Times New Roman"/>
          <w:b/>
          <w:bCs/>
          <w:color w:val="000000" w:themeColor="text1"/>
          <w14:textFill>
            <w14:solidFill>
              <w14:schemeClr w14:val="tx1"/>
            </w14:solidFill>
          </w14:textFill>
        </w:rPr>
        <w:t>四、生态环境影响分析</w:t>
      </w:r>
    </w:p>
    <w:tbl>
      <w:tblPr>
        <w:tblStyle w:val="27"/>
        <w:tblW w:w="4999"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802"/>
        <w:gridCol w:w="7645"/>
      </w:tblGrid>
      <w:tr w14:paraId="665C2A2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475" w:type="pct"/>
            <w:noWrap w:val="0"/>
            <w:tcMar>
              <w:left w:w="28" w:type="dxa"/>
              <w:right w:w="28" w:type="dxa"/>
            </w:tcMar>
            <w:vAlign w:val="center"/>
          </w:tcPr>
          <w:p w14:paraId="4D1CD4E7">
            <w:pPr>
              <w:pStyle w:val="24"/>
              <w:adjustRightInd w:val="0"/>
              <w:snapToGrid w:val="0"/>
              <w:spacing w:before="0" w:beforeAutospacing="0" w:after="0" w:afterAutospacing="0"/>
              <w:ind w:firstLine="0" w:firstLineChars="0"/>
              <w:jc w:val="center"/>
              <w:rPr>
                <w:rFonts w:hint="default" w:ascii="Times New Roman" w:hAnsi="Times New Roman" w:cs="Times New Roman"/>
                <w:bCs/>
                <w:color w:val="000000" w:themeColor="text1"/>
                <w:kern w:val="2"/>
                <w:sz w:val="21"/>
                <w:szCs w:val="21"/>
                <w14:textFill>
                  <w14:solidFill>
                    <w14:schemeClr w14:val="tx1"/>
                  </w14:solidFill>
                </w14:textFill>
              </w:rPr>
            </w:pPr>
            <w:bookmarkStart w:id="10" w:name="_Hlk49796138"/>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施工期生态环境影响分析</w:t>
            </w:r>
            <w:bookmarkEnd w:id="10"/>
          </w:p>
        </w:tc>
        <w:tc>
          <w:tcPr>
            <w:tcW w:w="4524" w:type="pct"/>
            <w:noWrap w:val="0"/>
            <w:vAlign w:val="top"/>
          </w:tcPr>
          <w:p w14:paraId="07A12F5C">
            <w:pPr>
              <w:autoSpaceDE w:val="0"/>
              <w:autoSpaceDN w:val="0"/>
              <w:adjustRightInd w:val="0"/>
              <w:ind w:firstLine="482"/>
              <w:rPr>
                <w:rFonts w:hint="default" w:ascii="Times New Roman" w:hAnsi="Times New Roman" w:cs="Times New Roman"/>
                <w:b/>
                <w:color w:val="000000" w:themeColor="text1"/>
                <w:kern w:val="0"/>
                <w14:textFill>
                  <w14:solidFill>
                    <w14:schemeClr w14:val="tx1"/>
                  </w14:solidFill>
                </w14:textFill>
              </w:rPr>
            </w:pPr>
            <w:r>
              <w:rPr>
                <w:rFonts w:hint="default" w:ascii="Times New Roman" w:hAnsi="Times New Roman" w:cs="Times New Roman"/>
                <w:b/>
                <w:color w:val="000000" w:themeColor="text1"/>
                <w:kern w:val="0"/>
                <w:lang w:val="en-US" w:eastAsia="zh-CN"/>
                <w14:textFill>
                  <w14:solidFill>
                    <w14:schemeClr w14:val="tx1"/>
                  </w14:solidFill>
                </w14:textFill>
              </w:rPr>
              <w:t xml:space="preserve">1 </w:t>
            </w:r>
            <w:r>
              <w:rPr>
                <w:rFonts w:hint="default" w:ascii="Times New Roman" w:hAnsi="Times New Roman" w:cs="Times New Roman"/>
                <w:b/>
                <w:color w:val="000000" w:themeColor="text1"/>
                <w:kern w:val="0"/>
                <w14:textFill>
                  <w14:solidFill>
                    <w14:schemeClr w14:val="tx1"/>
                  </w14:solidFill>
                </w14:textFill>
              </w:rPr>
              <w:t>水环境影响分析</w:t>
            </w:r>
          </w:p>
          <w:p w14:paraId="432A85A6">
            <w:pPr>
              <w:autoSpaceDE w:val="0"/>
              <w:autoSpaceDN w:val="0"/>
              <w:adjustRightInd w:val="0"/>
              <w:ind w:firstLine="480"/>
              <w:rPr>
                <w:rFonts w:hint="default" w:ascii="Times New Roman" w:hAnsi="Times New Roman" w:eastAsia="宋体" w:cs="Times New Roman"/>
                <w:color w:val="000000" w:themeColor="text1"/>
                <w:kern w:val="0"/>
                <w:lang w:val="en-US" w:eastAsia="zh-CN"/>
                <w14:textFill>
                  <w14:solidFill>
                    <w14:schemeClr w14:val="tx1"/>
                  </w14:solidFill>
                </w14:textFill>
              </w:rPr>
            </w:pPr>
            <w:r>
              <w:rPr>
                <w:rFonts w:hint="default" w:ascii="Times New Roman" w:hAnsi="Times New Roman" w:eastAsia="宋体" w:cs="Times New Roman"/>
                <w:color w:val="000000" w:themeColor="text1"/>
                <w:kern w:val="0"/>
                <w:lang w:val="en-US" w:eastAsia="zh-CN"/>
                <w14:textFill>
                  <w14:solidFill>
                    <w14:schemeClr w14:val="tx1"/>
                  </w14:solidFill>
                </w14:textFill>
              </w:rPr>
              <w:t>施工期废水主要为生活</w:t>
            </w:r>
            <w:r>
              <w:rPr>
                <w:rFonts w:hint="default" w:ascii="Times New Roman" w:hAnsi="Times New Roman" w:cs="Times New Roman"/>
                <w:color w:val="000000" w:themeColor="text1"/>
                <w:kern w:val="0"/>
                <w:lang w:val="en-US" w:eastAsia="zh-CN"/>
                <w14:textFill>
                  <w14:solidFill>
                    <w14:schemeClr w14:val="tx1"/>
                  </w14:solidFill>
                </w14:textFill>
              </w:rPr>
              <w:t>废水和生产废水</w:t>
            </w:r>
            <w:r>
              <w:rPr>
                <w:rFonts w:hint="default" w:ascii="Times New Roman" w:hAnsi="Times New Roman" w:eastAsia="宋体" w:cs="Times New Roman"/>
                <w:color w:val="000000" w:themeColor="text1"/>
                <w:kern w:val="0"/>
                <w:lang w:val="en-US" w:eastAsia="zh-CN"/>
                <w14:textFill>
                  <w14:solidFill>
                    <w14:schemeClr w14:val="tx1"/>
                  </w14:solidFill>
                </w14:textFill>
              </w:rPr>
              <w:t>。</w:t>
            </w:r>
          </w:p>
          <w:p w14:paraId="598BEFF4">
            <w:pPr>
              <w:autoSpaceDE w:val="0"/>
              <w:autoSpaceDN w:val="0"/>
              <w:adjustRightInd w:val="0"/>
              <w:ind w:firstLine="480"/>
              <w:rPr>
                <w:rFonts w:hint="default" w:ascii="Times New Roman" w:hAnsi="Times New Roman" w:eastAsia="宋体" w:cs="Times New Roman"/>
                <w:color w:val="000000" w:themeColor="text1"/>
                <w:kern w:val="0"/>
                <w:lang w:val="en-US" w:eastAsia="zh-CN"/>
                <w14:textFill>
                  <w14:solidFill>
                    <w14:schemeClr w14:val="tx1"/>
                  </w14:solidFill>
                </w14:textFill>
              </w:rPr>
            </w:pPr>
            <w:r>
              <w:rPr>
                <w:rFonts w:hint="default" w:ascii="Times New Roman" w:hAnsi="Times New Roman" w:eastAsia="宋体" w:cs="Times New Roman"/>
                <w:color w:val="000000" w:themeColor="text1"/>
                <w:kern w:val="0"/>
                <w:lang w:val="en-US" w:eastAsia="zh-CN"/>
                <w14:textFill>
                  <w14:solidFill>
                    <w14:schemeClr w14:val="tx1"/>
                  </w14:solidFill>
                </w14:textFill>
              </w:rPr>
              <w:t>（1）生活</w:t>
            </w:r>
            <w:r>
              <w:rPr>
                <w:rFonts w:hint="default" w:ascii="Times New Roman" w:hAnsi="Times New Roman" w:cs="Times New Roman"/>
                <w:color w:val="000000" w:themeColor="text1"/>
                <w:kern w:val="0"/>
                <w:lang w:val="en-US" w:eastAsia="zh-CN"/>
                <w14:textFill>
                  <w14:solidFill>
                    <w14:schemeClr w14:val="tx1"/>
                  </w14:solidFill>
                </w14:textFill>
              </w:rPr>
              <w:t>废水</w:t>
            </w:r>
          </w:p>
          <w:p w14:paraId="76175466">
            <w:pPr>
              <w:autoSpaceDE w:val="0"/>
              <w:autoSpaceDN w:val="0"/>
              <w:adjustRightInd w:val="0"/>
              <w:ind w:firstLine="480"/>
              <w:rPr>
                <w:rFonts w:hint="default" w:ascii="Times New Roman" w:hAnsi="Times New Roman" w:cs="Times New Roman"/>
                <w:color w:val="000000" w:themeColor="text1"/>
                <w:kern w:val="0"/>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highlight w:val="none"/>
                <w:lang w:val="en-US" w:eastAsia="zh-CN"/>
                <w14:textFill>
                  <w14:solidFill>
                    <w14:schemeClr w14:val="tx1"/>
                  </w14:solidFill>
                </w14:textFill>
              </w:rPr>
              <w:t>本项目施工</w:t>
            </w:r>
            <w:r>
              <w:rPr>
                <w:rFonts w:hint="default" w:ascii="Times New Roman" w:hAnsi="Times New Roman" w:cs="Times New Roman"/>
                <w:color w:val="000000" w:themeColor="text1"/>
                <w:kern w:val="0"/>
                <w:highlight w:val="none"/>
                <w:lang w:val="en-US" w:eastAsia="zh-CN"/>
                <w14:textFill>
                  <w14:solidFill>
                    <w14:schemeClr w14:val="tx1"/>
                  </w14:solidFill>
                </w14:textFill>
              </w:rPr>
              <w:t>营地内设置1座临时化粪池，</w:t>
            </w:r>
            <w:r>
              <w:rPr>
                <w:rFonts w:hint="default" w:ascii="Times New Roman" w:hAnsi="Times New Roman" w:eastAsia="宋体" w:cs="Times New Roman"/>
                <w:color w:val="000000" w:themeColor="text1"/>
                <w:kern w:val="0"/>
                <w:highlight w:val="none"/>
                <w:lang w:val="en-US" w:eastAsia="zh-CN"/>
                <w14:textFill>
                  <w14:solidFill>
                    <w14:schemeClr w14:val="tx1"/>
                  </w14:solidFill>
                </w14:textFill>
              </w:rPr>
              <w:t>施工人员产生的生活污水经</w:t>
            </w:r>
            <w:r>
              <w:rPr>
                <w:rFonts w:hint="default" w:ascii="Times New Roman" w:hAnsi="Times New Roman" w:cs="Times New Roman"/>
                <w:color w:val="000000" w:themeColor="text1"/>
                <w:kern w:val="0"/>
                <w:highlight w:val="none"/>
                <w:lang w:val="en-US" w:eastAsia="zh-CN"/>
                <w14:textFill>
                  <w14:solidFill>
                    <w14:schemeClr w14:val="tx1"/>
                  </w14:solidFill>
                </w14:textFill>
              </w:rPr>
              <w:t>临时</w:t>
            </w:r>
            <w:r>
              <w:rPr>
                <w:rFonts w:hint="default" w:ascii="Times New Roman" w:hAnsi="Times New Roman" w:eastAsia="宋体" w:cs="Times New Roman"/>
                <w:color w:val="000000" w:themeColor="text1"/>
                <w:kern w:val="0"/>
                <w:highlight w:val="none"/>
                <w:lang w:val="en-US" w:eastAsia="zh-CN"/>
                <w14:textFill>
                  <w14:solidFill>
                    <w14:schemeClr w14:val="tx1"/>
                  </w14:solidFill>
                </w14:textFill>
              </w:rPr>
              <w:t>化粪池预处理后</w:t>
            </w:r>
            <w:r>
              <w:rPr>
                <w:rFonts w:hint="default" w:ascii="Times New Roman" w:hAnsi="Times New Roman" w:cs="Times New Roman"/>
                <w:color w:val="000000" w:themeColor="text1"/>
                <w:kern w:val="0"/>
                <w:highlight w:val="none"/>
                <w:lang w:val="en-US" w:eastAsia="zh-CN"/>
                <w14:textFill>
                  <w14:solidFill>
                    <w14:schemeClr w14:val="tx1"/>
                  </w14:solidFill>
                </w14:textFill>
              </w:rPr>
              <w:t>，委托环卫部门吸污车拉运处理。因此，不会对周边环境造成影响。</w:t>
            </w:r>
          </w:p>
          <w:p w14:paraId="47709CB0">
            <w:pPr>
              <w:autoSpaceDE w:val="0"/>
              <w:autoSpaceDN w:val="0"/>
              <w:adjustRightInd w:val="0"/>
              <w:ind w:firstLine="480"/>
              <w:rPr>
                <w:rFonts w:hint="default" w:ascii="Times New Roman" w:hAnsi="Times New Roman" w:eastAsia="宋体" w:cs="Times New Roman"/>
                <w:color w:val="000000" w:themeColor="text1"/>
                <w:kern w:val="0"/>
                <w:lang w:val="en-US" w:eastAsia="zh-CN"/>
                <w14:textFill>
                  <w14:solidFill>
                    <w14:schemeClr w14:val="tx1"/>
                  </w14:solidFill>
                </w14:textFill>
              </w:rPr>
            </w:pPr>
            <w:r>
              <w:rPr>
                <w:rFonts w:hint="default" w:ascii="Times New Roman" w:hAnsi="Times New Roman" w:eastAsia="宋体" w:cs="Times New Roman"/>
                <w:color w:val="000000" w:themeColor="text1"/>
                <w:kern w:val="0"/>
                <w:lang w:val="en-US" w:eastAsia="zh-CN"/>
                <w14:textFill>
                  <w14:solidFill>
                    <w14:schemeClr w14:val="tx1"/>
                  </w14:solidFill>
                </w14:textFill>
              </w:rPr>
              <w:t>（2）</w:t>
            </w:r>
            <w:r>
              <w:rPr>
                <w:rFonts w:hint="default" w:ascii="Times New Roman" w:hAnsi="Times New Roman" w:cs="Times New Roman"/>
                <w:color w:val="000000" w:themeColor="text1"/>
                <w:kern w:val="0"/>
                <w:lang w:val="en-US" w:eastAsia="zh-CN"/>
                <w14:textFill>
                  <w14:solidFill>
                    <w14:schemeClr w14:val="tx1"/>
                  </w14:solidFill>
                </w14:textFill>
              </w:rPr>
              <w:t>生产废水</w:t>
            </w:r>
          </w:p>
          <w:p w14:paraId="44DB9609">
            <w:pPr>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施工生产废水主要为施工设备冲洗废水和泥浆废水。施工设备冲洗废水主要来自汽车、机械设备维修排出的废水和汽车、机械设备的清洗水。施工设备冲洗废水和泥浆废水主要含SS等，本项目施工期设置1座临时防渗沉淀池，生产废水经沉淀后回用于洒水抑尘，不会对环境产生较大影响。</w:t>
            </w:r>
          </w:p>
          <w:p w14:paraId="5CA99481">
            <w:pPr>
              <w:autoSpaceDE w:val="0"/>
              <w:autoSpaceDN w:val="0"/>
              <w:adjustRightInd w:val="0"/>
              <w:ind w:firstLine="482"/>
              <w:rPr>
                <w:rFonts w:hint="default" w:ascii="Times New Roman" w:hAnsi="Times New Roman" w:cs="Times New Roman"/>
                <w:b/>
                <w:color w:val="000000" w:themeColor="text1"/>
                <w:kern w:val="0"/>
                <w14:textFill>
                  <w14:solidFill>
                    <w14:schemeClr w14:val="tx1"/>
                  </w14:solidFill>
                </w14:textFill>
              </w:rPr>
            </w:pPr>
            <w:r>
              <w:rPr>
                <w:rFonts w:hint="default" w:ascii="Times New Roman" w:hAnsi="Times New Roman" w:cs="Times New Roman"/>
                <w:b/>
                <w:color w:val="000000" w:themeColor="text1"/>
                <w:kern w:val="0"/>
                <w14:textFill>
                  <w14:solidFill>
                    <w14:schemeClr w14:val="tx1"/>
                  </w14:solidFill>
                </w14:textFill>
              </w:rPr>
              <w:t>2</w:t>
            </w:r>
            <w:r>
              <w:rPr>
                <w:rFonts w:hint="default" w:ascii="Times New Roman" w:hAnsi="Times New Roman" w:cs="Times New Roman"/>
                <w:b/>
                <w:color w:val="000000" w:themeColor="text1"/>
                <w:kern w:val="0"/>
                <w:lang w:val="en-US" w:eastAsia="zh-CN"/>
                <w14:textFill>
                  <w14:solidFill>
                    <w14:schemeClr w14:val="tx1"/>
                  </w14:solidFill>
                </w14:textFill>
              </w:rPr>
              <w:t xml:space="preserve"> </w:t>
            </w:r>
            <w:r>
              <w:rPr>
                <w:rFonts w:hint="default" w:ascii="Times New Roman" w:hAnsi="Times New Roman" w:cs="Times New Roman"/>
                <w:b/>
                <w:color w:val="000000" w:themeColor="text1"/>
                <w:kern w:val="0"/>
                <w14:textFill>
                  <w14:solidFill>
                    <w14:schemeClr w14:val="tx1"/>
                  </w14:solidFill>
                </w14:textFill>
              </w:rPr>
              <w:t>大气环境影响分析</w:t>
            </w:r>
          </w:p>
          <w:p w14:paraId="365BF870">
            <w:pPr>
              <w:autoSpaceDE w:val="0"/>
              <w:autoSpaceDN w:val="0"/>
              <w:adjustRightInd w:val="0"/>
              <w:ind w:firstLine="480"/>
              <w:rPr>
                <w:rFonts w:hint="default" w:ascii="Times New Roman" w:hAnsi="Times New Roman" w:eastAsia="宋体" w:cs="Times New Roman"/>
                <w:color w:val="000000" w:themeColor="text1"/>
                <w:kern w:val="0"/>
                <w:lang w:val="en-US" w:eastAsia="zh-CN"/>
                <w14:textFill>
                  <w14:solidFill>
                    <w14:schemeClr w14:val="tx1"/>
                  </w14:solidFill>
                </w14:textFill>
              </w:rPr>
            </w:pPr>
            <w:r>
              <w:rPr>
                <w:rFonts w:hint="default" w:ascii="Times New Roman" w:hAnsi="Times New Roman" w:eastAsia="宋体" w:cs="Times New Roman"/>
                <w:color w:val="000000" w:themeColor="text1"/>
                <w:kern w:val="0"/>
                <w:lang w:val="en-US" w:eastAsia="zh-CN"/>
                <w14:textFill>
                  <w14:solidFill>
                    <w14:schemeClr w14:val="tx1"/>
                  </w14:solidFill>
                </w14:textFill>
              </w:rPr>
              <w:t>建设施工过程中产生的大气污染物主要是施工场内产生的扬尘及施工时各类施工作业及砂石料、水泥、石灰的装卸和投料过程以及运输过程中产生的扬尘；装修产生的废气；建筑材料运输时产生的汽车尾气等。</w:t>
            </w:r>
          </w:p>
          <w:p w14:paraId="632D4516">
            <w:pPr>
              <w:autoSpaceDE w:val="0"/>
              <w:autoSpaceDN w:val="0"/>
              <w:adjustRightInd w:val="0"/>
              <w:ind w:firstLine="480"/>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lang w:eastAsia="zh-CN"/>
                <w14:textFill>
                  <w14:solidFill>
                    <w14:schemeClr w14:val="tx1"/>
                  </w14:solidFill>
                </w14:textFill>
              </w:rPr>
              <w:t>（</w:t>
            </w:r>
            <w:r>
              <w:rPr>
                <w:rFonts w:hint="default" w:ascii="Times New Roman" w:hAnsi="Times New Roman" w:cs="Times New Roman"/>
                <w:color w:val="000000" w:themeColor="text1"/>
                <w:kern w:val="0"/>
                <w:lang w:val="en-US" w:eastAsia="zh-CN"/>
                <w14:textFill>
                  <w14:solidFill>
                    <w14:schemeClr w14:val="tx1"/>
                  </w14:solidFill>
                </w14:textFill>
              </w:rPr>
              <w:t>1</w:t>
            </w:r>
            <w:r>
              <w:rPr>
                <w:rFonts w:hint="default" w:ascii="Times New Roman" w:hAnsi="Times New Roman" w:cs="Times New Roman"/>
                <w:color w:val="000000" w:themeColor="text1"/>
                <w:kern w:val="0"/>
                <w:lang w:eastAsia="zh-CN"/>
                <w14:textFill>
                  <w14:solidFill>
                    <w14:schemeClr w14:val="tx1"/>
                  </w14:solidFill>
                </w14:textFill>
              </w:rPr>
              <w:t>）</w:t>
            </w:r>
            <w:r>
              <w:rPr>
                <w:rFonts w:hint="default" w:ascii="Times New Roman" w:hAnsi="Times New Roman" w:cs="Times New Roman"/>
                <w:color w:val="000000" w:themeColor="text1"/>
                <w:kern w:val="0"/>
                <w14:textFill>
                  <w14:solidFill>
                    <w14:schemeClr w14:val="tx1"/>
                  </w14:solidFill>
                </w14:textFill>
              </w:rPr>
              <w:t>施工扬尘</w:t>
            </w:r>
          </w:p>
          <w:p w14:paraId="50E9E9AB">
            <w:pPr>
              <w:ind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项目工程开挖土石方、车辆运输、装卸建筑材料时将产生扬尘。施工期扬尘污染造成大气中TSP值增高，施工扬尘的起尘量与许多因素有关。影响起尘量的因素包括：基础开挖、施工渣土堆场、进出车辆</w:t>
            </w:r>
            <w:r>
              <w:rPr>
                <w:rFonts w:hint="default" w:ascii="Times New Roman" w:hAnsi="Times New Roman" w:eastAsia="宋体" w:cs="Times New Roman"/>
                <w:color w:val="000000" w:themeColor="text1"/>
                <w:lang w:eastAsia="zh-CN"/>
                <w14:textFill>
                  <w14:solidFill>
                    <w14:schemeClr w14:val="tx1"/>
                  </w14:solidFill>
                </w14:textFill>
              </w:rPr>
              <w:t>，以及</w:t>
            </w:r>
            <w:r>
              <w:rPr>
                <w:rFonts w:hint="default" w:ascii="Times New Roman" w:hAnsi="Times New Roman" w:eastAsia="宋体" w:cs="Times New Roman"/>
                <w:color w:val="000000" w:themeColor="text1"/>
                <w14:textFill>
                  <w14:solidFill>
                    <w14:schemeClr w14:val="tx1"/>
                  </w14:solidFill>
                </w14:textFill>
              </w:rPr>
              <w:t>起尘高度、采取的防护措施、空气湿度、风速等，会对环境造成一定影响。</w:t>
            </w:r>
          </w:p>
          <w:p w14:paraId="76DBEF55">
            <w:pPr>
              <w:ind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本环评要求施工时应遵照建设部的有关施工规范，施工期除对路面实施洒水抑尘外，</w:t>
            </w:r>
            <w:r>
              <w:rPr>
                <w:rFonts w:hint="default" w:ascii="Times New Roman" w:hAnsi="Times New Roman" w:eastAsia="宋体" w:cs="Times New Roman"/>
                <w:color w:val="000000" w:themeColor="text1"/>
                <w:lang w:val="en-US" w:eastAsia="zh-CN"/>
                <w14:textFill>
                  <w14:solidFill>
                    <w14:schemeClr w14:val="tx1"/>
                  </w14:solidFill>
                </w14:textFill>
              </w:rPr>
              <w:t>还应在</w:t>
            </w:r>
            <w:r>
              <w:rPr>
                <w:rFonts w:hint="default" w:ascii="Times New Roman" w:hAnsi="Times New Roman" w:eastAsia="宋体" w:cs="Times New Roman"/>
                <w:color w:val="000000" w:themeColor="text1"/>
                <w14:textFill>
                  <w14:solidFill>
                    <w14:schemeClr w14:val="tx1"/>
                  </w14:solidFill>
                </w14:textFill>
              </w:rPr>
              <w:t>工程边界四周设置2m高的施工围墙，施工建筑要设置滞尘网，采用商品混凝土。为保护</w:t>
            </w:r>
            <w:r>
              <w:rPr>
                <w:rFonts w:hint="default" w:ascii="Times New Roman" w:hAnsi="Times New Roman" w:eastAsia="宋体" w:cs="Times New Roman"/>
                <w:color w:val="000000" w:themeColor="text1"/>
                <w:lang w:val="en-US" w:eastAsia="zh-CN"/>
                <w14:textFill>
                  <w14:solidFill>
                    <w14:schemeClr w14:val="tx1"/>
                  </w14:solidFill>
                </w14:textFill>
              </w:rPr>
              <w:t>环境</w:t>
            </w:r>
            <w:r>
              <w:rPr>
                <w:rFonts w:hint="default" w:ascii="Times New Roman" w:hAnsi="Times New Roman" w:eastAsia="宋体" w:cs="Times New Roman"/>
                <w:color w:val="000000" w:themeColor="text1"/>
                <w14:textFill>
                  <w14:solidFill>
                    <w14:schemeClr w14:val="tx1"/>
                  </w14:solidFill>
                </w14:textFill>
              </w:rPr>
              <w:t>敏感点大气环境质量，尽量把扬尘控制在该项目</w:t>
            </w:r>
            <w:r>
              <w:rPr>
                <w:rFonts w:hint="default" w:ascii="Times New Roman" w:hAnsi="Times New Roman" w:eastAsia="宋体" w:cs="Times New Roman"/>
                <w:color w:val="000000" w:themeColor="text1"/>
                <w:lang w:val="en-US" w:eastAsia="zh-CN"/>
                <w14:textFill>
                  <w14:solidFill>
                    <w14:schemeClr w14:val="tx1"/>
                  </w14:solidFill>
                </w14:textFill>
              </w:rPr>
              <w:t>区域</w:t>
            </w:r>
            <w:r>
              <w:rPr>
                <w:rFonts w:hint="default" w:ascii="Times New Roman" w:hAnsi="Times New Roman" w:eastAsia="宋体" w:cs="Times New Roman"/>
                <w:color w:val="000000" w:themeColor="text1"/>
                <w14:textFill>
                  <w14:solidFill>
                    <w14:schemeClr w14:val="tx1"/>
                  </w14:solidFill>
                </w14:textFill>
              </w:rPr>
              <w:t>内，当风速达四级以上时，应停止土方开挖等工作，以减少施工扬尘对周围区域的影响。建筑材料不应敞开堆放，且避免在大风干燥天气条件下进行土建等施工。要求项目实施单位在施工时严格采取上述有效防护措施，以减少产生的扬尘对周围环境的影响。由工程分析可知，一般情况下，施工工地、道路在自然风作用下产生的扬尘所影响的范围在100m以内。如果在施工期间对车辆行驶的路面实施洒水抑尘，每天洒水4~5次，可使扬尘减少70%左右。下表为施工场地洒水抑尘的试验结果。</w:t>
            </w:r>
          </w:p>
          <w:p w14:paraId="6F45C453">
            <w:pPr>
              <w:spacing w:before="30" w:line="213" w:lineRule="auto"/>
              <w:ind w:left="0" w:leftChars="0" w:right="0" w:rightChars="0" w:firstLine="0" w:firstLineChars="0"/>
              <w:jc w:val="center"/>
              <w:rPr>
                <w:rFonts w:hint="default" w:ascii="Times New Roman" w:hAnsi="Times New Roman" w:eastAsia="宋体" w:cs="Times New Roman"/>
                <w:b/>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color w:val="000000" w:themeColor="text1"/>
                <w:spacing w:val="0"/>
                <w:kern w:val="2"/>
                <w:sz w:val="21"/>
                <w:szCs w:val="21"/>
                <w:lang w:val="en-US" w:eastAsia="zh-CN" w:bidi="ar-SA"/>
                <w14:textFill>
                  <w14:solidFill>
                    <w14:schemeClr w14:val="tx1"/>
                  </w14:solidFill>
                </w14:textFill>
              </w:rPr>
              <w:t>表4-1  施工场地洒水抑尘试验结</w:t>
            </w:r>
          </w:p>
          <w:tbl>
            <w:tblPr>
              <w:tblStyle w:val="65"/>
              <w:tblW w:w="7517"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3736"/>
              <w:gridCol w:w="1169"/>
              <w:gridCol w:w="653"/>
              <w:gridCol w:w="653"/>
              <w:gridCol w:w="653"/>
              <w:gridCol w:w="653"/>
            </w:tblGrid>
            <w:tr w14:paraId="281E114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97" w:hRule="exact"/>
                <w:jc w:val="center"/>
              </w:trPr>
              <w:tc>
                <w:tcPr>
                  <w:tcW w:w="3835" w:type="dxa"/>
                  <w:gridSpan w:val="2"/>
                  <w:tcBorders>
                    <w:tl2br w:val="nil"/>
                    <w:tr2bl w:val="nil"/>
                  </w:tcBorders>
                  <w:vAlign w:val="center"/>
                </w:tcPr>
                <w:p w14:paraId="46147E07">
                  <w:pPr>
                    <w:snapToGrid w:val="0"/>
                    <w:spacing w:line="240" w:lineRule="auto"/>
                    <w:ind w:left="0" w:leftChars="0" w:right="0" w:rightChars="0" w:firstLine="0" w:firstLineChars="0"/>
                    <w:jc w:val="center"/>
                    <w:rPr>
                      <w:rFonts w:hint="default" w:ascii="Times New Roman" w:hAnsi="Times New Roman" w:eastAsia="宋体" w:cs="Times New Roman"/>
                      <w:b/>
                      <w:bCs/>
                      <w:color w:val="000000" w:themeColor="text1"/>
                      <w:spacing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sz w:val="21"/>
                      <w:szCs w:val="21"/>
                      <w14:textFill>
                        <w14:solidFill>
                          <w14:schemeClr w14:val="tx1"/>
                        </w14:solidFill>
                      </w14:textFill>
                    </w:rPr>
                    <w:t>距离</w:t>
                  </w:r>
                </w:p>
              </w:tc>
              <w:tc>
                <w:tcPr>
                  <w:tcW w:w="510" w:type="dxa"/>
                  <w:tcBorders>
                    <w:tl2br w:val="nil"/>
                    <w:tr2bl w:val="nil"/>
                  </w:tcBorders>
                  <w:vAlign w:val="center"/>
                </w:tcPr>
                <w:p w14:paraId="2556EF50">
                  <w:pPr>
                    <w:snapToGrid w:val="0"/>
                    <w:spacing w:line="240" w:lineRule="auto"/>
                    <w:ind w:left="0" w:leftChars="0" w:right="0" w:rightChars="0" w:firstLine="0" w:firstLineChars="0"/>
                    <w:jc w:val="center"/>
                    <w:rPr>
                      <w:rFonts w:hint="default" w:ascii="Times New Roman" w:hAnsi="Times New Roman" w:eastAsia="宋体" w:cs="Times New Roman"/>
                      <w:b/>
                      <w:bCs/>
                      <w:color w:val="000000" w:themeColor="text1"/>
                      <w:spacing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sz w:val="21"/>
                      <w:szCs w:val="21"/>
                      <w14:textFill>
                        <w14:solidFill>
                          <w14:schemeClr w14:val="tx1"/>
                        </w14:solidFill>
                      </w14:textFill>
                    </w:rPr>
                    <w:t>5</w:t>
                  </w:r>
                </w:p>
              </w:tc>
              <w:tc>
                <w:tcPr>
                  <w:tcW w:w="510" w:type="dxa"/>
                  <w:tcBorders>
                    <w:tl2br w:val="nil"/>
                    <w:tr2bl w:val="nil"/>
                  </w:tcBorders>
                  <w:vAlign w:val="center"/>
                </w:tcPr>
                <w:p w14:paraId="1CBC771F">
                  <w:pPr>
                    <w:snapToGrid w:val="0"/>
                    <w:spacing w:line="240" w:lineRule="auto"/>
                    <w:ind w:left="0" w:leftChars="0" w:right="0" w:rightChars="0" w:firstLine="0" w:firstLineChars="0"/>
                    <w:jc w:val="center"/>
                    <w:rPr>
                      <w:rFonts w:hint="default" w:ascii="Times New Roman" w:hAnsi="Times New Roman" w:eastAsia="宋体" w:cs="Times New Roman"/>
                      <w:b/>
                      <w:bCs/>
                      <w:color w:val="000000" w:themeColor="text1"/>
                      <w:spacing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sz w:val="21"/>
                      <w:szCs w:val="21"/>
                      <w14:textFill>
                        <w14:solidFill>
                          <w14:schemeClr w14:val="tx1"/>
                        </w14:solidFill>
                      </w14:textFill>
                    </w:rPr>
                    <w:t>20</w:t>
                  </w:r>
                </w:p>
              </w:tc>
              <w:tc>
                <w:tcPr>
                  <w:tcW w:w="510" w:type="dxa"/>
                  <w:tcBorders>
                    <w:tl2br w:val="nil"/>
                    <w:tr2bl w:val="nil"/>
                  </w:tcBorders>
                  <w:vAlign w:val="center"/>
                </w:tcPr>
                <w:p w14:paraId="1465E359">
                  <w:pPr>
                    <w:snapToGrid w:val="0"/>
                    <w:spacing w:line="240" w:lineRule="auto"/>
                    <w:ind w:left="0" w:leftChars="0" w:right="0" w:rightChars="0" w:firstLine="0" w:firstLineChars="0"/>
                    <w:jc w:val="center"/>
                    <w:rPr>
                      <w:rFonts w:hint="default" w:ascii="Times New Roman" w:hAnsi="Times New Roman" w:eastAsia="宋体" w:cs="Times New Roman"/>
                      <w:b/>
                      <w:bCs/>
                      <w:color w:val="000000" w:themeColor="text1"/>
                      <w:spacing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sz w:val="21"/>
                      <w:szCs w:val="21"/>
                      <w14:textFill>
                        <w14:solidFill>
                          <w14:schemeClr w14:val="tx1"/>
                        </w14:solidFill>
                      </w14:textFill>
                    </w:rPr>
                    <w:t>50</w:t>
                  </w:r>
                </w:p>
              </w:tc>
              <w:tc>
                <w:tcPr>
                  <w:tcW w:w="510" w:type="dxa"/>
                  <w:tcBorders>
                    <w:tl2br w:val="nil"/>
                    <w:tr2bl w:val="nil"/>
                  </w:tcBorders>
                  <w:vAlign w:val="center"/>
                </w:tcPr>
                <w:p w14:paraId="03E1B817">
                  <w:pPr>
                    <w:snapToGrid w:val="0"/>
                    <w:spacing w:line="240" w:lineRule="auto"/>
                    <w:ind w:left="0" w:leftChars="0" w:right="0" w:rightChars="0" w:firstLine="0" w:firstLineChars="0"/>
                    <w:jc w:val="center"/>
                    <w:rPr>
                      <w:rFonts w:hint="default" w:ascii="Times New Roman" w:hAnsi="Times New Roman" w:eastAsia="宋体" w:cs="Times New Roman"/>
                      <w:b/>
                      <w:bCs/>
                      <w:color w:val="000000" w:themeColor="text1"/>
                      <w:spacing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sz w:val="21"/>
                      <w:szCs w:val="21"/>
                      <w14:textFill>
                        <w14:solidFill>
                          <w14:schemeClr w14:val="tx1"/>
                        </w14:solidFill>
                      </w14:textFill>
                    </w:rPr>
                    <w:t>100</w:t>
                  </w:r>
                </w:p>
              </w:tc>
            </w:tr>
            <w:tr w14:paraId="506BEF6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97" w:hRule="exact"/>
                <w:jc w:val="center"/>
              </w:trPr>
              <w:tc>
                <w:tcPr>
                  <w:tcW w:w="2921" w:type="dxa"/>
                  <w:vMerge w:val="restart"/>
                  <w:tcBorders>
                    <w:tl2br w:val="nil"/>
                    <w:tr2bl w:val="nil"/>
                  </w:tcBorders>
                  <w:vAlign w:val="center"/>
                </w:tcPr>
                <w:p w14:paraId="03828641">
                  <w:pPr>
                    <w:snapToGrid w:val="0"/>
                    <w:spacing w:line="240" w:lineRule="auto"/>
                    <w:ind w:firstLine="0" w:firstLineChars="0"/>
                    <w:jc w:val="center"/>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TSP小时平均浓度（mg/Nm</w:t>
                  </w:r>
                  <w:r>
                    <w:rPr>
                      <w:rFonts w:hint="default" w:ascii="Times New Roman" w:hAnsi="Times New Roman" w:eastAsia="宋体" w:cs="Times New Roman"/>
                      <w:color w:val="000000" w:themeColor="text1"/>
                      <w:spacing w:val="0"/>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pacing w:val="0"/>
                      <w:sz w:val="21"/>
                      <w:szCs w:val="21"/>
                      <w14:textFill>
                        <w14:solidFill>
                          <w14:schemeClr w14:val="tx1"/>
                        </w14:solidFill>
                      </w14:textFill>
                    </w:rPr>
                    <w:t>）</w:t>
                  </w:r>
                </w:p>
              </w:tc>
              <w:tc>
                <w:tcPr>
                  <w:tcW w:w="914" w:type="dxa"/>
                  <w:tcBorders>
                    <w:tl2br w:val="nil"/>
                    <w:tr2bl w:val="nil"/>
                  </w:tcBorders>
                  <w:vAlign w:val="center"/>
                </w:tcPr>
                <w:p w14:paraId="36C0CCC2">
                  <w:pPr>
                    <w:snapToGrid w:val="0"/>
                    <w:spacing w:line="240" w:lineRule="auto"/>
                    <w:ind w:firstLine="0" w:firstLineChars="0"/>
                    <w:jc w:val="center"/>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不洒水</w:t>
                  </w:r>
                </w:p>
              </w:tc>
              <w:tc>
                <w:tcPr>
                  <w:tcW w:w="510" w:type="dxa"/>
                  <w:tcBorders>
                    <w:tl2br w:val="nil"/>
                    <w:tr2bl w:val="nil"/>
                  </w:tcBorders>
                  <w:vAlign w:val="center"/>
                </w:tcPr>
                <w:p w14:paraId="62F5F968">
                  <w:pPr>
                    <w:snapToGrid w:val="0"/>
                    <w:spacing w:line="240" w:lineRule="auto"/>
                    <w:ind w:firstLine="0" w:firstLineChars="0"/>
                    <w:jc w:val="center"/>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10.14</w:t>
                  </w:r>
                </w:p>
              </w:tc>
              <w:tc>
                <w:tcPr>
                  <w:tcW w:w="510" w:type="dxa"/>
                  <w:tcBorders>
                    <w:tl2br w:val="nil"/>
                    <w:tr2bl w:val="nil"/>
                  </w:tcBorders>
                  <w:vAlign w:val="center"/>
                </w:tcPr>
                <w:p w14:paraId="1010442B">
                  <w:pPr>
                    <w:snapToGrid w:val="0"/>
                    <w:spacing w:line="240" w:lineRule="auto"/>
                    <w:ind w:firstLine="0" w:firstLineChars="0"/>
                    <w:jc w:val="center"/>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2.89</w:t>
                  </w:r>
                </w:p>
              </w:tc>
              <w:tc>
                <w:tcPr>
                  <w:tcW w:w="510" w:type="dxa"/>
                  <w:tcBorders>
                    <w:tl2br w:val="nil"/>
                    <w:tr2bl w:val="nil"/>
                  </w:tcBorders>
                  <w:vAlign w:val="center"/>
                </w:tcPr>
                <w:p w14:paraId="69408758">
                  <w:pPr>
                    <w:snapToGrid w:val="0"/>
                    <w:spacing w:line="240" w:lineRule="auto"/>
                    <w:ind w:firstLine="0" w:firstLineChars="0"/>
                    <w:jc w:val="center"/>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1.15</w:t>
                  </w:r>
                </w:p>
              </w:tc>
              <w:tc>
                <w:tcPr>
                  <w:tcW w:w="510" w:type="dxa"/>
                  <w:tcBorders>
                    <w:tl2br w:val="nil"/>
                    <w:tr2bl w:val="nil"/>
                  </w:tcBorders>
                  <w:vAlign w:val="center"/>
                </w:tcPr>
                <w:p w14:paraId="2F5357E0">
                  <w:pPr>
                    <w:snapToGrid w:val="0"/>
                    <w:spacing w:line="240" w:lineRule="auto"/>
                    <w:ind w:firstLine="0" w:firstLineChars="0"/>
                    <w:jc w:val="center"/>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0.86</w:t>
                  </w:r>
                </w:p>
              </w:tc>
            </w:tr>
            <w:tr w14:paraId="29BA6C1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97" w:hRule="exact"/>
                <w:jc w:val="center"/>
              </w:trPr>
              <w:tc>
                <w:tcPr>
                  <w:tcW w:w="2921" w:type="dxa"/>
                  <w:vMerge w:val="continue"/>
                  <w:tcBorders>
                    <w:tl2br w:val="nil"/>
                    <w:tr2bl w:val="nil"/>
                  </w:tcBorders>
                  <w:vAlign w:val="center"/>
                </w:tcPr>
                <w:p w14:paraId="58F39667">
                  <w:pPr>
                    <w:snapToGrid w:val="0"/>
                    <w:spacing w:line="240" w:lineRule="auto"/>
                    <w:ind w:firstLine="0" w:firstLineChars="0"/>
                    <w:jc w:val="center"/>
                    <w:rPr>
                      <w:rFonts w:hint="default" w:ascii="Times New Roman" w:hAnsi="Times New Roman" w:eastAsia="宋体" w:cs="Times New Roman"/>
                      <w:color w:val="000000" w:themeColor="text1"/>
                      <w:spacing w:val="0"/>
                      <w:sz w:val="21"/>
                      <w:szCs w:val="21"/>
                      <w14:textFill>
                        <w14:solidFill>
                          <w14:schemeClr w14:val="tx1"/>
                        </w14:solidFill>
                      </w14:textFill>
                    </w:rPr>
                  </w:pPr>
                </w:p>
              </w:tc>
              <w:tc>
                <w:tcPr>
                  <w:tcW w:w="914" w:type="dxa"/>
                  <w:tcBorders>
                    <w:tl2br w:val="nil"/>
                    <w:tr2bl w:val="nil"/>
                  </w:tcBorders>
                  <w:vAlign w:val="center"/>
                </w:tcPr>
                <w:p w14:paraId="55A339B1">
                  <w:pPr>
                    <w:snapToGrid w:val="0"/>
                    <w:spacing w:line="240" w:lineRule="auto"/>
                    <w:ind w:firstLine="0" w:firstLineChars="0"/>
                    <w:jc w:val="center"/>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洒水</w:t>
                  </w:r>
                </w:p>
              </w:tc>
              <w:tc>
                <w:tcPr>
                  <w:tcW w:w="510" w:type="dxa"/>
                  <w:tcBorders>
                    <w:tl2br w:val="nil"/>
                    <w:tr2bl w:val="nil"/>
                  </w:tcBorders>
                  <w:vAlign w:val="center"/>
                </w:tcPr>
                <w:p w14:paraId="2713A5BA">
                  <w:pPr>
                    <w:snapToGrid w:val="0"/>
                    <w:spacing w:line="240" w:lineRule="auto"/>
                    <w:ind w:firstLine="0" w:firstLineChars="0"/>
                    <w:jc w:val="center"/>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2.01</w:t>
                  </w:r>
                </w:p>
              </w:tc>
              <w:tc>
                <w:tcPr>
                  <w:tcW w:w="510" w:type="dxa"/>
                  <w:tcBorders>
                    <w:tl2br w:val="nil"/>
                    <w:tr2bl w:val="nil"/>
                  </w:tcBorders>
                  <w:vAlign w:val="center"/>
                </w:tcPr>
                <w:p w14:paraId="0D09D1F2">
                  <w:pPr>
                    <w:snapToGrid w:val="0"/>
                    <w:spacing w:line="240" w:lineRule="auto"/>
                    <w:ind w:firstLine="0" w:firstLineChars="0"/>
                    <w:jc w:val="center"/>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1.40</w:t>
                  </w:r>
                </w:p>
              </w:tc>
              <w:tc>
                <w:tcPr>
                  <w:tcW w:w="510" w:type="dxa"/>
                  <w:tcBorders>
                    <w:tl2br w:val="nil"/>
                    <w:tr2bl w:val="nil"/>
                  </w:tcBorders>
                  <w:vAlign w:val="center"/>
                </w:tcPr>
                <w:p w14:paraId="6290271D">
                  <w:pPr>
                    <w:snapToGrid w:val="0"/>
                    <w:spacing w:line="240" w:lineRule="auto"/>
                    <w:ind w:firstLine="0" w:firstLineChars="0"/>
                    <w:jc w:val="center"/>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0.67</w:t>
                  </w:r>
                </w:p>
              </w:tc>
              <w:tc>
                <w:tcPr>
                  <w:tcW w:w="510" w:type="dxa"/>
                  <w:tcBorders>
                    <w:tl2br w:val="nil"/>
                    <w:tr2bl w:val="nil"/>
                  </w:tcBorders>
                  <w:vAlign w:val="center"/>
                </w:tcPr>
                <w:p w14:paraId="3CFE8901">
                  <w:pPr>
                    <w:snapToGrid w:val="0"/>
                    <w:spacing w:line="240" w:lineRule="auto"/>
                    <w:ind w:firstLine="0" w:firstLineChars="0"/>
                    <w:jc w:val="center"/>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0.67</w:t>
                  </w:r>
                </w:p>
              </w:tc>
            </w:tr>
          </w:tbl>
          <w:p w14:paraId="268F42A7">
            <w:pPr>
              <w:autoSpaceDE w:val="0"/>
              <w:autoSpaceDN w:val="0"/>
              <w:adjustRightInd w:val="0"/>
              <w:ind w:firstLine="480"/>
              <w:rPr>
                <w:rFonts w:hint="default" w:ascii="Times New Roman" w:hAnsi="Times New Roman" w:eastAsia="宋体" w:cs="Times New Roman"/>
                <w:color w:val="000000" w:themeColor="text1"/>
                <w:kern w:val="0"/>
                <w:lang w:val="en-US" w:eastAsia="zh-CN"/>
                <w14:textFill>
                  <w14:solidFill>
                    <w14:schemeClr w14:val="tx1"/>
                  </w14:solidFill>
                </w14:textFill>
              </w:rPr>
            </w:pPr>
            <w:r>
              <w:rPr>
                <w:rFonts w:hint="default" w:ascii="Times New Roman" w:hAnsi="Times New Roman" w:eastAsia="宋体" w:cs="Times New Roman"/>
                <w:color w:val="000000" w:themeColor="text1"/>
                <w:kern w:val="0"/>
                <w:lang w:val="en-US" w:eastAsia="zh-CN"/>
                <w14:textFill>
                  <w14:solidFill>
                    <w14:schemeClr w14:val="tx1"/>
                  </w14:solidFill>
                </w14:textFill>
              </w:rPr>
              <w:t>由表4-1可知，在施工场地每天洒水抑尘作业4~5次，其扬尘造成的TSP污染距离可缩小到20~50m范围。在项目施工现场，主要是一些运输建材的大型车辆，若不做好施工现场管理会造成一定程度的施工扬尘，危害环境，因此，在施工期应及时对建筑材料运输车辆经过的道路路面以及运输车辆表面进行清理，并保持减速行驶，以减少因道路扬尘对环境敏感点造成的影响。经采取以上措施，项目施工扬尘对附近环境空气质量的影响较小。</w:t>
            </w:r>
          </w:p>
          <w:p w14:paraId="3142E2B7">
            <w:pPr>
              <w:autoSpaceDE w:val="0"/>
              <w:autoSpaceDN w:val="0"/>
              <w:adjustRightInd w:val="0"/>
              <w:ind w:firstLine="480"/>
              <w:rPr>
                <w:rFonts w:hint="default" w:ascii="Times New Roman" w:hAnsi="Times New Roman" w:eastAsia="宋体" w:cs="Times New Roman"/>
                <w:color w:val="000000" w:themeColor="text1"/>
                <w:kern w:val="0"/>
                <w:lang w:val="en-US" w:eastAsia="zh-CN"/>
                <w14:textFill>
                  <w14:solidFill>
                    <w14:schemeClr w14:val="tx1"/>
                  </w14:solidFill>
                </w14:textFill>
              </w:rPr>
            </w:pPr>
            <w:r>
              <w:rPr>
                <w:rFonts w:hint="default" w:ascii="Times New Roman" w:hAnsi="Times New Roman" w:eastAsia="宋体" w:cs="Times New Roman"/>
                <w:color w:val="000000" w:themeColor="text1"/>
                <w:kern w:val="0"/>
                <w:lang w:val="en-US" w:eastAsia="zh-CN"/>
                <w14:textFill>
                  <w14:solidFill>
                    <w14:schemeClr w14:val="tx1"/>
                  </w14:solidFill>
                </w14:textFill>
              </w:rPr>
              <w:t>（2）施工期各类机械和车辆产生的废气</w:t>
            </w:r>
          </w:p>
          <w:p w14:paraId="22E25CD2">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kern w:val="0"/>
                <w:lang w:val="en-US" w:eastAsia="zh-CN"/>
                <w14:textFill>
                  <w14:solidFill>
                    <w14:schemeClr w14:val="tx1"/>
                  </w14:solidFill>
                </w14:textFill>
              </w:rPr>
              <w:t>施工期间各类施工机械流动性强，所产生的废气较为分散，在易于扩散的</w:t>
            </w:r>
            <w:r>
              <w:rPr>
                <w:rFonts w:hint="default" w:ascii="Times New Roman" w:hAnsi="Times New Roman" w:eastAsia="宋体" w:cs="Times New Roman"/>
                <w:color w:val="000000" w:themeColor="text1"/>
                <w:lang w:val="en-US" w:eastAsia="zh-CN"/>
                <w14:textFill>
                  <w14:solidFill>
                    <w14:schemeClr w14:val="tx1"/>
                  </w14:solidFill>
                </w14:textFill>
              </w:rPr>
              <w:t>气象条件下，施工机械尾气对周围环境影响不会很大。</w:t>
            </w:r>
          </w:p>
          <w:p w14:paraId="6FC9C816">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w:t>
            </w:r>
            <w:r>
              <w:rPr>
                <w:rFonts w:hint="default" w:ascii="Times New Roman" w:hAnsi="Times New Roman" w:eastAsia="宋体" w:cs="Times New Roman"/>
                <w:color w:val="000000" w:themeColor="text1"/>
                <w:lang w:val="en-US" w:eastAsia="zh-CN"/>
                <w14:textFill>
                  <w14:solidFill>
                    <w14:schemeClr w14:val="tx1"/>
                  </w14:solidFill>
                </w14:textFill>
              </w:rPr>
              <w:t>装修废气</w:t>
            </w:r>
          </w:p>
          <w:p w14:paraId="3A2CFEF1">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装修期间油漆的使用会向周围环境空气挥发二甲苯和甲苯。二甲苯与甲苯虽具有一定的毒性，但在短时间最大允许浓度下不会产生重大影响。为减少对周围环境及自身环境的影响，应尽可能选用环保型绿色油漆。装修完毕后，保持室内通畅，并空置一段时段后再开始投入使用。考虑本项目产生的二甲苯与甲苯相对浓度不大，再加上油漆废气的释放较缓慢，故基本不会对周围环境产生明显影响。</w:t>
            </w:r>
          </w:p>
          <w:p w14:paraId="75E6F1D8">
            <w:pPr>
              <w:ind w:firstLine="48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3 噪声污染分析</w:t>
            </w:r>
          </w:p>
          <w:p w14:paraId="4DBF41D4">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施工期噪声主要来自施工场地内的各种施工机械设备。</w:t>
            </w:r>
          </w:p>
          <w:p w14:paraId="567DA5AA">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建筑施工场界环境噪声排放标准》（GB12523-2011）所列噪声值是指与敏感区域相应的建筑施工场地界线外的限值。为安全起见，以施工场地边界噪声限值作为施工噪声源强，预测各施工阶段噪声对邻近敏感目标的影响。按照《环境影响评价技术导则》规定的距离衰减公式计算：</w:t>
            </w:r>
          </w:p>
          <w:p w14:paraId="0F1F1876">
            <w:pPr>
              <w:ind w:left="0" w:leftChars="0" w:right="0" w:rightChars="0"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Leq=LA—20lg</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r</w:t>
            </w:r>
            <w:r>
              <w:rPr>
                <w:rFonts w:hint="default" w:ascii="Times New Roman" w:hAnsi="Times New Roman" w:eastAsia="宋体" w:cs="Times New Roman"/>
                <w:color w:val="000000" w:themeColor="text1"/>
                <w:vertAlign w:val="subscript"/>
                <w:lang w:val="en-US" w:eastAsia="zh-CN"/>
                <w14:textFill>
                  <w14:solidFill>
                    <w14:schemeClr w14:val="tx1"/>
                  </w14:solidFill>
                </w14:textFill>
              </w:rPr>
              <w:t>1</w:t>
            </w:r>
            <w:r>
              <w:rPr>
                <w:rFonts w:hint="default" w:ascii="Times New Roman" w:hAnsi="Times New Roman" w:eastAsia="宋体" w:cs="Times New Roman"/>
                <w:color w:val="000000" w:themeColor="text1"/>
                <w:lang w:val="en-US" w:eastAsia="zh-CN"/>
                <w14:textFill>
                  <w14:solidFill>
                    <w14:schemeClr w14:val="tx1"/>
                  </w14:solidFill>
                </w14:textFill>
              </w:rPr>
              <w:t>/r</w:t>
            </w:r>
            <w:r>
              <w:rPr>
                <w:rFonts w:hint="default" w:ascii="Times New Roman" w:hAnsi="Times New Roman" w:eastAsia="宋体" w:cs="Times New Roman"/>
                <w:color w:val="000000" w:themeColor="text1"/>
                <w:vertAlign w:val="subscript"/>
                <w:lang w:val="en-US" w:eastAsia="zh-CN"/>
                <w14:textFill>
                  <w14:solidFill>
                    <w14:schemeClr w14:val="tx1"/>
                  </w14:solidFill>
                </w14:textFill>
              </w:rPr>
              <w:t>0</w:t>
            </w:r>
            <w:r>
              <w:rPr>
                <w:rFonts w:hint="default" w:ascii="Times New Roman" w:hAnsi="Times New Roman" w:cs="Times New Roman"/>
                <w:color w:val="000000" w:themeColor="text1"/>
                <w:lang w:val="en-US" w:eastAsia="zh-CN"/>
                <w14:textFill>
                  <w14:solidFill>
                    <w14:schemeClr w14:val="tx1"/>
                  </w14:solidFill>
                </w14:textFill>
              </w:rPr>
              <w:t>）</w:t>
            </w:r>
          </w:p>
          <w:p w14:paraId="0B17FB5B">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式中：Leq－等效连续A声级，dB</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A</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w:t>
            </w:r>
          </w:p>
          <w:p w14:paraId="4A615DDD">
            <w:pPr>
              <w:ind w:firstLine="1200" w:firstLineChars="5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LA－施工场界噪声级，dB</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A</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w:t>
            </w:r>
          </w:p>
          <w:p w14:paraId="6FB4B949">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在不计房屋阻挡及其它防护措施的条件下，本工程施工现场对距施工场界不同距离的影响，见下表。</w:t>
            </w:r>
          </w:p>
          <w:p w14:paraId="72889D27">
            <w:pPr>
              <w:pStyle w:val="63"/>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cs="Times New Roman"/>
                <w:b/>
                <w:bCs w:val="0"/>
                <w:color w:val="000000" w:themeColor="text1"/>
                <w:sz w:val="21"/>
                <w:szCs w:val="21"/>
                <w14:textFill>
                  <w14:solidFill>
                    <w14:schemeClr w14:val="tx1"/>
                  </w14:solidFill>
                </w14:textFill>
              </w:rPr>
            </w:pPr>
            <w:r>
              <w:rPr>
                <w:rFonts w:hint="default" w:ascii="Times New Roman" w:hAnsi="Times New Roman" w:cs="Times New Roman"/>
                <w:b/>
                <w:bCs w:val="0"/>
                <w:color w:val="000000" w:themeColor="text1"/>
                <w:sz w:val="21"/>
                <w:szCs w:val="21"/>
                <w14:textFill>
                  <w14:solidFill>
                    <w14:schemeClr w14:val="tx1"/>
                  </w14:solidFill>
                </w14:textFill>
              </w:rPr>
              <w:t>表4-</w:t>
            </w:r>
            <w:r>
              <w:rPr>
                <w:rFonts w:hint="default" w:ascii="Times New Roman" w:hAnsi="Times New Roman" w:cs="Times New Roman"/>
                <w:b/>
                <w:bCs w:val="0"/>
                <w:color w:val="000000" w:themeColor="text1"/>
                <w:sz w:val="21"/>
                <w:szCs w:val="21"/>
                <w:lang w:val="en-US" w:eastAsia="zh-CN"/>
                <w14:textFill>
                  <w14:solidFill>
                    <w14:schemeClr w14:val="tx1"/>
                  </w14:solidFill>
                </w14:textFill>
              </w:rPr>
              <w:t xml:space="preserve">2  </w:t>
            </w:r>
            <w:r>
              <w:rPr>
                <w:rFonts w:hint="default" w:ascii="Times New Roman" w:hAnsi="Times New Roman" w:cs="Times New Roman"/>
                <w:b/>
                <w:bCs w:val="0"/>
                <w:color w:val="000000" w:themeColor="text1"/>
                <w:sz w:val="21"/>
                <w:szCs w:val="21"/>
                <w14:textFill>
                  <w14:solidFill>
                    <w14:schemeClr w14:val="tx1"/>
                  </w14:solidFill>
                </w14:textFill>
              </w:rPr>
              <w:t>施工各阶段机械设备作用情况</w:t>
            </w:r>
          </w:p>
          <w:tbl>
            <w:tblPr>
              <w:tblStyle w:val="65"/>
              <w:tblW w:w="7499"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984"/>
              <w:gridCol w:w="1063"/>
              <w:gridCol w:w="681"/>
              <w:gridCol w:w="681"/>
              <w:gridCol w:w="680"/>
              <w:gridCol w:w="680"/>
              <w:gridCol w:w="680"/>
              <w:gridCol w:w="681"/>
              <w:gridCol w:w="682"/>
              <w:gridCol w:w="687"/>
            </w:tblGrid>
            <w:tr w14:paraId="6234490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06" w:hRule="atLeast"/>
                <w:jc w:val="center"/>
              </w:trPr>
              <w:tc>
                <w:tcPr>
                  <w:tcW w:w="984" w:type="dxa"/>
                  <w:vMerge w:val="restart"/>
                  <w:tcBorders>
                    <w:tl2br w:val="nil"/>
                    <w:tr2bl w:val="nil"/>
                  </w:tcBorders>
                  <w:vAlign w:val="center"/>
                </w:tcPr>
                <w:p w14:paraId="558C92FB">
                  <w:pPr>
                    <w:snapToGrid w:val="0"/>
                    <w:spacing w:line="240" w:lineRule="auto"/>
                    <w:ind w:left="0" w:leftChars="0" w:right="0" w:rightChars="0" w:firstLine="0" w:firstLineChars="0"/>
                    <w:jc w:val="center"/>
                    <w:rPr>
                      <w:rFonts w:hint="default" w:ascii="Times New Roman" w:hAnsi="Times New Roman" w:eastAsia="宋体" w:cs="Times New Roman"/>
                      <w:b/>
                      <w:bCs/>
                      <w:color w:val="000000" w:themeColor="text1"/>
                      <w:spacing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sz w:val="21"/>
                      <w:szCs w:val="21"/>
                      <w14:textFill>
                        <w14:solidFill>
                          <w14:schemeClr w14:val="tx1"/>
                        </w14:solidFill>
                      </w14:textFill>
                    </w:rPr>
                    <w:t>施工阶段</w:t>
                  </w:r>
                </w:p>
              </w:tc>
              <w:tc>
                <w:tcPr>
                  <w:tcW w:w="1063" w:type="dxa"/>
                  <w:vMerge w:val="restart"/>
                  <w:tcBorders>
                    <w:tl2br w:val="nil"/>
                    <w:tr2bl w:val="nil"/>
                  </w:tcBorders>
                  <w:vAlign w:val="center"/>
                </w:tcPr>
                <w:p w14:paraId="41971D77">
                  <w:pPr>
                    <w:snapToGrid w:val="0"/>
                    <w:spacing w:line="240" w:lineRule="auto"/>
                    <w:ind w:left="0" w:leftChars="0" w:right="0" w:rightChars="0" w:firstLine="0" w:firstLineChars="0"/>
                    <w:jc w:val="center"/>
                    <w:rPr>
                      <w:rFonts w:hint="default" w:ascii="Times New Roman" w:hAnsi="Times New Roman" w:eastAsia="宋体" w:cs="Times New Roman"/>
                      <w:b/>
                      <w:bCs/>
                      <w:color w:val="000000" w:themeColor="text1"/>
                      <w:spacing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sz w:val="21"/>
                      <w:szCs w:val="21"/>
                      <w14:textFill>
                        <w14:solidFill>
                          <w14:schemeClr w14:val="tx1"/>
                        </w14:solidFill>
                      </w14:textFill>
                    </w:rPr>
                    <w:t>场界噪声级</w:t>
                  </w:r>
                </w:p>
              </w:tc>
              <w:tc>
                <w:tcPr>
                  <w:tcW w:w="5452" w:type="dxa"/>
                  <w:gridSpan w:val="8"/>
                  <w:tcBorders>
                    <w:tl2br w:val="nil"/>
                    <w:tr2bl w:val="nil"/>
                  </w:tcBorders>
                  <w:vAlign w:val="center"/>
                </w:tcPr>
                <w:p w14:paraId="692F806A">
                  <w:pPr>
                    <w:snapToGrid w:val="0"/>
                    <w:spacing w:line="240" w:lineRule="auto"/>
                    <w:ind w:left="0" w:leftChars="0" w:right="0" w:rightChars="0" w:firstLine="0" w:firstLineChars="0"/>
                    <w:jc w:val="center"/>
                    <w:rPr>
                      <w:rFonts w:hint="default" w:ascii="Times New Roman" w:hAnsi="Times New Roman" w:eastAsia="宋体" w:cs="Times New Roman"/>
                      <w:b/>
                      <w:bCs/>
                      <w:color w:val="000000" w:themeColor="text1"/>
                      <w:spacing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sz w:val="21"/>
                      <w:szCs w:val="21"/>
                      <w14:textFill>
                        <w14:solidFill>
                          <w14:schemeClr w14:val="tx1"/>
                        </w14:solidFill>
                      </w14:textFill>
                    </w:rPr>
                    <w:t>与项目边界距离（m）</w:t>
                  </w:r>
                </w:p>
              </w:tc>
            </w:tr>
            <w:tr w14:paraId="0ED5D2C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0" w:hRule="atLeast"/>
                <w:jc w:val="center"/>
              </w:trPr>
              <w:tc>
                <w:tcPr>
                  <w:tcW w:w="984" w:type="dxa"/>
                  <w:vMerge w:val="continue"/>
                  <w:tcBorders>
                    <w:tl2br w:val="nil"/>
                    <w:tr2bl w:val="nil"/>
                  </w:tcBorders>
                  <w:vAlign w:val="center"/>
                </w:tcPr>
                <w:p w14:paraId="102B1617">
                  <w:pPr>
                    <w:snapToGrid w:val="0"/>
                    <w:spacing w:line="240" w:lineRule="auto"/>
                    <w:ind w:left="0" w:leftChars="0" w:right="0" w:rightChars="0" w:firstLine="0" w:firstLineChars="0"/>
                    <w:jc w:val="center"/>
                    <w:rPr>
                      <w:rFonts w:hint="default" w:ascii="Times New Roman" w:hAnsi="Times New Roman" w:eastAsia="宋体" w:cs="Times New Roman"/>
                      <w:b/>
                      <w:bCs/>
                      <w:color w:val="000000" w:themeColor="text1"/>
                      <w:spacing w:val="0"/>
                      <w:sz w:val="21"/>
                      <w:szCs w:val="21"/>
                      <w14:textFill>
                        <w14:solidFill>
                          <w14:schemeClr w14:val="tx1"/>
                        </w14:solidFill>
                      </w14:textFill>
                    </w:rPr>
                  </w:pPr>
                </w:p>
              </w:tc>
              <w:tc>
                <w:tcPr>
                  <w:tcW w:w="1063" w:type="dxa"/>
                  <w:vMerge w:val="continue"/>
                  <w:tcBorders>
                    <w:tl2br w:val="nil"/>
                    <w:tr2bl w:val="nil"/>
                  </w:tcBorders>
                  <w:vAlign w:val="center"/>
                </w:tcPr>
                <w:p w14:paraId="7A1D807A">
                  <w:pPr>
                    <w:snapToGrid w:val="0"/>
                    <w:spacing w:line="240" w:lineRule="auto"/>
                    <w:ind w:left="0" w:leftChars="0" w:right="0" w:rightChars="0" w:firstLine="0" w:firstLineChars="0"/>
                    <w:jc w:val="center"/>
                    <w:rPr>
                      <w:rFonts w:hint="default" w:ascii="Times New Roman" w:hAnsi="Times New Roman" w:eastAsia="宋体" w:cs="Times New Roman"/>
                      <w:b/>
                      <w:bCs/>
                      <w:color w:val="000000" w:themeColor="text1"/>
                      <w:spacing w:val="0"/>
                      <w:sz w:val="21"/>
                      <w:szCs w:val="21"/>
                      <w14:textFill>
                        <w14:solidFill>
                          <w14:schemeClr w14:val="tx1"/>
                        </w14:solidFill>
                      </w14:textFill>
                    </w:rPr>
                  </w:pPr>
                </w:p>
              </w:tc>
              <w:tc>
                <w:tcPr>
                  <w:tcW w:w="681" w:type="dxa"/>
                  <w:tcBorders>
                    <w:tl2br w:val="nil"/>
                    <w:tr2bl w:val="nil"/>
                  </w:tcBorders>
                  <w:vAlign w:val="center"/>
                </w:tcPr>
                <w:p w14:paraId="7AAF6945">
                  <w:pPr>
                    <w:snapToGrid w:val="0"/>
                    <w:spacing w:line="240" w:lineRule="auto"/>
                    <w:ind w:left="0" w:leftChars="0" w:right="0" w:rightChars="0" w:firstLine="0" w:firstLineChars="0"/>
                    <w:jc w:val="center"/>
                    <w:rPr>
                      <w:rFonts w:hint="default" w:ascii="Times New Roman" w:hAnsi="Times New Roman" w:eastAsia="宋体" w:cs="Times New Roman"/>
                      <w:b/>
                      <w:bCs/>
                      <w:color w:val="000000" w:themeColor="text1"/>
                      <w:spacing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sz w:val="21"/>
                      <w:szCs w:val="21"/>
                      <w14:textFill>
                        <w14:solidFill>
                          <w14:schemeClr w14:val="tx1"/>
                        </w14:solidFill>
                      </w14:textFill>
                    </w:rPr>
                    <w:t>10</w:t>
                  </w:r>
                </w:p>
              </w:tc>
              <w:tc>
                <w:tcPr>
                  <w:tcW w:w="681" w:type="dxa"/>
                  <w:tcBorders>
                    <w:tl2br w:val="nil"/>
                    <w:tr2bl w:val="nil"/>
                  </w:tcBorders>
                  <w:vAlign w:val="center"/>
                </w:tcPr>
                <w:p w14:paraId="37A3F112">
                  <w:pPr>
                    <w:snapToGrid w:val="0"/>
                    <w:spacing w:line="240" w:lineRule="auto"/>
                    <w:ind w:left="0" w:leftChars="0" w:right="0" w:rightChars="0" w:firstLine="0" w:firstLineChars="0"/>
                    <w:jc w:val="center"/>
                    <w:rPr>
                      <w:rFonts w:hint="default" w:ascii="Times New Roman" w:hAnsi="Times New Roman" w:eastAsia="宋体" w:cs="Times New Roman"/>
                      <w:b/>
                      <w:bCs/>
                      <w:color w:val="000000" w:themeColor="text1"/>
                      <w:spacing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sz w:val="21"/>
                      <w:szCs w:val="21"/>
                      <w14:textFill>
                        <w14:solidFill>
                          <w14:schemeClr w14:val="tx1"/>
                        </w14:solidFill>
                      </w14:textFill>
                    </w:rPr>
                    <w:t>20</w:t>
                  </w:r>
                </w:p>
              </w:tc>
              <w:tc>
                <w:tcPr>
                  <w:tcW w:w="680" w:type="dxa"/>
                  <w:tcBorders>
                    <w:tl2br w:val="nil"/>
                    <w:tr2bl w:val="nil"/>
                  </w:tcBorders>
                  <w:vAlign w:val="center"/>
                </w:tcPr>
                <w:p w14:paraId="26A5C2A8">
                  <w:pPr>
                    <w:snapToGrid w:val="0"/>
                    <w:spacing w:line="240" w:lineRule="auto"/>
                    <w:ind w:left="0" w:leftChars="0" w:right="0" w:rightChars="0" w:firstLine="0" w:firstLineChars="0"/>
                    <w:jc w:val="center"/>
                    <w:rPr>
                      <w:rFonts w:hint="default" w:ascii="Times New Roman" w:hAnsi="Times New Roman" w:eastAsia="宋体" w:cs="Times New Roman"/>
                      <w:b/>
                      <w:bCs/>
                      <w:color w:val="000000" w:themeColor="text1"/>
                      <w:spacing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sz w:val="21"/>
                      <w:szCs w:val="21"/>
                      <w14:textFill>
                        <w14:solidFill>
                          <w14:schemeClr w14:val="tx1"/>
                        </w14:solidFill>
                      </w14:textFill>
                    </w:rPr>
                    <w:t>30</w:t>
                  </w:r>
                </w:p>
              </w:tc>
              <w:tc>
                <w:tcPr>
                  <w:tcW w:w="680" w:type="dxa"/>
                  <w:tcBorders>
                    <w:tl2br w:val="nil"/>
                    <w:tr2bl w:val="nil"/>
                  </w:tcBorders>
                  <w:vAlign w:val="center"/>
                </w:tcPr>
                <w:p w14:paraId="169DD928">
                  <w:pPr>
                    <w:snapToGrid w:val="0"/>
                    <w:spacing w:line="240" w:lineRule="auto"/>
                    <w:ind w:left="0" w:leftChars="0" w:right="0" w:rightChars="0" w:firstLine="0" w:firstLineChars="0"/>
                    <w:jc w:val="center"/>
                    <w:rPr>
                      <w:rFonts w:hint="default" w:ascii="Times New Roman" w:hAnsi="Times New Roman" w:eastAsia="宋体" w:cs="Times New Roman"/>
                      <w:b/>
                      <w:bCs/>
                      <w:color w:val="000000" w:themeColor="text1"/>
                      <w:spacing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sz w:val="21"/>
                      <w:szCs w:val="21"/>
                      <w14:textFill>
                        <w14:solidFill>
                          <w14:schemeClr w14:val="tx1"/>
                        </w14:solidFill>
                      </w14:textFill>
                    </w:rPr>
                    <w:t>40</w:t>
                  </w:r>
                </w:p>
              </w:tc>
              <w:tc>
                <w:tcPr>
                  <w:tcW w:w="680" w:type="dxa"/>
                  <w:tcBorders>
                    <w:tl2br w:val="nil"/>
                    <w:tr2bl w:val="nil"/>
                  </w:tcBorders>
                  <w:vAlign w:val="center"/>
                </w:tcPr>
                <w:p w14:paraId="49EE676B">
                  <w:pPr>
                    <w:snapToGrid w:val="0"/>
                    <w:spacing w:line="240" w:lineRule="auto"/>
                    <w:ind w:left="0" w:leftChars="0" w:right="0" w:rightChars="0" w:firstLine="0" w:firstLineChars="0"/>
                    <w:jc w:val="center"/>
                    <w:rPr>
                      <w:rFonts w:hint="default" w:ascii="Times New Roman" w:hAnsi="Times New Roman" w:eastAsia="宋体" w:cs="Times New Roman"/>
                      <w:b/>
                      <w:bCs/>
                      <w:color w:val="000000" w:themeColor="text1"/>
                      <w:spacing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sz w:val="21"/>
                      <w:szCs w:val="21"/>
                      <w14:textFill>
                        <w14:solidFill>
                          <w14:schemeClr w14:val="tx1"/>
                        </w14:solidFill>
                      </w14:textFill>
                    </w:rPr>
                    <w:t>50</w:t>
                  </w:r>
                </w:p>
              </w:tc>
              <w:tc>
                <w:tcPr>
                  <w:tcW w:w="681" w:type="dxa"/>
                  <w:tcBorders>
                    <w:tl2br w:val="nil"/>
                    <w:tr2bl w:val="nil"/>
                  </w:tcBorders>
                  <w:vAlign w:val="center"/>
                </w:tcPr>
                <w:p w14:paraId="3F72EB30">
                  <w:pPr>
                    <w:snapToGrid w:val="0"/>
                    <w:spacing w:line="240" w:lineRule="auto"/>
                    <w:ind w:left="0" w:leftChars="0" w:right="0" w:rightChars="0" w:firstLine="0" w:firstLineChars="0"/>
                    <w:jc w:val="center"/>
                    <w:rPr>
                      <w:rFonts w:hint="default" w:ascii="Times New Roman" w:hAnsi="Times New Roman" w:eastAsia="宋体" w:cs="Times New Roman"/>
                      <w:b/>
                      <w:bCs/>
                      <w:color w:val="000000" w:themeColor="text1"/>
                      <w:spacing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sz w:val="21"/>
                      <w:szCs w:val="21"/>
                      <w14:textFill>
                        <w14:solidFill>
                          <w14:schemeClr w14:val="tx1"/>
                        </w14:solidFill>
                      </w14:textFill>
                    </w:rPr>
                    <w:t>60</w:t>
                  </w:r>
                </w:p>
              </w:tc>
              <w:tc>
                <w:tcPr>
                  <w:tcW w:w="682" w:type="dxa"/>
                  <w:tcBorders>
                    <w:tl2br w:val="nil"/>
                    <w:tr2bl w:val="nil"/>
                  </w:tcBorders>
                  <w:vAlign w:val="center"/>
                </w:tcPr>
                <w:p w14:paraId="6CE19512">
                  <w:pPr>
                    <w:snapToGrid w:val="0"/>
                    <w:spacing w:line="240" w:lineRule="auto"/>
                    <w:ind w:left="0" w:leftChars="0" w:right="0" w:rightChars="0" w:firstLine="0" w:firstLineChars="0"/>
                    <w:jc w:val="center"/>
                    <w:rPr>
                      <w:rFonts w:hint="default" w:ascii="Times New Roman" w:hAnsi="Times New Roman" w:eastAsia="宋体" w:cs="Times New Roman"/>
                      <w:b/>
                      <w:bCs/>
                      <w:color w:val="000000" w:themeColor="text1"/>
                      <w:spacing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sz w:val="21"/>
                      <w:szCs w:val="21"/>
                      <w14:textFill>
                        <w14:solidFill>
                          <w14:schemeClr w14:val="tx1"/>
                        </w14:solidFill>
                      </w14:textFill>
                    </w:rPr>
                    <w:t>70</w:t>
                  </w:r>
                </w:p>
              </w:tc>
              <w:tc>
                <w:tcPr>
                  <w:tcW w:w="687" w:type="dxa"/>
                  <w:tcBorders>
                    <w:tl2br w:val="nil"/>
                    <w:tr2bl w:val="nil"/>
                  </w:tcBorders>
                  <w:vAlign w:val="center"/>
                </w:tcPr>
                <w:p w14:paraId="26746809">
                  <w:pPr>
                    <w:snapToGrid w:val="0"/>
                    <w:spacing w:line="240" w:lineRule="auto"/>
                    <w:ind w:left="0" w:leftChars="0" w:right="0" w:rightChars="0" w:firstLine="0" w:firstLineChars="0"/>
                    <w:jc w:val="center"/>
                    <w:rPr>
                      <w:rFonts w:hint="default" w:ascii="Times New Roman" w:hAnsi="Times New Roman" w:eastAsia="宋体" w:cs="Times New Roman"/>
                      <w:b/>
                      <w:bCs/>
                      <w:color w:val="000000" w:themeColor="text1"/>
                      <w:spacing w:val="0"/>
                      <w:sz w:val="21"/>
                      <w:szCs w:val="21"/>
                      <w14:textFill>
                        <w14:solidFill>
                          <w14:schemeClr w14:val="tx1"/>
                        </w14:solidFill>
                      </w14:textFill>
                    </w:rPr>
                  </w:pPr>
                  <w:r>
                    <w:rPr>
                      <w:rFonts w:hint="default" w:ascii="Times New Roman" w:hAnsi="Times New Roman" w:eastAsia="宋体" w:cs="Times New Roman"/>
                      <w:b/>
                      <w:bCs/>
                      <w:color w:val="000000" w:themeColor="text1"/>
                      <w:spacing w:val="0"/>
                      <w:sz w:val="21"/>
                      <w:szCs w:val="21"/>
                      <w14:textFill>
                        <w14:solidFill>
                          <w14:schemeClr w14:val="tx1"/>
                        </w14:solidFill>
                      </w14:textFill>
                    </w:rPr>
                    <w:t>80</w:t>
                  </w:r>
                </w:p>
              </w:tc>
            </w:tr>
            <w:tr w14:paraId="3D43F47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6" w:hRule="atLeast"/>
                <w:jc w:val="center"/>
              </w:trPr>
              <w:tc>
                <w:tcPr>
                  <w:tcW w:w="984" w:type="dxa"/>
                  <w:tcBorders>
                    <w:tl2br w:val="nil"/>
                    <w:tr2bl w:val="nil"/>
                  </w:tcBorders>
                  <w:shd w:val="clear" w:color="auto" w:fill="auto"/>
                  <w:vAlign w:val="center"/>
                </w:tcPr>
                <w:p w14:paraId="3D148CD4">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土石方</w:t>
                  </w:r>
                </w:p>
              </w:tc>
              <w:tc>
                <w:tcPr>
                  <w:tcW w:w="1063" w:type="dxa"/>
                  <w:tcBorders>
                    <w:tl2br w:val="nil"/>
                    <w:tr2bl w:val="nil"/>
                  </w:tcBorders>
                  <w:shd w:val="clear" w:color="auto" w:fill="auto"/>
                  <w:vAlign w:val="center"/>
                </w:tcPr>
                <w:p w14:paraId="4C8D90F8">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75/55</w:t>
                  </w:r>
                </w:p>
              </w:tc>
              <w:tc>
                <w:tcPr>
                  <w:tcW w:w="681" w:type="dxa"/>
                  <w:tcBorders>
                    <w:tl2br w:val="nil"/>
                    <w:tr2bl w:val="nil"/>
                  </w:tcBorders>
                  <w:shd w:val="clear" w:color="auto" w:fill="auto"/>
                  <w:vAlign w:val="center"/>
                </w:tcPr>
                <w:p w14:paraId="7BEEE14D">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55/35</w:t>
                  </w:r>
                </w:p>
              </w:tc>
              <w:tc>
                <w:tcPr>
                  <w:tcW w:w="681" w:type="dxa"/>
                  <w:tcBorders>
                    <w:tl2br w:val="nil"/>
                    <w:tr2bl w:val="nil"/>
                  </w:tcBorders>
                  <w:shd w:val="clear" w:color="auto" w:fill="auto"/>
                  <w:vAlign w:val="center"/>
                </w:tcPr>
                <w:p w14:paraId="562C39C2">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49/29</w:t>
                  </w:r>
                </w:p>
              </w:tc>
              <w:tc>
                <w:tcPr>
                  <w:tcW w:w="680" w:type="dxa"/>
                  <w:tcBorders>
                    <w:tl2br w:val="nil"/>
                    <w:tr2bl w:val="nil"/>
                  </w:tcBorders>
                  <w:shd w:val="clear" w:color="auto" w:fill="auto"/>
                  <w:vAlign w:val="center"/>
                </w:tcPr>
                <w:p w14:paraId="2D96A562">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45/25</w:t>
                  </w:r>
                </w:p>
              </w:tc>
              <w:tc>
                <w:tcPr>
                  <w:tcW w:w="680" w:type="dxa"/>
                  <w:tcBorders>
                    <w:tl2br w:val="nil"/>
                    <w:tr2bl w:val="nil"/>
                  </w:tcBorders>
                  <w:shd w:val="clear" w:color="auto" w:fill="auto"/>
                  <w:vAlign w:val="center"/>
                </w:tcPr>
                <w:p w14:paraId="498229CB">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43/23</w:t>
                  </w:r>
                </w:p>
              </w:tc>
              <w:tc>
                <w:tcPr>
                  <w:tcW w:w="680" w:type="dxa"/>
                  <w:tcBorders>
                    <w:tl2br w:val="nil"/>
                    <w:tr2bl w:val="nil"/>
                  </w:tcBorders>
                  <w:shd w:val="clear" w:color="auto" w:fill="auto"/>
                  <w:vAlign w:val="center"/>
                </w:tcPr>
                <w:p w14:paraId="02A2A895">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41/21</w:t>
                  </w:r>
                </w:p>
              </w:tc>
              <w:tc>
                <w:tcPr>
                  <w:tcW w:w="681" w:type="dxa"/>
                  <w:tcBorders>
                    <w:tl2br w:val="nil"/>
                    <w:tr2bl w:val="nil"/>
                  </w:tcBorders>
                  <w:shd w:val="clear" w:color="auto" w:fill="auto"/>
                  <w:vAlign w:val="center"/>
                </w:tcPr>
                <w:p w14:paraId="77E9D0DB">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39/19</w:t>
                  </w:r>
                </w:p>
              </w:tc>
              <w:tc>
                <w:tcPr>
                  <w:tcW w:w="682" w:type="dxa"/>
                  <w:tcBorders>
                    <w:tl2br w:val="nil"/>
                    <w:tr2bl w:val="nil"/>
                  </w:tcBorders>
                  <w:shd w:val="clear" w:color="auto" w:fill="auto"/>
                  <w:vAlign w:val="center"/>
                </w:tcPr>
                <w:p w14:paraId="3415BF91">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38/18</w:t>
                  </w:r>
                </w:p>
              </w:tc>
              <w:tc>
                <w:tcPr>
                  <w:tcW w:w="687" w:type="dxa"/>
                  <w:tcBorders>
                    <w:tl2br w:val="nil"/>
                    <w:tr2bl w:val="nil"/>
                  </w:tcBorders>
                  <w:shd w:val="clear" w:color="auto" w:fill="auto"/>
                  <w:vAlign w:val="center"/>
                </w:tcPr>
                <w:p w14:paraId="3D637AFE">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36/16</w:t>
                  </w:r>
                </w:p>
              </w:tc>
            </w:tr>
            <w:tr w14:paraId="2327488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6" w:hRule="atLeast"/>
                <w:jc w:val="center"/>
              </w:trPr>
              <w:tc>
                <w:tcPr>
                  <w:tcW w:w="984" w:type="dxa"/>
                  <w:tcBorders>
                    <w:tl2br w:val="nil"/>
                    <w:tr2bl w:val="nil"/>
                  </w:tcBorders>
                  <w:shd w:val="clear" w:color="auto" w:fill="auto"/>
                  <w:vAlign w:val="center"/>
                </w:tcPr>
                <w:p w14:paraId="1DD4DDB5">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打桩</w:t>
                  </w:r>
                </w:p>
              </w:tc>
              <w:tc>
                <w:tcPr>
                  <w:tcW w:w="1063" w:type="dxa"/>
                  <w:tcBorders>
                    <w:tl2br w:val="nil"/>
                    <w:tr2bl w:val="nil"/>
                  </w:tcBorders>
                  <w:shd w:val="clear" w:color="auto" w:fill="auto"/>
                  <w:vAlign w:val="center"/>
                </w:tcPr>
                <w:p w14:paraId="770F3C59">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85/无</w:t>
                  </w:r>
                </w:p>
              </w:tc>
              <w:tc>
                <w:tcPr>
                  <w:tcW w:w="681" w:type="dxa"/>
                  <w:tcBorders>
                    <w:tl2br w:val="nil"/>
                    <w:tr2bl w:val="nil"/>
                  </w:tcBorders>
                  <w:shd w:val="clear" w:color="auto" w:fill="auto"/>
                  <w:vAlign w:val="center"/>
                </w:tcPr>
                <w:p w14:paraId="209FC794">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66/无</w:t>
                  </w:r>
                </w:p>
              </w:tc>
              <w:tc>
                <w:tcPr>
                  <w:tcW w:w="681" w:type="dxa"/>
                  <w:tcBorders>
                    <w:tl2br w:val="nil"/>
                    <w:tr2bl w:val="nil"/>
                  </w:tcBorders>
                  <w:shd w:val="clear" w:color="auto" w:fill="auto"/>
                  <w:vAlign w:val="center"/>
                </w:tcPr>
                <w:p w14:paraId="4A6D50E1">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59/无</w:t>
                  </w:r>
                </w:p>
              </w:tc>
              <w:tc>
                <w:tcPr>
                  <w:tcW w:w="680" w:type="dxa"/>
                  <w:tcBorders>
                    <w:tl2br w:val="nil"/>
                    <w:tr2bl w:val="nil"/>
                  </w:tcBorders>
                  <w:shd w:val="clear" w:color="auto" w:fill="auto"/>
                  <w:vAlign w:val="center"/>
                </w:tcPr>
                <w:p w14:paraId="41A0803E">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55/无</w:t>
                  </w:r>
                </w:p>
              </w:tc>
              <w:tc>
                <w:tcPr>
                  <w:tcW w:w="680" w:type="dxa"/>
                  <w:tcBorders>
                    <w:tl2br w:val="nil"/>
                    <w:tr2bl w:val="nil"/>
                  </w:tcBorders>
                  <w:shd w:val="clear" w:color="auto" w:fill="auto"/>
                  <w:vAlign w:val="center"/>
                </w:tcPr>
                <w:p w14:paraId="39B9EA72">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53/无</w:t>
                  </w:r>
                </w:p>
              </w:tc>
              <w:tc>
                <w:tcPr>
                  <w:tcW w:w="680" w:type="dxa"/>
                  <w:tcBorders>
                    <w:tl2br w:val="nil"/>
                    <w:tr2bl w:val="nil"/>
                  </w:tcBorders>
                  <w:shd w:val="clear" w:color="auto" w:fill="auto"/>
                  <w:vAlign w:val="center"/>
                </w:tcPr>
                <w:p w14:paraId="02D986DF">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51/无</w:t>
                  </w:r>
                </w:p>
              </w:tc>
              <w:tc>
                <w:tcPr>
                  <w:tcW w:w="681" w:type="dxa"/>
                  <w:tcBorders>
                    <w:tl2br w:val="nil"/>
                    <w:tr2bl w:val="nil"/>
                  </w:tcBorders>
                  <w:shd w:val="clear" w:color="auto" w:fill="auto"/>
                  <w:vAlign w:val="center"/>
                </w:tcPr>
                <w:p w14:paraId="767476A3">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49/无</w:t>
                  </w:r>
                </w:p>
              </w:tc>
              <w:tc>
                <w:tcPr>
                  <w:tcW w:w="682" w:type="dxa"/>
                  <w:tcBorders>
                    <w:tl2br w:val="nil"/>
                    <w:tr2bl w:val="nil"/>
                  </w:tcBorders>
                  <w:shd w:val="clear" w:color="auto" w:fill="auto"/>
                  <w:vAlign w:val="center"/>
                </w:tcPr>
                <w:p w14:paraId="1A873099">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48/无</w:t>
                  </w:r>
                </w:p>
              </w:tc>
              <w:tc>
                <w:tcPr>
                  <w:tcW w:w="687" w:type="dxa"/>
                  <w:tcBorders>
                    <w:tl2br w:val="nil"/>
                    <w:tr2bl w:val="nil"/>
                  </w:tcBorders>
                  <w:shd w:val="clear" w:color="auto" w:fill="auto"/>
                  <w:vAlign w:val="center"/>
                </w:tcPr>
                <w:p w14:paraId="072A3DAE">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46/无</w:t>
                  </w:r>
                </w:p>
              </w:tc>
            </w:tr>
            <w:tr w14:paraId="796F966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6" w:hRule="atLeast"/>
                <w:jc w:val="center"/>
              </w:trPr>
              <w:tc>
                <w:tcPr>
                  <w:tcW w:w="984" w:type="dxa"/>
                  <w:tcBorders>
                    <w:tl2br w:val="nil"/>
                    <w:tr2bl w:val="nil"/>
                  </w:tcBorders>
                  <w:shd w:val="clear" w:color="auto" w:fill="auto"/>
                  <w:vAlign w:val="center"/>
                </w:tcPr>
                <w:p w14:paraId="0A21FE7D">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en-US"/>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结构</w:t>
                  </w:r>
                </w:p>
              </w:tc>
              <w:tc>
                <w:tcPr>
                  <w:tcW w:w="1063" w:type="dxa"/>
                  <w:tcBorders>
                    <w:tl2br w:val="nil"/>
                    <w:tr2bl w:val="nil"/>
                  </w:tcBorders>
                  <w:shd w:val="clear" w:color="auto" w:fill="auto"/>
                  <w:vAlign w:val="center"/>
                </w:tcPr>
                <w:p w14:paraId="4CB5B837">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70/55</w:t>
                  </w:r>
                </w:p>
              </w:tc>
              <w:tc>
                <w:tcPr>
                  <w:tcW w:w="681" w:type="dxa"/>
                  <w:tcBorders>
                    <w:tl2br w:val="nil"/>
                    <w:tr2bl w:val="nil"/>
                  </w:tcBorders>
                  <w:shd w:val="clear" w:color="auto" w:fill="auto"/>
                  <w:vAlign w:val="center"/>
                </w:tcPr>
                <w:p w14:paraId="36C7A5A4">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50/35</w:t>
                  </w:r>
                </w:p>
              </w:tc>
              <w:tc>
                <w:tcPr>
                  <w:tcW w:w="681" w:type="dxa"/>
                  <w:tcBorders>
                    <w:tl2br w:val="nil"/>
                    <w:tr2bl w:val="nil"/>
                  </w:tcBorders>
                  <w:shd w:val="clear" w:color="auto" w:fill="auto"/>
                  <w:vAlign w:val="center"/>
                </w:tcPr>
                <w:p w14:paraId="2B3E1B57">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44/29</w:t>
                  </w:r>
                </w:p>
              </w:tc>
              <w:tc>
                <w:tcPr>
                  <w:tcW w:w="680" w:type="dxa"/>
                  <w:tcBorders>
                    <w:tl2br w:val="nil"/>
                    <w:tr2bl w:val="nil"/>
                  </w:tcBorders>
                  <w:shd w:val="clear" w:color="auto" w:fill="auto"/>
                  <w:vAlign w:val="center"/>
                </w:tcPr>
                <w:p w14:paraId="2147CA65">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40/25</w:t>
                  </w:r>
                </w:p>
              </w:tc>
              <w:tc>
                <w:tcPr>
                  <w:tcW w:w="680" w:type="dxa"/>
                  <w:tcBorders>
                    <w:tl2br w:val="nil"/>
                    <w:tr2bl w:val="nil"/>
                  </w:tcBorders>
                  <w:shd w:val="clear" w:color="auto" w:fill="auto"/>
                  <w:vAlign w:val="center"/>
                </w:tcPr>
                <w:p w14:paraId="143728BD">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38/23</w:t>
                  </w:r>
                </w:p>
              </w:tc>
              <w:tc>
                <w:tcPr>
                  <w:tcW w:w="680" w:type="dxa"/>
                  <w:tcBorders>
                    <w:tl2br w:val="nil"/>
                    <w:tr2bl w:val="nil"/>
                  </w:tcBorders>
                  <w:shd w:val="clear" w:color="auto" w:fill="auto"/>
                  <w:vAlign w:val="center"/>
                </w:tcPr>
                <w:p w14:paraId="34589ABC">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36/21</w:t>
                  </w:r>
                </w:p>
              </w:tc>
              <w:tc>
                <w:tcPr>
                  <w:tcW w:w="681" w:type="dxa"/>
                  <w:tcBorders>
                    <w:tl2br w:val="nil"/>
                    <w:tr2bl w:val="nil"/>
                  </w:tcBorders>
                  <w:shd w:val="clear" w:color="auto" w:fill="auto"/>
                  <w:vAlign w:val="center"/>
                </w:tcPr>
                <w:p w14:paraId="48D6D8DA">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34/19</w:t>
                  </w:r>
                </w:p>
              </w:tc>
              <w:tc>
                <w:tcPr>
                  <w:tcW w:w="682" w:type="dxa"/>
                  <w:tcBorders>
                    <w:tl2br w:val="nil"/>
                    <w:tr2bl w:val="nil"/>
                  </w:tcBorders>
                  <w:shd w:val="clear" w:color="auto" w:fill="auto"/>
                  <w:vAlign w:val="center"/>
                </w:tcPr>
                <w:p w14:paraId="7BAF98EC">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33/18</w:t>
                  </w:r>
                </w:p>
              </w:tc>
              <w:tc>
                <w:tcPr>
                  <w:tcW w:w="687" w:type="dxa"/>
                  <w:tcBorders>
                    <w:tl2br w:val="nil"/>
                    <w:tr2bl w:val="nil"/>
                  </w:tcBorders>
                  <w:shd w:val="clear" w:color="auto" w:fill="auto"/>
                  <w:vAlign w:val="center"/>
                </w:tcPr>
                <w:p w14:paraId="39FFB23A">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31/16</w:t>
                  </w:r>
                </w:p>
              </w:tc>
            </w:tr>
            <w:tr w14:paraId="5D4B902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4" w:hRule="atLeast"/>
                <w:jc w:val="center"/>
              </w:trPr>
              <w:tc>
                <w:tcPr>
                  <w:tcW w:w="7499" w:type="dxa"/>
                  <w:gridSpan w:val="10"/>
                  <w:tcBorders>
                    <w:tl2br w:val="nil"/>
                    <w:tr2bl w:val="nil"/>
                  </w:tcBorders>
                  <w:shd w:val="clear" w:color="auto" w:fill="auto"/>
                  <w:vAlign w:val="center"/>
                </w:tcPr>
                <w:p w14:paraId="17C10EF4">
                  <w:pPr>
                    <w:pStyle w:val="66"/>
                    <w:spacing w:before="29" w:line="221" w:lineRule="auto"/>
                    <w:ind w:left="524"/>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t>注：表中分子代表昼间噪声，分母代表夜间噪声</w:t>
                  </w:r>
                  <w:r>
                    <w:rPr>
                      <w:rFonts w:hint="default" w:ascii="Times New Roman" w:hAnsi="Times New Roman" w:cs="Times New Roman"/>
                      <w:color w:val="000000" w:themeColor="text1"/>
                      <w:spacing w:val="0"/>
                      <w:kern w:val="2"/>
                      <w:sz w:val="21"/>
                      <w:szCs w:val="21"/>
                      <w:lang w:val="en-US" w:eastAsia="zh-CN" w:bidi="ar-SA"/>
                      <w14:textFill>
                        <w14:solidFill>
                          <w14:schemeClr w14:val="tx1"/>
                        </w14:solidFill>
                      </w14:textFill>
                    </w:rPr>
                    <w:t>。</w:t>
                  </w:r>
                </w:p>
              </w:tc>
            </w:tr>
          </w:tbl>
          <w:p w14:paraId="0834BFE8">
            <w:pPr>
              <w:autoSpaceDE w:val="0"/>
              <w:autoSpaceDN w:val="0"/>
              <w:adjustRightInd w:val="0"/>
              <w:ind w:firstLine="480"/>
              <w:rPr>
                <w:rFonts w:hint="default" w:ascii="Times New Roman" w:hAnsi="Times New Roman" w:cs="Times New Roman"/>
                <w:b/>
                <w:bCs w:val="0"/>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由上表可以看出，施工期噪声影响最为严重的是打桩阶段，距场界10米以内噪声影响值大于65dB</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A</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kern w:val="0"/>
                <w14:textFill>
                  <w14:solidFill>
                    <w14:schemeClr w14:val="tx1"/>
                  </w14:solidFill>
                </w14:textFill>
              </w:rPr>
              <w:t>，超过国家规定标准。其它施工阶段噪声对周围环境的影响较小。同时，根据上表可知，距场界80米以外噪声影响值小于46dB</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A</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kern w:val="0"/>
                <w14:textFill>
                  <w14:solidFill>
                    <w14:schemeClr w14:val="tx1"/>
                  </w14:solidFill>
                </w14:textFill>
              </w:rPr>
              <w:t>，能满足国家规定标准，因此，本项目施工噪声对周边环境影响较小</w:t>
            </w:r>
            <w:r>
              <w:rPr>
                <w:rFonts w:hint="eastAsia" w:cs="Times New Roman"/>
                <w:color w:val="000000" w:themeColor="text1"/>
                <w:kern w:val="0"/>
                <w:lang w:eastAsia="zh-CN"/>
                <w14:textFill>
                  <w14:solidFill>
                    <w14:schemeClr w14:val="tx1"/>
                  </w14:solidFill>
                </w14:textFill>
              </w:rPr>
              <w:t>，</w:t>
            </w:r>
            <w:r>
              <w:rPr>
                <w:rFonts w:hint="default" w:ascii="Times New Roman" w:hAnsi="Times New Roman" w:cs="Times New Roman"/>
                <w:color w:val="000000" w:themeColor="text1"/>
                <w:kern w:val="0"/>
                <w14:textFill>
                  <w14:solidFill>
                    <w14:schemeClr w14:val="tx1"/>
                  </w14:solidFill>
                </w14:textFill>
              </w:rPr>
              <w:t>且施工期影响是短期的，将随施工结束而终止。</w:t>
            </w:r>
          </w:p>
          <w:p w14:paraId="127F9222">
            <w:pPr>
              <w:autoSpaceDE w:val="0"/>
              <w:autoSpaceDN w:val="0"/>
              <w:adjustRightInd w:val="0"/>
              <w:ind w:firstLine="482"/>
              <w:rPr>
                <w:rFonts w:hint="default" w:ascii="Times New Roman" w:hAnsi="Times New Roman" w:cs="Times New Roman"/>
                <w:b/>
                <w:color w:val="000000" w:themeColor="text1"/>
                <w:kern w:val="0"/>
                <w14:textFill>
                  <w14:solidFill>
                    <w14:schemeClr w14:val="tx1"/>
                  </w14:solidFill>
                </w14:textFill>
              </w:rPr>
            </w:pPr>
            <w:r>
              <w:rPr>
                <w:rFonts w:hint="default" w:ascii="Times New Roman" w:hAnsi="Times New Roman" w:cs="Times New Roman"/>
                <w:b/>
                <w:color w:val="000000" w:themeColor="text1"/>
                <w:kern w:val="0"/>
                <w14:textFill>
                  <w14:solidFill>
                    <w14:schemeClr w14:val="tx1"/>
                  </w14:solidFill>
                </w14:textFill>
              </w:rPr>
              <w:t>4</w:t>
            </w:r>
            <w:r>
              <w:rPr>
                <w:rFonts w:hint="default" w:ascii="Times New Roman" w:hAnsi="Times New Roman" w:cs="Times New Roman"/>
                <w:b/>
                <w:color w:val="000000" w:themeColor="text1"/>
                <w:kern w:val="0"/>
                <w:lang w:val="en-US" w:eastAsia="zh-CN"/>
                <w14:textFill>
                  <w14:solidFill>
                    <w14:schemeClr w14:val="tx1"/>
                  </w14:solidFill>
                </w14:textFill>
              </w:rPr>
              <w:t xml:space="preserve"> </w:t>
            </w:r>
            <w:r>
              <w:rPr>
                <w:rFonts w:hint="default" w:ascii="Times New Roman" w:hAnsi="Times New Roman" w:cs="Times New Roman"/>
                <w:b/>
                <w:color w:val="000000" w:themeColor="text1"/>
                <w:kern w:val="0"/>
                <w14:textFill>
                  <w14:solidFill>
                    <w14:schemeClr w14:val="tx1"/>
                  </w14:solidFill>
                </w14:textFill>
              </w:rPr>
              <w:t>固废影响分析</w:t>
            </w:r>
          </w:p>
          <w:p w14:paraId="51C6897B">
            <w:pPr>
              <w:autoSpaceDE w:val="0"/>
              <w:autoSpaceDN w:val="0"/>
              <w:adjustRightInd w:val="0"/>
              <w:ind w:firstLine="480"/>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施工期固体废弃物主要有生活垃圾和废弃的混凝土、土建过程产生的</w:t>
            </w:r>
            <w:r>
              <w:rPr>
                <w:rFonts w:hint="default" w:ascii="Times New Roman" w:hAnsi="Times New Roman" w:cs="Times New Roman"/>
                <w:color w:val="000000" w:themeColor="text1"/>
                <w:kern w:val="0"/>
                <w:lang w:val="en-US" w:eastAsia="zh-CN"/>
                <w14:textFill>
                  <w14:solidFill>
                    <w14:schemeClr w14:val="tx1"/>
                  </w14:solidFill>
                </w14:textFill>
              </w:rPr>
              <w:t>建筑垃圾</w:t>
            </w:r>
            <w:r>
              <w:rPr>
                <w:rFonts w:hint="default" w:ascii="Times New Roman" w:hAnsi="Times New Roman" w:cs="Times New Roman"/>
                <w:color w:val="000000" w:themeColor="text1"/>
                <w:kern w:val="0"/>
                <w14:textFill>
                  <w14:solidFill>
                    <w14:schemeClr w14:val="tx1"/>
                  </w14:solidFill>
                </w14:textFill>
              </w:rPr>
              <w:t>等。</w:t>
            </w:r>
            <w:r>
              <w:rPr>
                <w:rFonts w:hint="default" w:ascii="Times New Roman" w:hAnsi="Times New Roman" w:eastAsia="宋体" w:cs="Times New Roman"/>
                <w:color w:val="000000" w:themeColor="text1"/>
                <w:lang w:eastAsia="zh-CN"/>
                <w14:textFill>
                  <w14:solidFill>
                    <w14:schemeClr w14:val="tx1"/>
                  </w14:solidFill>
                </w14:textFill>
              </w:rPr>
              <w:t>本项目挖填方平衡，不产生弃土。</w:t>
            </w:r>
          </w:p>
          <w:p w14:paraId="0430DA84">
            <w:pPr>
              <w:ind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①</w:t>
            </w:r>
            <w:r>
              <w:rPr>
                <w:rFonts w:hint="default" w:ascii="Times New Roman" w:hAnsi="Times New Roman" w:eastAsia="宋体" w:cs="Times New Roman"/>
                <w:color w:val="000000" w:themeColor="text1"/>
                <w14:textFill>
                  <w14:solidFill>
                    <w14:schemeClr w14:val="tx1"/>
                  </w14:solidFill>
                </w14:textFill>
              </w:rPr>
              <w:t>生活垃圾</w:t>
            </w:r>
          </w:p>
          <w:p w14:paraId="5D3B07F4">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生活垃圾可集中堆放后及时运往附近垃圾中转站，由市环卫部门统一清运、处理。</w:t>
            </w:r>
          </w:p>
          <w:p w14:paraId="76524CAC">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②</w:t>
            </w:r>
            <w:r>
              <w:rPr>
                <w:rFonts w:hint="default" w:ascii="Times New Roman" w:hAnsi="Times New Roman" w:cs="Times New Roman"/>
                <w:color w:val="000000" w:themeColor="text1"/>
                <w14:textFill>
                  <w14:solidFill>
                    <w14:schemeClr w14:val="tx1"/>
                  </w14:solidFill>
                </w14:textFill>
              </w:rPr>
              <w:t>建筑垃圾</w:t>
            </w:r>
          </w:p>
          <w:p w14:paraId="74F47A64">
            <w:pPr>
              <w:ind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建筑垃圾主要包括施工水泥、包装袋等。具备回收利用价值的应及时回收</w:t>
            </w:r>
            <w:r>
              <w:rPr>
                <w:rFonts w:hint="default" w:ascii="Times New Roman" w:hAnsi="Times New Roman" w:eastAsia="宋体" w:cs="Times New Roman"/>
                <w:color w:val="000000" w:themeColor="text1"/>
                <w14:textFill>
                  <w14:solidFill>
                    <w14:schemeClr w14:val="tx1"/>
                  </w14:solidFill>
                </w14:textFill>
              </w:rPr>
              <w:t>或就地利用，不可回收垃圾应定点收集并及时清运。</w:t>
            </w:r>
            <w:r>
              <w:rPr>
                <w:rFonts w:hint="default" w:ascii="Times New Roman" w:hAnsi="Times New Roman" w:eastAsia="宋体" w:cs="Times New Roman"/>
                <w:color w:val="000000" w:themeColor="text1"/>
                <w:lang w:val="en-US" w:eastAsia="zh-CN"/>
                <w14:textFill>
                  <w14:solidFill>
                    <w14:schemeClr w14:val="tx1"/>
                  </w14:solidFill>
                </w14:textFill>
              </w:rPr>
              <w:t>建筑垃圾</w:t>
            </w:r>
            <w:r>
              <w:rPr>
                <w:rFonts w:hint="default" w:ascii="Times New Roman" w:hAnsi="Times New Roman" w:eastAsia="宋体" w:cs="Times New Roman"/>
                <w:color w:val="000000" w:themeColor="text1"/>
                <w14:textFill>
                  <w14:solidFill>
                    <w14:schemeClr w14:val="tx1"/>
                  </w14:solidFill>
                </w14:textFill>
              </w:rPr>
              <w:t>通过机械清运至当地建筑垃圾暂存场暂存，后</w:t>
            </w:r>
            <w:r>
              <w:rPr>
                <w:rFonts w:hint="default" w:ascii="Times New Roman" w:hAnsi="Times New Roman" w:cs="Times New Roman"/>
                <w:color w:val="000000" w:themeColor="text1"/>
                <w:lang w:val="en-US" w:eastAsia="zh-CN"/>
                <w14:textFill>
                  <w14:solidFill>
                    <w14:schemeClr w14:val="tx1"/>
                  </w14:solidFill>
                </w14:textFill>
              </w:rPr>
              <w:t>由环卫部门统一处理</w:t>
            </w:r>
            <w:r>
              <w:rPr>
                <w:rFonts w:hint="default" w:ascii="Times New Roman" w:hAnsi="Times New Roman" w:eastAsia="宋体" w:cs="Times New Roman"/>
                <w:color w:val="000000" w:themeColor="text1"/>
                <w14:textFill>
                  <w14:solidFill>
                    <w14:schemeClr w14:val="tx1"/>
                  </w14:solidFill>
                </w14:textFill>
              </w:rPr>
              <w:t>。</w:t>
            </w:r>
          </w:p>
          <w:p w14:paraId="71D0AC9A">
            <w:pPr>
              <w:ind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采取这些措施后，施工期固废不会对周围的环境造成明显不利影响。</w:t>
            </w:r>
          </w:p>
          <w:p w14:paraId="24F6F338">
            <w:pPr>
              <w:autoSpaceDE w:val="0"/>
              <w:autoSpaceDN w:val="0"/>
              <w:adjustRightInd w:val="0"/>
              <w:ind w:firstLine="482"/>
              <w:rPr>
                <w:rFonts w:hint="default" w:ascii="Times New Roman" w:hAnsi="Times New Roman" w:eastAsia="宋体" w:cs="Times New Roman"/>
                <w:b/>
                <w:color w:val="000000" w:themeColor="text1"/>
                <w:kern w:val="0"/>
                <w:lang w:eastAsia="zh-CN"/>
                <w14:textFill>
                  <w14:solidFill>
                    <w14:schemeClr w14:val="tx1"/>
                  </w14:solidFill>
                </w14:textFill>
              </w:rPr>
            </w:pPr>
            <w:r>
              <w:rPr>
                <w:rFonts w:hint="default" w:ascii="Times New Roman" w:hAnsi="Times New Roman" w:cs="Times New Roman"/>
                <w:b/>
                <w:color w:val="000000" w:themeColor="text1"/>
                <w:kern w:val="0"/>
                <w14:textFill>
                  <w14:solidFill>
                    <w14:schemeClr w14:val="tx1"/>
                  </w14:solidFill>
                </w14:textFill>
              </w:rPr>
              <w:t>5</w:t>
            </w:r>
            <w:r>
              <w:rPr>
                <w:rFonts w:hint="default" w:ascii="Times New Roman" w:hAnsi="Times New Roman" w:cs="Times New Roman"/>
                <w:b/>
                <w:color w:val="000000" w:themeColor="text1"/>
                <w:kern w:val="0"/>
                <w:lang w:val="en-US" w:eastAsia="zh-CN"/>
                <w14:textFill>
                  <w14:solidFill>
                    <w14:schemeClr w14:val="tx1"/>
                  </w14:solidFill>
                </w14:textFill>
              </w:rPr>
              <w:t xml:space="preserve"> </w:t>
            </w:r>
            <w:r>
              <w:rPr>
                <w:rFonts w:hint="default" w:ascii="Times New Roman" w:hAnsi="Times New Roman" w:cs="Times New Roman"/>
                <w:b/>
                <w:color w:val="000000" w:themeColor="text1"/>
                <w:kern w:val="0"/>
                <w14:textFill>
                  <w14:solidFill>
                    <w14:schemeClr w14:val="tx1"/>
                  </w14:solidFill>
                </w14:textFill>
              </w:rPr>
              <w:t>生态环境影响分析</w:t>
            </w:r>
          </w:p>
          <w:p w14:paraId="0472EA34">
            <w:pPr>
              <w:ind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施工期对当地植被的总体影响不大，施工造成的部分植被破坏不会导致评价区生物多样性改变等不良后果，在采取环评提出的植被恢复措施后，植被破坏可得到有效补偿。施工影响区域未发现国家或省级保护动物，为常</w:t>
            </w:r>
            <w:r>
              <w:rPr>
                <w:rFonts w:hint="default" w:ascii="Times New Roman" w:hAnsi="Times New Roman" w:eastAsia="宋体" w:cs="Times New Roman"/>
                <w:color w:val="000000" w:themeColor="text1"/>
                <w:highlight w:val="none"/>
                <w14:textFill>
                  <w14:solidFill>
                    <w14:schemeClr w14:val="tx1"/>
                  </w14:solidFill>
                </w14:textFill>
              </w:rPr>
              <w:t>见的鸟类、蛇类等</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对</w:t>
            </w:r>
            <w:r>
              <w:rPr>
                <w:rFonts w:hint="default" w:ascii="Times New Roman" w:hAnsi="Times New Roman" w:eastAsia="宋体" w:cs="Times New Roman"/>
                <w:color w:val="000000" w:themeColor="text1"/>
                <w14:textFill>
                  <w14:solidFill>
                    <w14:schemeClr w14:val="tx1"/>
                  </w14:solidFill>
                </w14:textFill>
              </w:rPr>
              <w:t>施工区域内动物影响较小。工程建设所在区域植物为常见的灌木丛和禾本科植物，无珍稀保护植物</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不会降低所在区域的生物多样性。</w:t>
            </w:r>
          </w:p>
          <w:p w14:paraId="44442DD4">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具体</w:t>
            </w:r>
            <w:r>
              <w:rPr>
                <w:rFonts w:hint="default" w:ascii="Times New Roman" w:hAnsi="Times New Roman" w:cs="Times New Roman"/>
                <w:b/>
                <w:bCs/>
                <w:color w:val="000000" w:themeColor="text1"/>
                <w:kern w:val="2"/>
                <w:sz w:val="24"/>
                <w:szCs w:val="24"/>
                <w:lang w:val="en-US" w:eastAsia="zh-CN" w:bidi="ar-SA"/>
                <w14:textFill>
                  <w14:solidFill>
                    <w14:schemeClr w14:val="tx1"/>
                  </w14:solidFill>
                </w14:textFill>
              </w:rPr>
              <w:t>生态</w:t>
            </w: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环境影响分析见</w:t>
            </w:r>
            <w:r>
              <w:rPr>
                <w:rFonts w:hint="default" w:ascii="Times New Roman" w:hAnsi="Times New Roman" w:cs="Times New Roman"/>
                <w:b/>
                <w:bCs/>
                <w:color w:val="000000" w:themeColor="text1"/>
                <w:kern w:val="2"/>
                <w:sz w:val="24"/>
                <w:szCs w:val="24"/>
                <w:lang w:val="en-US" w:eastAsia="zh-CN" w:bidi="ar-SA"/>
                <w14:textFill>
                  <w14:solidFill>
                    <w14:schemeClr w14:val="tx1"/>
                  </w14:solidFill>
                </w14:textFill>
              </w:rPr>
              <w:t>生态</w:t>
            </w: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环境影响专题评价。</w:t>
            </w:r>
          </w:p>
        </w:tc>
      </w:tr>
      <w:tr w14:paraId="30B6384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475" w:type="pct"/>
            <w:noWrap w:val="0"/>
            <w:tcMar>
              <w:left w:w="28" w:type="dxa"/>
              <w:right w:w="28" w:type="dxa"/>
            </w:tcMar>
            <w:vAlign w:val="center"/>
          </w:tcPr>
          <w:p w14:paraId="3959EEB1">
            <w:pPr>
              <w:pStyle w:val="24"/>
              <w:adjustRightInd w:val="0"/>
              <w:snapToGrid w:val="0"/>
              <w:spacing w:before="0" w:beforeAutospacing="0" w:after="0" w:afterAutospacing="0"/>
              <w:ind w:firstLine="0" w:firstLineChars="0"/>
              <w:jc w:val="center"/>
              <w:rPr>
                <w:rFonts w:hint="default" w:ascii="Times New Roman" w:hAnsi="Times New Roman" w:cs="Times New Roman"/>
                <w:bCs/>
                <w:color w:val="000000" w:themeColor="text1"/>
                <w:kern w:val="2"/>
                <w:sz w:val="21"/>
                <w:szCs w:val="21"/>
                <w14:textFill>
                  <w14:solidFill>
                    <w14:schemeClr w14:val="tx1"/>
                  </w14:solidFill>
                </w14:textFill>
              </w:rPr>
            </w:pPr>
            <w:r>
              <w:rPr>
                <w:rFonts w:hint="default" w:ascii="Times New Roman" w:hAnsi="Times New Roman" w:cs="Times New Roman"/>
                <w:bCs/>
                <w:color w:val="000000" w:themeColor="text1"/>
                <w:spacing w:val="10"/>
                <w:kern w:val="2"/>
                <w14:textFill>
                  <w14:solidFill>
                    <w14:schemeClr w14:val="tx1"/>
                  </w14:solidFill>
                </w14:textFill>
              </w:rPr>
              <w:t>运营期生态环境影响分析</w:t>
            </w:r>
          </w:p>
        </w:tc>
        <w:tc>
          <w:tcPr>
            <w:tcW w:w="4524" w:type="pct"/>
            <w:noWrap w:val="0"/>
            <w:vAlign w:val="center"/>
          </w:tcPr>
          <w:p w14:paraId="3F9DCFC2">
            <w:pPr>
              <w:autoSpaceDE w:val="0"/>
              <w:autoSpaceDN w:val="0"/>
              <w:adjustRightInd w:val="0"/>
              <w:ind w:firstLine="482"/>
              <w:jc w:val="both"/>
              <w:rPr>
                <w:rFonts w:hint="default" w:ascii="Times New Roman" w:hAnsi="Times New Roman" w:cs="Times New Roman"/>
                <w:bCs/>
                <w:color w:val="000000" w:themeColor="text1"/>
                <w:kern w:val="0"/>
                <w:lang w:val="en-US" w:eastAsia="zh-CN"/>
                <w14:textFill>
                  <w14:solidFill>
                    <w14:schemeClr w14:val="tx1"/>
                  </w14:solidFill>
                </w14:textFill>
              </w:rPr>
            </w:pPr>
            <w:r>
              <w:rPr>
                <w:rFonts w:hint="default" w:ascii="Times New Roman" w:hAnsi="Times New Roman" w:cs="Times New Roman"/>
                <w:bCs/>
                <w:color w:val="000000" w:themeColor="text1"/>
                <w:kern w:val="0"/>
                <w:lang w:val="en-US" w:eastAsia="zh-CN"/>
                <w14:textFill>
                  <w14:solidFill>
                    <w14:schemeClr w14:val="tx1"/>
                  </w14:solidFill>
                </w14:textFill>
              </w:rPr>
              <w:t>本项目运营期产污环节分析如下：</w:t>
            </w:r>
          </w:p>
          <w:p w14:paraId="145A5B2F">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废水：生活污水</w:t>
            </w:r>
            <w:r>
              <w:rPr>
                <w:rFonts w:hint="default" w:ascii="Times New Roman" w:hAnsi="Times New Roman" w:cs="Times New Roman"/>
                <w:color w:val="000000" w:themeColor="text1"/>
                <w:lang w:val="en-US" w:eastAsia="zh-CN"/>
                <w14:textFill>
                  <w14:solidFill>
                    <w14:schemeClr w14:val="tx1"/>
                  </w14:solidFill>
                </w14:textFill>
              </w:rPr>
              <w:t>和医疗废水</w:t>
            </w:r>
            <w:r>
              <w:rPr>
                <w:rFonts w:hint="default" w:ascii="Times New Roman" w:hAnsi="Times New Roman" w:eastAsia="宋体" w:cs="Times New Roman"/>
                <w:color w:val="000000" w:themeColor="text1"/>
                <w:lang w:val="en-US" w:eastAsia="zh-CN"/>
                <w14:textFill>
                  <w14:solidFill>
                    <w14:schemeClr w14:val="tx1"/>
                  </w14:solidFill>
                </w14:textFill>
              </w:rPr>
              <w:t>；</w:t>
            </w:r>
          </w:p>
          <w:p w14:paraId="7AC02F9E">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废气：餐饮油烟废气</w:t>
            </w:r>
            <w:r>
              <w:rPr>
                <w:rFonts w:hint="default" w:ascii="Times New Roman" w:hAnsi="Times New Roman" w:cs="Times New Roman"/>
                <w:color w:val="000000" w:themeColor="text1"/>
                <w:lang w:val="en-US" w:eastAsia="zh-CN"/>
                <w14:textFill>
                  <w14:solidFill>
                    <w14:schemeClr w14:val="tx1"/>
                  </w14:solidFill>
                </w14:textFill>
              </w:rPr>
              <w:t>、污水处理站恶臭</w:t>
            </w:r>
            <w:r>
              <w:rPr>
                <w:rFonts w:hint="default" w:ascii="Times New Roman" w:hAnsi="Times New Roman" w:eastAsia="宋体" w:cs="Times New Roman"/>
                <w:color w:val="000000" w:themeColor="text1"/>
                <w:lang w:val="en-US" w:eastAsia="zh-CN"/>
                <w14:textFill>
                  <w14:solidFill>
                    <w14:schemeClr w14:val="tx1"/>
                  </w14:solidFill>
                </w14:textFill>
              </w:rPr>
              <w:t>；</w:t>
            </w:r>
          </w:p>
          <w:p w14:paraId="43FA8521">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噪声：水泵、空调等设备噪声、汽车行驶噪声、人群活动噪声；</w:t>
            </w:r>
          </w:p>
          <w:p w14:paraId="7DB8D00F">
            <w:pPr>
              <w:ind w:firstLine="480"/>
              <w:rPr>
                <w:rFonts w:hint="default" w:ascii="Times New Roman" w:hAnsi="Times New Roman" w:cs="Times New Roman"/>
                <w:bCs/>
                <w:color w:val="000000" w:themeColor="text1"/>
                <w:kern w:val="0"/>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固废：生活垃圾</w:t>
            </w:r>
            <w:r>
              <w:rPr>
                <w:rFonts w:hint="default" w:ascii="Times New Roman" w:hAnsi="Times New Roman" w:cs="Times New Roman"/>
                <w:color w:val="000000" w:themeColor="text1"/>
                <w:lang w:val="en-US" w:eastAsia="zh-CN"/>
                <w14:textFill>
                  <w14:solidFill>
                    <w14:schemeClr w14:val="tx1"/>
                  </w14:solidFill>
                </w14:textFill>
              </w:rPr>
              <w:t>、医疗废物、污水处理站污泥和废活性炭</w:t>
            </w:r>
            <w:r>
              <w:rPr>
                <w:rFonts w:hint="default" w:ascii="Times New Roman" w:hAnsi="Times New Roman" w:eastAsia="宋体" w:cs="Times New Roman"/>
                <w:color w:val="000000" w:themeColor="text1"/>
                <w:lang w:val="en-US" w:eastAsia="zh-CN"/>
                <w14:textFill>
                  <w14:solidFill>
                    <w14:schemeClr w14:val="tx1"/>
                  </w14:solidFill>
                </w14:textFill>
              </w:rPr>
              <w:t>。</w:t>
            </w:r>
          </w:p>
          <w:p w14:paraId="0CEAF9EA">
            <w:pPr>
              <w:autoSpaceDE w:val="0"/>
              <w:autoSpaceDN w:val="0"/>
              <w:adjustRightInd w:val="0"/>
              <w:ind w:firstLine="482"/>
              <w:jc w:val="both"/>
              <w:rPr>
                <w:rFonts w:hint="default" w:ascii="Times New Roman" w:hAnsi="Times New Roman" w:eastAsia="宋体" w:cs="Times New Roman"/>
                <w:b/>
                <w:color w:val="000000" w:themeColor="text1"/>
                <w:kern w:val="0"/>
                <w:lang w:val="en-US" w:eastAsia="zh-CN"/>
                <w14:textFill>
                  <w14:solidFill>
                    <w14:schemeClr w14:val="tx1"/>
                  </w14:solidFill>
                </w14:textFill>
              </w:rPr>
            </w:pPr>
            <w:r>
              <w:rPr>
                <w:rFonts w:hint="default" w:ascii="Times New Roman" w:hAnsi="Times New Roman" w:cs="Times New Roman"/>
                <w:b/>
                <w:color w:val="000000" w:themeColor="text1"/>
                <w:kern w:val="0"/>
                <w14:textFill>
                  <w14:solidFill>
                    <w14:schemeClr w14:val="tx1"/>
                  </w14:solidFill>
                </w14:textFill>
              </w:rPr>
              <w:t>1</w:t>
            </w:r>
            <w:r>
              <w:rPr>
                <w:rFonts w:hint="default" w:ascii="Times New Roman" w:hAnsi="Times New Roman" w:cs="Times New Roman"/>
                <w:b/>
                <w:color w:val="000000" w:themeColor="text1"/>
                <w:kern w:val="0"/>
                <w:lang w:val="en-US" w:eastAsia="zh-CN"/>
                <w14:textFill>
                  <w14:solidFill>
                    <w14:schemeClr w14:val="tx1"/>
                  </w14:solidFill>
                </w14:textFill>
              </w:rPr>
              <w:t xml:space="preserve"> 水环境影响分析</w:t>
            </w:r>
          </w:p>
          <w:p w14:paraId="6E04A5A5">
            <w:pPr>
              <w:autoSpaceDE w:val="0"/>
              <w:autoSpaceDN w:val="0"/>
              <w:adjustRightInd w:val="0"/>
              <w:ind w:firstLine="482"/>
              <w:jc w:val="both"/>
              <w:rPr>
                <w:rFonts w:hint="default" w:ascii="Times New Roman" w:hAnsi="Times New Roman" w:cs="Times New Roman"/>
                <w:bCs/>
                <w:color w:val="000000" w:themeColor="text1"/>
                <w:kern w:val="0"/>
                <w:lang w:val="en-US" w:eastAsia="zh-CN"/>
                <w14:textFill>
                  <w14:solidFill>
                    <w14:schemeClr w14:val="tx1"/>
                  </w14:solidFill>
                </w14:textFill>
              </w:rPr>
            </w:pPr>
            <w:r>
              <w:rPr>
                <w:rFonts w:hint="default" w:ascii="Times New Roman" w:hAnsi="Times New Roman" w:cs="Times New Roman"/>
                <w:bCs/>
                <w:color w:val="000000" w:themeColor="text1"/>
                <w:kern w:val="0"/>
                <w:lang w:val="en-US" w:eastAsia="zh-CN"/>
                <w14:textFill>
                  <w14:solidFill>
                    <w14:schemeClr w14:val="tx1"/>
                  </w14:solidFill>
                </w14:textFill>
              </w:rPr>
              <w:t>本项目运营期废水主要为生活废水和医疗废水。项目餐饮废水经隔油后与生活污水经化粪池（2个，100m</w:t>
            </w:r>
            <w:r>
              <w:rPr>
                <w:rFonts w:hint="default" w:ascii="Times New Roman" w:hAnsi="Times New Roman" w:cs="Times New Roman"/>
                <w:bCs/>
                <w:color w:val="000000" w:themeColor="text1"/>
                <w:kern w:val="0"/>
                <w:vertAlign w:val="superscript"/>
                <w:lang w:val="en-US" w:eastAsia="zh-CN"/>
                <w14:textFill>
                  <w14:solidFill>
                    <w14:schemeClr w14:val="tx1"/>
                  </w14:solidFill>
                </w14:textFill>
              </w:rPr>
              <w:t>3</w:t>
            </w:r>
            <w:r>
              <w:rPr>
                <w:rFonts w:hint="default" w:ascii="Times New Roman" w:hAnsi="Times New Roman" w:cs="Times New Roman"/>
                <w:bCs/>
                <w:color w:val="000000" w:themeColor="text1"/>
                <w:kern w:val="0"/>
                <w:lang w:val="en-US" w:eastAsia="zh-CN"/>
                <w14:textFill>
                  <w14:solidFill>
                    <w14:schemeClr w14:val="tx1"/>
                  </w14:solidFill>
                </w14:textFill>
              </w:rPr>
              <w:t>/个）预处理，后一起与医疗废水经MBR膜生物反应工艺处理，达到《医疗机构水污染物排放标准》（GB18466-2005）、《城市污水再生利用 城市再用水水质》（GB/T18920-2020）、《城市污水再生利用 景观环境用水水质》（GB/T18921-2019）相关标准后回用于项目区绿化、道路清扫及景观环境。</w:t>
            </w:r>
          </w:p>
          <w:p w14:paraId="529DEBF8">
            <w:pPr>
              <w:numPr>
                <w:ilvl w:val="0"/>
                <w:numId w:val="0"/>
              </w:numPr>
              <w:autoSpaceDE w:val="0"/>
              <w:autoSpaceDN w:val="0"/>
              <w:adjustRightInd w:val="0"/>
              <w:ind w:left="482" w:leftChars="0"/>
              <w:jc w:val="both"/>
              <w:rPr>
                <w:rFonts w:hint="default" w:ascii="Times New Roman" w:hAnsi="Times New Roman" w:eastAsia="宋体" w:cs="Times New Roman"/>
                <w:b/>
                <w:color w:val="000000" w:themeColor="text1"/>
                <w:kern w:val="0"/>
                <w:lang w:val="en-US" w:eastAsia="zh-CN"/>
                <w14:textFill>
                  <w14:solidFill>
                    <w14:schemeClr w14:val="tx1"/>
                  </w14:solidFill>
                </w14:textFill>
              </w:rPr>
            </w:pPr>
            <w:r>
              <w:rPr>
                <w:rFonts w:hint="default" w:ascii="Times New Roman" w:hAnsi="Times New Roman" w:cs="Times New Roman"/>
                <w:b/>
                <w:color w:val="000000" w:themeColor="text1"/>
                <w:kern w:val="0"/>
                <w:lang w:val="en-US" w:eastAsia="zh-CN"/>
                <w14:textFill>
                  <w14:solidFill>
                    <w14:schemeClr w14:val="tx1"/>
                  </w14:solidFill>
                </w14:textFill>
              </w:rPr>
              <w:t xml:space="preserve">1.1 </w:t>
            </w:r>
            <w:r>
              <w:rPr>
                <w:rFonts w:hint="eastAsia" w:cs="Times New Roman"/>
                <w:b/>
                <w:color w:val="000000" w:themeColor="text1"/>
                <w:kern w:val="0"/>
                <w:lang w:val="en-US" w:eastAsia="zh-CN"/>
                <w14:textFill>
                  <w14:solidFill>
                    <w14:schemeClr w14:val="tx1"/>
                  </w14:solidFill>
                </w14:textFill>
              </w:rPr>
              <w:t>污染物产排情况</w:t>
            </w:r>
          </w:p>
          <w:p w14:paraId="7D7B9BDA">
            <w:pPr>
              <w:autoSpaceDE w:val="0"/>
              <w:autoSpaceDN w:val="0"/>
              <w:adjustRightInd w:val="0"/>
              <w:ind w:firstLine="482"/>
              <w:jc w:val="both"/>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pPr>
            <w:r>
              <w:rPr>
                <w:rFonts w:hint="default" w:ascii="Times New Roman" w:hAnsi="Times New Roman" w:cs="Times New Roman"/>
                <w:bCs/>
                <w:color w:val="000000" w:themeColor="text1"/>
                <w:kern w:val="0"/>
                <w:highlight w:val="none"/>
                <w:lang w:val="en-US" w:eastAsia="zh-CN"/>
                <w14:textFill>
                  <w14:solidFill>
                    <w14:schemeClr w14:val="tx1"/>
                  </w14:solidFill>
                </w14:textFill>
              </w:rPr>
              <w:t>（1）生活污水</w:t>
            </w:r>
          </w:p>
          <w:p w14:paraId="472872AE">
            <w:pPr>
              <w:autoSpaceDE w:val="0"/>
              <w:autoSpaceDN w:val="0"/>
              <w:adjustRightInd w:val="0"/>
              <w:ind w:firstLine="482"/>
              <w:jc w:val="both"/>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pPr>
            <w:r>
              <w:rPr>
                <w:rFonts w:hint="default" w:ascii="Times New Roman" w:hAnsi="Times New Roman" w:cs="Times New Roman"/>
                <w:bCs/>
                <w:color w:val="000000" w:themeColor="text1"/>
                <w:kern w:val="0"/>
                <w:highlight w:val="none"/>
                <w:lang w:val="en-US" w:eastAsia="zh-CN"/>
                <w14:textFill>
                  <w14:solidFill>
                    <w14:schemeClr w14:val="tx1"/>
                  </w14:solidFill>
                </w14:textFill>
              </w:rPr>
              <w:t>①</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员工生活污水：项目员工定员240人，生活用水量取100L/（人·d），</w:t>
            </w:r>
            <w:r>
              <w:rPr>
                <w:rFonts w:hint="default" w:ascii="Times New Roman" w:hAnsi="Times New Roman" w:cs="Times New Roman"/>
                <w:bCs/>
                <w:color w:val="000000" w:themeColor="text1"/>
                <w:kern w:val="0"/>
                <w:highlight w:val="none"/>
                <w:lang w:val="en-US" w:eastAsia="zh-CN"/>
                <w14:textFill>
                  <w14:solidFill>
                    <w14:schemeClr w14:val="tx1"/>
                  </w14:solidFill>
                </w14:textFill>
              </w:rPr>
              <w:t>年运营</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时间为</w:t>
            </w:r>
            <w:r>
              <w:rPr>
                <w:rFonts w:hint="default" w:ascii="Times New Roman" w:hAnsi="Times New Roman" w:cs="Times New Roman"/>
                <w:bCs/>
                <w:color w:val="000000" w:themeColor="text1"/>
                <w:kern w:val="0"/>
                <w:highlight w:val="none"/>
                <w:lang w:val="en-US" w:eastAsia="zh-CN"/>
                <w14:textFill>
                  <w14:solidFill>
                    <w14:schemeClr w14:val="tx1"/>
                  </w14:solidFill>
                </w14:textFill>
              </w:rPr>
              <w:t>300</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天，生活污水量按生活用水量的80%计，则员工生活污水产生量为</w:t>
            </w:r>
            <w:r>
              <w:rPr>
                <w:rFonts w:hint="default" w:ascii="Times New Roman" w:hAnsi="Times New Roman" w:cs="Times New Roman"/>
                <w:bCs/>
                <w:color w:val="000000" w:themeColor="text1"/>
                <w:kern w:val="0"/>
                <w:highlight w:val="none"/>
                <w:lang w:val="en-US" w:eastAsia="zh-CN"/>
                <w14:textFill>
                  <w14:solidFill>
                    <w14:schemeClr w14:val="tx1"/>
                  </w14:solidFill>
                </w14:textFill>
              </w:rPr>
              <w:t>5760</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t/a。</w:t>
            </w:r>
          </w:p>
          <w:p w14:paraId="712F10FA">
            <w:pPr>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②</w:t>
            </w:r>
            <w:r>
              <w:rPr>
                <w:rFonts w:hint="default" w:ascii="Times New Roman" w:hAnsi="Times New Roman" w:eastAsia="宋体" w:cs="Times New Roman"/>
                <w:color w:val="000000" w:themeColor="text1"/>
                <w:highlight w:val="none"/>
                <w:lang w:val="en-US" w:eastAsia="zh-CN"/>
                <w14:textFill>
                  <w14:solidFill>
                    <w14:schemeClr w14:val="tx1"/>
                  </w14:solidFill>
                </w14:textFill>
              </w:rPr>
              <w:t>住宿生活污水：根据建设单位提供资料，本项目建成后共设712个客房（包括高端康养酒店、高端民宿等），每间客房按2人入住，入住率按80%计，则约有1140人。用水量按照100L/人・d，</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生活污水量按生活用水量的80%计，</w:t>
            </w:r>
            <w:r>
              <w:rPr>
                <w:rFonts w:hint="default" w:ascii="Times New Roman" w:hAnsi="Times New Roman" w:eastAsia="宋体" w:cs="Times New Roman"/>
                <w:color w:val="000000" w:themeColor="text1"/>
                <w:highlight w:val="none"/>
                <w:lang w:val="en-US" w:eastAsia="zh-CN"/>
                <w14:textFill>
                  <w14:solidFill>
                    <w14:schemeClr w14:val="tx1"/>
                  </w14:solidFill>
                </w14:textFill>
              </w:rPr>
              <w:t>则废水产生量为</w:t>
            </w:r>
            <w:r>
              <w:rPr>
                <w:rFonts w:hint="default" w:ascii="Times New Roman" w:hAnsi="Times New Roman" w:cs="Times New Roman"/>
                <w:color w:val="000000" w:themeColor="text1"/>
                <w:highlight w:val="none"/>
                <w:lang w:val="en-US" w:eastAsia="zh-CN"/>
                <w14:textFill>
                  <w14:solidFill>
                    <w14:schemeClr w14:val="tx1"/>
                  </w14:solidFill>
                </w14:textFill>
              </w:rPr>
              <w:t>27360</w:t>
            </w:r>
            <w:r>
              <w:rPr>
                <w:rFonts w:hint="default" w:ascii="Times New Roman" w:hAnsi="Times New Roman" w:eastAsia="宋体" w:cs="Times New Roman"/>
                <w:color w:val="000000" w:themeColor="text1"/>
                <w:highlight w:val="none"/>
                <w:lang w:val="en-US" w:eastAsia="zh-CN"/>
                <w14:textFill>
                  <w14:solidFill>
                    <w14:schemeClr w14:val="tx1"/>
                  </w14:solidFill>
                </w14:textFill>
              </w:rPr>
              <w:t>t/a</w:t>
            </w:r>
            <w:r>
              <w:rPr>
                <w:rFonts w:hint="default" w:ascii="Times New Roman" w:hAnsi="Times New Roman" w:cs="Times New Roman"/>
                <w:color w:val="000000" w:themeColor="text1"/>
                <w:highlight w:val="none"/>
                <w:lang w:val="en-US" w:eastAsia="zh-CN"/>
                <w14:textFill>
                  <w14:solidFill>
                    <w14:schemeClr w14:val="tx1"/>
                  </w14:solidFill>
                </w14:textFill>
              </w:rPr>
              <w:t>。</w:t>
            </w:r>
          </w:p>
          <w:p w14:paraId="6A48628A">
            <w:pPr>
              <w:numPr>
                <w:ilvl w:val="0"/>
                <w:numId w:val="0"/>
              </w:numPr>
              <w:autoSpaceDE w:val="0"/>
              <w:autoSpaceDN w:val="0"/>
              <w:adjustRightInd w:val="0"/>
              <w:ind w:left="482" w:leftChars="0"/>
              <w:jc w:val="both"/>
              <w:rPr>
                <w:rFonts w:hint="default" w:ascii="Times New Roman" w:hAnsi="Times New Roman" w:eastAsia="宋体" w:cs="Times New Roman"/>
                <w:b w:val="0"/>
                <w:bCs/>
                <w:color w:val="000000" w:themeColor="text1"/>
                <w:kern w:val="0"/>
                <w:lang w:val="en-US" w:eastAsia="zh-CN"/>
                <w14:textFill>
                  <w14:solidFill>
                    <w14:schemeClr w14:val="tx1"/>
                  </w14:solidFill>
                </w14:textFill>
              </w:rPr>
            </w:pPr>
            <w:r>
              <w:rPr>
                <w:rFonts w:hint="default" w:ascii="Times New Roman" w:hAnsi="Times New Roman" w:cs="Times New Roman"/>
                <w:b w:val="0"/>
                <w:bCs/>
                <w:color w:val="000000" w:themeColor="text1"/>
                <w:kern w:val="0"/>
                <w:lang w:val="en-US" w:eastAsia="zh-CN"/>
                <w14:textFill>
                  <w14:solidFill>
                    <w14:schemeClr w14:val="tx1"/>
                  </w14:solidFill>
                </w14:textFill>
              </w:rPr>
              <w:t>③</w:t>
            </w:r>
            <w:r>
              <w:rPr>
                <w:rFonts w:hint="default" w:ascii="Times New Roman" w:hAnsi="Times New Roman" w:eastAsia="宋体" w:cs="Times New Roman"/>
                <w:b w:val="0"/>
                <w:bCs/>
                <w:color w:val="000000" w:themeColor="text1"/>
                <w:kern w:val="0"/>
                <w:lang w:val="en-US" w:eastAsia="zh-CN"/>
                <w14:textFill>
                  <w14:solidFill>
                    <w14:schemeClr w14:val="tx1"/>
                  </w14:solidFill>
                </w14:textFill>
              </w:rPr>
              <w:t>餐饮废水</w:t>
            </w:r>
          </w:p>
          <w:p w14:paraId="23A300AB">
            <w:pPr>
              <w:autoSpaceDE w:val="0"/>
              <w:autoSpaceDN w:val="0"/>
              <w:adjustRightInd w:val="0"/>
              <w:ind w:firstLine="482"/>
              <w:jc w:val="both"/>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本项目营运期住宿人数约1140人，就餐人数按300人计，年营运时间为</w:t>
            </w:r>
            <w:r>
              <w:rPr>
                <w:rFonts w:hint="default" w:ascii="Times New Roman" w:hAnsi="Times New Roman" w:cs="Times New Roman"/>
                <w:bCs/>
                <w:color w:val="000000" w:themeColor="text1"/>
                <w:kern w:val="0"/>
                <w:highlight w:val="none"/>
                <w:lang w:val="en-US" w:eastAsia="zh-CN"/>
                <w14:textFill>
                  <w14:solidFill>
                    <w14:schemeClr w14:val="tx1"/>
                  </w14:solidFill>
                </w14:textFill>
              </w:rPr>
              <w:t>300</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天，根据类比同类型项目，并根据《建筑给水排水设计规范》（GB50015-2003），人均餐饮废水水量按50L/</w:t>
            </w:r>
            <w:r>
              <w:rPr>
                <w:rFonts w:hint="default" w:ascii="Times New Roman" w:hAnsi="Times New Roman" w:cs="Times New Roman"/>
                <w:bCs/>
                <w:color w:val="000000" w:themeColor="text1"/>
                <w:kern w:val="0"/>
                <w:highlight w:val="none"/>
                <w:lang w:val="en-US" w:eastAsia="zh-CN"/>
                <w14:textFill>
                  <w14:solidFill>
                    <w14:schemeClr w14:val="tx1"/>
                  </w14:solidFill>
                </w14:textFill>
              </w:rPr>
              <w:t>d</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计，则本项目营运期餐饮废水量为</w:t>
            </w:r>
            <w:r>
              <w:rPr>
                <w:rFonts w:hint="default" w:ascii="Times New Roman" w:hAnsi="Times New Roman" w:cs="Times New Roman"/>
                <w:bCs/>
                <w:color w:val="000000" w:themeColor="text1"/>
                <w:kern w:val="0"/>
                <w:highlight w:val="none"/>
                <w:lang w:val="en-US" w:eastAsia="zh-CN"/>
                <w14:textFill>
                  <w14:solidFill>
                    <w14:schemeClr w14:val="tx1"/>
                  </w14:solidFill>
                </w14:textFill>
              </w:rPr>
              <w:t>4500</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t/a，产污系数取0.8，则餐饮废水产生量为</w:t>
            </w:r>
            <w:r>
              <w:rPr>
                <w:rFonts w:hint="default" w:ascii="Times New Roman" w:hAnsi="Times New Roman" w:cs="Times New Roman"/>
                <w:bCs/>
                <w:color w:val="000000" w:themeColor="text1"/>
                <w:kern w:val="0"/>
                <w:highlight w:val="none"/>
                <w:lang w:val="en-US" w:eastAsia="zh-CN"/>
                <w14:textFill>
                  <w14:solidFill>
                    <w14:schemeClr w14:val="tx1"/>
                  </w14:solidFill>
                </w14:textFill>
              </w:rPr>
              <w:t>3600</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t/a。</w:t>
            </w:r>
          </w:p>
          <w:p w14:paraId="0A20499B">
            <w:pPr>
              <w:pStyle w:val="66"/>
              <w:spacing w:before="1" w:line="344" w:lineRule="auto"/>
              <w:ind w:left="107" w:right="100" w:firstLine="417"/>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pPr>
            <w:r>
              <w:rPr>
                <w:rFonts w:hint="default" w:ascii="Times New Roman" w:hAnsi="Times New Roman" w:cs="Times New Roman"/>
                <w:color w:val="000000" w:themeColor="text1"/>
                <w:spacing w:val="-4"/>
                <w14:textFill>
                  <w14:solidFill>
                    <w14:schemeClr w14:val="tx1"/>
                  </w14:solidFill>
                </w14:textFill>
              </w:rPr>
              <w:t>根据计算，本项目生活污水产生量合计为</w:t>
            </w:r>
            <w:r>
              <w:rPr>
                <w:rFonts w:hint="default" w:ascii="Times New Roman" w:hAnsi="Times New Roman" w:cs="Times New Roman"/>
                <w:color w:val="000000" w:themeColor="text1"/>
                <w:highlight w:val="none"/>
                <w:lang w:val="en-US" w:eastAsia="zh-CN"/>
                <w14:textFill>
                  <w14:solidFill>
                    <w14:schemeClr w14:val="tx1"/>
                  </w14:solidFill>
                </w14:textFill>
              </w:rPr>
              <w:t>36720</w:t>
            </w:r>
            <w:r>
              <w:rPr>
                <w:rFonts w:hint="default" w:ascii="Times New Roman" w:hAnsi="Times New Roman" w:eastAsia="宋体" w:cs="Times New Roman"/>
                <w:color w:val="000000" w:themeColor="text1"/>
                <w:highlight w:val="none"/>
                <w:lang w:val="en-US" w:eastAsia="zh-CN"/>
                <w14:textFill>
                  <w14:solidFill>
                    <w14:schemeClr w14:val="tx1"/>
                  </w14:solidFill>
                </w14:textFill>
              </w:rPr>
              <w:t>t/a。</w:t>
            </w:r>
          </w:p>
          <w:p w14:paraId="6195F067">
            <w:pPr>
              <w:autoSpaceDE w:val="0"/>
              <w:autoSpaceDN w:val="0"/>
              <w:adjustRightInd w:val="0"/>
              <w:ind w:firstLine="482"/>
              <w:jc w:val="both"/>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w:t>
            </w:r>
            <w:r>
              <w:rPr>
                <w:rFonts w:hint="default" w:ascii="Times New Roman" w:hAnsi="Times New Roman" w:cs="Times New Roman"/>
                <w:bCs/>
                <w:color w:val="000000" w:themeColor="text1"/>
                <w:kern w:val="0"/>
                <w:highlight w:val="none"/>
                <w:lang w:val="en-US" w:eastAsia="zh-CN"/>
                <w14:textFill>
                  <w14:solidFill>
                    <w14:schemeClr w14:val="tx1"/>
                  </w14:solidFill>
                </w14:textFill>
              </w:rPr>
              <w:t>2</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）医疗废水</w:t>
            </w:r>
          </w:p>
          <w:p w14:paraId="13EB5158">
            <w:pPr>
              <w:autoSpaceDE w:val="0"/>
              <w:autoSpaceDN w:val="0"/>
              <w:adjustRightInd w:val="0"/>
              <w:ind w:firstLine="482"/>
              <w:jc w:val="both"/>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本项目中医康养中心设计诊疗室120间，参照《宁夏回族自治区有关行业用水定额（修订）的通知》，每间诊疗室用水定额取400L/d，经计算，本项目医疗用水量为17520t/a（48t/d）。根据《第二次全国污染源普查城镇生活源水污染物产生系数》医院污水量按用水量的80%计，经计算，本项目污水量为14016t/a（38.4/d）。</w:t>
            </w:r>
          </w:p>
          <w:p w14:paraId="44142F70">
            <w:pPr>
              <w:autoSpaceDE w:val="0"/>
              <w:autoSpaceDN w:val="0"/>
              <w:adjustRightInd w:val="0"/>
              <w:ind w:firstLine="482"/>
              <w:jc w:val="both"/>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综上，本项目废水产生总量为33120t/a+3600t/a+14016t/a=50736t/a（139.0t/d）</w:t>
            </w:r>
            <w:r>
              <w:rPr>
                <w:rFonts w:hint="eastAsia" w:cs="Times New Roman"/>
                <w:bCs/>
                <w:color w:val="000000" w:themeColor="text1"/>
                <w:kern w:val="0"/>
                <w:highlight w:val="none"/>
                <w:lang w:val="en-US" w:eastAsia="zh-CN"/>
                <w14:textFill>
                  <w14:solidFill>
                    <w14:schemeClr w14:val="tx1"/>
                  </w14:solidFill>
                </w14:textFill>
              </w:rPr>
              <w:t>。</w:t>
            </w:r>
          </w:p>
          <w:p w14:paraId="0CCA8C9B">
            <w:pPr>
              <w:numPr>
                <w:ilvl w:val="0"/>
                <w:numId w:val="0"/>
              </w:numPr>
              <w:autoSpaceDE w:val="0"/>
              <w:autoSpaceDN w:val="0"/>
              <w:adjustRightInd w:val="0"/>
              <w:ind w:left="482" w:leftChars="0"/>
              <w:jc w:val="both"/>
              <w:rPr>
                <w:rFonts w:hint="default" w:ascii="Times New Roman" w:hAnsi="Times New Roman" w:eastAsia="宋体" w:cs="Times New Roman"/>
                <w:b/>
                <w:color w:val="000000" w:themeColor="text1"/>
                <w:kern w:val="0"/>
                <w:lang w:val="en-US" w:eastAsia="zh-CN"/>
                <w14:textFill>
                  <w14:solidFill>
                    <w14:schemeClr w14:val="tx1"/>
                  </w14:solidFill>
                </w14:textFill>
              </w:rPr>
            </w:pPr>
            <w:r>
              <w:rPr>
                <w:rFonts w:hint="default" w:ascii="Times New Roman" w:hAnsi="Times New Roman" w:eastAsia="宋体" w:cs="Times New Roman"/>
                <w:b/>
                <w:color w:val="000000" w:themeColor="text1"/>
                <w:kern w:val="0"/>
                <w:lang w:val="en-US" w:eastAsia="zh-CN"/>
                <w14:textFill>
                  <w14:solidFill>
                    <w14:schemeClr w14:val="tx1"/>
                  </w14:solidFill>
                </w14:textFill>
              </w:rPr>
              <w:t>1.2 污水处理可行性分析</w:t>
            </w:r>
          </w:p>
          <w:p w14:paraId="7729BB05">
            <w:pPr>
              <w:autoSpaceDE w:val="0"/>
              <w:autoSpaceDN w:val="0"/>
              <w:adjustRightInd w:val="0"/>
              <w:ind w:firstLine="482"/>
              <w:jc w:val="both"/>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（1）污水处理工艺</w:t>
            </w:r>
            <w:r>
              <w:rPr>
                <w:rFonts w:hint="default" w:ascii="Times New Roman" w:hAnsi="Times New Roman" w:cs="Times New Roman"/>
                <w:bCs/>
                <w:color w:val="000000" w:themeColor="text1"/>
                <w:kern w:val="0"/>
                <w:highlight w:val="none"/>
                <w:lang w:val="en-US" w:eastAsia="zh-CN"/>
                <w14:textFill>
                  <w14:solidFill>
                    <w14:schemeClr w14:val="tx1"/>
                  </w14:solidFill>
                </w14:textFill>
              </w:rPr>
              <w:t>可行性分析</w:t>
            </w:r>
          </w:p>
          <w:p w14:paraId="6557E3CE">
            <w:pPr>
              <w:autoSpaceDE w:val="0"/>
              <w:autoSpaceDN w:val="0"/>
              <w:adjustRightInd w:val="0"/>
              <w:ind w:firstLine="482"/>
              <w:jc w:val="both"/>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本项目餐饮废水经隔油后与生活污水一起经化粪池预处理，再与医疗废水一起进入自建的地埋式污水处理站进行处理。本项目污水处理站采用“化粪池-格栅-调节池-缺氧池-生物接触氧化池+MBR池+紫外线消毒”工艺处理，污水处理站处理能力为150m</w:t>
            </w:r>
            <w:r>
              <w:rPr>
                <w:rFonts w:hint="default" w:ascii="Times New Roman" w:hAnsi="Times New Roman" w:eastAsia="宋体" w:cs="Times New Roman"/>
                <w:bCs/>
                <w:color w:val="000000" w:themeColor="text1"/>
                <w:kern w:val="0"/>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/d。</w:t>
            </w:r>
          </w:p>
          <w:p w14:paraId="113701CF">
            <w:pPr>
              <w:autoSpaceDE w:val="0"/>
              <w:autoSpaceDN w:val="0"/>
              <w:adjustRightInd w:val="0"/>
              <w:ind w:firstLine="482"/>
              <w:jc w:val="both"/>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格栅主要对污水中的颗粒和纤维状物质进行初步拦截沉淀，为后续更好净化奠定基础；污水调节池设置有潜污泵和浮球（控制水位），用于调节水量和均匀水质，将污水提升送至后续处理单元；缺氧池（水解酸化池）放置有厌氧菌，将污水进一步混合，充分利用池内高效生物弹性填料作为细菌载体，靠兼氧微生物将污水中难溶解的有机物转化为可溶性有机物，将大分子有机物水解成小分子有机物，以利于后续生物反应池进一步氧化分解，同时通过MBR生物反应池回流的硝炭氮在硝化菌的作用下，可进行部分硝化和反硝化，去除氨氮；生物接触氧化池为本污水处理的核心部分，安装有曝气头管和软性填料，分为前后两段，前一段在较高的有机负荷下，通过附着填料上大量不同种属的微生物群落共同参与下的生化降解和吸附作用，去除污水中的各种有机物质，使污水中的有机物含量大幅度降低。后端在有机负荷较低的情况下，通过硝化菌的作用，在氧量充足的条件下降解污水中的氨氮，同时也使污水中的COD值降到更低的水平，使污水得以净化；污泥消化池内有MBR膜、膜架、污泥回流泵和浮漂，在膜生物反应器中，由膜元件以一种独特结构组合成膜组件浸放于曝气池中，由于平片膜0.3微米的孔径能够阻止细菌通过，所以可将曝气池中的细菌胶团和游离细菌全部保留在曝气池中，从而实现泥水分离，各种悬浮颗粒、细菌、藻类、COD及有机物均得到有效的去除，保证出水悬浮物接近零的优良出水水质；紫外线消毒清水池安装有清水泵、封闭式紫外线灯和浮漂，消毒方式采用过流式紫外线消毒器，彻底消灭各种病菌。紫外线技术在目前所有消毒技术中，杀菌广谱性是最高的，几乎对所有细菌、病毒都能高效杀灭。并且对一些人类危害极大的，而氯气以至臭氧无法或不能有效灭杀的寄生虫类都可有效灭杀。</w:t>
            </w:r>
          </w:p>
          <w:p w14:paraId="6817E212">
            <w:pPr>
              <w:autoSpaceDE w:val="0"/>
              <w:autoSpaceDN w:val="0"/>
              <w:adjustRightInd w:val="0"/>
              <w:ind w:firstLine="482"/>
              <w:jc w:val="both"/>
              <w:rPr>
                <w:rFonts w:hint="default" w:ascii="Times New Roman" w:hAnsi="Times New Roman" w:cs="Times New Roman"/>
                <w:bCs/>
                <w:color w:val="000000" w:themeColor="text1"/>
                <w:kern w:val="0"/>
                <w:lang w:val="en-US" w:eastAsia="zh-CN"/>
                <w14:textFill>
                  <w14:solidFill>
                    <w14:schemeClr w14:val="tx1"/>
                  </w14:solidFill>
                </w14:textFill>
              </w:rPr>
            </w:pPr>
            <w:r>
              <w:rPr>
                <w:rFonts w:hint="default" w:ascii="Times New Roman" w:hAnsi="Times New Roman" w:cs="Times New Roman"/>
                <w:bCs/>
                <w:color w:val="000000" w:themeColor="text1"/>
                <w:kern w:val="0"/>
                <w:lang w:val="en-US" w:eastAsia="zh-CN"/>
                <w14:textFill>
                  <w14:solidFill>
                    <w14:schemeClr w14:val="tx1"/>
                  </w14:solidFill>
                </w14:textFill>
              </w:rPr>
              <w:t>本项目污水处理工艺流程见图4-1。</w:t>
            </w:r>
          </w:p>
          <w:p w14:paraId="12FE8834">
            <w:pPr>
              <w:autoSpaceDE w:val="0"/>
              <w:autoSpaceDN w:val="0"/>
              <w:adjustRightInd w:val="0"/>
              <w:ind w:left="0" w:leftChars="0" w:right="0" w:rightChars="0" w:firstLine="0" w:firstLineChars="0"/>
              <w:jc w:val="center"/>
              <w:rPr>
                <w:rFonts w:hint="default" w:ascii="Times New Roman" w:hAnsi="Times New Roman" w:cs="Times New Roman"/>
                <w:bCs/>
                <w:color w:val="000000" w:themeColor="text1"/>
                <w:kern w:val="0"/>
                <w:lang w:val="en-US" w:eastAsia="zh-CN"/>
                <w14:textFill>
                  <w14:solidFill>
                    <w14:schemeClr w14:val="tx1"/>
                  </w14:solidFill>
                </w14:textFill>
              </w:rPr>
            </w:pPr>
            <w:r>
              <w:rPr>
                <w:rFonts w:hint="default" w:ascii="Times New Roman" w:hAnsi="Times New Roman" w:cs="Times New Roman"/>
                <w:bCs/>
                <w:color w:val="000000" w:themeColor="text1"/>
                <w:kern w:val="0"/>
                <w:lang w:val="en-US" w:eastAsia="zh-CN"/>
                <w14:textFill>
                  <w14:solidFill>
                    <w14:schemeClr w14:val="tx1"/>
                  </w14:solidFill>
                </w14:textFill>
              </w:rPr>
              <w:drawing>
                <wp:inline distT="0" distB="0" distL="114300" distR="114300">
                  <wp:extent cx="4922520" cy="1512570"/>
                  <wp:effectExtent l="0" t="0" r="0" b="0"/>
                  <wp:docPr id="39" name="ECB019B1-382A-4266-B25C-5B523AA43C14-3" descr="C:/Users/admin/AppData/Local/Temp/wps.AyjcdU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CB019B1-382A-4266-B25C-5B523AA43C14-3" descr="C:/Users/admin/AppData/Local/Temp/wps.AyjcdUwps"/>
                          <pic:cNvPicPr>
                            <a:picLocks noChangeAspect="1"/>
                          </pic:cNvPicPr>
                        </pic:nvPicPr>
                        <pic:blipFill>
                          <a:blip r:embed="rId20"/>
                          <a:stretch>
                            <a:fillRect/>
                          </a:stretch>
                        </pic:blipFill>
                        <pic:spPr>
                          <a:xfrm>
                            <a:off x="0" y="0"/>
                            <a:ext cx="4922520" cy="1512570"/>
                          </a:xfrm>
                          <a:prstGeom prst="rect">
                            <a:avLst/>
                          </a:prstGeom>
                        </pic:spPr>
                      </pic:pic>
                    </a:graphicData>
                  </a:graphic>
                </wp:inline>
              </w:drawing>
            </w:r>
          </w:p>
          <w:p w14:paraId="0C605A9A">
            <w:pPr>
              <w:pStyle w:val="63"/>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图</w:t>
            </w:r>
            <w:r>
              <w:rPr>
                <w:rFonts w:hint="default" w:ascii="Times New Roman" w:hAnsi="Times New Roman" w:cs="Times New Roman"/>
                <w:b/>
                <w:bCs w:val="0"/>
                <w:color w:val="000000" w:themeColor="text1"/>
                <w:sz w:val="21"/>
                <w:szCs w:val="21"/>
                <w:lang w:val="en-US" w:eastAsia="zh-CN"/>
                <w14:textFill>
                  <w14:solidFill>
                    <w14:schemeClr w14:val="tx1"/>
                  </w14:solidFill>
                </w14:textFill>
              </w:rPr>
              <w:t>4-1</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 xml:space="preserve">  本项目污水处理站工艺流程</w:t>
            </w:r>
          </w:p>
          <w:p w14:paraId="69E468B1">
            <w:pPr>
              <w:autoSpaceDE w:val="0"/>
              <w:autoSpaceDN w:val="0"/>
              <w:adjustRightInd w:val="0"/>
              <w:ind w:firstLine="482"/>
              <w:jc w:val="both"/>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根据《排污许可证申请与核发技术规范 水处理通用工序》附录A的表A.1污水处理可行技术参照表，本项目采用“化粪池-格栅-调节池-缺氧池-生物接触氧化池+MBR池+紫外线消毒”工艺处理，符合表A.1要求。污水处理可行技术参照表见表4-3。</w:t>
            </w:r>
          </w:p>
          <w:p w14:paraId="598BE0D1">
            <w:pPr>
              <w:pStyle w:val="63"/>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表</w:t>
            </w:r>
            <w:r>
              <w:rPr>
                <w:rFonts w:hint="default" w:ascii="Times New Roman" w:hAnsi="Times New Roman" w:cs="Times New Roman"/>
                <w:b/>
                <w:bCs w:val="0"/>
                <w:color w:val="000000" w:themeColor="text1"/>
                <w:sz w:val="21"/>
                <w:szCs w:val="21"/>
                <w:lang w:val="en-US" w:eastAsia="zh-CN"/>
                <w14:textFill>
                  <w14:solidFill>
                    <w14:schemeClr w14:val="tx1"/>
                  </w14:solidFill>
                </w14:textFill>
              </w:rPr>
              <w:t>4-3</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 xml:space="preserve">  污水处理可行性技术参照表</w:t>
            </w:r>
          </w:p>
          <w:tbl>
            <w:tblPr>
              <w:tblStyle w:val="28"/>
              <w:tblW w:w="749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12"/>
              <w:gridCol w:w="5787"/>
            </w:tblGrid>
            <w:tr w14:paraId="4E7B3D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712" w:type="dxa"/>
                  <w:tcBorders>
                    <w:tl2br w:val="nil"/>
                    <w:tr2bl w:val="nil"/>
                  </w:tcBorders>
                  <w:vAlign w:val="center"/>
                </w:tcPr>
                <w:p w14:paraId="52E1F5AF">
                  <w:pPr>
                    <w:pStyle w:val="6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z w:val="21"/>
                      <w:szCs w:val="21"/>
                      <w:vertAlign w:val="baseline"/>
                      <w:lang w:val="en-US" w:eastAsia="zh-CN"/>
                      <w14:textFill>
                        <w14:solidFill>
                          <w14:schemeClr w14:val="tx1"/>
                        </w14:solidFill>
                      </w14:textFill>
                    </w:rPr>
                    <w:t>废水类型</w:t>
                  </w:r>
                </w:p>
              </w:tc>
              <w:tc>
                <w:tcPr>
                  <w:tcW w:w="5787" w:type="dxa"/>
                  <w:tcBorders>
                    <w:tl2br w:val="nil"/>
                    <w:tr2bl w:val="nil"/>
                  </w:tcBorders>
                  <w:vAlign w:val="center"/>
                </w:tcPr>
                <w:p w14:paraId="22E7EE1A">
                  <w:pPr>
                    <w:pStyle w:val="63"/>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b/>
                      <w:bCs w:val="0"/>
                      <w:color w:val="000000" w:themeColor="text1"/>
                      <w:sz w:val="21"/>
                      <w:szCs w:val="21"/>
                      <w:vertAlign w:val="baseline"/>
                      <w:lang w:val="en-US" w:eastAsia="zh-CN"/>
                      <w14:textFill>
                        <w14:solidFill>
                          <w14:schemeClr w14:val="tx1"/>
                        </w14:solidFill>
                      </w14:textFill>
                    </w:rPr>
                    <w:t>可行技术</w:t>
                  </w:r>
                </w:p>
              </w:tc>
            </w:tr>
            <w:tr w14:paraId="2B87F7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39" w:hRule="atLeast"/>
                <w:jc w:val="center"/>
              </w:trPr>
              <w:tc>
                <w:tcPr>
                  <w:tcW w:w="1712" w:type="dxa"/>
                  <w:tcBorders>
                    <w:tl2br w:val="nil"/>
                    <w:tr2bl w:val="nil"/>
                  </w:tcBorders>
                  <w:vAlign w:val="center"/>
                </w:tcPr>
                <w:p w14:paraId="453722F9">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服务类排污单位废水和生活污水</w:t>
                  </w:r>
                </w:p>
              </w:tc>
              <w:tc>
                <w:tcPr>
                  <w:tcW w:w="5787" w:type="dxa"/>
                  <w:tcBorders>
                    <w:tl2br w:val="nil"/>
                    <w:tr2bl w:val="nil"/>
                  </w:tcBorders>
                  <w:vAlign w:val="center"/>
                </w:tcPr>
                <w:p w14:paraId="12D5EEE2">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预处理：调整、隔油、格栅、沉淀、气浮、混凝；生化处理：水解酸化、厌氧、好氧、缺氧好氧（A/O）、厌氧缺氧好氧（A2/O）、序批式活性污泥（SBR）、氧化沟、曝气生物滤池（BAF）、移动生物床反应器（MBBR）、膜生物反应器（MBR）、二沉池；深度处理及回用：沉淀、过滤、高级氧化、曝气生物滤池、超滤、反渗透、电渗析、离子交换、消毒（次氯酸钠、臭氧、紫外、二氧化氯）</w:t>
                  </w:r>
                </w:p>
              </w:tc>
            </w:tr>
          </w:tbl>
          <w:p w14:paraId="61F963C5">
            <w:pPr>
              <w:autoSpaceDE w:val="0"/>
              <w:autoSpaceDN w:val="0"/>
              <w:adjustRightInd w:val="0"/>
              <w:ind w:firstLine="482"/>
              <w:jc w:val="both"/>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（2）污水处理措施可行性分析</w:t>
            </w:r>
          </w:p>
          <w:p w14:paraId="1FFF0223">
            <w:pPr>
              <w:autoSpaceDE w:val="0"/>
              <w:autoSpaceDN w:val="0"/>
              <w:adjustRightInd w:val="0"/>
              <w:ind w:firstLine="482"/>
              <w:jc w:val="both"/>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本项目产生的生活废水进入化粪池（</w:t>
            </w:r>
            <w:r>
              <w:rPr>
                <w:rFonts w:hint="default" w:ascii="Times New Roman" w:hAnsi="Times New Roman" w:cs="Times New Roman"/>
                <w:bCs/>
                <w:color w:val="000000" w:themeColor="text1"/>
                <w:kern w:val="0"/>
                <w:lang w:val="en-US" w:eastAsia="zh-CN"/>
                <w14:textFill>
                  <w14:solidFill>
                    <w14:schemeClr w14:val="tx1"/>
                  </w14:solidFill>
                </w14:textFill>
              </w:rPr>
              <w:t>2个，100m</w:t>
            </w:r>
            <w:r>
              <w:rPr>
                <w:rFonts w:hint="default" w:ascii="Times New Roman" w:hAnsi="Times New Roman" w:cs="Times New Roman"/>
                <w:bCs/>
                <w:color w:val="000000" w:themeColor="text1"/>
                <w:kern w:val="0"/>
                <w:vertAlign w:val="superscript"/>
                <w:lang w:val="en-US" w:eastAsia="zh-CN"/>
                <w14:textFill>
                  <w14:solidFill>
                    <w14:schemeClr w14:val="tx1"/>
                  </w14:solidFill>
                </w14:textFill>
              </w:rPr>
              <w:t>3</w:t>
            </w:r>
            <w:r>
              <w:rPr>
                <w:rFonts w:hint="default" w:ascii="Times New Roman" w:hAnsi="Times New Roman" w:cs="Times New Roman"/>
                <w:bCs/>
                <w:color w:val="000000" w:themeColor="text1"/>
                <w:kern w:val="0"/>
                <w:lang w:val="en-US" w:eastAsia="zh-CN"/>
                <w14:textFill>
                  <w14:solidFill>
                    <w14:schemeClr w14:val="tx1"/>
                  </w14:solidFill>
                </w14:textFill>
              </w:rPr>
              <w:t>/个</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），经化粪池预处理后排入新建地埋式污水处理站，根据《建筑给水排水设计规范》，污水在化粪池停留时间不宜小于24小时，本项目投入运营后，生活废水排放量为100.6m</w:t>
            </w:r>
            <w:r>
              <w:rPr>
                <w:rFonts w:hint="default" w:ascii="Times New Roman" w:hAnsi="Times New Roman" w:eastAsia="宋体" w:cs="Times New Roman"/>
                <w:bCs/>
                <w:color w:val="000000" w:themeColor="text1"/>
                <w:kern w:val="0"/>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/d，化粪池容量能满足要求。本项目废水产生总量为139.0m</w:t>
            </w:r>
            <w:r>
              <w:rPr>
                <w:rFonts w:hint="default" w:ascii="Times New Roman" w:hAnsi="Times New Roman" w:eastAsia="宋体" w:cs="Times New Roman"/>
                <w:bCs/>
                <w:color w:val="000000" w:themeColor="text1"/>
                <w:kern w:val="0"/>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/d，污水处理站设计处理能力为150m</w:t>
            </w:r>
            <w:r>
              <w:rPr>
                <w:rFonts w:hint="default" w:ascii="Times New Roman" w:hAnsi="Times New Roman" w:eastAsia="宋体" w:cs="Times New Roman"/>
                <w:bCs/>
                <w:color w:val="000000" w:themeColor="text1"/>
                <w:kern w:val="0"/>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/d，污水处理站处理能力大于废水产生量，因此污水处理站能力可满足本项目废水处理负荷的需求。</w:t>
            </w:r>
          </w:p>
          <w:p w14:paraId="07DF965E">
            <w:pPr>
              <w:autoSpaceDE w:val="0"/>
              <w:autoSpaceDN w:val="0"/>
              <w:adjustRightInd w:val="0"/>
              <w:ind w:firstLine="482"/>
              <w:jc w:val="both"/>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（3）污水处理回用可行性分析</w:t>
            </w:r>
          </w:p>
          <w:p w14:paraId="5B897495">
            <w:pPr>
              <w:autoSpaceDE w:val="0"/>
              <w:autoSpaceDN w:val="0"/>
              <w:adjustRightInd w:val="0"/>
              <w:ind w:firstLine="482"/>
              <w:jc w:val="both"/>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类比同类项目，本项目废水水质如下</w:t>
            </w:r>
            <w:r>
              <w:rPr>
                <w:rFonts w:hint="eastAsia" w:cs="Times New Roman"/>
                <w:bCs/>
                <w:color w:val="000000" w:themeColor="text1"/>
                <w:kern w:val="0"/>
                <w:highlight w:val="none"/>
                <w:lang w:val="en-US" w:eastAsia="zh-CN"/>
                <w14:textFill>
                  <w14:solidFill>
                    <w14:schemeClr w14:val="tx1"/>
                  </w14:solidFill>
                </w14:textFill>
              </w:rPr>
              <w:t>表</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w:t>
            </w:r>
          </w:p>
          <w:p w14:paraId="4FD12792">
            <w:pPr>
              <w:pStyle w:val="63"/>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cs="Times New Roman"/>
                <w:b/>
                <w:bCs w:val="0"/>
                <w:color w:val="000000" w:themeColor="text1"/>
                <w:sz w:val="21"/>
                <w:szCs w:val="21"/>
                <w:lang w:val="en-US" w:eastAsia="zh-CN"/>
                <w14:textFill>
                  <w14:solidFill>
                    <w14:schemeClr w14:val="tx1"/>
                  </w14:solidFill>
                </w14:textFill>
              </w:rPr>
            </w:pPr>
            <w:r>
              <w:rPr>
                <w:rFonts w:hint="default" w:ascii="Times New Roman" w:hAnsi="Times New Roman" w:cs="Times New Roman"/>
                <w:b/>
                <w:bCs w:val="0"/>
                <w:color w:val="000000" w:themeColor="text1"/>
                <w:sz w:val="21"/>
                <w:szCs w:val="21"/>
                <w:lang w:val="en-US" w:eastAsia="zh-CN"/>
                <w14:textFill>
                  <w14:solidFill>
                    <w14:schemeClr w14:val="tx1"/>
                  </w14:solidFill>
                </w14:textFill>
              </w:rPr>
              <w:t>表4-4  本项目废水水质</w:t>
            </w:r>
          </w:p>
          <w:tbl>
            <w:tblPr>
              <w:tblStyle w:val="28"/>
              <w:tblW w:w="753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98"/>
              <w:gridCol w:w="1002"/>
              <w:gridCol w:w="1131"/>
              <w:gridCol w:w="1066"/>
              <w:gridCol w:w="1149"/>
              <w:gridCol w:w="1690"/>
            </w:tblGrid>
            <w:tr w14:paraId="37FA9B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498" w:type="dxa"/>
                  <w:tcBorders>
                    <w:tl2br w:val="nil"/>
                    <w:tr2bl w:val="nil"/>
                  </w:tcBorders>
                  <w:vAlign w:val="center"/>
                </w:tcPr>
                <w:p w14:paraId="388758E1">
                  <w:pPr>
                    <w:snapToGrid w:val="0"/>
                    <w:spacing w:line="240" w:lineRule="auto"/>
                    <w:ind w:left="0" w:leftChars="0" w:right="0" w:rightChars="0" w:firstLine="0" w:firstLineChars="0"/>
                    <w:jc w:val="cente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t>指标</w:t>
                  </w:r>
                </w:p>
              </w:tc>
              <w:tc>
                <w:tcPr>
                  <w:tcW w:w="1002" w:type="dxa"/>
                  <w:tcBorders>
                    <w:tl2br w:val="nil"/>
                    <w:tr2bl w:val="nil"/>
                  </w:tcBorders>
                  <w:vAlign w:val="center"/>
                </w:tcPr>
                <w:p w14:paraId="4F9DC89C">
                  <w:pPr>
                    <w:snapToGrid w:val="0"/>
                    <w:spacing w:line="240" w:lineRule="auto"/>
                    <w:ind w:left="0" w:leftChars="0" w:right="0" w:rightChars="0" w:firstLine="0" w:firstLineChars="0"/>
                    <w:jc w:val="cente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t>COD</w:t>
                  </w:r>
                </w:p>
              </w:tc>
              <w:tc>
                <w:tcPr>
                  <w:tcW w:w="1131" w:type="dxa"/>
                  <w:tcBorders>
                    <w:tl2br w:val="nil"/>
                    <w:tr2bl w:val="nil"/>
                  </w:tcBorders>
                  <w:vAlign w:val="center"/>
                </w:tcPr>
                <w:p w14:paraId="448AA84A">
                  <w:pPr>
                    <w:snapToGrid w:val="0"/>
                    <w:spacing w:line="240" w:lineRule="auto"/>
                    <w:ind w:left="0" w:leftChars="0" w:right="0" w:rightChars="0" w:firstLine="0" w:firstLineChars="0"/>
                    <w:jc w:val="cente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t>BOD</w:t>
                  </w:r>
                  <w:r>
                    <w:rPr>
                      <w:rFonts w:hint="default" w:ascii="Times New Roman" w:hAnsi="Times New Roman" w:eastAsia="宋体" w:cs="Times New Roman"/>
                      <w:b/>
                      <w:bCs/>
                      <w:color w:val="000000" w:themeColor="text1"/>
                      <w:spacing w:val="0"/>
                      <w:sz w:val="21"/>
                      <w:szCs w:val="21"/>
                      <w:vertAlign w:val="subscript"/>
                      <w:lang w:val="en-US" w:eastAsia="zh-CN"/>
                      <w14:textFill>
                        <w14:solidFill>
                          <w14:schemeClr w14:val="tx1"/>
                        </w14:solidFill>
                      </w14:textFill>
                    </w:rPr>
                    <w:t>5</w:t>
                  </w:r>
                </w:p>
              </w:tc>
              <w:tc>
                <w:tcPr>
                  <w:tcW w:w="1066" w:type="dxa"/>
                  <w:tcBorders>
                    <w:tl2br w:val="nil"/>
                    <w:tr2bl w:val="nil"/>
                  </w:tcBorders>
                  <w:vAlign w:val="center"/>
                </w:tcPr>
                <w:p w14:paraId="76278447">
                  <w:pPr>
                    <w:snapToGrid w:val="0"/>
                    <w:spacing w:line="240" w:lineRule="auto"/>
                    <w:ind w:left="0" w:leftChars="0" w:right="0" w:rightChars="0" w:firstLine="0" w:firstLineChars="0"/>
                    <w:jc w:val="cente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t>SS</w:t>
                  </w:r>
                </w:p>
              </w:tc>
              <w:tc>
                <w:tcPr>
                  <w:tcW w:w="1149" w:type="dxa"/>
                  <w:tcBorders>
                    <w:tl2br w:val="nil"/>
                    <w:tr2bl w:val="nil"/>
                  </w:tcBorders>
                  <w:vAlign w:val="center"/>
                </w:tcPr>
                <w:p w14:paraId="2477D853">
                  <w:pPr>
                    <w:snapToGrid w:val="0"/>
                    <w:spacing w:line="240" w:lineRule="auto"/>
                    <w:ind w:left="0" w:leftChars="0" w:right="0" w:rightChars="0" w:firstLine="0" w:firstLineChars="0"/>
                    <w:jc w:val="cente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t>氨氮</w:t>
                  </w:r>
                </w:p>
              </w:tc>
              <w:tc>
                <w:tcPr>
                  <w:tcW w:w="1690" w:type="dxa"/>
                  <w:tcBorders>
                    <w:tl2br w:val="nil"/>
                    <w:tr2bl w:val="nil"/>
                  </w:tcBorders>
                  <w:vAlign w:val="center"/>
                </w:tcPr>
                <w:p w14:paraId="55E995D6">
                  <w:pPr>
                    <w:snapToGrid w:val="0"/>
                    <w:spacing w:line="240" w:lineRule="auto"/>
                    <w:ind w:left="0" w:leftChars="0" w:right="0" w:rightChars="0" w:firstLine="0" w:firstLineChars="0"/>
                    <w:jc w:val="cente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t>粪大肠菌群数</w:t>
                  </w:r>
                </w:p>
              </w:tc>
            </w:tr>
            <w:tr w14:paraId="2ECCA4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498" w:type="dxa"/>
                  <w:tcBorders>
                    <w:tl2br w:val="nil"/>
                    <w:tr2bl w:val="nil"/>
                  </w:tcBorders>
                  <w:vAlign w:val="center"/>
                </w:tcPr>
                <w:p w14:paraId="1D692FB1">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污染物浓度范围参考数据</w:t>
                  </w:r>
                </w:p>
              </w:tc>
              <w:tc>
                <w:tcPr>
                  <w:tcW w:w="1002" w:type="dxa"/>
                  <w:tcBorders>
                    <w:tl2br w:val="nil"/>
                    <w:tr2bl w:val="nil"/>
                  </w:tcBorders>
                  <w:vAlign w:val="center"/>
                </w:tcPr>
                <w:p w14:paraId="6A012BDE">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150-300</w:t>
                  </w:r>
                </w:p>
              </w:tc>
              <w:tc>
                <w:tcPr>
                  <w:tcW w:w="1131" w:type="dxa"/>
                  <w:tcBorders>
                    <w:tl2br w:val="nil"/>
                    <w:tr2bl w:val="nil"/>
                  </w:tcBorders>
                  <w:vAlign w:val="center"/>
                </w:tcPr>
                <w:p w14:paraId="14D99D6E">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80-150</w:t>
                  </w:r>
                </w:p>
              </w:tc>
              <w:tc>
                <w:tcPr>
                  <w:tcW w:w="1066" w:type="dxa"/>
                  <w:tcBorders>
                    <w:tl2br w:val="nil"/>
                    <w:tr2bl w:val="nil"/>
                  </w:tcBorders>
                  <w:vAlign w:val="center"/>
                </w:tcPr>
                <w:p w14:paraId="1AAC94BF">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40-120</w:t>
                  </w:r>
                </w:p>
              </w:tc>
              <w:tc>
                <w:tcPr>
                  <w:tcW w:w="1149" w:type="dxa"/>
                  <w:tcBorders>
                    <w:tl2br w:val="nil"/>
                    <w:tr2bl w:val="nil"/>
                  </w:tcBorders>
                  <w:vAlign w:val="center"/>
                </w:tcPr>
                <w:p w14:paraId="221F0352">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10-50</w:t>
                  </w:r>
                </w:p>
              </w:tc>
              <w:tc>
                <w:tcPr>
                  <w:tcW w:w="1690" w:type="dxa"/>
                  <w:tcBorders>
                    <w:tl2br w:val="nil"/>
                    <w:tr2bl w:val="nil"/>
                  </w:tcBorders>
                  <w:vAlign w:val="center"/>
                </w:tcPr>
                <w:p w14:paraId="2DF53786">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1.0×10</w:t>
                  </w:r>
                  <w:r>
                    <w:rPr>
                      <w:rFonts w:hint="default" w:ascii="Times New Roman" w:hAnsi="Times New Roman" w:eastAsia="宋体" w:cs="Times New Roman"/>
                      <w:color w:val="000000" w:themeColor="text1"/>
                      <w:spacing w:val="0"/>
                      <w:sz w:val="21"/>
                      <w:szCs w:val="21"/>
                      <w:vertAlign w:val="superscript"/>
                      <w14:textFill>
                        <w14:solidFill>
                          <w14:schemeClr w14:val="tx1"/>
                        </w14:solidFill>
                      </w14:textFill>
                    </w:rPr>
                    <w:t>6</w:t>
                  </w:r>
                  <w:r>
                    <w:rPr>
                      <w:rFonts w:hint="default" w:ascii="Times New Roman" w:hAnsi="Times New Roman" w:eastAsia="宋体" w:cs="Times New Roman"/>
                      <w:color w:val="000000" w:themeColor="text1"/>
                      <w:spacing w:val="0"/>
                      <w:sz w:val="21"/>
                      <w:szCs w:val="21"/>
                      <w14:textFill>
                        <w14:solidFill>
                          <w14:schemeClr w14:val="tx1"/>
                        </w14:solidFill>
                      </w14:textFill>
                    </w:rPr>
                    <w:t>~3.0×10</w:t>
                  </w:r>
                  <w:r>
                    <w:rPr>
                      <w:rFonts w:hint="default" w:ascii="Times New Roman" w:hAnsi="Times New Roman" w:eastAsia="宋体" w:cs="Times New Roman"/>
                      <w:color w:val="000000" w:themeColor="text1"/>
                      <w:spacing w:val="0"/>
                      <w:sz w:val="21"/>
                      <w:szCs w:val="21"/>
                      <w:vertAlign w:val="superscript"/>
                      <w14:textFill>
                        <w14:solidFill>
                          <w14:schemeClr w14:val="tx1"/>
                        </w14:solidFill>
                      </w14:textFill>
                    </w:rPr>
                    <w:t>8</w:t>
                  </w:r>
                </w:p>
              </w:tc>
            </w:tr>
            <w:tr w14:paraId="234729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498" w:type="dxa"/>
                  <w:tcBorders>
                    <w:tl2br w:val="nil"/>
                    <w:tr2bl w:val="nil"/>
                  </w:tcBorders>
                  <w:vAlign w:val="center"/>
                </w:tcPr>
                <w:p w14:paraId="1518122A">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本项目污染物浓度</w:t>
                  </w:r>
                </w:p>
              </w:tc>
              <w:tc>
                <w:tcPr>
                  <w:tcW w:w="1002" w:type="dxa"/>
                  <w:tcBorders>
                    <w:tl2br w:val="nil"/>
                    <w:tr2bl w:val="nil"/>
                  </w:tcBorders>
                  <w:vAlign w:val="center"/>
                </w:tcPr>
                <w:p w14:paraId="372670E8">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300</w:t>
                  </w:r>
                </w:p>
              </w:tc>
              <w:tc>
                <w:tcPr>
                  <w:tcW w:w="1131" w:type="dxa"/>
                  <w:tcBorders>
                    <w:tl2br w:val="nil"/>
                    <w:tr2bl w:val="nil"/>
                  </w:tcBorders>
                  <w:vAlign w:val="center"/>
                </w:tcPr>
                <w:p w14:paraId="5F9FE532">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lang w:val="en-US" w:eastAsia="zh-CN"/>
                      <w14:textFill>
                        <w14:solidFill>
                          <w14:schemeClr w14:val="tx1"/>
                        </w14:solidFill>
                      </w14:textFill>
                    </w:rPr>
                    <w:t>90</w:t>
                  </w:r>
                </w:p>
              </w:tc>
              <w:tc>
                <w:tcPr>
                  <w:tcW w:w="1066" w:type="dxa"/>
                  <w:tcBorders>
                    <w:tl2br w:val="nil"/>
                    <w:tr2bl w:val="nil"/>
                  </w:tcBorders>
                  <w:vAlign w:val="center"/>
                </w:tcPr>
                <w:p w14:paraId="1CE9CE28">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120</w:t>
                  </w:r>
                </w:p>
              </w:tc>
              <w:tc>
                <w:tcPr>
                  <w:tcW w:w="1149" w:type="dxa"/>
                  <w:tcBorders>
                    <w:tl2br w:val="nil"/>
                    <w:tr2bl w:val="nil"/>
                  </w:tcBorders>
                  <w:vAlign w:val="center"/>
                </w:tcPr>
                <w:p w14:paraId="6D370ADC">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cs="Times New Roman"/>
                      <w:color w:val="000000" w:themeColor="text1"/>
                      <w:spacing w:val="0"/>
                      <w:sz w:val="21"/>
                      <w:szCs w:val="21"/>
                      <w:lang w:val="en-US" w:eastAsia="zh-CN"/>
                      <w14:textFill>
                        <w14:solidFill>
                          <w14:schemeClr w14:val="tx1"/>
                        </w14:solidFill>
                      </w14:textFill>
                    </w:rPr>
                    <w:t>25</w:t>
                  </w:r>
                </w:p>
              </w:tc>
              <w:tc>
                <w:tcPr>
                  <w:tcW w:w="1690" w:type="dxa"/>
                  <w:tcBorders>
                    <w:tl2br w:val="nil"/>
                    <w:tr2bl w:val="nil"/>
                  </w:tcBorders>
                  <w:vAlign w:val="center"/>
                </w:tcPr>
                <w:p w14:paraId="63A8E338">
                  <w:pPr>
                    <w:snapToGrid w:val="0"/>
                    <w:spacing w:line="240" w:lineRule="auto"/>
                    <w:ind w:left="0" w:leftChars="0" w:right="0" w:rightChars="0" w:firstLine="0" w:firstLineChars="0"/>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1.8×10</w:t>
                  </w:r>
                  <w:r>
                    <w:rPr>
                      <w:rFonts w:hint="default" w:ascii="Times New Roman" w:hAnsi="Times New Roman" w:eastAsia="宋体" w:cs="Times New Roman"/>
                      <w:color w:val="000000" w:themeColor="text1"/>
                      <w:spacing w:val="0"/>
                      <w:sz w:val="21"/>
                      <w:szCs w:val="21"/>
                      <w:vertAlign w:val="superscript"/>
                      <w14:textFill>
                        <w14:solidFill>
                          <w14:schemeClr w14:val="tx1"/>
                        </w14:solidFill>
                      </w14:textFill>
                    </w:rPr>
                    <w:t>6</w:t>
                  </w:r>
                  <w:r>
                    <w:rPr>
                      <w:rFonts w:hint="default" w:ascii="Times New Roman" w:hAnsi="Times New Roman" w:eastAsia="宋体" w:cs="Times New Roman"/>
                      <w:color w:val="000000" w:themeColor="text1"/>
                      <w:spacing w:val="0"/>
                      <w:sz w:val="21"/>
                      <w:szCs w:val="21"/>
                      <w14:textFill>
                        <w14:solidFill>
                          <w14:schemeClr w14:val="tx1"/>
                        </w14:solidFill>
                      </w14:textFill>
                    </w:rPr>
                    <w:t>MPN/L</w:t>
                  </w:r>
                </w:p>
              </w:tc>
            </w:tr>
          </w:tbl>
          <w:p w14:paraId="0FAC24DF">
            <w:pPr>
              <w:autoSpaceDE w:val="0"/>
              <w:autoSpaceDN w:val="0"/>
              <w:adjustRightInd w:val="0"/>
              <w:ind w:firstLine="482"/>
              <w:jc w:val="both"/>
              <w:rPr>
                <w:rFonts w:hint="default" w:ascii="Times New Roman" w:hAnsi="Times New Roman" w:eastAsia="宋体" w:cs="Times New Roman"/>
                <w:bCs/>
                <w:color w:val="000000" w:themeColor="text1"/>
                <w:kern w:val="0"/>
                <w:lang w:val="en-US" w:eastAsia="zh-CN"/>
                <w14:textFill>
                  <w14:solidFill>
                    <w14:schemeClr w14:val="tx1"/>
                  </w14:solidFill>
                </w14:textFill>
              </w:rPr>
            </w:pPr>
            <w:r>
              <w:rPr>
                <w:rFonts w:hint="default" w:ascii="Times New Roman" w:hAnsi="Times New Roman" w:eastAsia="宋体" w:cs="Times New Roman"/>
                <w:bCs/>
                <w:color w:val="000000" w:themeColor="text1"/>
                <w:kern w:val="0"/>
                <w:lang w:val="en-US" w:eastAsia="zh-CN"/>
                <w14:textFill>
                  <w14:solidFill>
                    <w14:schemeClr w14:val="tx1"/>
                  </w14:solidFill>
                </w14:textFill>
              </w:rPr>
              <w:t>类比同类污水处理工艺，COD去除率为85%、BOD</w:t>
            </w:r>
            <w:r>
              <w:rPr>
                <w:rFonts w:hint="default" w:ascii="Times New Roman" w:hAnsi="Times New Roman" w:eastAsia="宋体" w:cs="Times New Roman"/>
                <w:bCs/>
                <w:color w:val="000000" w:themeColor="text1"/>
                <w:kern w:val="0"/>
                <w:vertAlign w:val="subscript"/>
                <w:lang w:val="en-US" w:eastAsia="zh-CN"/>
                <w14:textFill>
                  <w14:solidFill>
                    <w14:schemeClr w14:val="tx1"/>
                  </w14:solidFill>
                </w14:textFill>
              </w:rPr>
              <w:t>5</w:t>
            </w:r>
            <w:r>
              <w:rPr>
                <w:rFonts w:hint="default" w:ascii="Times New Roman" w:hAnsi="Times New Roman" w:eastAsia="宋体" w:cs="Times New Roman"/>
                <w:bCs/>
                <w:color w:val="000000" w:themeColor="text1"/>
                <w:kern w:val="0"/>
                <w:lang w:val="en-US" w:eastAsia="zh-CN"/>
                <w14:textFill>
                  <w14:solidFill>
                    <w14:schemeClr w14:val="tx1"/>
                  </w14:solidFill>
                </w14:textFill>
              </w:rPr>
              <w:t>去除效率为</w:t>
            </w:r>
            <w:r>
              <w:rPr>
                <w:rFonts w:hint="default" w:ascii="Times New Roman" w:hAnsi="Times New Roman" w:cs="Times New Roman"/>
                <w:bCs/>
                <w:color w:val="000000" w:themeColor="text1"/>
                <w:kern w:val="0"/>
                <w:lang w:val="en-US" w:eastAsia="zh-CN"/>
                <w14:textFill>
                  <w14:solidFill>
                    <w14:schemeClr w14:val="tx1"/>
                  </w14:solidFill>
                </w14:textFill>
              </w:rPr>
              <w:t>90</w:t>
            </w:r>
            <w:r>
              <w:rPr>
                <w:rFonts w:hint="default" w:ascii="Times New Roman" w:hAnsi="Times New Roman" w:eastAsia="宋体" w:cs="Times New Roman"/>
                <w:bCs/>
                <w:color w:val="000000" w:themeColor="text1"/>
                <w:kern w:val="0"/>
                <w:lang w:val="en-US" w:eastAsia="zh-CN"/>
                <w14:textFill>
                  <w14:solidFill>
                    <w14:schemeClr w14:val="tx1"/>
                  </w14:solidFill>
                </w14:textFill>
              </w:rPr>
              <w:t>%、SS去除率为90%、NH</w:t>
            </w:r>
            <w:r>
              <w:rPr>
                <w:rFonts w:hint="default" w:ascii="Times New Roman" w:hAnsi="Times New Roman" w:eastAsia="宋体" w:cs="Times New Roman"/>
                <w:bCs/>
                <w:color w:val="000000" w:themeColor="text1"/>
                <w:kern w:val="0"/>
                <w:vertAlign w:val="subscript"/>
                <w:lang w:val="en-US" w:eastAsia="zh-CN"/>
                <w14:textFill>
                  <w14:solidFill>
                    <w14:schemeClr w14:val="tx1"/>
                  </w14:solidFill>
                </w14:textFill>
              </w:rPr>
              <w:t>3</w:t>
            </w:r>
            <w:r>
              <w:rPr>
                <w:rFonts w:hint="default" w:ascii="Times New Roman" w:hAnsi="Times New Roman" w:eastAsia="宋体" w:cs="Times New Roman"/>
                <w:bCs/>
                <w:color w:val="000000" w:themeColor="text1"/>
                <w:kern w:val="0"/>
                <w:lang w:val="en-US" w:eastAsia="zh-CN"/>
                <w14:textFill>
                  <w14:solidFill>
                    <w14:schemeClr w14:val="tx1"/>
                  </w14:solidFill>
                </w14:textFill>
              </w:rPr>
              <w:t>-N去除率为</w:t>
            </w:r>
            <w:r>
              <w:rPr>
                <w:rFonts w:hint="default" w:ascii="Times New Roman" w:hAnsi="Times New Roman" w:cs="Times New Roman"/>
                <w:bCs/>
                <w:color w:val="000000" w:themeColor="text1"/>
                <w:kern w:val="0"/>
                <w:lang w:val="en-US" w:eastAsia="zh-CN"/>
                <w14:textFill>
                  <w14:solidFill>
                    <w14:schemeClr w14:val="tx1"/>
                  </w14:solidFill>
                </w14:textFill>
              </w:rPr>
              <w:t>80</w:t>
            </w:r>
            <w:r>
              <w:rPr>
                <w:rFonts w:hint="default" w:ascii="Times New Roman" w:hAnsi="Times New Roman" w:eastAsia="宋体" w:cs="Times New Roman"/>
                <w:bCs/>
                <w:color w:val="000000" w:themeColor="text1"/>
                <w:kern w:val="0"/>
                <w:lang w:val="en-US" w:eastAsia="zh-CN"/>
                <w14:textFill>
                  <w14:solidFill>
                    <w14:schemeClr w14:val="tx1"/>
                  </w14:solidFill>
                </w14:textFill>
              </w:rPr>
              <w:t>%、粪大肠菌群数去除率为99.995%，则本项目COD排放浓度为45mg</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/L、BOD</w:t>
            </w:r>
            <w:r>
              <w:rPr>
                <w:rFonts w:hint="default" w:ascii="Times New Roman" w:hAnsi="Times New Roman" w:eastAsia="宋体" w:cs="Times New Roman"/>
                <w:bCs/>
                <w:color w:val="000000" w:themeColor="text1"/>
                <w:kern w:val="0"/>
                <w:highlight w:val="none"/>
                <w:vertAlign w:val="subscript"/>
                <w:lang w:val="en-US" w:eastAsia="zh-CN"/>
                <w14:textFill>
                  <w14:solidFill>
                    <w14:schemeClr w14:val="tx1"/>
                  </w14:solidFill>
                </w14:textFill>
              </w:rPr>
              <w:t>5</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排放浓度为</w:t>
            </w:r>
            <w:r>
              <w:rPr>
                <w:rFonts w:hint="default" w:ascii="Times New Roman" w:hAnsi="Times New Roman" w:cs="Times New Roman"/>
                <w:bCs/>
                <w:color w:val="000000" w:themeColor="text1"/>
                <w:kern w:val="0"/>
                <w:highlight w:val="none"/>
                <w:lang w:val="en-US" w:eastAsia="zh-CN"/>
                <w14:textFill>
                  <w14:solidFill>
                    <w14:schemeClr w14:val="tx1"/>
                  </w14:solidFill>
                </w14:textFill>
              </w:rPr>
              <w:t>9</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mg/L</w:t>
            </w:r>
            <w:r>
              <w:rPr>
                <w:rFonts w:hint="default" w:ascii="Times New Roman" w:hAnsi="Times New Roman" w:eastAsia="宋体" w:cs="Times New Roman"/>
                <w:bCs/>
                <w:color w:val="000000" w:themeColor="text1"/>
                <w:kern w:val="0"/>
                <w:lang w:val="en-US" w:eastAsia="zh-CN"/>
                <w14:textFill>
                  <w14:solidFill>
                    <w14:schemeClr w14:val="tx1"/>
                  </w14:solidFill>
                </w14:textFill>
              </w:rPr>
              <w:t>、SS排放浓度为12mg/L</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、NH</w:t>
            </w:r>
            <w:r>
              <w:rPr>
                <w:rFonts w:hint="default" w:ascii="Times New Roman" w:hAnsi="Times New Roman" w:eastAsia="宋体" w:cs="Times New Roman"/>
                <w:bCs/>
                <w:color w:val="000000" w:themeColor="text1"/>
                <w:kern w:val="0"/>
                <w:highlight w:val="none"/>
                <w:vertAlign w:val="subscript"/>
                <w:lang w:val="en-US" w:eastAsia="zh-CN"/>
                <w14:textFill>
                  <w14:solidFill>
                    <w14:schemeClr w14:val="tx1"/>
                  </w14:solidFill>
                </w14:textFill>
              </w:rPr>
              <w:t>3</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-N排放浓度为</w:t>
            </w:r>
            <w:r>
              <w:rPr>
                <w:rFonts w:hint="default" w:ascii="Times New Roman" w:hAnsi="Times New Roman" w:cs="Times New Roman"/>
                <w:bCs/>
                <w:color w:val="000000" w:themeColor="text1"/>
                <w:kern w:val="0"/>
                <w:highlight w:val="none"/>
                <w:lang w:val="en-US" w:eastAsia="zh-CN"/>
                <w14:textFill>
                  <w14:solidFill>
                    <w14:schemeClr w14:val="tx1"/>
                  </w14:solidFill>
                </w14:textFill>
              </w:rPr>
              <w:t>5</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mg/L、</w:t>
            </w:r>
            <w:r>
              <w:rPr>
                <w:rFonts w:hint="default" w:ascii="Times New Roman" w:hAnsi="Times New Roman" w:eastAsia="宋体" w:cs="Times New Roman"/>
                <w:bCs/>
                <w:color w:val="000000" w:themeColor="text1"/>
                <w:kern w:val="0"/>
                <w:lang w:val="en-US" w:eastAsia="zh-CN"/>
                <w14:textFill>
                  <w14:solidFill>
                    <w14:schemeClr w14:val="tx1"/>
                  </w14:solidFill>
                </w14:textFill>
              </w:rPr>
              <w:t>粪大肠菌群数为90MPN/L。</w:t>
            </w:r>
          </w:p>
          <w:p w14:paraId="48B98493">
            <w:pPr>
              <w:autoSpaceDE w:val="0"/>
              <w:autoSpaceDN w:val="0"/>
              <w:adjustRightInd w:val="0"/>
              <w:ind w:firstLine="482"/>
              <w:jc w:val="both"/>
              <w:rPr>
                <w:rFonts w:hint="default" w:ascii="Times New Roman" w:hAnsi="Times New Roman" w:eastAsia="宋体" w:cs="Times New Roman"/>
                <w:bCs/>
                <w:color w:val="000000" w:themeColor="text1"/>
                <w:kern w:val="0"/>
                <w:lang w:val="en-US" w:eastAsia="zh-CN"/>
                <w14:textFill>
                  <w14:solidFill>
                    <w14:schemeClr w14:val="tx1"/>
                  </w14:solidFill>
                </w14:textFill>
              </w:rPr>
            </w:pPr>
            <w:r>
              <w:rPr>
                <w:rFonts w:hint="default" w:ascii="Times New Roman" w:hAnsi="Times New Roman" w:cs="Times New Roman"/>
                <w:bCs/>
                <w:color w:val="000000" w:themeColor="text1"/>
                <w:kern w:val="0"/>
                <w:lang w:val="en-US" w:eastAsia="zh-CN"/>
                <w14:textFill>
                  <w14:solidFill>
                    <w14:schemeClr w14:val="tx1"/>
                  </w14:solidFill>
                </w14:textFill>
              </w:rPr>
              <w:t>本项目废水经处理后，能够满足《医疗机构水污染物排放标准》（GB18466-2005）、《城市污水再生利用 城市再用水水质》（GB/T18920-2020）、《城市污水再生利用 景观环境用水水质》（GB/T18921-2019）相关标准后回用于项目区绿化、道路清扫及景观环境。</w:t>
            </w:r>
          </w:p>
          <w:p w14:paraId="24FCDD93">
            <w:pPr>
              <w:autoSpaceDE w:val="0"/>
              <w:autoSpaceDN w:val="0"/>
              <w:adjustRightInd w:val="0"/>
              <w:ind w:firstLine="482"/>
              <w:jc w:val="both"/>
              <w:rPr>
                <w:rFonts w:hint="default" w:ascii="Times New Roman" w:hAnsi="Times New Roman" w:eastAsia="宋体" w:cs="Times New Roman"/>
                <w:b/>
                <w:color w:val="000000" w:themeColor="text1"/>
                <w:kern w:val="0"/>
                <w:lang w:val="en-US" w:eastAsia="zh-CN"/>
                <w14:textFill>
                  <w14:solidFill>
                    <w14:schemeClr w14:val="tx1"/>
                  </w14:solidFill>
                </w14:textFill>
              </w:rPr>
            </w:pPr>
            <w:r>
              <w:rPr>
                <w:rFonts w:hint="default" w:ascii="Times New Roman" w:hAnsi="Times New Roman" w:eastAsia="宋体" w:cs="Times New Roman"/>
                <w:b/>
                <w:color w:val="000000" w:themeColor="text1"/>
                <w:kern w:val="0"/>
                <w:lang w:val="en-US" w:eastAsia="zh-CN"/>
                <w14:textFill>
                  <w14:solidFill>
                    <w14:schemeClr w14:val="tx1"/>
                  </w14:solidFill>
                </w14:textFill>
              </w:rPr>
              <w:t>2 大气环境影响分析</w:t>
            </w:r>
          </w:p>
          <w:p w14:paraId="565824F6">
            <w:pPr>
              <w:autoSpaceDE w:val="0"/>
              <w:autoSpaceDN w:val="0"/>
              <w:adjustRightInd w:val="0"/>
              <w:ind w:firstLine="482"/>
              <w:jc w:val="both"/>
              <w:rPr>
                <w:rFonts w:hint="default" w:ascii="Times New Roman" w:hAnsi="Times New Roman" w:eastAsia="宋体" w:cs="Times New Roman"/>
                <w:bCs/>
                <w:color w:val="000000" w:themeColor="text1"/>
                <w:kern w:val="0"/>
                <w:lang w:eastAsia="zh-CN"/>
                <w14:textFill>
                  <w14:solidFill>
                    <w14:schemeClr w14:val="tx1"/>
                  </w14:solidFill>
                </w14:textFill>
              </w:rPr>
            </w:pPr>
            <w:r>
              <w:rPr>
                <w:rFonts w:hint="default" w:ascii="Times New Roman" w:hAnsi="Times New Roman" w:eastAsia="宋体" w:cs="Times New Roman"/>
                <w:bCs/>
                <w:color w:val="000000" w:themeColor="text1"/>
                <w:kern w:val="0"/>
                <w:lang w:eastAsia="zh-CN"/>
                <w14:textFill>
                  <w14:solidFill>
                    <w14:schemeClr w14:val="tx1"/>
                  </w14:solidFill>
                </w14:textFill>
              </w:rPr>
              <w:t>营运期废气主要有餐厅油烟</w:t>
            </w:r>
            <w:r>
              <w:rPr>
                <w:rFonts w:hint="default" w:ascii="Times New Roman" w:hAnsi="Times New Roman" w:cs="Times New Roman"/>
                <w:bCs/>
                <w:color w:val="000000" w:themeColor="text1"/>
                <w:kern w:val="0"/>
                <w:lang w:val="en-US" w:eastAsia="zh-CN"/>
                <w14:textFill>
                  <w14:solidFill>
                    <w14:schemeClr w14:val="tx1"/>
                  </w14:solidFill>
                </w14:textFill>
              </w:rPr>
              <w:t>、污水处理站恶臭</w:t>
            </w:r>
            <w:r>
              <w:rPr>
                <w:rFonts w:hint="default" w:ascii="Times New Roman" w:hAnsi="Times New Roman" w:eastAsia="宋体" w:cs="Times New Roman"/>
                <w:bCs/>
                <w:color w:val="000000" w:themeColor="text1"/>
                <w:kern w:val="0"/>
                <w:lang w:eastAsia="zh-CN"/>
                <w14:textFill>
                  <w14:solidFill>
                    <w14:schemeClr w14:val="tx1"/>
                  </w14:solidFill>
                </w14:textFill>
              </w:rPr>
              <w:t>。</w:t>
            </w:r>
          </w:p>
          <w:p w14:paraId="2AFA20D0">
            <w:pPr>
              <w:numPr>
                <w:ilvl w:val="0"/>
                <w:numId w:val="0"/>
              </w:numPr>
              <w:autoSpaceDE w:val="0"/>
              <w:autoSpaceDN w:val="0"/>
              <w:adjustRightInd w:val="0"/>
              <w:ind w:left="482" w:leftChars="0"/>
              <w:jc w:val="both"/>
              <w:rPr>
                <w:rFonts w:hint="default" w:ascii="Times New Roman" w:hAnsi="Times New Roman" w:cs="Times New Roman"/>
                <w:b/>
                <w:bCs w:val="0"/>
                <w:color w:val="000000" w:themeColor="text1"/>
                <w:kern w:val="0"/>
                <w:lang w:val="en-US" w:eastAsia="zh-CN"/>
                <w14:textFill>
                  <w14:solidFill>
                    <w14:schemeClr w14:val="tx1"/>
                  </w14:solidFill>
                </w14:textFill>
              </w:rPr>
            </w:pPr>
            <w:r>
              <w:rPr>
                <w:rFonts w:hint="eastAsia" w:cs="Times New Roman"/>
                <w:b/>
                <w:bCs w:val="0"/>
                <w:color w:val="000000" w:themeColor="text1"/>
                <w:kern w:val="0"/>
                <w:lang w:val="en-US" w:eastAsia="zh-CN"/>
                <w14:textFill>
                  <w14:solidFill>
                    <w14:schemeClr w14:val="tx1"/>
                  </w14:solidFill>
                </w14:textFill>
              </w:rPr>
              <w:t xml:space="preserve">2.1 </w:t>
            </w:r>
            <w:r>
              <w:rPr>
                <w:rFonts w:hint="default" w:ascii="Times New Roman" w:hAnsi="Times New Roman" w:cs="Times New Roman"/>
                <w:b/>
                <w:bCs w:val="0"/>
                <w:color w:val="000000" w:themeColor="text1"/>
                <w:kern w:val="0"/>
                <w:lang w:val="en-US" w:eastAsia="zh-CN"/>
                <w14:textFill>
                  <w14:solidFill>
                    <w14:schemeClr w14:val="tx1"/>
                  </w14:solidFill>
                </w14:textFill>
              </w:rPr>
              <w:t>餐饮油烟</w:t>
            </w:r>
          </w:p>
          <w:p w14:paraId="70604019">
            <w:pPr>
              <w:numPr>
                <w:ilvl w:val="0"/>
                <w:numId w:val="0"/>
              </w:numPr>
              <w:autoSpaceDE w:val="0"/>
              <w:autoSpaceDN w:val="0"/>
              <w:adjustRightInd w:val="0"/>
              <w:ind w:left="482" w:leftChars="0"/>
              <w:jc w:val="both"/>
              <w:rPr>
                <w:rFonts w:hint="default" w:ascii="Times New Roman" w:hAnsi="Times New Roman" w:eastAsia="宋体" w:cs="Times New Roman"/>
                <w:b w:val="0"/>
                <w:bCs/>
                <w:color w:val="000000" w:themeColor="text1"/>
                <w:kern w:val="0"/>
                <w:lang w:val="en-US" w:eastAsia="zh-CN"/>
                <w14:textFill>
                  <w14:solidFill>
                    <w14:schemeClr w14:val="tx1"/>
                  </w14:solidFill>
                </w14:textFill>
              </w:rPr>
            </w:pPr>
            <w:r>
              <w:rPr>
                <w:rFonts w:hint="eastAsia" w:cs="Times New Roman"/>
                <w:b w:val="0"/>
                <w:bCs/>
                <w:color w:val="000000" w:themeColor="text1"/>
                <w:kern w:val="0"/>
                <w:lang w:val="en-US" w:eastAsia="zh-CN"/>
                <w14:textFill>
                  <w14:solidFill>
                    <w14:schemeClr w14:val="tx1"/>
                  </w14:solidFill>
                </w14:textFill>
              </w:rPr>
              <w:t>（1）产排污环节</w:t>
            </w:r>
          </w:p>
          <w:p w14:paraId="05F31932">
            <w:pPr>
              <w:autoSpaceDE w:val="0"/>
              <w:autoSpaceDN w:val="0"/>
              <w:adjustRightInd w:val="0"/>
              <w:ind w:firstLine="482"/>
              <w:jc w:val="both"/>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highlight w:val="none"/>
                <w:lang w:val="en-US" w:eastAsia="zh-CN"/>
                <w14:textFill>
                  <w14:solidFill>
                    <w14:schemeClr w14:val="tx1"/>
                  </w14:solidFill>
                </w14:textFill>
              </w:rPr>
              <w:t>本项目国际温泉康养酒店设置有餐饮服务，餐厅每日提供三餐，每年提供服务</w:t>
            </w:r>
            <w:r>
              <w:rPr>
                <w:rFonts w:hint="default" w:ascii="Times New Roman" w:hAnsi="Times New Roman" w:cs="Times New Roman"/>
                <w:b w:val="0"/>
                <w:bCs/>
                <w:color w:val="000000" w:themeColor="text1"/>
                <w:kern w:val="0"/>
                <w:highlight w:val="none"/>
                <w:lang w:val="en-US" w:eastAsia="zh-CN"/>
                <w14:textFill>
                  <w14:solidFill>
                    <w14:schemeClr w14:val="tx1"/>
                  </w14:solidFill>
                </w14:textFill>
              </w:rPr>
              <w:t>300</w:t>
            </w:r>
            <w:r>
              <w:rPr>
                <w:rFonts w:hint="default" w:ascii="Times New Roman" w:hAnsi="Times New Roman" w:eastAsia="宋体" w:cs="Times New Roman"/>
                <w:b w:val="0"/>
                <w:bCs/>
                <w:color w:val="000000" w:themeColor="text1"/>
                <w:kern w:val="0"/>
                <w:highlight w:val="none"/>
                <w:lang w:val="en-US" w:eastAsia="zh-CN"/>
                <w14:textFill>
                  <w14:solidFill>
                    <w14:schemeClr w14:val="tx1"/>
                  </w14:solidFill>
                </w14:textFill>
              </w:rPr>
              <w:t>天，厨房设</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置</w:t>
            </w:r>
            <w:r>
              <w:rPr>
                <w:rFonts w:hint="default" w:ascii="Times New Roman" w:hAnsi="Times New Roman" w:cs="Times New Roman"/>
                <w:bCs/>
                <w:color w:val="000000" w:themeColor="text1"/>
                <w:kern w:val="0"/>
                <w:highlight w:val="none"/>
                <w:lang w:val="en-US" w:eastAsia="zh-CN"/>
                <w14:textFill>
                  <w14:solidFill>
                    <w14:schemeClr w14:val="tx1"/>
                  </w14:solidFill>
                </w14:textFill>
              </w:rPr>
              <w:t>15</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个灶头，为大型厨房。厨房烹饪使用罐装天然气为燃料，天然气属于清洁能源。</w:t>
            </w:r>
          </w:p>
          <w:p w14:paraId="4304AD51">
            <w:pPr>
              <w:pStyle w:val="45"/>
              <w:rPr>
                <w:rFonts w:hint="default"/>
                <w:color w:val="000000" w:themeColor="text1"/>
                <w:lang w:val="en-US" w:eastAsia="zh-CN"/>
                <w14:textFill>
                  <w14:solidFill>
                    <w14:schemeClr w14:val="tx1"/>
                  </w14:solidFill>
                </w14:textFill>
              </w:rPr>
            </w:pPr>
            <w:r>
              <w:rPr>
                <w:rFonts w:hint="eastAsia" w:ascii="Times New Roman" w:hAnsi="Times New Roman" w:cs="Times New Roman"/>
                <w:bCs/>
                <w:color w:val="000000" w:themeColor="text1"/>
                <w:kern w:val="0"/>
                <w:highlight w:val="none"/>
                <w:lang w:val="en-US" w:eastAsia="zh-CN"/>
                <w14:textFill>
                  <w14:solidFill>
                    <w14:schemeClr w14:val="tx1"/>
                  </w14:solidFill>
                </w14:textFill>
              </w:rPr>
              <w:t>（2）污染物产排情况</w:t>
            </w:r>
          </w:p>
          <w:p w14:paraId="77909421">
            <w:pPr>
              <w:autoSpaceDE w:val="0"/>
              <w:autoSpaceDN w:val="0"/>
              <w:adjustRightInd w:val="0"/>
              <w:ind w:firstLine="482"/>
              <w:jc w:val="both"/>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烹饪时会产生油烟废气，经类比调查，我国居民食用油消耗量为30g/人·d，烹饪过程中油烟产生系数0.03。按每日每餐均供应300人就餐计算，则项目食堂油烟产生量0.0</w:t>
            </w:r>
            <w:r>
              <w:rPr>
                <w:rFonts w:hint="default" w:ascii="Times New Roman" w:hAnsi="Times New Roman" w:cs="Times New Roman"/>
                <w:bCs/>
                <w:color w:val="000000" w:themeColor="text1"/>
                <w:kern w:val="0"/>
                <w:highlight w:val="none"/>
                <w:lang w:val="en-US" w:eastAsia="zh-CN"/>
                <w14:textFill>
                  <w14:solidFill>
                    <w14:schemeClr w14:val="tx1"/>
                  </w14:solidFill>
                </w14:textFill>
              </w:rPr>
              <w:t>81t</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/a。</w:t>
            </w:r>
          </w:p>
          <w:p w14:paraId="34FB7CCD">
            <w:pPr>
              <w:autoSpaceDE w:val="0"/>
              <w:autoSpaceDN w:val="0"/>
              <w:adjustRightInd w:val="0"/>
              <w:ind w:firstLine="482"/>
              <w:jc w:val="both"/>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本项目厨房设置</w:t>
            </w:r>
            <w:r>
              <w:rPr>
                <w:rFonts w:hint="default" w:ascii="Times New Roman" w:hAnsi="Times New Roman" w:cs="Times New Roman"/>
                <w:bCs/>
                <w:color w:val="000000" w:themeColor="text1"/>
                <w:kern w:val="0"/>
                <w:highlight w:val="none"/>
                <w:lang w:val="en-US" w:eastAsia="zh-CN"/>
                <w14:textFill>
                  <w14:solidFill>
                    <w14:schemeClr w14:val="tx1"/>
                  </w14:solidFill>
                </w14:textFill>
              </w:rPr>
              <w:t>15</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个灶头，按投影面积折算为</w:t>
            </w:r>
            <w:r>
              <w:rPr>
                <w:rFonts w:hint="default" w:ascii="Times New Roman" w:hAnsi="Times New Roman" w:cs="Times New Roman"/>
                <w:bCs/>
                <w:color w:val="000000" w:themeColor="text1"/>
                <w:kern w:val="0"/>
                <w:highlight w:val="none"/>
                <w:lang w:val="en-US" w:eastAsia="zh-CN"/>
                <w14:textFill>
                  <w14:solidFill>
                    <w14:schemeClr w14:val="tx1"/>
                  </w14:solidFill>
                </w14:textFill>
              </w:rPr>
              <w:t>15</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个基准灶头，总排气量</w:t>
            </w:r>
            <w:r>
              <w:rPr>
                <w:rFonts w:hint="default" w:ascii="Times New Roman" w:hAnsi="Times New Roman" w:cs="Times New Roman"/>
                <w:bCs/>
                <w:color w:val="000000" w:themeColor="text1"/>
                <w:kern w:val="0"/>
                <w:highlight w:val="none"/>
                <w:lang w:val="en-US" w:eastAsia="zh-CN"/>
                <w14:textFill>
                  <w14:solidFill>
                    <w14:schemeClr w14:val="tx1"/>
                  </w14:solidFill>
                </w14:textFill>
              </w:rPr>
              <w:t>30</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000m</w:t>
            </w:r>
            <w:r>
              <w:rPr>
                <w:rFonts w:hint="default" w:ascii="Times New Roman" w:hAnsi="Times New Roman" w:eastAsia="宋体" w:cs="Times New Roman"/>
                <w:bCs/>
                <w:color w:val="000000" w:themeColor="text1"/>
                <w:kern w:val="0"/>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/h，餐厅每天运行按8小时计算，则油烟废气产生量</w:t>
            </w:r>
            <w:r>
              <w:rPr>
                <w:rFonts w:hint="default" w:ascii="Times New Roman" w:hAnsi="Times New Roman" w:cs="Times New Roman"/>
                <w:bCs/>
                <w:color w:val="000000" w:themeColor="text1"/>
                <w:kern w:val="0"/>
                <w:highlight w:val="none"/>
                <w:lang w:val="en-US" w:eastAsia="zh-CN"/>
                <w14:textFill>
                  <w14:solidFill>
                    <w14:schemeClr w14:val="tx1"/>
                  </w14:solidFill>
                </w14:textFill>
              </w:rPr>
              <w:t>7200</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万m</w:t>
            </w:r>
            <w:r>
              <w:rPr>
                <w:rFonts w:hint="default" w:ascii="Times New Roman" w:hAnsi="Times New Roman" w:eastAsia="宋体" w:cs="Times New Roman"/>
                <w:bCs/>
                <w:color w:val="000000" w:themeColor="text1"/>
                <w:kern w:val="0"/>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/a，油烟产生浓度</w:t>
            </w:r>
            <w:r>
              <w:rPr>
                <w:rFonts w:hint="default" w:ascii="Times New Roman" w:hAnsi="Times New Roman" w:cs="Times New Roman"/>
                <w:bCs/>
                <w:color w:val="000000" w:themeColor="text1"/>
                <w:kern w:val="0"/>
                <w:highlight w:val="none"/>
                <w:lang w:val="en-US" w:eastAsia="zh-CN"/>
                <w14:textFill>
                  <w14:solidFill>
                    <w14:schemeClr w14:val="tx1"/>
                  </w14:solidFill>
                </w14:textFill>
              </w:rPr>
              <w:t>1.125</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mg/m</w:t>
            </w:r>
            <w:r>
              <w:rPr>
                <w:rFonts w:hint="default" w:ascii="Times New Roman" w:hAnsi="Times New Roman" w:eastAsia="宋体" w:cs="Times New Roman"/>
                <w:bCs/>
                <w:color w:val="000000" w:themeColor="text1"/>
                <w:kern w:val="0"/>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。本评价要求厨房安装</w:t>
            </w:r>
            <w:r>
              <w:rPr>
                <w:rFonts w:hint="default" w:ascii="Times New Roman" w:hAnsi="Times New Roman" w:cs="Times New Roman"/>
                <w:bCs/>
                <w:color w:val="000000" w:themeColor="text1"/>
                <w:kern w:val="0"/>
                <w:highlight w:val="none"/>
                <w:lang w:val="en-US" w:eastAsia="zh-CN"/>
                <w14:textFill>
                  <w14:solidFill>
                    <w14:schemeClr w14:val="tx1"/>
                  </w14:solidFill>
                </w14:textFill>
              </w:rPr>
              <w:t>4</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台静电式油烟净化器，厨房产生的油烟经灶头上方集气罩收集后汇至静电式油烟净化器处理，处理后经专用烟道引至屋顶排气筒排放。</w:t>
            </w:r>
          </w:p>
          <w:p w14:paraId="0D0CF936">
            <w:pPr>
              <w:autoSpaceDE w:val="0"/>
              <w:autoSpaceDN w:val="0"/>
              <w:adjustRightInd w:val="0"/>
              <w:ind w:firstLine="482"/>
              <w:jc w:val="both"/>
              <w:rPr>
                <w:rFonts w:hint="default" w:ascii="Times New Roman" w:hAnsi="Times New Roman" w:cs="Times New Roman"/>
                <w:b w:val="0"/>
                <w:bCs/>
                <w:color w:val="000000" w:themeColor="text1"/>
                <w:kern w:val="0"/>
                <w:lang w:val="en-US" w:eastAsia="zh-CN"/>
                <w14:textFill>
                  <w14:solidFill>
                    <w14:schemeClr w14:val="tx1"/>
                  </w14:solidFill>
                </w14:textFill>
              </w:rPr>
            </w:pP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静电式油烟净化器处理效率可达95%，则处理后的油烟排放量0.00</w:t>
            </w:r>
            <w:r>
              <w:rPr>
                <w:rFonts w:hint="default" w:ascii="Times New Roman" w:hAnsi="Times New Roman" w:cs="Times New Roman"/>
                <w:bCs/>
                <w:color w:val="000000" w:themeColor="text1"/>
                <w:kern w:val="0"/>
                <w:highlight w:val="none"/>
                <w:lang w:val="en-US" w:eastAsia="zh-CN"/>
                <w14:textFill>
                  <w14:solidFill>
                    <w14:schemeClr w14:val="tx1"/>
                  </w14:solidFill>
                </w14:textFill>
              </w:rPr>
              <w:t>405</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t/a，排放浓度为0.</w:t>
            </w:r>
            <w:r>
              <w:rPr>
                <w:rFonts w:hint="default" w:ascii="Times New Roman" w:hAnsi="Times New Roman" w:cs="Times New Roman"/>
                <w:bCs/>
                <w:color w:val="000000" w:themeColor="text1"/>
                <w:kern w:val="0"/>
                <w:highlight w:val="none"/>
                <w:lang w:val="en-US" w:eastAsia="zh-CN"/>
                <w14:textFill>
                  <w14:solidFill>
                    <w14:schemeClr w14:val="tx1"/>
                  </w14:solidFill>
                </w14:textFill>
              </w:rPr>
              <w:t>5625</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mg/m</w:t>
            </w:r>
            <w:r>
              <w:rPr>
                <w:rFonts w:hint="default" w:ascii="Times New Roman" w:hAnsi="Times New Roman" w:eastAsia="宋体" w:cs="Times New Roman"/>
                <w:bCs/>
                <w:color w:val="000000" w:themeColor="text1"/>
                <w:kern w:val="0"/>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，能够满足《餐饮业油烟污染物排放标准》（DB41/1604-2018）对大型餐厅厨房油烟最高允许排放浓度1</w:t>
            </w:r>
            <w:r>
              <w:rPr>
                <w:rFonts w:hint="default" w:ascii="Times New Roman" w:hAnsi="Times New Roman" w:cs="Times New Roman"/>
                <w:b w:val="0"/>
                <w:bCs/>
                <w:color w:val="000000" w:themeColor="text1"/>
                <w:kern w:val="0"/>
                <w:lang w:val="en-US" w:eastAsia="zh-CN"/>
                <w14:textFill>
                  <w14:solidFill>
                    <w14:schemeClr w14:val="tx1"/>
                  </w14:solidFill>
                </w14:textFill>
              </w:rPr>
              <w:t>.0mg/m</w:t>
            </w:r>
            <w:r>
              <w:rPr>
                <w:rFonts w:hint="default" w:ascii="Times New Roman" w:hAnsi="Times New Roman" w:cs="Times New Roman"/>
                <w:b w:val="0"/>
                <w:bCs/>
                <w:color w:val="000000" w:themeColor="text1"/>
                <w:kern w:val="0"/>
                <w:vertAlign w:val="superscript"/>
                <w:lang w:val="en-US" w:eastAsia="zh-CN"/>
                <w14:textFill>
                  <w14:solidFill>
                    <w14:schemeClr w14:val="tx1"/>
                  </w14:solidFill>
                </w14:textFill>
              </w:rPr>
              <w:t>3</w:t>
            </w:r>
            <w:r>
              <w:rPr>
                <w:rFonts w:hint="default" w:ascii="Times New Roman" w:hAnsi="Times New Roman" w:cs="Times New Roman"/>
                <w:b w:val="0"/>
                <w:bCs/>
                <w:color w:val="000000" w:themeColor="text1"/>
                <w:kern w:val="0"/>
                <w:lang w:val="en-US" w:eastAsia="zh-CN"/>
                <w14:textFill>
                  <w14:solidFill>
                    <w14:schemeClr w14:val="tx1"/>
                  </w14:solidFill>
                </w14:textFill>
              </w:rPr>
              <w:t>、净化设施最低去除率5%的要求。</w:t>
            </w:r>
          </w:p>
          <w:p w14:paraId="05DDD9E4">
            <w:pPr>
              <w:autoSpaceDE w:val="0"/>
              <w:autoSpaceDN w:val="0"/>
              <w:adjustRightInd w:val="0"/>
              <w:ind w:firstLine="482"/>
              <w:jc w:val="both"/>
              <w:rPr>
                <w:rFonts w:hint="eastAsia" w:ascii="Times New Roman" w:hAnsi="Times New Roman" w:cs="Times New Roman"/>
                <w:b w:val="0"/>
                <w:bCs/>
                <w:color w:val="000000" w:themeColor="text1"/>
                <w:kern w:val="0"/>
                <w:lang w:val="en-US" w:eastAsia="zh-CN"/>
                <w14:textFill>
                  <w14:solidFill>
                    <w14:schemeClr w14:val="tx1"/>
                  </w14:solidFill>
                </w14:textFill>
              </w:rPr>
            </w:pPr>
            <w:r>
              <w:rPr>
                <w:rFonts w:hint="eastAsia" w:ascii="Times New Roman" w:hAnsi="Times New Roman" w:cs="Times New Roman"/>
                <w:b w:val="0"/>
                <w:bCs/>
                <w:color w:val="000000" w:themeColor="text1"/>
                <w:kern w:val="0"/>
                <w:lang w:val="en-US" w:eastAsia="zh-CN"/>
                <w14:textFill>
                  <w14:solidFill>
                    <w14:schemeClr w14:val="tx1"/>
                  </w14:solidFill>
                </w14:textFill>
              </w:rPr>
              <w:t>（3）</w:t>
            </w:r>
            <w:r>
              <w:rPr>
                <w:rFonts w:hint="default" w:ascii="Times New Roman" w:hAnsi="Times New Roman" w:cs="Times New Roman"/>
                <w:b w:val="0"/>
                <w:bCs/>
                <w:color w:val="000000" w:themeColor="text1"/>
                <w:kern w:val="0"/>
                <w:highlight w:val="none"/>
                <w:lang w:val="en-US" w:eastAsia="zh-CN"/>
                <w14:textFill>
                  <w14:solidFill>
                    <w14:schemeClr w14:val="tx1"/>
                  </w14:solidFill>
                </w14:textFill>
              </w:rPr>
              <w:t>达标排放分析</w:t>
            </w:r>
          </w:p>
          <w:p w14:paraId="15D7C152">
            <w:pPr>
              <w:autoSpaceDE w:val="0"/>
              <w:autoSpaceDN w:val="0"/>
              <w:adjustRightInd w:val="0"/>
              <w:ind w:firstLine="482"/>
              <w:jc w:val="both"/>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pPr>
            <w:r>
              <w:rPr>
                <w:rFonts w:hint="default" w:ascii="Times New Roman" w:hAnsi="Times New Roman" w:cs="Times New Roman"/>
                <w:bCs/>
                <w:color w:val="000000" w:themeColor="text1"/>
                <w:kern w:val="0"/>
                <w:highlight w:val="none"/>
                <w:lang w:val="en-US" w:eastAsia="zh-CN"/>
                <w14:textFill>
                  <w14:solidFill>
                    <w14:schemeClr w14:val="tx1"/>
                  </w14:solidFill>
                </w14:textFill>
              </w:rPr>
              <w:t>本项目餐饮油烟采用</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静电式油烟净化器。在净化器内，设有阴极，阴极为表面曲率半径很小的线性电极，为进一步减小曲率半径，阴极采用星形电极，接高压电源负极：阳极是板式电极（曲率半径→∞）接电源正极。两极间加有直流高压(14~20KV)。通常气体是不导电的，但是，在外界能量（如空气中随性气体在自然蜕变时放出的α射线，此外线及其他宇宙线等）的作用下，可使气体电离放出电子而成为正、负离子。气体通入曲率半径相差很大的电场，且电场强度足够高时，在电极表面附近，气体离子化将出现雪崩效应，复合过程特别激烈。随着两电极表面之间距离增大，电场强度迅速下降，离子移动速度减慢气体空间基点不至于被击空而引起整个空间击穿，在电离区内，不均匀电场引起电晕放电。烟气粒子在电离区内经吸附和氧化分解完成气体净化。</w:t>
            </w:r>
          </w:p>
          <w:p w14:paraId="766077DE">
            <w:pPr>
              <w:autoSpaceDE w:val="0"/>
              <w:autoSpaceDN w:val="0"/>
              <w:adjustRightInd w:val="0"/>
              <w:ind w:firstLine="482"/>
              <w:jc w:val="both"/>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参考《排污许可证申请与核发技术规范 总则》，油烟废气采用静电油烟净化处理为可行技术，处理后的油烟排放情况可达到《饮食业油烟排放标准（试行）》（GB18483 2001）中的相关标准限值要求，达标排放。</w:t>
            </w:r>
          </w:p>
          <w:p w14:paraId="6453F69B">
            <w:pPr>
              <w:autoSpaceDE w:val="0"/>
              <w:autoSpaceDN w:val="0"/>
              <w:adjustRightInd w:val="0"/>
              <w:ind w:firstLine="482"/>
              <w:jc w:val="both"/>
              <w:rPr>
                <w:rFonts w:hint="eastAsia" w:ascii="Times New Roman" w:hAnsi="Times New Roman" w:eastAsia="宋体" w:cs="Times New Roman"/>
                <w:bCs/>
                <w:color w:val="000000" w:themeColor="text1"/>
                <w:kern w:val="0"/>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kern w:val="0"/>
                <w:highlight w:val="none"/>
                <w:lang w:val="en-US" w:eastAsia="zh-CN"/>
                <w14:textFill>
                  <w14:solidFill>
                    <w14:schemeClr w14:val="tx1"/>
                  </w14:solidFill>
                </w14:textFill>
              </w:rPr>
              <w:t>（4）废气监测计划</w:t>
            </w:r>
          </w:p>
          <w:p w14:paraId="3B25A82A">
            <w:pPr>
              <w:autoSpaceDE w:val="0"/>
              <w:autoSpaceDN w:val="0"/>
              <w:adjustRightInd w:val="0"/>
              <w:ind w:firstLine="482"/>
              <w:jc w:val="both"/>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本项目运营期</w:t>
            </w:r>
            <w:r>
              <w:rPr>
                <w:rFonts w:hint="eastAsia" w:ascii="Times New Roman" w:hAnsi="Times New Roman" w:cs="Times New Roman"/>
                <w:bCs/>
                <w:color w:val="000000" w:themeColor="text1"/>
                <w:kern w:val="0"/>
                <w:highlight w:val="none"/>
                <w:lang w:val="en-US" w:eastAsia="zh-CN"/>
                <w14:textFill>
                  <w14:solidFill>
                    <w14:schemeClr w14:val="tx1"/>
                  </w14:solidFill>
                </w14:textFill>
              </w:rPr>
              <w:t>餐饮油烟</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废气监测点位、监测因子、频次和执行标准详见表4-</w:t>
            </w:r>
            <w:r>
              <w:rPr>
                <w:rFonts w:hint="eastAsia" w:ascii="Times New Roman" w:hAnsi="Times New Roman" w:cs="Times New Roman"/>
                <w:bCs/>
                <w:color w:val="000000" w:themeColor="text1"/>
                <w:kern w:val="0"/>
                <w:highlight w:val="none"/>
                <w:lang w:val="en-US" w:eastAsia="zh-CN"/>
                <w14:textFill>
                  <w14:solidFill>
                    <w14:schemeClr w14:val="tx1"/>
                  </w14:solidFill>
                </w14:textFill>
              </w:rPr>
              <w:t>5</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w:t>
            </w:r>
          </w:p>
          <w:p w14:paraId="02487A99">
            <w:pPr>
              <w:pStyle w:val="63"/>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cs="Times New Roman"/>
                <w:b/>
                <w:bCs w:val="0"/>
                <w:color w:val="000000" w:themeColor="text1"/>
                <w:sz w:val="21"/>
                <w:szCs w:val="21"/>
                <w:lang w:val="en-US" w:eastAsia="zh-CN"/>
                <w14:textFill>
                  <w14:solidFill>
                    <w14:schemeClr w14:val="tx1"/>
                  </w14:solidFill>
                </w14:textFill>
              </w:rPr>
            </w:pPr>
            <w:r>
              <w:rPr>
                <w:rFonts w:hint="eastAsia" w:ascii="Times New Roman" w:hAnsi="Times New Roman" w:cs="Times New Roman"/>
                <w:b/>
                <w:bCs w:val="0"/>
                <w:color w:val="000000" w:themeColor="text1"/>
                <w:sz w:val="21"/>
                <w:szCs w:val="21"/>
                <w:lang w:val="en-US" w:eastAsia="zh-CN"/>
                <w14:textFill>
                  <w14:solidFill>
                    <w14:schemeClr w14:val="tx1"/>
                  </w14:solidFill>
                </w14:textFill>
              </w:rPr>
              <w:t>表4-5  餐饮油烟废气监测计划</w:t>
            </w:r>
          </w:p>
          <w:tbl>
            <w:tblPr>
              <w:tblStyle w:val="27"/>
              <w:tblW w:w="753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86"/>
              <w:gridCol w:w="1596"/>
              <w:gridCol w:w="1125"/>
              <w:gridCol w:w="1125"/>
              <w:gridCol w:w="3006"/>
            </w:tblGrid>
            <w:tr w14:paraId="2E1729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7" w:hRule="atLeast"/>
                <w:jc w:val="center"/>
              </w:trPr>
              <w:tc>
                <w:tcPr>
                  <w:tcW w:w="686" w:type="dxa"/>
                  <w:noWrap w:val="0"/>
                  <w:vAlign w:val="center"/>
                </w:tcPr>
                <w:p w14:paraId="77ABF085">
                  <w:pPr>
                    <w:snapToGrid w:val="0"/>
                    <w:spacing w:line="240" w:lineRule="auto"/>
                    <w:ind w:left="0" w:leftChars="0" w:right="0" w:rightChars="0" w:firstLine="0" w:firstLineChars="0"/>
                    <w:jc w:val="cente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t>序号</w:t>
                  </w:r>
                </w:p>
              </w:tc>
              <w:tc>
                <w:tcPr>
                  <w:tcW w:w="1596" w:type="dxa"/>
                  <w:noWrap w:val="0"/>
                  <w:vAlign w:val="center"/>
                </w:tcPr>
                <w:p w14:paraId="3DBA8437">
                  <w:pPr>
                    <w:snapToGrid w:val="0"/>
                    <w:spacing w:line="240" w:lineRule="auto"/>
                    <w:ind w:left="0" w:leftChars="0" w:right="0" w:rightChars="0" w:firstLine="0" w:firstLineChars="0"/>
                    <w:jc w:val="cente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t>监测点位</w:t>
                  </w:r>
                </w:p>
              </w:tc>
              <w:tc>
                <w:tcPr>
                  <w:tcW w:w="1125" w:type="dxa"/>
                  <w:noWrap w:val="0"/>
                  <w:vAlign w:val="center"/>
                </w:tcPr>
                <w:p w14:paraId="6668BB6E">
                  <w:pPr>
                    <w:snapToGrid w:val="0"/>
                    <w:spacing w:line="240" w:lineRule="auto"/>
                    <w:ind w:left="0" w:leftChars="0" w:right="0" w:rightChars="0" w:firstLine="0" w:firstLineChars="0"/>
                    <w:jc w:val="cente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t>监测因子</w:t>
                  </w:r>
                </w:p>
              </w:tc>
              <w:tc>
                <w:tcPr>
                  <w:tcW w:w="1125" w:type="dxa"/>
                  <w:noWrap w:val="0"/>
                  <w:vAlign w:val="center"/>
                </w:tcPr>
                <w:p w14:paraId="07F7CBC6">
                  <w:pPr>
                    <w:snapToGrid w:val="0"/>
                    <w:spacing w:line="240" w:lineRule="auto"/>
                    <w:ind w:left="0" w:leftChars="0" w:right="0" w:rightChars="0" w:firstLine="0" w:firstLineChars="0"/>
                    <w:jc w:val="cente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t>监测频次</w:t>
                  </w:r>
                </w:p>
              </w:tc>
              <w:tc>
                <w:tcPr>
                  <w:tcW w:w="3006" w:type="dxa"/>
                  <w:noWrap w:val="0"/>
                  <w:vAlign w:val="center"/>
                </w:tcPr>
                <w:p w14:paraId="03AFC5AF">
                  <w:pPr>
                    <w:snapToGrid w:val="0"/>
                    <w:spacing w:line="240" w:lineRule="auto"/>
                    <w:ind w:left="0" w:leftChars="0" w:right="0" w:rightChars="0" w:firstLine="0" w:firstLineChars="0"/>
                    <w:jc w:val="cente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t>执行标准</w:t>
                  </w:r>
                </w:p>
              </w:tc>
            </w:tr>
            <w:tr w14:paraId="7EC15E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37" w:hRule="atLeast"/>
                <w:jc w:val="center"/>
              </w:trPr>
              <w:tc>
                <w:tcPr>
                  <w:tcW w:w="686" w:type="dxa"/>
                  <w:noWrap w:val="0"/>
                  <w:vAlign w:val="center"/>
                </w:tcPr>
                <w:p w14:paraId="30A8C578">
                  <w:pPr>
                    <w:adjustRightInd w:val="0"/>
                    <w:snapToGrid w:val="0"/>
                    <w:spacing w:line="0" w:lineRule="atLeast"/>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596" w:type="dxa"/>
                  <w:noWrap w:val="0"/>
                  <w:vAlign w:val="center"/>
                </w:tcPr>
                <w:p w14:paraId="4D230CFE">
                  <w:pPr>
                    <w:adjustRightInd w:val="0"/>
                    <w:snapToGrid w:val="0"/>
                    <w:spacing w:line="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餐厅油烟净化装置进口、排气筒出口</w:t>
                  </w:r>
                </w:p>
              </w:tc>
              <w:tc>
                <w:tcPr>
                  <w:tcW w:w="1125" w:type="dxa"/>
                  <w:noWrap w:val="0"/>
                  <w:vAlign w:val="center"/>
                </w:tcPr>
                <w:p w14:paraId="4D3E734A">
                  <w:pPr>
                    <w:adjustRightInd w:val="0"/>
                    <w:snapToGrid w:val="0"/>
                    <w:spacing w:line="0" w:lineRule="atLeas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油烟</w:t>
                  </w:r>
                </w:p>
              </w:tc>
              <w:tc>
                <w:tcPr>
                  <w:tcW w:w="1125" w:type="dxa"/>
                  <w:noWrap w:val="0"/>
                  <w:vAlign w:val="center"/>
                </w:tcPr>
                <w:p w14:paraId="28BAE237">
                  <w:pPr>
                    <w:adjustRightInd w:val="0"/>
                    <w:snapToGrid w:val="0"/>
                    <w:spacing w:line="0" w:lineRule="atLeast"/>
                    <w:ind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1次/</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年</w:t>
                  </w:r>
                </w:p>
              </w:tc>
              <w:tc>
                <w:tcPr>
                  <w:tcW w:w="3006" w:type="dxa"/>
                  <w:noWrap w:val="0"/>
                  <w:vAlign w:val="center"/>
                </w:tcPr>
                <w:p w14:paraId="090EC7EF">
                  <w:pPr>
                    <w:adjustRightInd w:val="0"/>
                    <w:snapToGrid w:val="0"/>
                    <w:spacing w:line="0" w:lineRule="atLeast"/>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《饮食业油烟排放标准》（试行）（GB18483-2001）大型规模</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要求</w:t>
                  </w:r>
                </w:p>
              </w:tc>
            </w:tr>
          </w:tbl>
          <w:p w14:paraId="609F563D">
            <w:pPr>
              <w:autoSpaceDE w:val="0"/>
              <w:autoSpaceDN w:val="0"/>
              <w:adjustRightInd w:val="0"/>
              <w:ind w:firstLine="482"/>
              <w:jc w:val="both"/>
              <w:rPr>
                <w:rFonts w:hint="default" w:ascii="Times New Roman" w:hAnsi="Times New Roman" w:eastAsia="宋体" w:cs="Times New Roman"/>
                <w:b/>
                <w:color w:val="000000" w:themeColor="text1"/>
                <w:kern w:val="0"/>
                <w:lang w:val="en-US" w:eastAsia="zh-CN"/>
                <w14:textFill>
                  <w14:solidFill>
                    <w14:schemeClr w14:val="tx1"/>
                  </w14:solidFill>
                </w14:textFill>
              </w:rPr>
            </w:pPr>
            <w:r>
              <w:rPr>
                <w:rFonts w:hint="default" w:ascii="Times New Roman" w:hAnsi="Times New Roman" w:eastAsia="宋体" w:cs="Times New Roman"/>
                <w:b/>
                <w:color w:val="000000" w:themeColor="text1"/>
                <w:kern w:val="0"/>
                <w:lang w:val="en-US" w:eastAsia="zh-CN"/>
                <w14:textFill>
                  <w14:solidFill>
                    <w14:schemeClr w14:val="tx1"/>
                  </w14:solidFill>
                </w14:textFill>
              </w:rPr>
              <w:t>2.2 污水处理站恶臭</w:t>
            </w:r>
          </w:p>
          <w:p w14:paraId="425CD973">
            <w:pPr>
              <w:autoSpaceDE w:val="0"/>
              <w:autoSpaceDN w:val="0"/>
              <w:adjustRightInd w:val="0"/>
              <w:ind w:firstLine="482"/>
              <w:jc w:val="both"/>
              <w:rPr>
                <w:rFonts w:hint="eastAsia" w:cs="Times New Roman"/>
                <w:b w:val="0"/>
                <w:bCs/>
                <w:color w:val="000000" w:themeColor="text1"/>
                <w:kern w:val="0"/>
                <w:lang w:val="en-US" w:eastAsia="zh-CN"/>
                <w14:textFill>
                  <w14:solidFill>
                    <w14:schemeClr w14:val="tx1"/>
                  </w14:solidFill>
                </w14:textFill>
              </w:rPr>
            </w:pPr>
            <w:r>
              <w:rPr>
                <w:rFonts w:hint="eastAsia" w:cs="Times New Roman"/>
                <w:b w:val="0"/>
                <w:bCs/>
                <w:color w:val="000000" w:themeColor="text1"/>
                <w:kern w:val="0"/>
                <w:lang w:val="en-US" w:eastAsia="zh-CN"/>
                <w14:textFill>
                  <w14:solidFill>
                    <w14:schemeClr w14:val="tx1"/>
                  </w14:solidFill>
                </w14:textFill>
              </w:rPr>
              <w:t>（1）产污环节</w:t>
            </w:r>
          </w:p>
          <w:p w14:paraId="0EB52330">
            <w:pPr>
              <w:pStyle w:val="45"/>
              <w:rPr>
                <w:rFonts w:hint="default"/>
                <w:color w:val="000000" w:themeColor="text1"/>
                <w:lang w:val="en-US" w:eastAsia="zh-CN"/>
                <w14:textFill>
                  <w14:solidFill>
                    <w14:schemeClr w14:val="tx1"/>
                  </w14:solidFill>
                </w14:textFill>
              </w:rPr>
            </w:pPr>
            <w:r>
              <w:rPr>
                <w:rFonts w:hint="eastAsia" w:cs="Times New Roman"/>
                <w:b w:val="0"/>
                <w:bCs/>
                <w:color w:val="000000" w:themeColor="text1"/>
                <w:kern w:val="0"/>
                <w:lang w:val="en-US" w:eastAsia="zh-CN"/>
                <w14:textFill>
                  <w14:solidFill>
                    <w14:schemeClr w14:val="tx1"/>
                  </w14:solidFill>
                </w14:textFill>
              </w:rPr>
              <w:t>本项目自建地埋式污水处理站，污水处理站会产生氨、硫化氢等恶臭污染物。</w:t>
            </w:r>
          </w:p>
          <w:p w14:paraId="7B23DC08">
            <w:pPr>
              <w:autoSpaceDE w:val="0"/>
              <w:autoSpaceDN w:val="0"/>
              <w:adjustRightInd w:val="0"/>
              <w:ind w:firstLine="482"/>
              <w:jc w:val="both"/>
              <w:rPr>
                <w:rFonts w:hint="default" w:ascii="Times New Roman" w:hAnsi="Times New Roman" w:eastAsia="宋体" w:cs="Times New Roman"/>
                <w:b w:val="0"/>
                <w:bCs/>
                <w:color w:val="000000" w:themeColor="text1"/>
                <w:kern w:val="0"/>
                <w:lang w:val="en-US" w:eastAsia="zh-CN"/>
                <w14:textFill>
                  <w14:solidFill>
                    <w14:schemeClr w14:val="tx1"/>
                  </w14:solidFill>
                </w14:textFill>
              </w:rPr>
            </w:pPr>
            <w:r>
              <w:rPr>
                <w:rFonts w:hint="default" w:ascii="Times New Roman" w:hAnsi="Times New Roman" w:cs="Times New Roman"/>
                <w:b w:val="0"/>
                <w:bCs/>
                <w:color w:val="000000" w:themeColor="text1"/>
                <w:kern w:val="0"/>
                <w:lang w:val="en-US" w:eastAsia="zh-CN"/>
                <w14:textFill>
                  <w14:solidFill>
                    <w14:schemeClr w14:val="tx1"/>
                  </w14:solidFill>
                </w14:textFill>
              </w:rPr>
              <w:t>（</w:t>
            </w:r>
            <w:r>
              <w:rPr>
                <w:rFonts w:hint="eastAsia" w:cs="Times New Roman"/>
                <w:b w:val="0"/>
                <w:bCs/>
                <w:color w:val="000000" w:themeColor="text1"/>
                <w:kern w:val="0"/>
                <w:lang w:val="en-US" w:eastAsia="zh-CN"/>
                <w14:textFill>
                  <w14:solidFill>
                    <w14:schemeClr w14:val="tx1"/>
                  </w14:solidFill>
                </w14:textFill>
              </w:rPr>
              <w:t>2</w:t>
            </w:r>
            <w:r>
              <w:rPr>
                <w:rFonts w:hint="default" w:ascii="Times New Roman" w:hAnsi="Times New Roman" w:cs="Times New Roman"/>
                <w:b w:val="0"/>
                <w:bCs/>
                <w:color w:val="000000" w:themeColor="text1"/>
                <w:kern w:val="0"/>
                <w:lang w:val="en-US" w:eastAsia="zh-CN"/>
                <w14:textFill>
                  <w14:solidFill>
                    <w14:schemeClr w14:val="tx1"/>
                  </w14:solidFill>
                </w14:textFill>
              </w:rPr>
              <w:t>）污染物产排情况</w:t>
            </w:r>
          </w:p>
          <w:p w14:paraId="7A5348FB">
            <w:pPr>
              <w:autoSpaceDE w:val="0"/>
              <w:autoSpaceDN w:val="0"/>
              <w:adjustRightInd w:val="0"/>
              <w:ind w:firstLine="482"/>
              <w:jc w:val="both"/>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参照环境影响评价工程师职业资格考试教材《环境影响评价案例分析》污水处理设施臭气产生系数，每处理削减1g的BOD</w:t>
            </w:r>
            <w:r>
              <w:rPr>
                <w:rFonts w:hint="default" w:ascii="Times New Roman" w:hAnsi="Times New Roman" w:eastAsia="宋体" w:cs="Times New Roman"/>
                <w:bCs/>
                <w:color w:val="000000" w:themeColor="text1"/>
                <w:kern w:val="0"/>
                <w:highlight w:val="none"/>
                <w:vertAlign w:val="subscript"/>
                <w:lang w:val="en-US" w:eastAsia="zh-CN"/>
                <w14:textFill>
                  <w14:solidFill>
                    <w14:schemeClr w14:val="tx1"/>
                  </w14:solidFill>
                </w14:textFill>
              </w:rPr>
              <w:t>5</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可产生0.0031g的NH</w:t>
            </w:r>
            <w:r>
              <w:rPr>
                <w:rFonts w:hint="default" w:ascii="Times New Roman" w:hAnsi="Times New Roman" w:eastAsia="宋体" w:cs="Times New Roman"/>
                <w:bCs/>
                <w:color w:val="000000" w:themeColor="text1"/>
                <w:kern w:val="0"/>
                <w:highlight w:val="none"/>
                <w:vertAlign w:val="subscript"/>
                <w:lang w:val="en-US" w:eastAsia="zh-CN"/>
                <w14:textFill>
                  <w14:solidFill>
                    <w14:schemeClr w14:val="tx1"/>
                  </w14:solidFill>
                </w14:textFill>
              </w:rPr>
              <w:t>3</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和0.00012g的H</w:t>
            </w:r>
            <w:r>
              <w:rPr>
                <w:rFonts w:hint="default" w:ascii="Times New Roman" w:hAnsi="Times New Roman" w:eastAsia="宋体" w:cs="Times New Roman"/>
                <w:bCs/>
                <w:color w:val="000000" w:themeColor="text1"/>
                <w:kern w:val="0"/>
                <w:highlight w:val="none"/>
                <w:vertAlign w:val="subscript"/>
                <w:lang w:val="en-US" w:eastAsia="zh-CN"/>
                <w14:textFill>
                  <w14:solidFill>
                    <w14:schemeClr w14:val="tx1"/>
                  </w14:solidFill>
                </w14:textFill>
              </w:rPr>
              <w:t>2</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S，本项目废水经地下式污水处理站处理后BOD</w:t>
            </w:r>
            <w:r>
              <w:rPr>
                <w:rFonts w:hint="default" w:ascii="Times New Roman" w:hAnsi="Times New Roman" w:eastAsia="宋体" w:cs="Times New Roman"/>
                <w:bCs/>
                <w:color w:val="000000" w:themeColor="text1"/>
                <w:kern w:val="0"/>
                <w:highlight w:val="none"/>
                <w:vertAlign w:val="subscript"/>
                <w:lang w:val="en-US" w:eastAsia="zh-CN"/>
                <w14:textFill>
                  <w14:solidFill>
                    <w14:schemeClr w14:val="tx1"/>
                  </w14:solidFill>
                </w14:textFill>
              </w:rPr>
              <w:t>5</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浓度从90mg/L降低到9mg/L，共削减BOD35.89t/a，在处理过程中共产生NH</w:t>
            </w:r>
            <w:r>
              <w:rPr>
                <w:rFonts w:hint="default" w:ascii="Times New Roman" w:hAnsi="Times New Roman" w:eastAsia="宋体" w:cs="Times New Roman"/>
                <w:bCs/>
                <w:color w:val="000000" w:themeColor="text1"/>
                <w:kern w:val="0"/>
                <w:highlight w:val="none"/>
                <w:vertAlign w:val="subscript"/>
                <w:lang w:val="en-US" w:eastAsia="zh-CN"/>
                <w14:textFill>
                  <w14:solidFill>
                    <w14:schemeClr w14:val="tx1"/>
                  </w14:solidFill>
                </w14:textFill>
              </w:rPr>
              <w:t>3</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和H</w:t>
            </w:r>
            <w:r>
              <w:rPr>
                <w:rFonts w:hint="default" w:ascii="Times New Roman" w:hAnsi="Times New Roman" w:eastAsia="宋体" w:cs="Times New Roman"/>
                <w:bCs/>
                <w:color w:val="000000" w:themeColor="text1"/>
                <w:kern w:val="0"/>
                <w:highlight w:val="none"/>
                <w:vertAlign w:val="subscript"/>
                <w:lang w:val="en-US" w:eastAsia="zh-CN"/>
                <w14:textFill>
                  <w14:solidFill>
                    <w14:schemeClr w14:val="tx1"/>
                  </w14:solidFill>
                </w14:textFill>
              </w:rPr>
              <w:t>2</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S分别为0.1113t/a、0.0043t/a，产生速率分别为0.0127kg/h、0.0005kg/h。</w:t>
            </w:r>
          </w:p>
          <w:p w14:paraId="49FB17E8">
            <w:pPr>
              <w:autoSpaceDE w:val="0"/>
              <w:autoSpaceDN w:val="0"/>
              <w:adjustRightInd w:val="0"/>
              <w:ind w:firstLine="482"/>
              <w:jc w:val="both"/>
              <w:rPr>
                <w:rFonts w:hint="eastAsia" w:cs="Times New Roman"/>
                <w:bCs/>
                <w:color w:val="000000" w:themeColor="text1"/>
                <w:kern w:val="0"/>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污水处理站设置为地下式，且全密闭设置，恶臭气体密闭收集后经活性炭吸附装置+15m高排气筒处理后达标排放，设计风机风量为1500m</w:t>
            </w:r>
            <w:r>
              <w:rPr>
                <w:rFonts w:hint="default" w:ascii="Times New Roman" w:hAnsi="Times New Roman" w:eastAsia="宋体" w:cs="Times New Roman"/>
                <w:bCs/>
                <w:color w:val="000000" w:themeColor="text1"/>
                <w:kern w:val="0"/>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/h，收集效率约为95%，活性炭吸附除臭工艺对氨气和硫化氢的去除效率为80%，因此污水处理站恶臭气体有组织排放量为NH</w:t>
            </w:r>
            <w:r>
              <w:rPr>
                <w:rFonts w:hint="default" w:ascii="Times New Roman" w:hAnsi="Times New Roman" w:eastAsia="宋体" w:cs="Times New Roman"/>
                <w:bCs/>
                <w:color w:val="000000" w:themeColor="text1"/>
                <w:kern w:val="0"/>
                <w:highlight w:val="none"/>
                <w:vertAlign w:val="subscript"/>
                <w:lang w:val="en-US" w:eastAsia="zh-CN"/>
                <w14:textFill>
                  <w14:solidFill>
                    <w14:schemeClr w14:val="tx1"/>
                  </w14:solidFill>
                </w14:textFill>
              </w:rPr>
              <w:t>3</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:0.0211t/a，H</w:t>
            </w:r>
            <w:r>
              <w:rPr>
                <w:rFonts w:hint="default" w:ascii="Times New Roman" w:hAnsi="Times New Roman" w:eastAsia="宋体" w:cs="Times New Roman"/>
                <w:bCs/>
                <w:color w:val="000000" w:themeColor="text1"/>
                <w:kern w:val="0"/>
                <w:highlight w:val="none"/>
                <w:vertAlign w:val="subscript"/>
                <w:lang w:val="en-US" w:eastAsia="zh-CN"/>
                <w14:textFill>
                  <w14:solidFill>
                    <w14:schemeClr w14:val="tx1"/>
                  </w14:solidFill>
                </w14:textFill>
              </w:rPr>
              <w:t>2</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S：0.0001t/a，排放速率为：NH</w:t>
            </w:r>
            <w:r>
              <w:rPr>
                <w:rFonts w:hint="default" w:ascii="Times New Roman" w:hAnsi="Times New Roman" w:eastAsia="宋体" w:cs="Times New Roman"/>
                <w:bCs/>
                <w:color w:val="000000" w:themeColor="text1"/>
                <w:kern w:val="0"/>
                <w:highlight w:val="none"/>
                <w:vertAlign w:val="subscript"/>
                <w:lang w:val="en-US" w:eastAsia="zh-CN"/>
                <w14:textFill>
                  <w14:solidFill>
                    <w14:schemeClr w14:val="tx1"/>
                  </w14:solidFill>
                </w14:textFill>
              </w:rPr>
              <w:t>3</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:0.0024kg/h，H</w:t>
            </w:r>
            <w:r>
              <w:rPr>
                <w:rFonts w:hint="default" w:ascii="Times New Roman" w:hAnsi="Times New Roman" w:eastAsia="宋体" w:cs="Times New Roman"/>
                <w:bCs/>
                <w:color w:val="000000" w:themeColor="text1"/>
                <w:kern w:val="0"/>
                <w:highlight w:val="none"/>
                <w:vertAlign w:val="subscript"/>
                <w:lang w:val="en-US" w:eastAsia="zh-CN"/>
                <w14:textFill>
                  <w14:solidFill>
                    <w14:schemeClr w14:val="tx1"/>
                  </w14:solidFill>
                </w14:textFill>
              </w:rPr>
              <w:t>2</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S：0.00001kg/h，排放浓度为：NH</w:t>
            </w:r>
            <w:r>
              <w:rPr>
                <w:rFonts w:hint="default" w:ascii="Times New Roman" w:hAnsi="Times New Roman" w:eastAsia="宋体" w:cs="Times New Roman"/>
                <w:bCs/>
                <w:color w:val="000000" w:themeColor="text1"/>
                <w:kern w:val="0"/>
                <w:highlight w:val="none"/>
                <w:vertAlign w:val="subscript"/>
                <w:lang w:val="en-US" w:eastAsia="zh-CN"/>
                <w14:textFill>
                  <w14:solidFill>
                    <w14:schemeClr w14:val="tx1"/>
                  </w14:solidFill>
                </w14:textFill>
              </w:rPr>
              <w:t>3</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:0.0016mg/m</w:t>
            </w:r>
            <w:r>
              <w:rPr>
                <w:rFonts w:hint="default" w:ascii="Times New Roman" w:hAnsi="Times New Roman" w:eastAsia="宋体" w:cs="Times New Roman"/>
                <w:bCs/>
                <w:color w:val="000000" w:themeColor="text1"/>
                <w:kern w:val="0"/>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，H</w:t>
            </w:r>
            <w:r>
              <w:rPr>
                <w:rFonts w:hint="default" w:ascii="Times New Roman" w:hAnsi="Times New Roman" w:eastAsia="宋体" w:cs="Times New Roman"/>
                <w:bCs/>
                <w:color w:val="000000" w:themeColor="text1"/>
                <w:kern w:val="0"/>
                <w:highlight w:val="none"/>
                <w:vertAlign w:val="subscript"/>
                <w:lang w:val="en-US" w:eastAsia="zh-CN"/>
                <w14:textFill>
                  <w14:solidFill>
                    <w14:schemeClr w14:val="tx1"/>
                  </w14:solidFill>
                </w14:textFill>
              </w:rPr>
              <w:t>2</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S：7.6×10</w:t>
            </w:r>
            <w:r>
              <w:rPr>
                <w:rFonts w:hint="default" w:ascii="Times New Roman" w:hAnsi="Times New Roman" w:eastAsia="宋体" w:cs="Times New Roman"/>
                <w:bCs/>
                <w:color w:val="000000" w:themeColor="text1"/>
                <w:kern w:val="0"/>
                <w:highlight w:val="none"/>
                <w:vertAlign w:val="superscript"/>
                <w:lang w:val="en-US" w:eastAsia="zh-CN"/>
                <w14:textFill>
                  <w14:solidFill>
                    <w14:schemeClr w14:val="tx1"/>
                  </w14:solidFill>
                </w14:textFill>
              </w:rPr>
              <w:t>-6</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mg/m</w:t>
            </w:r>
            <w:r>
              <w:rPr>
                <w:rFonts w:hint="default" w:ascii="Times New Roman" w:hAnsi="Times New Roman" w:eastAsia="宋体" w:cs="Times New Roman"/>
                <w:bCs/>
                <w:color w:val="000000" w:themeColor="text1"/>
                <w:kern w:val="0"/>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。项目无组织污染物排放量为NH</w:t>
            </w:r>
            <w:r>
              <w:rPr>
                <w:rFonts w:hint="default" w:ascii="Times New Roman" w:hAnsi="Times New Roman" w:eastAsia="宋体" w:cs="Times New Roman"/>
                <w:bCs/>
                <w:color w:val="000000" w:themeColor="text1"/>
                <w:kern w:val="0"/>
                <w:highlight w:val="none"/>
                <w:vertAlign w:val="subscript"/>
                <w:lang w:val="en-US" w:eastAsia="zh-CN"/>
                <w14:textFill>
                  <w14:solidFill>
                    <w14:schemeClr w14:val="tx1"/>
                  </w14:solidFill>
                </w14:textFill>
              </w:rPr>
              <w:t>3</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:0.0056t/a，H</w:t>
            </w:r>
            <w:r>
              <w:rPr>
                <w:rFonts w:hint="default" w:ascii="Times New Roman" w:hAnsi="Times New Roman" w:eastAsia="宋体" w:cs="Times New Roman"/>
                <w:bCs/>
                <w:color w:val="000000" w:themeColor="text1"/>
                <w:kern w:val="0"/>
                <w:highlight w:val="none"/>
                <w:vertAlign w:val="subscript"/>
                <w:lang w:val="en-US" w:eastAsia="zh-CN"/>
                <w14:textFill>
                  <w14:solidFill>
                    <w14:schemeClr w14:val="tx1"/>
                  </w14:solidFill>
                </w14:textFill>
              </w:rPr>
              <w:t>2</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S：0.0002t/a。</w:t>
            </w:r>
            <w:r>
              <w:rPr>
                <w:rFonts w:hint="eastAsia" w:cs="Times New Roman"/>
                <w:bCs/>
                <w:color w:val="000000" w:themeColor="text1"/>
                <w:kern w:val="0"/>
                <w:highlight w:val="none"/>
                <w:lang w:val="en-US" w:eastAsia="zh-CN"/>
                <w14:textFill>
                  <w14:solidFill>
                    <w14:schemeClr w14:val="tx1"/>
                  </w14:solidFill>
                </w14:textFill>
              </w:rPr>
              <w:t>本项目污水处理恶臭产生源强见表4-6。</w:t>
            </w:r>
          </w:p>
          <w:p w14:paraId="08BB7904">
            <w:pPr>
              <w:pStyle w:val="63"/>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表4-</w:t>
            </w:r>
            <w:r>
              <w:rPr>
                <w:rFonts w:hint="eastAsia" w:cs="Times New Roman"/>
                <w:b/>
                <w:bCs w:val="0"/>
                <w:color w:val="000000" w:themeColor="text1"/>
                <w:sz w:val="21"/>
                <w:szCs w:val="21"/>
                <w:lang w:val="en-US" w:eastAsia="zh-CN"/>
                <w14:textFill>
                  <w14:solidFill>
                    <w14:schemeClr w14:val="tx1"/>
                  </w14:solidFill>
                </w14:textFill>
              </w:rPr>
              <w:t>6</w:t>
            </w: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 xml:space="preserve">  本项目污水处理恶臭污染物产、排放量计算表</w:t>
            </w:r>
          </w:p>
          <w:tbl>
            <w:tblPr>
              <w:tblStyle w:val="27"/>
              <w:tblW w:w="751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76"/>
              <w:gridCol w:w="943"/>
              <w:gridCol w:w="905"/>
              <w:gridCol w:w="3137"/>
              <w:gridCol w:w="980"/>
              <w:gridCol w:w="876"/>
            </w:tblGrid>
            <w:tr w14:paraId="0E9CB9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11" w:hRule="atLeast"/>
                <w:jc w:val="center"/>
              </w:trPr>
              <w:tc>
                <w:tcPr>
                  <w:tcW w:w="676" w:type="dxa"/>
                  <w:noWrap w:val="0"/>
                  <w:vAlign w:val="center"/>
                </w:tcPr>
                <w:p w14:paraId="1D4657FD">
                  <w:pPr>
                    <w:adjustRightInd w:val="0"/>
                    <w:snapToGrid w:val="0"/>
                    <w:spacing w:line="0" w:lineRule="atLeast"/>
                    <w:ind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废气种类</w:t>
                  </w:r>
                </w:p>
              </w:tc>
              <w:tc>
                <w:tcPr>
                  <w:tcW w:w="943" w:type="dxa"/>
                  <w:noWrap w:val="0"/>
                  <w:vAlign w:val="center"/>
                </w:tcPr>
                <w:p w14:paraId="77D3A665">
                  <w:pPr>
                    <w:adjustRightInd w:val="0"/>
                    <w:snapToGrid w:val="0"/>
                    <w:spacing w:line="0" w:lineRule="atLeast"/>
                    <w:ind w:firstLine="0" w:firstLineChars="0"/>
                    <w:jc w:val="center"/>
                    <w:rPr>
                      <w:rFonts w:hint="eastAsia" w:ascii="Times New Roman" w:hAnsi="Times New Roman" w:eastAsia="宋体" w:cs="Times New Roman"/>
                      <w:b/>
                      <w:color w:val="000000" w:themeColor="text1"/>
                      <w:sz w:val="21"/>
                      <w:szCs w:val="21"/>
                      <w14:textFill>
                        <w14:solidFill>
                          <w14:schemeClr w14:val="tx1"/>
                        </w14:solidFill>
                      </w14:textFill>
                    </w:rPr>
                  </w:pPr>
                  <w:r>
                    <w:rPr>
                      <w:rFonts w:hint="eastAsia" w:ascii="Times New Roman" w:hAnsi="Times New Roman" w:eastAsia="宋体" w:cs="Times New Roman"/>
                      <w:b/>
                      <w:color w:val="000000" w:themeColor="text1"/>
                      <w:sz w:val="21"/>
                      <w:szCs w:val="21"/>
                      <w14:textFill>
                        <w14:solidFill>
                          <w14:schemeClr w14:val="tx1"/>
                        </w14:solidFill>
                      </w14:textFill>
                    </w:rPr>
                    <w:t>产生速率kg/h</w:t>
                  </w:r>
                </w:p>
              </w:tc>
              <w:tc>
                <w:tcPr>
                  <w:tcW w:w="905" w:type="dxa"/>
                  <w:noWrap w:val="0"/>
                  <w:vAlign w:val="center"/>
                </w:tcPr>
                <w:p w14:paraId="30EE3343">
                  <w:pPr>
                    <w:adjustRightInd w:val="0"/>
                    <w:snapToGrid w:val="0"/>
                    <w:spacing w:line="0" w:lineRule="atLeast"/>
                    <w:ind w:firstLine="0" w:firstLineChars="0"/>
                    <w:jc w:val="center"/>
                    <w:rPr>
                      <w:rFonts w:hint="eastAsia" w:ascii="Times New Roman" w:hAnsi="Times New Roman" w:eastAsia="宋体" w:cs="Times New Roman"/>
                      <w:b/>
                      <w:color w:val="000000" w:themeColor="text1"/>
                      <w:sz w:val="21"/>
                      <w:szCs w:val="21"/>
                      <w14:textFill>
                        <w14:solidFill>
                          <w14:schemeClr w14:val="tx1"/>
                        </w14:solidFill>
                      </w14:textFill>
                    </w:rPr>
                  </w:pPr>
                  <w:r>
                    <w:rPr>
                      <w:rFonts w:hint="eastAsia" w:ascii="Times New Roman" w:hAnsi="Times New Roman" w:eastAsia="宋体" w:cs="Times New Roman"/>
                      <w:b/>
                      <w:color w:val="000000" w:themeColor="text1"/>
                      <w:sz w:val="21"/>
                      <w:szCs w:val="21"/>
                      <w14:textFill>
                        <w14:solidFill>
                          <w14:schemeClr w14:val="tx1"/>
                        </w14:solidFill>
                      </w14:textFill>
                    </w:rPr>
                    <w:t>产生量t/a</w:t>
                  </w:r>
                </w:p>
              </w:tc>
              <w:tc>
                <w:tcPr>
                  <w:tcW w:w="3137" w:type="dxa"/>
                  <w:noWrap w:val="0"/>
                  <w:vAlign w:val="center"/>
                </w:tcPr>
                <w:p w14:paraId="4D32F8A7">
                  <w:pPr>
                    <w:adjustRightInd w:val="0"/>
                    <w:snapToGrid w:val="0"/>
                    <w:spacing w:line="0" w:lineRule="atLeast"/>
                    <w:ind w:firstLine="0" w:firstLineChars="0"/>
                    <w:jc w:val="center"/>
                    <w:rPr>
                      <w:rFonts w:hint="eastAsia" w:ascii="Times New Roman" w:hAnsi="Times New Roman" w:eastAsia="宋体" w:cs="Times New Roman"/>
                      <w:b/>
                      <w:color w:val="000000" w:themeColor="text1"/>
                      <w:sz w:val="21"/>
                      <w:szCs w:val="21"/>
                      <w14:textFill>
                        <w14:solidFill>
                          <w14:schemeClr w14:val="tx1"/>
                        </w14:solidFill>
                      </w14:textFill>
                    </w:rPr>
                  </w:pPr>
                  <w:r>
                    <w:rPr>
                      <w:rFonts w:hint="eastAsia" w:ascii="Times New Roman" w:hAnsi="Times New Roman" w:eastAsia="宋体" w:cs="Times New Roman"/>
                      <w:b/>
                      <w:color w:val="000000" w:themeColor="text1"/>
                      <w:sz w:val="21"/>
                      <w:szCs w:val="21"/>
                      <w14:textFill>
                        <w14:solidFill>
                          <w14:schemeClr w14:val="tx1"/>
                        </w14:solidFill>
                      </w14:textFill>
                    </w:rPr>
                    <w:t>治理措施</w:t>
                  </w:r>
                </w:p>
              </w:tc>
              <w:tc>
                <w:tcPr>
                  <w:tcW w:w="980" w:type="dxa"/>
                  <w:noWrap w:val="0"/>
                  <w:vAlign w:val="center"/>
                </w:tcPr>
                <w:p w14:paraId="05078F04">
                  <w:pPr>
                    <w:adjustRightInd w:val="0"/>
                    <w:snapToGrid w:val="0"/>
                    <w:spacing w:line="0" w:lineRule="atLeast"/>
                    <w:ind w:firstLine="0" w:firstLineChars="0"/>
                    <w:jc w:val="center"/>
                    <w:rPr>
                      <w:rFonts w:hint="eastAsia" w:ascii="Times New Roman" w:hAnsi="Times New Roman" w:eastAsia="宋体" w:cs="Times New Roman"/>
                      <w:b/>
                      <w:color w:val="000000" w:themeColor="text1"/>
                      <w:sz w:val="21"/>
                      <w:szCs w:val="21"/>
                      <w14:textFill>
                        <w14:solidFill>
                          <w14:schemeClr w14:val="tx1"/>
                        </w14:solidFill>
                      </w14:textFill>
                    </w:rPr>
                  </w:pPr>
                  <w:r>
                    <w:rPr>
                      <w:rFonts w:hint="eastAsia" w:ascii="Times New Roman" w:hAnsi="Times New Roman" w:eastAsia="宋体" w:cs="Times New Roman"/>
                      <w:b/>
                      <w:color w:val="000000" w:themeColor="text1"/>
                      <w:sz w:val="21"/>
                      <w:szCs w:val="21"/>
                      <w14:textFill>
                        <w14:solidFill>
                          <w14:schemeClr w14:val="tx1"/>
                        </w14:solidFill>
                      </w14:textFill>
                    </w:rPr>
                    <w:t>排放速率kg/h</w:t>
                  </w:r>
                </w:p>
              </w:tc>
              <w:tc>
                <w:tcPr>
                  <w:tcW w:w="876" w:type="dxa"/>
                  <w:noWrap w:val="0"/>
                  <w:vAlign w:val="center"/>
                </w:tcPr>
                <w:p w14:paraId="4E580DD6">
                  <w:pPr>
                    <w:adjustRightInd w:val="0"/>
                    <w:snapToGrid w:val="0"/>
                    <w:spacing w:line="0" w:lineRule="atLeast"/>
                    <w:ind w:firstLine="0" w:firstLineChars="0"/>
                    <w:jc w:val="center"/>
                    <w:rPr>
                      <w:rFonts w:hint="eastAsia" w:ascii="Times New Roman" w:hAnsi="Times New Roman" w:eastAsia="宋体" w:cs="Times New Roman"/>
                      <w:b/>
                      <w:color w:val="000000" w:themeColor="text1"/>
                      <w:sz w:val="21"/>
                      <w:szCs w:val="21"/>
                      <w14:textFill>
                        <w14:solidFill>
                          <w14:schemeClr w14:val="tx1"/>
                        </w14:solidFill>
                      </w14:textFill>
                    </w:rPr>
                  </w:pPr>
                  <w:r>
                    <w:rPr>
                      <w:rFonts w:hint="eastAsia" w:ascii="Times New Roman" w:hAnsi="Times New Roman" w:eastAsia="宋体" w:cs="Times New Roman"/>
                      <w:b/>
                      <w:color w:val="000000" w:themeColor="text1"/>
                      <w:sz w:val="21"/>
                      <w:szCs w:val="21"/>
                      <w14:textFill>
                        <w14:solidFill>
                          <w14:schemeClr w14:val="tx1"/>
                        </w14:solidFill>
                      </w14:textFill>
                    </w:rPr>
                    <w:t>排放量t/a</w:t>
                  </w:r>
                </w:p>
              </w:tc>
            </w:tr>
            <w:tr w14:paraId="575818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7" w:hRule="atLeast"/>
                <w:jc w:val="center"/>
              </w:trPr>
              <w:tc>
                <w:tcPr>
                  <w:tcW w:w="676" w:type="dxa"/>
                  <w:noWrap w:val="0"/>
                  <w:vAlign w:val="center"/>
                </w:tcPr>
                <w:p w14:paraId="1A5B0511">
                  <w:pPr>
                    <w:adjustRightInd w:val="0"/>
                    <w:snapToGrid w:val="0"/>
                    <w:spacing w:line="0" w:lineRule="atLeast"/>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NH</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p>
              </w:tc>
              <w:tc>
                <w:tcPr>
                  <w:tcW w:w="943" w:type="dxa"/>
                  <w:noWrap w:val="0"/>
                  <w:vAlign w:val="center"/>
                </w:tcPr>
                <w:p w14:paraId="76ACC765">
                  <w:pPr>
                    <w:adjustRightInd w:val="0"/>
                    <w:snapToGrid w:val="0"/>
                    <w:spacing w:line="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0.0127</w:t>
                  </w:r>
                </w:p>
              </w:tc>
              <w:tc>
                <w:tcPr>
                  <w:tcW w:w="905" w:type="dxa"/>
                  <w:noWrap w:val="0"/>
                  <w:vAlign w:val="center"/>
                </w:tcPr>
                <w:p w14:paraId="2A95B80A">
                  <w:pPr>
                    <w:adjustRightInd w:val="0"/>
                    <w:snapToGrid w:val="0"/>
                    <w:spacing w:line="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0.1113</w:t>
                  </w:r>
                </w:p>
              </w:tc>
              <w:tc>
                <w:tcPr>
                  <w:tcW w:w="3137" w:type="dxa"/>
                  <w:vMerge w:val="restart"/>
                  <w:noWrap w:val="0"/>
                  <w:vAlign w:val="center"/>
                </w:tcPr>
                <w:p w14:paraId="1CC9E40B">
                  <w:pPr>
                    <w:adjustRightInd w:val="0"/>
                    <w:snapToGrid w:val="0"/>
                    <w:spacing w:line="0" w:lineRule="atLeast"/>
                    <w:ind w:firstLine="0" w:firstLineChars="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恶臭气体密闭收集后经活性炭吸附装置+15m高排气筒处理后达标排放</w:t>
                  </w:r>
                </w:p>
              </w:tc>
              <w:tc>
                <w:tcPr>
                  <w:tcW w:w="980" w:type="dxa"/>
                  <w:noWrap w:val="0"/>
                  <w:vAlign w:val="center"/>
                </w:tcPr>
                <w:p w14:paraId="147F5A97">
                  <w:pPr>
                    <w:adjustRightInd w:val="0"/>
                    <w:snapToGrid w:val="0"/>
                    <w:spacing w:line="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0.0024</w:t>
                  </w:r>
                </w:p>
              </w:tc>
              <w:tc>
                <w:tcPr>
                  <w:tcW w:w="876" w:type="dxa"/>
                  <w:noWrap w:val="0"/>
                  <w:vAlign w:val="center"/>
                </w:tcPr>
                <w:p w14:paraId="60919BCF">
                  <w:pPr>
                    <w:adjustRightInd w:val="0"/>
                    <w:snapToGrid w:val="0"/>
                    <w:spacing w:line="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0.0211</w:t>
                  </w:r>
                </w:p>
              </w:tc>
            </w:tr>
            <w:tr w14:paraId="1CC4D5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676" w:type="dxa"/>
                  <w:noWrap w:val="0"/>
                  <w:vAlign w:val="center"/>
                </w:tcPr>
                <w:p w14:paraId="53B970EB">
                  <w:pPr>
                    <w:adjustRightInd w:val="0"/>
                    <w:snapToGrid w:val="0"/>
                    <w:spacing w:line="0" w:lineRule="atLeast"/>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S</w:t>
                  </w:r>
                </w:p>
              </w:tc>
              <w:tc>
                <w:tcPr>
                  <w:tcW w:w="943" w:type="dxa"/>
                  <w:noWrap w:val="0"/>
                  <w:vAlign w:val="center"/>
                </w:tcPr>
                <w:p w14:paraId="395F9EEB">
                  <w:pPr>
                    <w:adjustRightInd w:val="0"/>
                    <w:snapToGrid w:val="0"/>
                    <w:spacing w:line="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0.0005</w:t>
                  </w:r>
                </w:p>
              </w:tc>
              <w:tc>
                <w:tcPr>
                  <w:tcW w:w="905" w:type="dxa"/>
                  <w:noWrap w:val="0"/>
                  <w:vAlign w:val="center"/>
                </w:tcPr>
                <w:p w14:paraId="2C11CB60">
                  <w:pPr>
                    <w:adjustRightInd w:val="0"/>
                    <w:snapToGrid w:val="0"/>
                    <w:spacing w:line="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0.0043</w:t>
                  </w:r>
                </w:p>
              </w:tc>
              <w:tc>
                <w:tcPr>
                  <w:tcW w:w="3137" w:type="dxa"/>
                  <w:vMerge w:val="continue"/>
                  <w:noWrap w:val="0"/>
                  <w:vAlign w:val="center"/>
                </w:tcPr>
                <w:p w14:paraId="64EDCC37">
                  <w:pPr>
                    <w:adjustRightInd w:val="0"/>
                    <w:snapToGrid w:val="0"/>
                    <w:spacing w:line="0" w:lineRule="atLeast"/>
                    <w:ind w:firstLine="0" w:firstLineChars="0"/>
                    <w:jc w:val="center"/>
                    <w:rPr>
                      <w:rFonts w:hint="eastAsia" w:ascii="Times New Roman" w:hAnsi="Times New Roman" w:eastAsia="宋体" w:cs="Times New Roman"/>
                      <w:color w:val="000000" w:themeColor="text1"/>
                      <w:sz w:val="21"/>
                      <w:szCs w:val="21"/>
                      <w14:textFill>
                        <w14:solidFill>
                          <w14:schemeClr w14:val="tx1"/>
                        </w14:solidFill>
                      </w14:textFill>
                    </w:rPr>
                  </w:pPr>
                </w:p>
              </w:tc>
              <w:tc>
                <w:tcPr>
                  <w:tcW w:w="980" w:type="dxa"/>
                  <w:noWrap w:val="0"/>
                  <w:vAlign w:val="center"/>
                </w:tcPr>
                <w:p w14:paraId="0CECF354">
                  <w:pPr>
                    <w:adjustRightInd w:val="0"/>
                    <w:snapToGrid w:val="0"/>
                    <w:spacing w:line="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0.00001</w:t>
                  </w:r>
                </w:p>
              </w:tc>
              <w:tc>
                <w:tcPr>
                  <w:tcW w:w="876" w:type="dxa"/>
                  <w:noWrap w:val="0"/>
                  <w:vAlign w:val="center"/>
                </w:tcPr>
                <w:p w14:paraId="45340D22">
                  <w:pPr>
                    <w:adjustRightInd w:val="0"/>
                    <w:snapToGrid w:val="0"/>
                    <w:spacing w:line="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0.0001</w:t>
                  </w:r>
                </w:p>
              </w:tc>
            </w:tr>
          </w:tbl>
          <w:p w14:paraId="15DD763A">
            <w:pPr>
              <w:autoSpaceDE w:val="0"/>
              <w:autoSpaceDN w:val="0"/>
              <w:adjustRightInd w:val="0"/>
              <w:ind w:firstLine="482"/>
              <w:jc w:val="both"/>
              <w:rPr>
                <w:rFonts w:hint="eastAsia" w:ascii="Times New Roman" w:hAnsi="Times New Roman" w:eastAsia="宋体" w:cs="Times New Roman"/>
                <w:b w:val="0"/>
                <w:bCs/>
                <w:color w:val="000000" w:themeColor="text1"/>
                <w:kern w:val="0"/>
                <w:lang w:val="en-US" w:eastAsia="zh-CN"/>
                <w14:textFill>
                  <w14:solidFill>
                    <w14:schemeClr w14:val="tx1"/>
                  </w14:solidFill>
                </w14:textFill>
              </w:rPr>
            </w:pP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综上，本项目污水处理站废气经活性炭处理后满足《恶臭污染物排放标准》（GB14554-93）表2标准要求，15m高排气筒，硫化氢排放速率≤0.33kg/h，氨排放速率≤4.9kg/h。</w:t>
            </w:r>
          </w:p>
          <w:p w14:paraId="0E94ACC7">
            <w:pPr>
              <w:autoSpaceDE w:val="0"/>
              <w:autoSpaceDN w:val="0"/>
              <w:adjustRightInd w:val="0"/>
              <w:ind w:firstLine="482"/>
              <w:jc w:val="both"/>
              <w:rPr>
                <w:rFonts w:hint="eastAsia" w:ascii="Times New Roman" w:hAnsi="Times New Roman" w:eastAsia="宋体" w:cs="Times New Roman"/>
                <w:b w:val="0"/>
                <w:bCs/>
                <w:color w:val="000000" w:themeColor="text1"/>
                <w:kern w:val="0"/>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lang w:val="en-US" w:eastAsia="zh-CN"/>
                <w14:textFill>
                  <w14:solidFill>
                    <w14:schemeClr w14:val="tx1"/>
                  </w14:solidFill>
                </w14:textFill>
              </w:rPr>
              <w:t>（</w:t>
            </w:r>
            <w:r>
              <w:rPr>
                <w:rFonts w:hint="eastAsia" w:cs="Times New Roman"/>
                <w:b w:val="0"/>
                <w:bCs/>
                <w:color w:val="000000" w:themeColor="text1"/>
                <w:kern w:val="0"/>
                <w:lang w:val="en-US" w:eastAsia="zh-CN"/>
                <w14:textFill>
                  <w14:solidFill>
                    <w14:schemeClr w14:val="tx1"/>
                  </w14:solidFill>
                </w14:textFill>
              </w:rPr>
              <w:t>3</w:t>
            </w:r>
            <w:r>
              <w:rPr>
                <w:rFonts w:hint="eastAsia" w:ascii="Times New Roman" w:hAnsi="Times New Roman" w:eastAsia="宋体" w:cs="Times New Roman"/>
                <w:b w:val="0"/>
                <w:bCs/>
                <w:color w:val="000000" w:themeColor="text1"/>
                <w:kern w:val="0"/>
                <w:lang w:val="en-US" w:eastAsia="zh-CN"/>
                <w14:textFill>
                  <w14:solidFill>
                    <w14:schemeClr w14:val="tx1"/>
                  </w14:solidFill>
                </w14:textFill>
              </w:rPr>
              <w:t>）非正常工况环境影响分析</w:t>
            </w:r>
          </w:p>
          <w:p w14:paraId="2CC389EB">
            <w:pPr>
              <w:autoSpaceDE w:val="0"/>
              <w:autoSpaceDN w:val="0"/>
              <w:adjustRightInd w:val="0"/>
              <w:ind w:firstLine="482"/>
              <w:jc w:val="both"/>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非正常工况主要包括以下情况：离心风机等废气收集机械故障导致各单元恶臭气体无法正常收集，局部单元臭气无组织排放。</w:t>
            </w:r>
          </w:p>
          <w:p w14:paraId="2F5340CA">
            <w:pPr>
              <w:autoSpaceDE w:val="0"/>
              <w:autoSpaceDN w:val="0"/>
              <w:adjustRightInd w:val="0"/>
              <w:ind w:firstLine="482"/>
              <w:jc w:val="both"/>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本项目非</w:t>
            </w:r>
            <w:r>
              <w:rPr>
                <w:rFonts w:hint="eastAsia" w:ascii="Times New Roman" w:hAnsi="Times New Roman" w:eastAsia="宋体" w:cs="Times New Roman"/>
                <w:bCs/>
                <w:color w:val="000000" w:themeColor="text1"/>
                <w:kern w:val="0"/>
                <w:highlight w:val="none"/>
                <w:lang w:val="en-US" w:eastAsia="zh-CN"/>
                <w14:textFill>
                  <w14:solidFill>
                    <w14:schemeClr w14:val="tx1"/>
                  </w14:solidFill>
                </w14:textFill>
              </w:rPr>
              <w:t>正常</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工况设定为除臭装置完全失效，恶臭污染物排放浓度基本等同于源强。本项目非正常工况排放源强见表4-</w:t>
            </w:r>
            <w:r>
              <w:rPr>
                <w:rFonts w:hint="eastAsia" w:cs="Times New Roman"/>
                <w:bCs/>
                <w:color w:val="000000" w:themeColor="text1"/>
                <w:kern w:val="0"/>
                <w:highlight w:val="none"/>
                <w:lang w:val="en-US" w:eastAsia="zh-CN"/>
                <w14:textFill>
                  <w14:solidFill>
                    <w14:schemeClr w14:val="tx1"/>
                  </w14:solidFill>
                </w14:textFill>
              </w:rPr>
              <w:t>7</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w:t>
            </w:r>
          </w:p>
          <w:p w14:paraId="453BD1A7">
            <w:pPr>
              <w:pStyle w:val="63"/>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表4-</w:t>
            </w:r>
            <w:r>
              <w:rPr>
                <w:rFonts w:hint="eastAsia" w:cs="Times New Roman"/>
                <w:b/>
                <w:bCs w:val="0"/>
                <w:color w:val="000000" w:themeColor="text1"/>
                <w:sz w:val="21"/>
                <w:szCs w:val="21"/>
                <w:lang w:val="en-US" w:eastAsia="zh-CN"/>
                <w14:textFill>
                  <w14:solidFill>
                    <w14:schemeClr w14:val="tx1"/>
                  </w14:solidFill>
                </w14:textFill>
              </w:rPr>
              <w:t>7</w:t>
            </w: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本项目非正常工况排放源强</w:t>
            </w: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表</w:t>
            </w:r>
          </w:p>
          <w:tbl>
            <w:tblPr>
              <w:tblStyle w:val="28"/>
              <w:tblW w:w="750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50"/>
              <w:gridCol w:w="3750"/>
            </w:tblGrid>
            <w:tr w14:paraId="3F04B2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3750" w:type="dxa"/>
                  <w:tcBorders>
                    <w:tl2br w:val="nil"/>
                    <w:tr2bl w:val="nil"/>
                  </w:tcBorders>
                  <w:vAlign w:val="center"/>
                </w:tcPr>
                <w:p w14:paraId="005ACB77">
                  <w:pPr>
                    <w:adjustRightInd w:val="0"/>
                    <w:snapToGrid w:val="0"/>
                    <w:spacing w:line="0" w:lineRule="atLeast"/>
                    <w:ind w:firstLine="0" w:firstLineChars="0"/>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污染物名称</w:t>
                  </w:r>
                </w:p>
              </w:tc>
              <w:tc>
                <w:tcPr>
                  <w:tcW w:w="3750" w:type="dxa"/>
                  <w:tcBorders>
                    <w:tl2br w:val="nil"/>
                    <w:tr2bl w:val="nil"/>
                  </w:tcBorders>
                </w:tcPr>
                <w:p w14:paraId="7E59C4DB">
                  <w:pPr>
                    <w:adjustRightInd w:val="0"/>
                    <w:snapToGrid w:val="0"/>
                    <w:spacing w:line="0" w:lineRule="atLeast"/>
                    <w:ind w:firstLine="0" w:firstLineChars="0"/>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产生量（kg/h）</w:t>
                  </w:r>
                </w:p>
              </w:tc>
            </w:tr>
            <w:tr w14:paraId="2967BE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3750" w:type="dxa"/>
                  <w:tcBorders>
                    <w:tl2br w:val="nil"/>
                    <w:tr2bl w:val="nil"/>
                  </w:tcBorders>
                  <w:vAlign w:val="center"/>
                </w:tcPr>
                <w:p w14:paraId="7848ABA2">
                  <w:pPr>
                    <w:adjustRightInd w:val="0"/>
                    <w:snapToGrid w:val="0"/>
                    <w:spacing w:line="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NH</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3</w:t>
                  </w:r>
                </w:p>
              </w:tc>
              <w:tc>
                <w:tcPr>
                  <w:tcW w:w="3750" w:type="dxa"/>
                  <w:tcBorders>
                    <w:tl2br w:val="nil"/>
                    <w:tr2bl w:val="nil"/>
                  </w:tcBorders>
                  <w:shd w:val="clear" w:color="auto" w:fill="auto"/>
                  <w:vAlign w:val="center"/>
                </w:tcPr>
                <w:p w14:paraId="19CF27AC">
                  <w:pPr>
                    <w:adjustRightInd w:val="0"/>
                    <w:snapToGrid w:val="0"/>
                    <w:spacing w:line="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0.0127</w:t>
                  </w:r>
                </w:p>
              </w:tc>
            </w:tr>
            <w:tr w14:paraId="1E2C62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3750" w:type="dxa"/>
                  <w:tcBorders>
                    <w:tl2br w:val="nil"/>
                    <w:tr2bl w:val="nil"/>
                  </w:tcBorders>
                  <w:vAlign w:val="center"/>
                </w:tcPr>
                <w:p w14:paraId="602E551D">
                  <w:pPr>
                    <w:adjustRightInd w:val="0"/>
                    <w:snapToGrid w:val="0"/>
                    <w:spacing w:line="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H</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S</w:t>
                  </w:r>
                </w:p>
              </w:tc>
              <w:tc>
                <w:tcPr>
                  <w:tcW w:w="3750" w:type="dxa"/>
                  <w:tcBorders>
                    <w:tl2br w:val="nil"/>
                    <w:tr2bl w:val="nil"/>
                  </w:tcBorders>
                  <w:shd w:val="clear" w:color="auto" w:fill="auto"/>
                  <w:vAlign w:val="center"/>
                </w:tcPr>
                <w:p w14:paraId="52948AF1">
                  <w:pPr>
                    <w:adjustRightInd w:val="0"/>
                    <w:snapToGrid w:val="0"/>
                    <w:spacing w:line="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0.0005</w:t>
                  </w:r>
                </w:p>
              </w:tc>
            </w:tr>
          </w:tbl>
          <w:p w14:paraId="7B692855">
            <w:pPr>
              <w:autoSpaceDE w:val="0"/>
              <w:autoSpaceDN w:val="0"/>
              <w:adjustRightInd w:val="0"/>
              <w:ind w:firstLine="482"/>
              <w:jc w:val="both"/>
              <w:rPr>
                <w:rFonts w:hint="eastAsia" w:ascii="Times New Roman" w:hAnsi="Times New Roman" w:eastAsia="宋体" w:cs="Times New Roman"/>
                <w:b w:val="0"/>
                <w:bCs/>
                <w:color w:val="000000" w:themeColor="text1"/>
                <w:kern w:val="0"/>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lang w:val="en-US" w:eastAsia="zh-CN"/>
                <w14:textFill>
                  <w14:solidFill>
                    <w14:schemeClr w14:val="tx1"/>
                  </w14:solidFill>
                </w14:textFill>
              </w:rPr>
              <w:t>（</w:t>
            </w:r>
            <w:r>
              <w:rPr>
                <w:rFonts w:hint="eastAsia" w:cs="Times New Roman"/>
                <w:b w:val="0"/>
                <w:bCs/>
                <w:color w:val="000000" w:themeColor="text1"/>
                <w:kern w:val="0"/>
                <w:lang w:val="en-US" w:eastAsia="zh-CN"/>
                <w14:textFill>
                  <w14:solidFill>
                    <w14:schemeClr w14:val="tx1"/>
                  </w14:solidFill>
                </w14:textFill>
              </w:rPr>
              <w:t>4</w:t>
            </w:r>
            <w:r>
              <w:rPr>
                <w:rFonts w:hint="eastAsia" w:ascii="Times New Roman" w:hAnsi="Times New Roman" w:eastAsia="宋体" w:cs="Times New Roman"/>
                <w:b w:val="0"/>
                <w:bCs/>
                <w:color w:val="000000" w:themeColor="text1"/>
                <w:kern w:val="0"/>
                <w:lang w:val="en-US" w:eastAsia="zh-CN"/>
                <w14:textFill>
                  <w14:solidFill>
                    <w14:schemeClr w14:val="tx1"/>
                  </w14:solidFill>
                </w14:textFill>
              </w:rPr>
              <w:t>）废气监测计划</w:t>
            </w:r>
          </w:p>
          <w:p w14:paraId="73F0EC82">
            <w:pPr>
              <w:autoSpaceDE w:val="0"/>
              <w:autoSpaceDN w:val="0"/>
              <w:adjustRightInd w:val="0"/>
              <w:ind w:firstLine="482"/>
              <w:jc w:val="both"/>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根据《排污单位自行监测技术指南 总则》（HJ819-2017）、《排污单位自行监测技术指南 水处理（HJ1083-2020）》，本项目</w:t>
            </w:r>
            <w:r>
              <w:rPr>
                <w:rFonts w:hint="eastAsia" w:ascii="Times New Roman" w:hAnsi="Times New Roman" w:eastAsia="宋体" w:cs="Times New Roman"/>
                <w:bCs/>
                <w:color w:val="000000" w:themeColor="text1"/>
                <w:kern w:val="0"/>
                <w:highlight w:val="none"/>
                <w:lang w:val="en-US" w:eastAsia="zh-CN"/>
                <w14:textFill>
                  <w14:solidFill>
                    <w14:schemeClr w14:val="tx1"/>
                  </w14:solidFill>
                </w14:textFill>
              </w:rPr>
              <w:t>污水处理站</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运营期废气监测点位、监测因子、频次和执行标准详见表4-</w:t>
            </w:r>
            <w:r>
              <w:rPr>
                <w:rFonts w:hint="eastAsia" w:cs="Times New Roman"/>
                <w:bCs/>
                <w:color w:val="000000" w:themeColor="text1"/>
                <w:kern w:val="0"/>
                <w:highlight w:val="none"/>
                <w:lang w:val="en-US" w:eastAsia="zh-CN"/>
                <w14:textFill>
                  <w14:solidFill>
                    <w14:schemeClr w14:val="tx1"/>
                  </w14:solidFill>
                </w14:textFill>
              </w:rPr>
              <w:t>8</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w:t>
            </w:r>
          </w:p>
          <w:p w14:paraId="547DA9E7">
            <w:pPr>
              <w:pStyle w:val="63"/>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eastAsia" w:ascii="Times New Roman" w:hAnsi="Times New Roman" w:eastAsia="宋体" w:cs="Times New Roman"/>
                <w:b/>
                <w:bCs w:val="0"/>
                <w:color w:val="000000" w:themeColor="text1"/>
                <w:sz w:val="21"/>
                <w:szCs w:val="21"/>
                <w:lang w:val="zh-CN" w:eastAsia="zh-CN"/>
                <w14:textFill>
                  <w14:solidFill>
                    <w14:schemeClr w14:val="tx1"/>
                  </w14:solidFill>
                </w14:textFill>
              </w:rPr>
            </w:pP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表4-</w:t>
            </w:r>
            <w:r>
              <w:rPr>
                <w:rFonts w:hint="eastAsia" w:cs="Times New Roman"/>
                <w:b/>
                <w:bCs w:val="0"/>
                <w:color w:val="000000" w:themeColor="text1"/>
                <w:sz w:val="21"/>
                <w:szCs w:val="21"/>
                <w:lang w:val="en-US" w:eastAsia="zh-CN"/>
                <w14:textFill>
                  <w14:solidFill>
                    <w14:schemeClr w14:val="tx1"/>
                  </w14:solidFill>
                </w14:textFill>
              </w:rPr>
              <w:t>8</w:t>
            </w: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 xml:space="preserve">  污水处理站</w:t>
            </w:r>
            <w:r>
              <w:rPr>
                <w:rFonts w:hint="eastAsia" w:ascii="Times New Roman" w:hAnsi="Times New Roman" w:eastAsia="宋体" w:cs="Times New Roman"/>
                <w:b/>
                <w:bCs w:val="0"/>
                <w:color w:val="000000" w:themeColor="text1"/>
                <w:sz w:val="21"/>
                <w:szCs w:val="21"/>
                <w:lang w:val="zh-CN" w:eastAsia="zh-CN"/>
                <w14:textFill>
                  <w14:solidFill>
                    <w14:schemeClr w14:val="tx1"/>
                  </w14:solidFill>
                </w14:textFill>
              </w:rPr>
              <w:t>运营期废气监测计划一览表</w:t>
            </w:r>
          </w:p>
          <w:tbl>
            <w:tblPr>
              <w:tblStyle w:val="27"/>
              <w:tblW w:w="743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77"/>
              <w:gridCol w:w="1069"/>
              <w:gridCol w:w="1376"/>
              <w:gridCol w:w="1350"/>
              <w:gridCol w:w="2966"/>
            </w:tblGrid>
            <w:tr w14:paraId="09E24B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6" w:hRule="atLeast"/>
                <w:jc w:val="center"/>
              </w:trPr>
              <w:tc>
                <w:tcPr>
                  <w:tcW w:w="677" w:type="dxa"/>
                  <w:noWrap w:val="0"/>
                  <w:vAlign w:val="center"/>
                </w:tcPr>
                <w:p w14:paraId="121FE75E">
                  <w:pPr>
                    <w:adjustRightInd w:val="0"/>
                    <w:snapToGrid w:val="0"/>
                    <w:spacing w:line="0" w:lineRule="atLeast"/>
                    <w:ind w:firstLine="0" w:firstLineChars="0"/>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序号</w:t>
                  </w:r>
                </w:p>
              </w:tc>
              <w:tc>
                <w:tcPr>
                  <w:tcW w:w="1069" w:type="dxa"/>
                  <w:noWrap w:val="0"/>
                  <w:vAlign w:val="center"/>
                </w:tcPr>
                <w:p w14:paraId="2EE71F35">
                  <w:pPr>
                    <w:adjustRightInd w:val="0"/>
                    <w:snapToGrid w:val="0"/>
                    <w:spacing w:line="0" w:lineRule="atLeast"/>
                    <w:ind w:firstLine="0" w:firstLineChars="0"/>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监测点位</w:t>
                  </w:r>
                </w:p>
              </w:tc>
              <w:tc>
                <w:tcPr>
                  <w:tcW w:w="1376" w:type="dxa"/>
                  <w:noWrap w:val="0"/>
                  <w:vAlign w:val="center"/>
                </w:tcPr>
                <w:p w14:paraId="787118EE">
                  <w:pPr>
                    <w:adjustRightInd w:val="0"/>
                    <w:snapToGrid w:val="0"/>
                    <w:spacing w:line="0" w:lineRule="atLeast"/>
                    <w:ind w:firstLine="0" w:firstLineChars="0"/>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监测因子</w:t>
                  </w:r>
                </w:p>
              </w:tc>
              <w:tc>
                <w:tcPr>
                  <w:tcW w:w="1350" w:type="dxa"/>
                  <w:noWrap w:val="0"/>
                  <w:vAlign w:val="center"/>
                </w:tcPr>
                <w:p w14:paraId="642F749F">
                  <w:pPr>
                    <w:adjustRightInd w:val="0"/>
                    <w:snapToGrid w:val="0"/>
                    <w:spacing w:line="0" w:lineRule="atLeast"/>
                    <w:ind w:firstLine="0" w:firstLineChars="0"/>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监测频次</w:t>
                  </w:r>
                </w:p>
              </w:tc>
              <w:tc>
                <w:tcPr>
                  <w:tcW w:w="2966" w:type="dxa"/>
                  <w:noWrap w:val="0"/>
                  <w:vAlign w:val="center"/>
                </w:tcPr>
                <w:p w14:paraId="005EFF88">
                  <w:pPr>
                    <w:adjustRightInd w:val="0"/>
                    <w:snapToGrid w:val="0"/>
                    <w:spacing w:line="0" w:lineRule="atLeast"/>
                    <w:ind w:firstLine="0" w:firstLineChars="0"/>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执行标准</w:t>
                  </w:r>
                </w:p>
              </w:tc>
            </w:tr>
            <w:tr w14:paraId="2C1AD7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47" w:hRule="atLeast"/>
                <w:jc w:val="center"/>
              </w:trPr>
              <w:tc>
                <w:tcPr>
                  <w:tcW w:w="677" w:type="dxa"/>
                  <w:noWrap w:val="0"/>
                  <w:vAlign w:val="center"/>
                </w:tcPr>
                <w:p w14:paraId="614E6AE2">
                  <w:pPr>
                    <w:adjustRightInd w:val="0"/>
                    <w:snapToGrid w:val="0"/>
                    <w:spacing w:line="0" w:lineRule="atLeast"/>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069" w:type="dxa"/>
                  <w:noWrap w:val="0"/>
                  <w:vAlign w:val="center"/>
                </w:tcPr>
                <w:p w14:paraId="310DF25A">
                  <w:pPr>
                    <w:adjustRightInd w:val="0"/>
                    <w:snapToGrid w:val="0"/>
                    <w:spacing w:line="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污水处理站废气排放口</w:t>
                  </w:r>
                </w:p>
              </w:tc>
              <w:tc>
                <w:tcPr>
                  <w:tcW w:w="1376" w:type="dxa"/>
                  <w:noWrap w:val="0"/>
                  <w:vAlign w:val="center"/>
                </w:tcPr>
                <w:p w14:paraId="21061C73">
                  <w:pPr>
                    <w:adjustRightInd w:val="0"/>
                    <w:snapToGrid w:val="0"/>
                    <w:spacing w:line="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NH</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、H</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S、臭气浓度</w:t>
                  </w:r>
                </w:p>
              </w:tc>
              <w:tc>
                <w:tcPr>
                  <w:tcW w:w="1350" w:type="dxa"/>
                  <w:noWrap w:val="0"/>
                  <w:vAlign w:val="center"/>
                </w:tcPr>
                <w:p w14:paraId="41A408F1">
                  <w:pPr>
                    <w:adjustRightInd w:val="0"/>
                    <w:snapToGrid w:val="0"/>
                    <w:spacing w:line="0" w:lineRule="atLeast"/>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1次/</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半年</w:t>
                  </w:r>
                </w:p>
              </w:tc>
              <w:tc>
                <w:tcPr>
                  <w:tcW w:w="2966" w:type="dxa"/>
                  <w:noWrap w:val="0"/>
                  <w:vAlign w:val="center"/>
                </w:tcPr>
                <w:p w14:paraId="19109232">
                  <w:pPr>
                    <w:adjustRightInd w:val="0"/>
                    <w:snapToGrid w:val="0"/>
                    <w:spacing w:line="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《恶臭污染物排放标准》（GB14554-1993）表2标准限值。</w:t>
                  </w:r>
                </w:p>
              </w:tc>
            </w:tr>
            <w:tr w14:paraId="2AF3CB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29" w:hRule="atLeast"/>
                <w:jc w:val="center"/>
              </w:trPr>
              <w:tc>
                <w:tcPr>
                  <w:tcW w:w="677" w:type="dxa"/>
                  <w:noWrap w:val="0"/>
                  <w:vAlign w:val="center"/>
                </w:tcPr>
                <w:p w14:paraId="59D28F62">
                  <w:pPr>
                    <w:adjustRightInd w:val="0"/>
                    <w:snapToGrid w:val="0"/>
                    <w:spacing w:line="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1069" w:type="dxa"/>
                  <w:noWrap w:val="0"/>
                  <w:vAlign w:val="center"/>
                </w:tcPr>
                <w:p w14:paraId="3EF6710B">
                  <w:pPr>
                    <w:adjustRightInd w:val="0"/>
                    <w:snapToGrid w:val="0"/>
                    <w:spacing w:line="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污水处理站周</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界</w:t>
                  </w:r>
                </w:p>
              </w:tc>
              <w:tc>
                <w:tcPr>
                  <w:tcW w:w="1376" w:type="dxa"/>
                  <w:noWrap w:val="0"/>
                  <w:vAlign w:val="center"/>
                </w:tcPr>
                <w:p w14:paraId="457CBE42">
                  <w:pPr>
                    <w:adjustRightInd w:val="0"/>
                    <w:snapToGrid w:val="0"/>
                    <w:spacing w:line="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NH</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、H</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S、臭气浓度</w:t>
                  </w:r>
                </w:p>
              </w:tc>
              <w:tc>
                <w:tcPr>
                  <w:tcW w:w="1350" w:type="dxa"/>
                  <w:noWrap w:val="0"/>
                  <w:vAlign w:val="center"/>
                </w:tcPr>
                <w:p w14:paraId="6A1B2E17">
                  <w:pPr>
                    <w:adjustRightInd w:val="0"/>
                    <w:snapToGrid w:val="0"/>
                    <w:spacing w:line="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1次/</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半年</w:t>
                  </w:r>
                </w:p>
              </w:tc>
              <w:tc>
                <w:tcPr>
                  <w:tcW w:w="2966" w:type="dxa"/>
                  <w:noWrap w:val="0"/>
                  <w:vAlign w:val="center"/>
                </w:tcPr>
                <w:p w14:paraId="6FCA58C8">
                  <w:pPr>
                    <w:adjustRightInd w:val="0"/>
                    <w:snapToGrid w:val="0"/>
                    <w:spacing w:line="0" w:lineRule="atLeast"/>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城镇污水处理厂污染物排放标准</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》（GB18918-2002）表</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r>
          </w:tbl>
          <w:p w14:paraId="7E4685F6">
            <w:pPr>
              <w:autoSpaceDE w:val="0"/>
              <w:autoSpaceDN w:val="0"/>
              <w:adjustRightInd w:val="0"/>
              <w:ind w:firstLine="482"/>
              <w:jc w:val="both"/>
              <w:rPr>
                <w:rFonts w:hint="default" w:ascii="Times New Roman" w:hAnsi="Times New Roman" w:cs="Times New Roman"/>
                <w:b/>
                <w:color w:val="000000" w:themeColor="text1"/>
                <w:kern w:val="0"/>
                <w14:textFill>
                  <w14:solidFill>
                    <w14:schemeClr w14:val="tx1"/>
                  </w14:solidFill>
                </w14:textFill>
              </w:rPr>
            </w:pPr>
            <w:r>
              <w:rPr>
                <w:rFonts w:hint="default" w:ascii="Times New Roman" w:hAnsi="Times New Roman" w:cs="Times New Roman"/>
                <w:b/>
                <w:color w:val="000000" w:themeColor="text1"/>
                <w:kern w:val="0"/>
                <w:lang w:val="en-US" w:eastAsia="zh-CN"/>
                <w14:textFill>
                  <w14:solidFill>
                    <w14:schemeClr w14:val="tx1"/>
                  </w14:solidFill>
                </w14:textFill>
              </w:rPr>
              <w:t>3 噪声</w:t>
            </w:r>
            <w:r>
              <w:rPr>
                <w:rFonts w:hint="default" w:ascii="Times New Roman" w:hAnsi="Times New Roman" w:cs="Times New Roman"/>
                <w:b/>
                <w:color w:val="000000" w:themeColor="text1"/>
                <w:kern w:val="0"/>
                <w14:textFill>
                  <w14:solidFill>
                    <w14:schemeClr w14:val="tx1"/>
                  </w14:solidFill>
                </w14:textFill>
              </w:rPr>
              <w:t>影响分析</w:t>
            </w:r>
          </w:p>
          <w:p w14:paraId="0C232E9A">
            <w:pPr>
              <w:autoSpaceDE w:val="0"/>
              <w:autoSpaceDN w:val="0"/>
              <w:adjustRightInd w:val="0"/>
              <w:ind w:firstLine="482"/>
              <w:jc w:val="both"/>
              <w:rPr>
                <w:rFonts w:hint="default" w:eastAsia="宋体"/>
                <w:color w:val="000000" w:themeColor="text1"/>
                <w:lang w:val="en-US" w:eastAsia="zh-CN"/>
                <w14:textFill>
                  <w14:solidFill>
                    <w14:schemeClr w14:val="tx1"/>
                  </w14:solidFill>
                </w14:textFill>
              </w:rPr>
            </w:pPr>
            <w:r>
              <w:rPr>
                <w:rFonts w:hint="eastAsia" w:ascii="Times New Roman" w:hAnsi="Times New Roman" w:eastAsia="宋体" w:cs="Times New Roman"/>
                <w:bCs/>
                <w:color w:val="000000" w:themeColor="text1"/>
                <w:kern w:val="0"/>
                <w:highlight w:val="none"/>
                <w:lang w:val="en-US" w:eastAsia="zh-CN"/>
                <w14:textFill>
                  <w14:solidFill>
                    <w14:schemeClr w14:val="tx1"/>
                  </w14:solidFill>
                </w14:textFill>
              </w:rPr>
              <w:t>本项目运营期噪声主要为设备噪声、</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汽车行驶噪声</w:t>
            </w:r>
            <w:r>
              <w:rPr>
                <w:rFonts w:hint="eastAsia" w:ascii="Times New Roman" w:hAnsi="Times New Roman" w:eastAsia="宋体" w:cs="Times New Roman"/>
                <w:bCs/>
                <w:color w:val="000000" w:themeColor="text1"/>
                <w:kern w:val="0"/>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人群活动噪声</w:t>
            </w:r>
            <w:r>
              <w:rPr>
                <w:rFonts w:hint="eastAsia" w:ascii="Times New Roman" w:hAnsi="Times New Roman" w:eastAsia="宋体" w:cs="Times New Roman"/>
                <w:bCs/>
                <w:color w:val="000000" w:themeColor="text1"/>
                <w:kern w:val="0"/>
                <w:highlight w:val="none"/>
                <w:lang w:val="en-US" w:eastAsia="zh-CN"/>
                <w14:textFill>
                  <w14:solidFill>
                    <w14:schemeClr w14:val="tx1"/>
                  </w14:solidFill>
                </w14:textFill>
              </w:rPr>
              <w:t>。</w:t>
            </w:r>
          </w:p>
          <w:p w14:paraId="6FDEEE12">
            <w:pPr>
              <w:autoSpaceDE w:val="0"/>
              <w:autoSpaceDN w:val="0"/>
              <w:adjustRightInd w:val="0"/>
              <w:ind w:firstLine="482"/>
              <w:jc w:val="both"/>
              <w:rPr>
                <w:rFonts w:hint="default" w:ascii="Times New Roman" w:hAnsi="Times New Roman" w:cs="Times New Roman"/>
                <w:b/>
                <w:color w:val="000000" w:themeColor="text1"/>
                <w:kern w:val="0"/>
                <w:lang w:val="en-US" w:eastAsia="zh-CN"/>
                <w14:textFill>
                  <w14:solidFill>
                    <w14:schemeClr w14:val="tx1"/>
                  </w14:solidFill>
                </w14:textFill>
              </w:rPr>
            </w:pPr>
            <w:r>
              <w:rPr>
                <w:rFonts w:hint="default" w:ascii="Times New Roman" w:hAnsi="Times New Roman" w:cs="Times New Roman"/>
                <w:b/>
                <w:color w:val="000000" w:themeColor="text1"/>
                <w:kern w:val="0"/>
                <w:lang w:val="en-US" w:eastAsia="zh-CN"/>
                <w14:textFill>
                  <w14:solidFill>
                    <w14:schemeClr w14:val="tx1"/>
                  </w14:solidFill>
                </w14:textFill>
              </w:rPr>
              <w:t>3.1 设备噪声</w:t>
            </w:r>
          </w:p>
          <w:p w14:paraId="546E0C42">
            <w:pPr>
              <w:autoSpaceDE w:val="0"/>
              <w:autoSpaceDN w:val="0"/>
              <w:adjustRightInd w:val="0"/>
              <w:ind w:firstLine="482"/>
              <w:jc w:val="both"/>
              <w:rPr>
                <w:rFonts w:hint="eastAsia"/>
                <w:color w:val="000000" w:themeColor="text1"/>
                <w:sz w:val="24"/>
                <w:lang w:eastAsia="zh-CN"/>
                <w14:textFill>
                  <w14:solidFill>
                    <w14:schemeClr w14:val="tx1"/>
                  </w14:solidFill>
                </w14:textFill>
              </w:rPr>
            </w:pPr>
            <w:r>
              <w:rPr>
                <w:rFonts w:hint="eastAsia" w:cs="Times New Roman"/>
                <w:bCs/>
                <w:color w:val="000000" w:themeColor="text1"/>
                <w:kern w:val="0"/>
                <w:highlight w:val="none"/>
                <w:lang w:val="en-US" w:eastAsia="zh-CN"/>
                <w14:textFill>
                  <w14:solidFill>
                    <w14:schemeClr w14:val="tx1"/>
                  </w14:solidFill>
                </w14:textFill>
              </w:rPr>
              <w:t>运营期设备噪声主要为污水处理站的水泵噪声源强约为</w:t>
            </w:r>
            <w:r>
              <w:rPr>
                <w:rFonts w:hint="eastAsia"/>
                <w:color w:val="000000" w:themeColor="text1"/>
                <w:sz w:val="24"/>
                <w14:textFill>
                  <w14:solidFill>
                    <w14:schemeClr w14:val="tx1"/>
                  </w14:solidFill>
                </w14:textFill>
              </w:rPr>
              <w:t>75~95dB</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A</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以及空调机组运行时产生的噪声，噪声值约为85</w:t>
            </w:r>
            <w:r>
              <w:rPr>
                <w:rFonts w:hint="eastAsia"/>
                <w:color w:val="000000" w:themeColor="text1"/>
                <w:sz w:val="24"/>
                <w14:textFill>
                  <w14:solidFill>
                    <w14:schemeClr w14:val="tx1"/>
                  </w14:solidFill>
                </w14:textFill>
              </w:rPr>
              <w:t>dB</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A</w:t>
            </w:r>
            <w:r>
              <w:rPr>
                <w:rFonts w:hint="eastAsia"/>
                <w:color w:val="000000" w:themeColor="text1"/>
                <w:sz w:val="24"/>
                <w:lang w:eastAsia="zh-CN"/>
                <w14:textFill>
                  <w14:solidFill>
                    <w14:schemeClr w14:val="tx1"/>
                  </w14:solidFill>
                </w14:textFill>
              </w:rPr>
              <w:t>）。</w:t>
            </w:r>
          </w:p>
          <w:p w14:paraId="78D85A3F">
            <w:pPr>
              <w:autoSpaceDE w:val="0"/>
              <w:autoSpaceDN w:val="0"/>
              <w:adjustRightInd w:val="0"/>
              <w:ind w:firstLine="482"/>
              <w:jc w:val="both"/>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水泵机组运行时会产生水泵电动机的振动、水泵管道的振动，由于水泵管道内的压力脉动使管道振动、水泵的振动传给管道和管道系统发生共振等几种情况。风机噪声主要由空气动力噪声、机械噪声和电机噪声三部分组成，向外辐射噪声的位置为风机进口、出口、机壳、电动机和管道等。建议采用缓冲材料隔绝振动，同时应尽可能降低水泵的压力脉动，水泵进出口应安装橡胶软接头，风机进出口设置柔性接头并安装消声器，机组下垫橡胶减振垫，以减少振动和噪声传递。主要设备经地下设备用房和建筑物本身隔声后，一般不会对外界声环境产生不良影响。</w:t>
            </w:r>
          </w:p>
          <w:p w14:paraId="6CEA8242">
            <w:pPr>
              <w:adjustRightInd w:val="0"/>
              <w:spacing w:line="360" w:lineRule="auto"/>
              <w:ind w:firstLine="472" w:firstLineChars="196"/>
              <w:rPr>
                <w:color w:val="000000" w:themeColor="text1"/>
                <w:sz w:val="24"/>
                <w14:textFill>
                  <w14:solidFill>
                    <w14:schemeClr w14:val="tx1"/>
                  </w14:solidFill>
                </w14:textFill>
              </w:rPr>
            </w:pPr>
            <w:r>
              <w:rPr>
                <w:rFonts w:hint="eastAsia" w:cs="Times New Roman"/>
                <w:b/>
                <w:color w:val="000000" w:themeColor="text1"/>
                <w:kern w:val="0"/>
                <w:lang w:val="en-US" w:eastAsia="zh-CN"/>
                <w14:textFill>
                  <w14:solidFill>
                    <w14:schemeClr w14:val="tx1"/>
                  </w14:solidFill>
                </w14:textFill>
              </w:rPr>
              <w:t>噪声预测及</w:t>
            </w:r>
            <w:r>
              <w:rPr>
                <w:rFonts w:hint="eastAsia" w:ascii="Times New Roman" w:hAnsi="Times New Roman" w:eastAsia="宋体" w:cs="Times New Roman"/>
                <w:b/>
                <w:color w:val="000000" w:themeColor="text1"/>
                <w:kern w:val="0"/>
                <w:lang w:val="en-US" w:eastAsia="zh-CN"/>
                <w14:textFill>
                  <w14:solidFill>
                    <w14:schemeClr w14:val="tx1"/>
                  </w14:solidFill>
                </w14:textFill>
              </w:rPr>
              <w:t>达标情况分析：</w:t>
            </w:r>
            <w:r>
              <w:rPr>
                <w:color w:val="000000" w:themeColor="text1"/>
                <w:sz w:val="24"/>
                <w14:textFill>
                  <w14:solidFill>
                    <w14:schemeClr w14:val="tx1"/>
                  </w14:solidFill>
                </w14:textFill>
              </w:rPr>
              <w:t>根据《环境影响评价技术导则·声环境》(HJ2.4-20</w:t>
            </w:r>
            <w:r>
              <w:rPr>
                <w:rFonts w:hint="eastAsia"/>
                <w:color w:val="000000" w:themeColor="text1"/>
                <w:sz w:val="24"/>
                <w14:textFill>
                  <w14:solidFill>
                    <w14:schemeClr w14:val="tx1"/>
                  </w14:solidFill>
                </w14:textFill>
              </w:rPr>
              <w:t>21</w:t>
            </w:r>
            <w:r>
              <w:rPr>
                <w:color w:val="000000" w:themeColor="text1"/>
                <w:sz w:val="24"/>
                <w14:textFill>
                  <w14:solidFill>
                    <w14:schemeClr w14:val="tx1"/>
                  </w14:solidFill>
                </w14:textFill>
              </w:rPr>
              <w:t>)的技术要求，本次评价采取导则上的推荐模式对厂界噪声进行预测分析。</w:t>
            </w:r>
          </w:p>
          <w:p w14:paraId="51AF537A">
            <w:pPr>
              <w:adjustRightInd w:val="0"/>
              <w:spacing w:line="360" w:lineRule="auto"/>
              <w:ind w:firstLine="470" w:firstLineChars="196"/>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1</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声级计算</w:t>
            </w:r>
          </w:p>
          <w:p w14:paraId="5AD06C22">
            <w:pPr>
              <w:adjustRightInd w:val="0"/>
              <w:spacing w:line="360" w:lineRule="auto"/>
              <w:ind w:firstLine="470" w:firstLineChars="196"/>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建设项目声源在预测点产生的等效声级贡献值(Leqg)计算公式：</w:t>
            </w:r>
          </w:p>
          <w:p w14:paraId="3432F813">
            <w:pPr>
              <w:adjustRightInd w:val="0"/>
              <w:spacing w:line="36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object>
                <v:shape id="_x0000_i1025" o:spt="75" type="#_x0000_t75" style="height:33pt;width:131.25pt;" o:ole="t" filled="f" o:preferrelative="t" stroked="f" coordsize="21600,21600">
                  <v:path/>
                  <v:fill on="f" focussize="0,0"/>
                  <v:stroke on="f"/>
                  <v:imagedata r:id="rId22" o:title=""/>
                  <o:lock v:ext="edit" aspectratio="t"/>
                  <w10:wrap type="none"/>
                  <w10:anchorlock/>
                </v:shape>
                <o:OLEObject Type="Embed" ProgID="Equation.DSMT4" ShapeID="_x0000_i1025" DrawAspect="Content" ObjectID="_1468075725" r:id="rId21">
                  <o:LockedField>false</o:LockedField>
                </o:OLEObject>
              </w:object>
            </w:r>
          </w:p>
          <w:p w14:paraId="56E24E02">
            <w:pPr>
              <w:autoSpaceDE w:val="0"/>
              <w:autoSpaceDN w:val="0"/>
              <w:adjustRightInd w:val="0"/>
              <w:spacing w:line="360" w:lineRule="auto"/>
              <w:ind w:firstLine="48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式中：L</w:t>
            </w:r>
            <w:r>
              <w:rPr>
                <w:snapToGrid w:val="0"/>
                <w:color w:val="000000" w:themeColor="text1"/>
                <w:kern w:val="0"/>
                <w:sz w:val="24"/>
                <w:vertAlign w:val="subscript"/>
                <w14:textFill>
                  <w14:solidFill>
                    <w14:schemeClr w14:val="tx1"/>
                  </w14:solidFill>
                </w14:textFill>
              </w:rPr>
              <w:t>eqg</w:t>
            </w:r>
            <w:r>
              <w:rPr>
                <w:snapToGrid w:val="0"/>
                <w:color w:val="000000" w:themeColor="text1"/>
                <w:kern w:val="0"/>
                <w:sz w:val="24"/>
                <w14:textFill>
                  <w14:solidFill>
                    <w14:schemeClr w14:val="tx1"/>
                  </w14:solidFill>
                </w14:textFill>
              </w:rPr>
              <w:t>—</w:t>
            </w:r>
            <w:r>
              <w:rPr>
                <w:color w:val="000000" w:themeColor="text1"/>
                <w:sz w:val="24"/>
                <w14:textFill>
                  <w14:solidFill>
                    <w14:schemeClr w14:val="tx1"/>
                  </w14:solidFill>
                </w14:textFill>
              </w:rPr>
              <w:t>建设项目声源在预测点的等效声级贡献值，dB(A)；</w:t>
            </w:r>
          </w:p>
          <w:p w14:paraId="14A56EF5">
            <w:pPr>
              <w:autoSpaceDE w:val="0"/>
              <w:autoSpaceDN w:val="0"/>
              <w:adjustRightInd w:val="0"/>
              <w:spacing w:line="360" w:lineRule="auto"/>
              <w:ind w:firstLine="1180" w:firstLineChars="492"/>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L</w:t>
            </w:r>
            <w:r>
              <w:rPr>
                <w:snapToGrid w:val="0"/>
                <w:color w:val="000000" w:themeColor="text1"/>
                <w:kern w:val="0"/>
                <w:sz w:val="24"/>
                <w:vertAlign w:val="subscript"/>
                <w14:textFill>
                  <w14:solidFill>
                    <w14:schemeClr w14:val="tx1"/>
                  </w14:solidFill>
                </w14:textFill>
              </w:rPr>
              <w:t>Ai</w:t>
            </w:r>
            <w:r>
              <w:rPr>
                <w:snapToGrid w:val="0"/>
                <w:color w:val="000000" w:themeColor="text1"/>
                <w:kern w:val="0"/>
                <w:sz w:val="24"/>
                <w14:textFill>
                  <w14:solidFill>
                    <w14:schemeClr w14:val="tx1"/>
                  </w14:solidFill>
                </w14:textFill>
              </w:rPr>
              <w:t>—</w:t>
            </w:r>
            <w:r>
              <w:rPr>
                <w:color w:val="000000" w:themeColor="text1"/>
                <w:sz w:val="24"/>
                <w14:textFill>
                  <w14:solidFill>
                    <w14:schemeClr w14:val="tx1"/>
                  </w14:solidFill>
                </w14:textFill>
              </w:rPr>
              <w:t>i声源在预测点产生的A声级，dB(A)；</w:t>
            </w:r>
          </w:p>
          <w:p w14:paraId="73DD1F52">
            <w:pPr>
              <w:autoSpaceDE w:val="0"/>
              <w:autoSpaceDN w:val="0"/>
              <w:adjustRightInd w:val="0"/>
              <w:spacing w:line="360" w:lineRule="auto"/>
              <w:ind w:firstLine="1176" w:firstLineChars="49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T—</w:t>
            </w:r>
            <w:r>
              <w:rPr>
                <w:color w:val="000000" w:themeColor="text1"/>
                <w:sz w:val="24"/>
                <w14:textFill>
                  <w14:solidFill>
                    <w14:schemeClr w14:val="tx1"/>
                  </w14:solidFill>
                </w14:textFill>
              </w:rPr>
              <w:t>预测计算的时间段，s；</w:t>
            </w:r>
          </w:p>
          <w:p w14:paraId="37213B1D">
            <w:pPr>
              <w:autoSpaceDE w:val="0"/>
              <w:autoSpaceDN w:val="0"/>
              <w:adjustRightInd w:val="0"/>
              <w:spacing w:line="360" w:lineRule="auto"/>
              <w:ind w:firstLine="1200" w:firstLineChars="5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t</w:t>
            </w:r>
            <w:r>
              <w:rPr>
                <w:snapToGrid w:val="0"/>
                <w:color w:val="000000" w:themeColor="text1"/>
                <w:kern w:val="0"/>
                <w:sz w:val="24"/>
                <w:vertAlign w:val="subscript"/>
                <w14:textFill>
                  <w14:solidFill>
                    <w14:schemeClr w14:val="tx1"/>
                  </w14:solidFill>
                </w14:textFill>
              </w:rPr>
              <w:t>i</w:t>
            </w:r>
            <w:r>
              <w:rPr>
                <w:snapToGrid w:val="0"/>
                <w:color w:val="000000" w:themeColor="text1"/>
                <w:kern w:val="0"/>
                <w:sz w:val="24"/>
                <w14:textFill>
                  <w14:solidFill>
                    <w14:schemeClr w14:val="tx1"/>
                  </w14:solidFill>
                </w14:textFill>
              </w:rPr>
              <w:t>—</w:t>
            </w:r>
            <w:r>
              <w:rPr>
                <w:color w:val="000000" w:themeColor="text1"/>
                <w:sz w:val="24"/>
                <w14:textFill>
                  <w14:solidFill>
                    <w14:schemeClr w14:val="tx1"/>
                  </w14:solidFill>
                </w14:textFill>
              </w:rPr>
              <w:t>i声源在T时段内的运行时间，s。</w:t>
            </w:r>
          </w:p>
          <w:p w14:paraId="26545387">
            <w:pPr>
              <w:adjustRightInd w:val="0"/>
              <w:spacing w:line="360" w:lineRule="auto"/>
              <w:ind w:firstLine="470" w:firstLineChars="196"/>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2</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预测点的预测等效声级(Leq)计算公式</w:t>
            </w:r>
          </w:p>
          <w:p w14:paraId="002A4FC5">
            <w:pPr>
              <w:adjustRightInd w:val="0"/>
              <w:spacing w:line="360" w:lineRule="auto"/>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object>
                <v:shape id="_x0000_i1026" o:spt="75" type="#_x0000_t75" style="height:21pt;width:141.75pt;" o:ole="t" filled="f" o:preferrelative="t" stroked="f" coordsize="21600,21600">
                  <v:path/>
                  <v:fill on="f" focussize="0,0"/>
                  <v:stroke on="f"/>
                  <v:imagedata r:id="rId24" o:title=""/>
                  <o:lock v:ext="edit" aspectratio="t"/>
                  <w10:wrap type="none"/>
                  <w10:anchorlock/>
                </v:shape>
                <o:OLEObject Type="Embed" ProgID="Equation.3" ShapeID="_x0000_i1026" DrawAspect="Content" ObjectID="_1468075726" r:id="rId23">
                  <o:LockedField>false</o:LockedField>
                </o:OLEObject>
              </w:object>
            </w:r>
          </w:p>
          <w:p w14:paraId="2B97EC2F">
            <w:pPr>
              <w:adjustRightIn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式中：L</w:t>
            </w:r>
            <w:r>
              <w:rPr>
                <w:color w:val="000000" w:themeColor="text1"/>
                <w:sz w:val="24"/>
                <w:vertAlign w:val="subscript"/>
                <w14:textFill>
                  <w14:solidFill>
                    <w14:schemeClr w14:val="tx1"/>
                  </w14:solidFill>
                </w14:textFill>
              </w:rPr>
              <w:t>eqg</w:t>
            </w:r>
            <w:r>
              <w:rPr>
                <w:color w:val="000000" w:themeColor="text1"/>
                <w:sz w:val="24"/>
                <w14:textFill>
                  <w14:solidFill>
                    <w14:schemeClr w14:val="tx1"/>
                  </w14:solidFill>
                </w14:textFill>
              </w:rPr>
              <w:t>—</w:t>
            </w:r>
            <w:r>
              <w:rPr>
                <w:snapToGrid w:val="0"/>
                <w:color w:val="000000" w:themeColor="text1"/>
                <w:kern w:val="0"/>
                <w:sz w:val="24"/>
                <w14:textFill>
                  <w14:solidFill>
                    <w14:schemeClr w14:val="tx1"/>
                  </w14:solidFill>
                </w14:textFill>
              </w:rPr>
              <w:t>建设项目声源在预测点的等效声级贡献值，dB(A)；</w:t>
            </w:r>
          </w:p>
          <w:p w14:paraId="2CD5EA80">
            <w:pPr>
              <w:adjustRightInd w:val="0"/>
              <w:spacing w:line="360" w:lineRule="auto"/>
              <w:ind w:firstLine="1185" w:firstLineChars="494"/>
              <w:rPr>
                <w:color w:val="000000" w:themeColor="text1"/>
                <w:sz w:val="24"/>
                <w14:textFill>
                  <w14:solidFill>
                    <w14:schemeClr w14:val="tx1"/>
                  </w14:solidFill>
                </w14:textFill>
              </w:rPr>
            </w:pPr>
            <w:r>
              <w:rPr>
                <w:color w:val="000000" w:themeColor="text1"/>
                <w:sz w:val="24"/>
                <w14:textFill>
                  <w14:solidFill>
                    <w14:schemeClr w14:val="tx1"/>
                  </w14:solidFill>
                </w14:textFill>
              </w:rPr>
              <w:t>L</w:t>
            </w:r>
            <w:r>
              <w:rPr>
                <w:color w:val="000000" w:themeColor="text1"/>
                <w:sz w:val="24"/>
                <w:vertAlign w:val="subscript"/>
                <w14:textFill>
                  <w14:solidFill>
                    <w14:schemeClr w14:val="tx1"/>
                  </w14:solidFill>
                </w14:textFill>
              </w:rPr>
              <w:t>eqb</w:t>
            </w:r>
            <w:r>
              <w:rPr>
                <w:color w:val="000000" w:themeColor="text1"/>
                <w:sz w:val="24"/>
                <w14:textFill>
                  <w14:solidFill>
                    <w14:schemeClr w14:val="tx1"/>
                  </w14:solidFill>
                </w14:textFill>
              </w:rPr>
              <w:t>—预测点的背景值，dB(A)</w:t>
            </w:r>
          </w:p>
          <w:p w14:paraId="485514BD">
            <w:pPr>
              <w:adjustRightInd w:val="0"/>
              <w:spacing w:line="360" w:lineRule="auto"/>
              <w:ind w:firstLine="470" w:firstLineChars="196"/>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3</w:t>
            </w:r>
            <w:r>
              <w:rPr>
                <w:rFonts w:hint="eastAsia"/>
                <w:color w:val="000000" w:themeColor="text1"/>
                <w:sz w:val="24"/>
                <w:lang w:eastAsia="zh-CN"/>
                <w14:textFill>
                  <w14:solidFill>
                    <w14:schemeClr w14:val="tx1"/>
                  </w14:solidFill>
                </w14:textFill>
              </w:rPr>
              <w:t>）</w:t>
            </w:r>
            <w:r>
              <w:rPr>
                <w:color w:val="000000" w:themeColor="text1"/>
                <w:sz w:val="24"/>
                <w14:textFill>
                  <w14:solidFill>
                    <w14:schemeClr w14:val="tx1"/>
                  </w14:solidFill>
                </w14:textFill>
              </w:rPr>
              <w:t>预测结果</w:t>
            </w:r>
          </w:p>
          <w:p w14:paraId="01BC84AB">
            <w:pPr>
              <w:adjustRightInd w:val="0"/>
              <w:spacing w:line="360" w:lineRule="auto"/>
              <w:ind w:firstLine="470" w:firstLineChars="196"/>
              <w:rPr>
                <w:color w:val="000000" w:themeColor="text1"/>
                <w:sz w:val="24"/>
                <w14:textFill>
                  <w14:solidFill>
                    <w14:schemeClr w14:val="tx1"/>
                  </w14:solidFill>
                </w14:textFill>
              </w:rPr>
            </w:pPr>
            <w:r>
              <w:rPr>
                <w:color w:val="000000" w:themeColor="text1"/>
                <w:sz w:val="24"/>
                <w14:textFill>
                  <w14:solidFill>
                    <w14:schemeClr w14:val="tx1"/>
                  </w14:solidFill>
                </w14:textFill>
              </w:rPr>
              <w:t>本项目噪声预测结果见表4-</w:t>
            </w:r>
            <w:r>
              <w:rPr>
                <w:rFonts w:hint="eastAsia"/>
                <w:color w:val="000000" w:themeColor="text1"/>
                <w:sz w:val="24"/>
                <w:lang w:val="en-US" w:eastAsia="zh-CN"/>
                <w14:textFill>
                  <w14:solidFill>
                    <w14:schemeClr w14:val="tx1"/>
                  </w14:solidFill>
                </w14:textFill>
              </w:rPr>
              <w:t>9</w:t>
            </w:r>
            <w:r>
              <w:rPr>
                <w:color w:val="000000" w:themeColor="text1"/>
                <w:sz w:val="24"/>
                <w14:textFill>
                  <w14:solidFill>
                    <w14:schemeClr w14:val="tx1"/>
                  </w14:solidFill>
                </w14:textFill>
              </w:rPr>
              <w:t>。</w:t>
            </w:r>
          </w:p>
          <w:p w14:paraId="308C6071">
            <w:pPr>
              <w:pStyle w:val="73"/>
              <w:adjustRightInd/>
              <w:ind w:firstLine="454"/>
              <w:rPr>
                <w:rFonts w:hint="eastAsia"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表4-</w:t>
            </w:r>
            <w:r>
              <w:rPr>
                <w:rFonts w:hint="eastAsia" w:eastAsia="宋体" w:cs="Times New Roman"/>
                <w:b/>
                <w:bCs w:val="0"/>
                <w:color w:val="000000" w:themeColor="text1"/>
                <w:kern w:val="2"/>
                <w:sz w:val="21"/>
                <w:szCs w:val="21"/>
                <w:lang w:val="en-US" w:eastAsia="zh-CN" w:bidi="ar-SA"/>
                <w14:textFill>
                  <w14:solidFill>
                    <w14:schemeClr w14:val="tx1"/>
                  </w14:solidFill>
                </w14:textFill>
              </w:rPr>
              <w:t>9</w:t>
            </w:r>
            <w:r>
              <w:rPr>
                <w:rFonts w:hint="eastAsia"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 xml:space="preserve">  项目运营期噪声预测结果         单位:dB</w:t>
            </w:r>
            <w:r>
              <w:rPr>
                <w:rFonts w:hint="eastAsia" w:eastAsia="宋体" w:cs="Times New Roman"/>
                <w:b/>
                <w:bCs w:val="0"/>
                <w:color w:val="000000" w:themeColor="text1"/>
                <w:kern w:val="2"/>
                <w:sz w:val="21"/>
                <w:szCs w:val="21"/>
                <w:lang w:val="en-US" w:eastAsia="zh-CN" w:bidi="ar-SA"/>
                <w14:textFill>
                  <w14:solidFill>
                    <w14:schemeClr w14:val="tx1"/>
                  </w14:solidFill>
                </w14:textFill>
              </w:rPr>
              <w:t>（A）</w:t>
            </w:r>
          </w:p>
          <w:tbl>
            <w:tblPr>
              <w:tblStyle w:val="27"/>
              <w:tblW w:w="749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00"/>
              <w:gridCol w:w="1037"/>
              <w:gridCol w:w="1159"/>
              <w:gridCol w:w="1200"/>
              <w:gridCol w:w="954"/>
              <w:gridCol w:w="885"/>
              <w:gridCol w:w="1361"/>
            </w:tblGrid>
            <w:tr w14:paraId="418367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blHeader/>
                <w:jc w:val="center"/>
              </w:trPr>
              <w:tc>
                <w:tcPr>
                  <w:tcW w:w="900" w:type="dxa"/>
                  <w:noWrap w:val="0"/>
                  <w:vAlign w:val="center"/>
                </w:tcPr>
                <w:p w14:paraId="2D15531F">
                  <w:pPr>
                    <w:adjustRightInd w:val="0"/>
                    <w:snapToGrid w:val="0"/>
                    <w:spacing w:line="0" w:lineRule="atLeast"/>
                    <w:ind w:firstLine="0" w:firstLineChars="0"/>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eastAsia" w:cs="Times New Roman"/>
                      <w:b/>
                      <w:color w:val="000000" w:themeColor="text1"/>
                      <w:sz w:val="21"/>
                      <w:szCs w:val="21"/>
                      <w:lang w:val="en-US" w:eastAsia="zh-CN"/>
                      <w14:textFill>
                        <w14:solidFill>
                          <w14:schemeClr w14:val="tx1"/>
                        </w14:solidFill>
                      </w14:textFill>
                    </w:rPr>
                    <w:t>设备名称</w:t>
                  </w:r>
                </w:p>
              </w:tc>
              <w:tc>
                <w:tcPr>
                  <w:tcW w:w="1037" w:type="dxa"/>
                  <w:noWrap w:val="0"/>
                  <w:vAlign w:val="center"/>
                </w:tcPr>
                <w:p w14:paraId="2A782012">
                  <w:pPr>
                    <w:adjustRightInd w:val="0"/>
                    <w:snapToGrid w:val="0"/>
                    <w:spacing w:line="0" w:lineRule="atLeast"/>
                    <w:ind w:firstLine="0" w:firstLineChars="0"/>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预测点位</w:t>
                  </w:r>
                </w:p>
              </w:tc>
              <w:tc>
                <w:tcPr>
                  <w:tcW w:w="1159" w:type="dxa"/>
                  <w:noWrap w:val="0"/>
                  <w:vAlign w:val="center"/>
                </w:tcPr>
                <w:p w14:paraId="1065EEF5">
                  <w:pPr>
                    <w:adjustRightInd w:val="0"/>
                    <w:snapToGrid w:val="0"/>
                    <w:spacing w:line="0" w:lineRule="atLeast"/>
                    <w:ind w:firstLine="0" w:firstLineChars="0"/>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预测</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值昼间</w:t>
                  </w:r>
                </w:p>
              </w:tc>
              <w:tc>
                <w:tcPr>
                  <w:tcW w:w="1200" w:type="dxa"/>
                  <w:noWrap w:val="0"/>
                  <w:vAlign w:val="center"/>
                </w:tcPr>
                <w:p w14:paraId="777BB687">
                  <w:pPr>
                    <w:adjustRightInd w:val="0"/>
                    <w:snapToGrid w:val="0"/>
                    <w:spacing w:line="0" w:lineRule="atLeast"/>
                    <w:ind w:firstLine="0" w:firstLineChars="0"/>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预测值</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夜间</w:t>
                  </w:r>
                </w:p>
              </w:tc>
              <w:tc>
                <w:tcPr>
                  <w:tcW w:w="1839" w:type="dxa"/>
                  <w:gridSpan w:val="2"/>
                  <w:noWrap w:val="0"/>
                  <w:vAlign w:val="center"/>
                </w:tcPr>
                <w:p w14:paraId="748C2B7D">
                  <w:pPr>
                    <w:adjustRightInd w:val="0"/>
                    <w:snapToGrid w:val="0"/>
                    <w:spacing w:line="0" w:lineRule="atLeast"/>
                    <w:ind w:firstLine="0" w:firstLineChars="0"/>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标准</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限值</w:t>
                  </w:r>
                </w:p>
              </w:tc>
              <w:tc>
                <w:tcPr>
                  <w:tcW w:w="1361" w:type="dxa"/>
                  <w:noWrap w:val="0"/>
                  <w:vAlign w:val="center"/>
                </w:tcPr>
                <w:p w14:paraId="133F4018">
                  <w:pPr>
                    <w:adjustRightInd w:val="0"/>
                    <w:snapToGrid w:val="0"/>
                    <w:spacing w:line="0" w:lineRule="atLeast"/>
                    <w:ind w:firstLine="0" w:firstLineChars="0"/>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达标情况</w:t>
                  </w:r>
                </w:p>
              </w:tc>
            </w:tr>
            <w:tr w14:paraId="32A16C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00" w:type="dxa"/>
                  <w:vMerge w:val="restart"/>
                  <w:noWrap w:val="0"/>
                  <w:vAlign w:val="center"/>
                </w:tcPr>
                <w:p w14:paraId="2AA873B5">
                  <w:pPr>
                    <w:adjustRightInd w:val="0"/>
                    <w:snapToGrid w:val="0"/>
                    <w:spacing w:line="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水泵</w:t>
                  </w:r>
                </w:p>
              </w:tc>
              <w:tc>
                <w:tcPr>
                  <w:tcW w:w="1037" w:type="dxa"/>
                  <w:noWrap w:val="0"/>
                  <w:vAlign w:val="center"/>
                </w:tcPr>
                <w:p w14:paraId="388A19FB">
                  <w:pPr>
                    <w:adjustRightInd w:val="0"/>
                    <w:snapToGrid w:val="0"/>
                    <w:spacing w:line="0" w:lineRule="atLeast"/>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东厂界</w:t>
                  </w:r>
                </w:p>
              </w:tc>
              <w:tc>
                <w:tcPr>
                  <w:tcW w:w="1159" w:type="dxa"/>
                  <w:noWrap w:val="0"/>
                  <w:vAlign w:val="center"/>
                </w:tcPr>
                <w:p w14:paraId="5488EE59">
                  <w:pPr>
                    <w:adjustRightInd w:val="0"/>
                    <w:snapToGrid w:val="0"/>
                    <w:spacing w:line="0" w:lineRule="atLeast"/>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47</w:t>
                  </w:r>
                </w:p>
              </w:tc>
              <w:tc>
                <w:tcPr>
                  <w:tcW w:w="1200" w:type="dxa"/>
                  <w:noWrap w:val="0"/>
                  <w:vAlign w:val="center"/>
                </w:tcPr>
                <w:p w14:paraId="00FDDECC">
                  <w:pPr>
                    <w:adjustRightInd w:val="0"/>
                    <w:snapToGrid w:val="0"/>
                    <w:spacing w:line="0" w:lineRule="atLeast"/>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42</w:t>
                  </w:r>
                </w:p>
              </w:tc>
              <w:tc>
                <w:tcPr>
                  <w:tcW w:w="954" w:type="dxa"/>
                  <w:vMerge w:val="restart"/>
                  <w:noWrap w:val="0"/>
                  <w:vAlign w:val="center"/>
                </w:tcPr>
                <w:p w14:paraId="57D453E0">
                  <w:pPr>
                    <w:adjustRightInd w:val="0"/>
                    <w:snapToGrid w:val="0"/>
                    <w:spacing w:line="0" w:lineRule="atLeast"/>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昼间60</w:t>
                  </w:r>
                </w:p>
              </w:tc>
              <w:tc>
                <w:tcPr>
                  <w:tcW w:w="885" w:type="dxa"/>
                  <w:vMerge w:val="restart"/>
                  <w:noWrap w:val="0"/>
                  <w:vAlign w:val="center"/>
                </w:tcPr>
                <w:p w14:paraId="44A0C1F2">
                  <w:pPr>
                    <w:adjustRightInd w:val="0"/>
                    <w:snapToGrid w:val="0"/>
                    <w:spacing w:line="0" w:lineRule="atLeast"/>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夜间50</w:t>
                  </w:r>
                </w:p>
              </w:tc>
              <w:tc>
                <w:tcPr>
                  <w:tcW w:w="1361" w:type="dxa"/>
                  <w:vMerge w:val="restart"/>
                  <w:noWrap w:val="0"/>
                  <w:vAlign w:val="center"/>
                </w:tcPr>
                <w:p w14:paraId="6C5FD843">
                  <w:pPr>
                    <w:adjustRightInd w:val="0"/>
                    <w:snapToGrid w:val="0"/>
                    <w:spacing w:line="0" w:lineRule="atLeast"/>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达标</w:t>
                  </w:r>
                </w:p>
              </w:tc>
            </w:tr>
            <w:tr w14:paraId="016D7C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00" w:type="dxa"/>
                  <w:vMerge w:val="continue"/>
                  <w:noWrap w:val="0"/>
                  <w:vAlign w:val="center"/>
                </w:tcPr>
                <w:p w14:paraId="6373408A">
                  <w:pPr>
                    <w:adjustRightInd w:val="0"/>
                    <w:snapToGrid w:val="0"/>
                    <w:spacing w:line="0" w:lineRule="atLeast"/>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037" w:type="dxa"/>
                  <w:noWrap w:val="0"/>
                  <w:vAlign w:val="center"/>
                </w:tcPr>
                <w:p w14:paraId="06E71A6A">
                  <w:pPr>
                    <w:adjustRightInd w:val="0"/>
                    <w:snapToGrid w:val="0"/>
                    <w:spacing w:line="0" w:lineRule="atLeast"/>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西厂界</w:t>
                  </w:r>
                </w:p>
              </w:tc>
              <w:tc>
                <w:tcPr>
                  <w:tcW w:w="1159" w:type="dxa"/>
                  <w:noWrap w:val="0"/>
                  <w:vAlign w:val="center"/>
                </w:tcPr>
                <w:p w14:paraId="459B0175">
                  <w:pPr>
                    <w:adjustRightInd w:val="0"/>
                    <w:snapToGrid w:val="0"/>
                    <w:spacing w:line="0" w:lineRule="atLeast"/>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52</w:t>
                  </w:r>
                </w:p>
              </w:tc>
              <w:tc>
                <w:tcPr>
                  <w:tcW w:w="1200" w:type="dxa"/>
                  <w:noWrap w:val="0"/>
                  <w:vAlign w:val="center"/>
                </w:tcPr>
                <w:p w14:paraId="651480F4">
                  <w:pPr>
                    <w:adjustRightInd w:val="0"/>
                    <w:snapToGrid w:val="0"/>
                    <w:spacing w:line="0" w:lineRule="atLeast"/>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45</w:t>
                  </w:r>
                </w:p>
              </w:tc>
              <w:tc>
                <w:tcPr>
                  <w:tcW w:w="954" w:type="dxa"/>
                  <w:vMerge w:val="continue"/>
                  <w:noWrap w:val="0"/>
                  <w:vAlign w:val="center"/>
                </w:tcPr>
                <w:p w14:paraId="197275B9">
                  <w:pPr>
                    <w:pStyle w:val="24"/>
                    <w:widowControl w:val="0"/>
                    <w:adjustRightInd w:val="0"/>
                    <w:snapToGrid w:val="0"/>
                    <w:spacing w:before="0" w:beforeAutospacing="0" w:after="0" w:afterAutospacing="0"/>
                    <w:jc w:val="center"/>
                    <w:rPr>
                      <w:rFonts w:ascii="Times New Roman" w:hAnsi="Times New Roman"/>
                      <w:color w:val="000000" w:themeColor="text1"/>
                      <w:kern w:val="2"/>
                      <w:sz w:val="21"/>
                      <w:szCs w:val="21"/>
                      <w:lang w:bidi="ar"/>
                      <w14:textFill>
                        <w14:solidFill>
                          <w14:schemeClr w14:val="tx1"/>
                        </w14:solidFill>
                      </w14:textFill>
                    </w:rPr>
                  </w:pPr>
                </w:p>
              </w:tc>
              <w:tc>
                <w:tcPr>
                  <w:tcW w:w="885" w:type="dxa"/>
                  <w:vMerge w:val="continue"/>
                  <w:noWrap w:val="0"/>
                  <w:vAlign w:val="center"/>
                </w:tcPr>
                <w:p w14:paraId="048595C7">
                  <w:pPr>
                    <w:pStyle w:val="24"/>
                    <w:widowControl w:val="0"/>
                    <w:adjustRightInd w:val="0"/>
                    <w:snapToGrid w:val="0"/>
                    <w:spacing w:before="0" w:beforeAutospacing="0" w:after="0" w:afterAutospacing="0"/>
                    <w:jc w:val="center"/>
                    <w:rPr>
                      <w:rFonts w:ascii="Times New Roman" w:hAnsi="Times New Roman"/>
                      <w:color w:val="000000" w:themeColor="text1"/>
                      <w:kern w:val="2"/>
                      <w:sz w:val="21"/>
                      <w:szCs w:val="21"/>
                      <w:lang w:bidi="ar"/>
                      <w14:textFill>
                        <w14:solidFill>
                          <w14:schemeClr w14:val="tx1"/>
                        </w14:solidFill>
                      </w14:textFill>
                    </w:rPr>
                  </w:pPr>
                </w:p>
              </w:tc>
              <w:tc>
                <w:tcPr>
                  <w:tcW w:w="1361" w:type="dxa"/>
                  <w:vMerge w:val="continue"/>
                  <w:noWrap w:val="0"/>
                  <w:vAlign w:val="center"/>
                </w:tcPr>
                <w:p w14:paraId="73E7F706">
                  <w:pPr>
                    <w:pStyle w:val="24"/>
                    <w:widowControl w:val="0"/>
                    <w:adjustRightInd w:val="0"/>
                    <w:snapToGrid w:val="0"/>
                    <w:spacing w:before="0" w:beforeAutospacing="0" w:after="0" w:afterAutospacing="0"/>
                    <w:jc w:val="center"/>
                    <w:rPr>
                      <w:rFonts w:ascii="Times New Roman" w:hAnsi="Times New Roman"/>
                      <w:color w:val="000000" w:themeColor="text1"/>
                      <w:kern w:val="2"/>
                      <w:sz w:val="21"/>
                      <w:szCs w:val="21"/>
                      <w:lang w:bidi="ar"/>
                      <w14:textFill>
                        <w14:solidFill>
                          <w14:schemeClr w14:val="tx1"/>
                        </w14:solidFill>
                      </w14:textFill>
                    </w:rPr>
                  </w:pPr>
                </w:p>
              </w:tc>
            </w:tr>
            <w:tr w14:paraId="0A8CB5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00" w:type="dxa"/>
                  <w:vMerge w:val="continue"/>
                  <w:noWrap w:val="0"/>
                  <w:vAlign w:val="center"/>
                </w:tcPr>
                <w:p w14:paraId="59695863">
                  <w:pPr>
                    <w:adjustRightInd w:val="0"/>
                    <w:snapToGrid w:val="0"/>
                    <w:spacing w:line="0" w:lineRule="atLeast"/>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037" w:type="dxa"/>
                  <w:noWrap w:val="0"/>
                  <w:vAlign w:val="center"/>
                </w:tcPr>
                <w:p w14:paraId="2176E29F">
                  <w:pPr>
                    <w:adjustRightInd w:val="0"/>
                    <w:snapToGrid w:val="0"/>
                    <w:spacing w:line="0" w:lineRule="atLeast"/>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南厂界</w:t>
                  </w:r>
                </w:p>
              </w:tc>
              <w:tc>
                <w:tcPr>
                  <w:tcW w:w="1159" w:type="dxa"/>
                  <w:noWrap w:val="0"/>
                  <w:vAlign w:val="center"/>
                </w:tcPr>
                <w:p w14:paraId="49CA8A7B">
                  <w:pPr>
                    <w:adjustRightInd w:val="0"/>
                    <w:snapToGrid w:val="0"/>
                    <w:spacing w:line="0" w:lineRule="atLeast"/>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1200" w:type="dxa"/>
                  <w:noWrap w:val="0"/>
                  <w:vAlign w:val="center"/>
                </w:tcPr>
                <w:p w14:paraId="0A75071B">
                  <w:pPr>
                    <w:adjustRightInd w:val="0"/>
                    <w:snapToGrid w:val="0"/>
                    <w:spacing w:line="0" w:lineRule="atLeast"/>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41</w:t>
                  </w:r>
                </w:p>
              </w:tc>
              <w:tc>
                <w:tcPr>
                  <w:tcW w:w="954" w:type="dxa"/>
                  <w:vMerge w:val="continue"/>
                  <w:noWrap w:val="0"/>
                  <w:vAlign w:val="center"/>
                </w:tcPr>
                <w:p w14:paraId="35417851">
                  <w:pPr>
                    <w:pStyle w:val="24"/>
                    <w:widowControl w:val="0"/>
                    <w:adjustRightInd w:val="0"/>
                    <w:snapToGrid w:val="0"/>
                    <w:spacing w:before="0" w:beforeAutospacing="0" w:after="0" w:afterAutospacing="0"/>
                    <w:jc w:val="center"/>
                    <w:rPr>
                      <w:rFonts w:ascii="Times New Roman" w:hAnsi="Times New Roman"/>
                      <w:color w:val="000000" w:themeColor="text1"/>
                      <w:kern w:val="2"/>
                      <w:sz w:val="21"/>
                      <w:szCs w:val="21"/>
                      <w:lang w:bidi="ar"/>
                      <w14:textFill>
                        <w14:solidFill>
                          <w14:schemeClr w14:val="tx1"/>
                        </w14:solidFill>
                      </w14:textFill>
                    </w:rPr>
                  </w:pPr>
                </w:p>
              </w:tc>
              <w:tc>
                <w:tcPr>
                  <w:tcW w:w="885" w:type="dxa"/>
                  <w:vMerge w:val="continue"/>
                  <w:noWrap w:val="0"/>
                  <w:vAlign w:val="center"/>
                </w:tcPr>
                <w:p w14:paraId="1454774A">
                  <w:pPr>
                    <w:pStyle w:val="24"/>
                    <w:widowControl w:val="0"/>
                    <w:adjustRightInd w:val="0"/>
                    <w:snapToGrid w:val="0"/>
                    <w:spacing w:before="0" w:beforeAutospacing="0" w:after="0" w:afterAutospacing="0"/>
                    <w:jc w:val="center"/>
                    <w:rPr>
                      <w:rFonts w:ascii="Times New Roman" w:hAnsi="Times New Roman"/>
                      <w:color w:val="000000" w:themeColor="text1"/>
                      <w:kern w:val="2"/>
                      <w:sz w:val="21"/>
                      <w:szCs w:val="21"/>
                      <w:lang w:bidi="ar"/>
                      <w14:textFill>
                        <w14:solidFill>
                          <w14:schemeClr w14:val="tx1"/>
                        </w14:solidFill>
                      </w14:textFill>
                    </w:rPr>
                  </w:pPr>
                </w:p>
              </w:tc>
              <w:tc>
                <w:tcPr>
                  <w:tcW w:w="1361" w:type="dxa"/>
                  <w:vMerge w:val="continue"/>
                  <w:noWrap w:val="0"/>
                  <w:vAlign w:val="center"/>
                </w:tcPr>
                <w:p w14:paraId="0819B369">
                  <w:pPr>
                    <w:pStyle w:val="24"/>
                    <w:widowControl w:val="0"/>
                    <w:adjustRightInd w:val="0"/>
                    <w:snapToGrid w:val="0"/>
                    <w:spacing w:before="0" w:beforeAutospacing="0" w:after="0" w:afterAutospacing="0"/>
                    <w:jc w:val="center"/>
                    <w:rPr>
                      <w:rFonts w:ascii="Times New Roman" w:hAnsi="Times New Roman"/>
                      <w:color w:val="000000" w:themeColor="text1"/>
                      <w:kern w:val="2"/>
                      <w:sz w:val="21"/>
                      <w:szCs w:val="21"/>
                      <w:lang w:bidi="ar"/>
                      <w14:textFill>
                        <w14:solidFill>
                          <w14:schemeClr w14:val="tx1"/>
                        </w14:solidFill>
                      </w14:textFill>
                    </w:rPr>
                  </w:pPr>
                </w:p>
              </w:tc>
            </w:tr>
            <w:tr w14:paraId="429203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00" w:type="dxa"/>
                  <w:vMerge w:val="continue"/>
                  <w:noWrap w:val="0"/>
                  <w:vAlign w:val="center"/>
                </w:tcPr>
                <w:p w14:paraId="6398D6C1">
                  <w:pPr>
                    <w:adjustRightInd w:val="0"/>
                    <w:snapToGrid w:val="0"/>
                    <w:spacing w:line="0" w:lineRule="atLeast"/>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037" w:type="dxa"/>
                  <w:noWrap w:val="0"/>
                  <w:vAlign w:val="center"/>
                </w:tcPr>
                <w:p w14:paraId="6CF05127">
                  <w:pPr>
                    <w:adjustRightInd w:val="0"/>
                    <w:snapToGrid w:val="0"/>
                    <w:spacing w:line="0" w:lineRule="atLeast"/>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北厂界</w:t>
                  </w:r>
                </w:p>
              </w:tc>
              <w:tc>
                <w:tcPr>
                  <w:tcW w:w="1159" w:type="dxa"/>
                  <w:noWrap w:val="0"/>
                  <w:vAlign w:val="center"/>
                </w:tcPr>
                <w:p w14:paraId="6156E019">
                  <w:pPr>
                    <w:adjustRightInd w:val="0"/>
                    <w:snapToGrid w:val="0"/>
                    <w:spacing w:line="0" w:lineRule="atLeast"/>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53</w:t>
                  </w:r>
                </w:p>
              </w:tc>
              <w:tc>
                <w:tcPr>
                  <w:tcW w:w="1200" w:type="dxa"/>
                  <w:noWrap w:val="0"/>
                  <w:vAlign w:val="center"/>
                </w:tcPr>
                <w:p w14:paraId="2A6998BE">
                  <w:pPr>
                    <w:adjustRightInd w:val="0"/>
                    <w:snapToGrid w:val="0"/>
                    <w:spacing w:line="0" w:lineRule="atLeast"/>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44</w:t>
                  </w:r>
                </w:p>
              </w:tc>
              <w:tc>
                <w:tcPr>
                  <w:tcW w:w="954" w:type="dxa"/>
                  <w:vMerge w:val="continue"/>
                  <w:noWrap w:val="0"/>
                  <w:vAlign w:val="center"/>
                </w:tcPr>
                <w:p w14:paraId="465422B8">
                  <w:pPr>
                    <w:pStyle w:val="24"/>
                    <w:widowControl w:val="0"/>
                    <w:adjustRightInd w:val="0"/>
                    <w:snapToGrid w:val="0"/>
                    <w:spacing w:before="0" w:beforeAutospacing="0" w:after="0" w:afterAutospacing="0"/>
                    <w:jc w:val="center"/>
                    <w:rPr>
                      <w:rFonts w:ascii="Times New Roman" w:hAnsi="Times New Roman"/>
                      <w:color w:val="000000" w:themeColor="text1"/>
                      <w:kern w:val="2"/>
                      <w:sz w:val="21"/>
                      <w:szCs w:val="21"/>
                      <w:lang w:bidi="ar"/>
                      <w14:textFill>
                        <w14:solidFill>
                          <w14:schemeClr w14:val="tx1"/>
                        </w14:solidFill>
                      </w14:textFill>
                    </w:rPr>
                  </w:pPr>
                </w:p>
              </w:tc>
              <w:tc>
                <w:tcPr>
                  <w:tcW w:w="885" w:type="dxa"/>
                  <w:vMerge w:val="continue"/>
                  <w:noWrap w:val="0"/>
                  <w:vAlign w:val="center"/>
                </w:tcPr>
                <w:p w14:paraId="594B00DF">
                  <w:pPr>
                    <w:pStyle w:val="24"/>
                    <w:widowControl w:val="0"/>
                    <w:adjustRightInd w:val="0"/>
                    <w:snapToGrid w:val="0"/>
                    <w:spacing w:before="0" w:beforeAutospacing="0" w:after="0" w:afterAutospacing="0"/>
                    <w:jc w:val="center"/>
                    <w:rPr>
                      <w:rFonts w:ascii="Times New Roman" w:hAnsi="Times New Roman"/>
                      <w:color w:val="000000" w:themeColor="text1"/>
                      <w:kern w:val="2"/>
                      <w:sz w:val="21"/>
                      <w:szCs w:val="21"/>
                      <w:lang w:bidi="ar"/>
                      <w14:textFill>
                        <w14:solidFill>
                          <w14:schemeClr w14:val="tx1"/>
                        </w14:solidFill>
                      </w14:textFill>
                    </w:rPr>
                  </w:pPr>
                </w:p>
              </w:tc>
              <w:tc>
                <w:tcPr>
                  <w:tcW w:w="1361" w:type="dxa"/>
                  <w:vMerge w:val="continue"/>
                  <w:noWrap w:val="0"/>
                  <w:vAlign w:val="center"/>
                </w:tcPr>
                <w:p w14:paraId="6B8E7B6C">
                  <w:pPr>
                    <w:pStyle w:val="24"/>
                    <w:widowControl w:val="0"/>
                    <w:adjustRightInd w:val="0"/>
                    <w:snapToGrid w:val="0"/>
                    <w:spacing w:before="0" w:beforeAutospacing="0" w:after="0" w:afterAutospacing="0"/>
                    <w:jc w:val="center"/>
                    <w:rPr>
                      <w:rFonts w:ascii="Times New Roman" w:hAnsi="Times New Roman"/>
                      <w:color w:val="000000" w:themeColor="text1"/>
                      <w:kern w:val="2"/>
                      <w:sz w:val="21"/>
                      <w:szCs w:val="21"/>
                      <w:lang w:bidi="ar"/>
                      <w14:textFill>
                        <w14:solidFill>
                          <w14:schemeClr w14:val="tx1"/>
                        </w14:solidFill>
                      </w14:textFill>
                    </w:rPr>
                  </w:pPr>
                </w:p>
              </w:tc>
            </w:tr>
            <w:tr w14:paraId="56DF75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00" w:type="dxa"/>
                  <w:vMerge w:val="restart"/>
                  <w:noWrap w:val="0"/>
                  <w:vAlign w:val="center"/>
                </w:tcPr>
                <w:p w14:paraId="73F40007">
                  <w:pPr>
                    <w:adjustRightInd w:val="0"/>
                    <w:snapToGrid w:val="0"/>
                    <w:spacing w:line="0" w:lineRule="atLeast"/>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空调机组</w:t>
                  </w:r>
                </w:p>
              </w:tc>
              <w:tc>
                <w:tcPr>
                  <w:tcW w:w="1037" w:type="dxa"/>
                  <w:shd w:val="clear" w:color="auto" w:fill="auto"/>
                  <w:noWrap w:val="0"/>
                  <w:vAlign w:val="center"/>
                </w:tcPr>
                <w:p w14:paraId="4F20FDC8">
                  <w:pPr>
                    <w:adjustRightInd w:val="0"/>
                    <w:snapToGrid w:val="0"/>
                    <w:spacing w:line="0" w:lineRule="atLeast"/>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东厂界</w:t>
                  </w:r>
                </w:p>
              </w:tc>
              <w:tc>
                <w:tcPr>
                  <w:tcW w:w="1159" w:type="dxa"/>
                  <w:shd w:val="clear" w:color="auto" w:fill="auto"/>
                  <w:noWrap w:val="0"/>
                  <w:vAlign w:val="center"/>
                </w:tcPr>
                <w:p w14:paraId="29E5668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42</w:t>
                  </w:r>
                </w:p>
              </w:tc>
              <w:tc>
                <w:tcPr>
                  <w:tcW w:w="1200" w:type="dxa"/>
                  <w:shd w:val="clear" w:color="auto" w:fill="auto"/>
                  <w:noWrap w:val="0"/>
                  <w:vAlign w:val="center"/>
                </w:tcPr>
                <w:p w14:paraId="4A6E1B7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42</w:t>
                  </w:r>
                </w:p>
              </w:tc>
              <w:tc>
                <w:tcPr>
                  <w:tcW w:w="954" w:type="dxa"/>
                  <w:vMerge w:val="continue"/>
                  <w:noWrap w:val="0"/>
                  <w:vAlign w:val="center"/>
                </w:tcPr>
                <w:p w14:paraId="4E4A543F">
                  <w:pPr>
                    <w:pStyle w:val="24"/>
                    <w:widowControl w:val="0"/>
                    <w:adjustRightInd w:val="0"/>
                    <w:snapToGrid w:val="0"/>
                    <w:spacing w:before="0" w:beforeAutospacing="0" w:after="0" w:afterAutospacing="0"/>
                    <w:jc w:val="center"/>
                    <w:rPr>
                      <w:rFonts w:ascii="Times New Roman" w:hAnsi="Times New Roman"/>
                      <w:color w:val="000000" w:themeColor="text1"/>
                      <w:kern w:val="2"/>
                      <w:sz w:val="21"/>
                      <w:szCs w:val="21"/>
                      <w:lang w:bidi="ar"/>
                      <w14:textFill>
                        <w14:solidFill>
                          <w14:schemeClr w14:val="tx1"/>
                        </w14:solidFill>
                      </w14:textFill>
                    </w:rPr>
                  </w:pPr>
                </w:p>
              </w:tc>
              <w:tc>
                <w:tcPr>
                  <w:tcW w:w="885" w:type="dxa"/>
                  <w:vMerge w:val="continue"/>
                  <w:noWrap w:val="0"/>
                  <w:vAlign w:val="center"/>
                </w:tcPr>
                <w:p w14:paraId="2C32845E">
                  <w:pPr>
                    <w:pStyle w:val="24"/>
                    <w:widowControl w:val="0"/>
                    <w:adjustRightInd w:val="0"/>
                    <w:snapToGrid w:val="0"/>
                    <w:spacing w:before="0" w:beforeAutospacing="0" w:after="0" w:afterAutospacing="0"/>
                    <w:jc w:val="center"/>
                    <w:rPr>
                      <w:rFonts w:ascii="Times New Roman" w:hAnsi="Times New Roman"/>
                      <w:color w:val="000000" w:themeColor="text1"/>
                      <w:kern w:val="2"/>
                      <w:sz w:val="21"/>
                      <w:szCs w:val="21"/>
                      <w:lang w:bidi="ar"/>
                      <w14:textFill>
                        <w14:solidFill>
                          <w14:schemeClr w14:val="tx1"/>
                        </w14:solidFill>
                      </w14:textFill>
                    </w:rPr>
                  </w:pPr>
                </w:p>
              </w:tc>
              <w:tc>
                <w:tcPr>
                  <w:tcW w:w="1361" w:type="dxa"/>
                  <w:vMerge w:val="continue"/>
                  <w:noWrap w:val="0"/>
                  <w:vAlign w:val="center"/>
                </w:tcPr>
                <w:p w14:paraId="28E07818">
                  <w:pPr>
                    <w:pStyle w:val="24"/>
                    <w:widowControl w:val="0"/>
                    <w:adjustRightInd w:val="0"/>
                    <w:snapToGrid w:val="0"/>
                    <w:spacing w:before="0" w:beforeAutospacing="0" w:after="0" w:afterAutospacing="0"/>
                    <w:jc w:val="center"/>
                    <w:rPr>
                      <w:rFonts w:ascii="Times New Roman" w:hAnsi="Times New Roman"/>
                      <w:color w:val="000000" w:themeColor="text1"/>
                      <w:kern w:val="2"/>
                      <w:sz w:val="21"/>
                      <w:szCs w:val="21"/>
                      <w:lang w:bidi="ar"/>
                      <w14:textFill>
                        <w14:solidFill>
                          <w14:schemeClr w14:val="tx1"/>
                        </w14:solidFill>
                      </w14:textFill>
                    </w:rPr>
                  </w:pPr>
                </w:p>
              </w:tc>
            </w:tr>
            <w:tr w14:paraId="3B1B1F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00" w:type="dxa"/>
                  <w:vMerge w:val="continue"/>
                  <w:noWrap w:val="0"/>
                  <w:vAlign w:val="center"/>
                </w:tcPr>
                <w:p w14:paraId="7759A81F">
                  <w:pPr>
                    <w:adjustRightInd w:val="0"/>
                    <w:snapToGrid w:val="0"/>
                    <w:spacing w:line="0" w:lineRule="atLeast"/>
                    <w:ind w:firstLine="0" w:firstLineChars="0"/>
                    <w:jc w:val="center"/>
                    <w:rPr>
                      <w:rFonts w:hint="eastAsia" w:cs="Times New Roman"/>
                      <w:color w:val="000000" w:themeColor="text1"/>
                      <w:sz w:val="21"/>
                      <w:szCs w:val="21"/>
                      <w:lang w:val="en-US" w:eastAsia="zh-CN"/>
                      <w14:textFill>
                        <w14:solidFill>
                          <w14:schemeClr w14:val="tx1"/>
                        </w14:solidFill>
                      </w14:textFill>
                    </w:rPr>
                  </w:pPr>
                </w:p>
              </w:tc>
              <w:tc>
                <w:tcPr>
                  <w:tcW w:w="1037" w:type="dxa"/>
                  <w:shd w:val="clear" w:color="auto" w:fill="auto"/>
                  <w:noWrap w:val="0"/>
                  <w:vAlign w:val="center"/>
                </w:tcPr>
                <w:p w14:paraId="23D270DF">
                  <w:pPr>
                    <w:adjustRightInd w:val="0"/>
                    <w:snapToGrid w:val="0"/>
                    <w:spacing w:line="0" w:lineRule="atLeast"/>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西厂界</w:t>
                  </w:r>
                </w:p>
              </w:tc>
              <w:tc>
                <w:tcPr>
                  <w:tcW w:w="1159" w:type="dxa"/>
                  <w:shd w:val="clear" w:color="auto" w:fill="auto"/>
                  <w:noWrap w:val="0"/>
                  <w:vAlign w:val="center"/>
                </w:tcPr>
                <w:p w14:paraId="420D36D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50</w:t>
                  </w:r>
                </w:p>
              </w:tc>
              <w:tc>
                <w:tcPr>
                  <w:tcW w:w="1200" w:type="dxa"/>
                  <w:shd w:val="clear" w:color="auto" w:fill="auto"/>
                  <w:noWrap w:val="0"/>
                  <w:vAlign w:val="center"/>
                </w:tcPr>
                <w:p w14:paraId="58E04AB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50</w:t>
                  </w:r>
                </w:p>
              </w:tc>
              <w:tc>
                <w:tcPr>
                  <w:tcW w:w="954" w:type="dxa"/>
                  <w:vMerge w:val="continue"/>
                  <w:noWrap w:val="0"/>
                  <w:vAlign w:val="center"/>
                </w:tcPr>
                <w:p w14:paraId="7939AAE6">
                  <w:pPr>
                    <w:pStyle w:val="24"/>
                    <w:widowControl w:val="0"/>
                    <w:adjustRightInd w:val="0"/>
                    <w:snapToGrid w:val="0"/>
                    <w:spacing w:before="0" w:beforeAutospacing="0" w:after="0" w:afterAutospacing="0"/>
                    <w:jc w:val="center"/>
                    <w:rPr>
                      <w:rFonts w:ascii="Times New Roman" w:hAnsi="Times New Roman"/>
                      <w:color w:val="000000" w:themeColor="text1"/>
                      <w:kern w:val="2"/>
                      <w:sz w:val="21"/>
                      <w:szCs w:val="21"/>
                      <w:lang w:bidi="ar"/>
                      <w14:textFill>
                        <w14:solidFill>
                          <w14:schemeClr w14:val="tx1"/>
                        </w14:solidFill>
                      </w14:textFill>
                    </w:rPr>
                  </w:pPr>
                </w:p>
              </w:tc>
              <w:tc>
                <w:tcPr>
                  <w:tcW w:w="885" w:type="dxa"/>
                  <w:vMerge w:val="continue"/>
                  <w:noWrap w:val="0"/>
                  <w:vAlign w:val="center"/>
                </w:tcPr>
                <w:p w14:paraId="7B1E6848">
                  <w:pPr>
                    <w:pStyle w:val="24"/>
                    <w:widowControl w:val="0"/>
                    <w:adjustRightInd w:val="0"/>
                    <w:snapToGrid w:val="0"/>
                    <w:spacing w:before="0" w:beforeAutospacing="0" w:after="0" w:afterAutospacing="0"/>
                    <w:jc w:val="center"/>
                    <w:rPr>
                      <w:rFonts w:ascii="Times New Roman" w:hAnsi="Times New Roman"/>
                      <w:color w:val="000000" w:themeColor="text1"/>
                      <w:kern w:val="2"/>
                      <w:sz w:val="21"/>
                      <w:szCs w:val="21"/>
                      <w:lang w:bidi="ar"/>
                      <w14:textFill>
                        <w14:solidFill>
                          <w14:schemeClr w14:val="tx1"/>
                        </w14:solidFill>
                      </w14:textFill>
                    </w:rPr>
                  </w:pPr>
                </w:p>
              </w:tc>
              <w:tc>
                <w:tcPr>
                  <w:tcW w:w="1361" w:type="dxa"/>
                  <w:vMerge w:val="continue"/>
                  <w:noWrap w:val="0"/>
                  <w:vAlign w:val="center"/>
                </w:tcPr>
                <w:p w14:paraId="60ADA055">
                  <w:pPr>
                    <w:pStyle w:val="24"/>
                    <w:widowControl w:val="0"/>
                    <w:adjustRightInd w:val="0"/>
                    <w:snapToGrid w:val="0"/>
                    <w:spacing w:before="0" w:beforeAutospacing="0" w:after="0" w:afterAutospacing="0"/>
                    <w:jc w:val="center"/>
                    <w:rPr>
                      <w:rFonts w:ascii="Times New Roman" w:hAnsi="Times New Roman"/>
                      <w:color w:val="000000" w:themeColor="text1"/>
                      <w:kern w:val="2"/>
                      <w:sz w:val="21"/>
                      <w:szCs w:val="21"/>
                      <w:lang w:bidi="ar"/>
                      <w14:textFill>
                        <w14:solidFill>
                          <w14:schemeClr w14:val="tx1"/>
                        </w14:solidFill>
                      </w14:textFill>
                    </w:rPr>
                  </w:pPr>
                </w:p>
              </w:tc>
            </w:tr>
            <w:tr w14:paraId="589766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00" w:type="dxa"/>
                  <w:vMerge w:val="continue"/>
                  <w:noWrap w:val="0"/>
                  <w:vAlign w:val="center"/>
                </w:tcPr>
                <w:p w14:paraId="109C9FEA">
                  <w:pPr>
                    <w:adjustRightInd w:val="0"/>
                    <w:snapToGrid w:val="0"/>
                    <w:spacing w:line="0" w:lineRule="atLeast"/>
                    <w:ind w:firstLine="0" w:firstLineChars="0"/>
                    <w:jc w:val="center"/>
                    <w:rPr>
                      <w:rFonts w:hint="eastAsia" w:cs="Times New Roman"/>
                      <w:color w:val="000000" w:themeColor="text1"/>
                      <w:sz w:val="21"/>
                      <w:szCs w:val="21"/>
                      <w:lang w:val="en-US" w:eastAsia="zh-CN"/>
                      <w14:textFill>
                        <w14:solidFill>
                          <w14:schemeClr w14:val="tx1"/>
                        </w14:solidFill>
                      </w14:textFill>
                    </w:rPr>
                  </w:pPr>
                </w:p>
              </w:tc>
              <w:tc>
                <w:tcPr>
                  <w:tcW w:w="1037" w:type="dxa"/>
                  <w:shd w:val="clear" w:color="auto" w:fill="auto"/>
                  <w:noWrap w:val="0"/>
                  <w:vAlign w:val="center"/>
                </w:tcPr>
                <w:p w14:paraId="4EC863AE">
                  <w:pPr>
                    <w:adjustRightInd w:val="0"/>
                    <w:snapToGrid w:val="0"/>
                    <w:spacing w:line="0" w:lineRule="atLeast"/>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南厂界</w:t>
                  </w:r>
                </w:p>
              </w:tc>
              <w:tc>
                <w:tcPr>
                  <w:tcW w:w="1159" w:type="dxa"/>
                  <w:shd w:val="clear" w:color="auto" w:fill="auto"/>
                  <w:noWrap w:val="0"/>
                  <w:vAlign w:val="center"/>
                </w:tcPr>
                <w:p w14:paraId="2C309CC2">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48</w:t>
                  </w:r>
                </w:p>
              </w:tc>
              <w:tc>
                <w:tcPr>
                  <w:tcW w:w="1200" w:type="dxa"/>
                  <w:shd w:val="clear" w:color="auto" w:fill="auto"/>
                  <w:noWrap w:val="0"/>
                  <w:vAlign w:val="center"/>
                </w:tcPr>
                <w:p w14:paraId="6D718BD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48</w:t>
                  </w:r>
                </w:p>
              </w:tc>
              <w:tc>
                <w:tcPr>
                  <w:tcW w:w="954" w:type="dxa"/>
                  <w:vMerge w:val="continue"/>
                  <w:noWrap w:val="0"/>
                  <w:vAlign w:val="center"/>
                </w:tcPr>
                <w:p w14:paraId="39B6804E">
                  <w:pPr>
                    <w:pStyle w:val="24"/>
                    <w:widowControl w:val="0"/>
                    <w:adjustRightInd w:val="0"/>
                    <w:snapToGrid w:val="0"/>
                    <w:spacing w:before="0" w:beforeAutospacing="0" w:after="0" w:afterAutospacing="0"/>
                    <w:jc w:val="center"/>
                    <w:rPr>
                      <w:rFonts w:ascii="Times New Roman" w:hAnsi="Times New Roman"/>
                      <w:color w:val="000000" w:themeColor="text1"/>
                      <w:kern w:val="2"/>
                      <w:sz w:val="21"/>
                      <w:szCs w:val="21"/>
                      <w:lang w:bidi="ar"/>
                      <w14:textFill>
                        <w14:solidFill>
                          <w14:schemeClr w14:val="tx1"/>
                        </w14:solidFill>
                      </w14:textFill>
                    </w:rPr>
                  </w:pPr>
                </w:p>
              </w:tc>
              <w:tc>
                <w:tcPr>
                  <w:tcW w:w="885" w:type="dxa"/>
                  <w:vMerge w:val="continue"/>
                  <w:noWrap w:val="0"/>
                  <w:vAlign w:val="center"/>
                </w:tcPr>
                <w:p w14:paraId="1CD77088">
                  <w:pPr>
                    <w:pStyle w:val="24"/>
                    <w:widowControl w:val="0"/>
                    <w:adjustRightInd w:val="0"/>
                    <w:snapToGrid w:val="0"/>
                    <w:spacing w:before="0" w:beforeAutospacing="0" w:after="0" w:afterAutospacing="0"/>
                    <w:jc w:val="center"/>
                    <w:rPr>
                      <w:rFonts w:ascii="Times New Roman" w:hAnsi="Times New Roman"/>
                      <w:color w:val="000000" w:themeColor="text1"/>
                      <w:kern w:val="2"/>
                      <w:sz w:val="21"/>
                      <w:szCs w:val="21"/>
                      <w:lang w:bidi="ar"/>
                      <w14:textFill>
                        <w14:solidFill>
                          <w14:schemeClr w14:val="tx1"/>
                        </w14:solidFill>
                      </w14:textFill>
                    </w:rPr>
                  </w:pPr>
                </w:p>
              </w:tc>
              <w:tc>
                <w:tcPr>
                  <w:tcW w:w="1361" w:type="dxa"/>
                  <w:vMerge w:val="continue"/>
                  <w:noWrap w:val="0"/>
                  <w:vAlign w:val="center"/>
                </w:tcPr>
                <w:p w14:paraId="0863D15D">
                  <w:pPr>
                    <w:pStyle w:val="24"/>
                    <w:widowControl w:val="0"/>
                    <w:adjustRightInd w:val="0"/>
                    <w:snapToGrid w:val="0"/>
                    <w:spacing w:before="0" w:beforeAutospacing="0" w:after="0" w:afterAutospacing="0"/>
                    <w:jc w:val="center"/>
                    <w:rPr>
                      <w:rFonts w:ascii="Times New Roman" w:hAnsi="Times New Roman"/>
                      <w:color w:val="000000" w:themeColor="text1"/>
                      <w:kern w:val="2"/>
                      <w:sz w:val="21"/>
                      <w:szCs w:val="21"/>
                      <w:lang w:bidi="ar"/>
                      <w14:textFill>
                        <w14:solidFill>
                          <w14:schemeClr w14:val="tx1"/>
                        </w14:solidFill>
                      </w14:textFill>
                    </w:rPr>
                  </w:pPr>
                </w:p>
              </w:tc>
            </w:tr>
            <w:tr w14:paraId="0F3584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900" w:type="dxa"/>
                  <w:vMerge w:val="continue"/>
                  <w:noWrap w:val="0"/>
                  <w:vAlign w:val="center"/>
                </w:tcPr>
                <w:p w14:paraId="20C6A0A5">
                  <w:pPr>
                    <w:adjustRightInd w:val="0"/>
                    <w:snapToGrid w:val="0"/>
                    <w:spacing w:line="0" w:lineRule="atLeast"/>
                    <w:ind w:firstLine="0" w:firstLineChars="0"/>
                    <w:jc w:val="center"/>
                    <w:rPr>
                      <w:rFonts w:hint="eastAsia" w:cs="Times New Roman"/>
                      <w:color w:val="000000" w:themeColor="text1"/>
                      <w:sz w:val="21"/>
                      <w:szCs w:val="21"/>
                      <w:lang w:val="en-US" w:eastAsia="zh-CN"/>
                      <w14:textFill>
                        <w14:solidFill>
                          <w14:schemeClr w14:val="tx1"/>
                        </w14:solidFill>
                      </w14:textFill>
                    </w:rPr>
                  </w:pPr>
                </w:p>
              </w:tc>
              <w:tc>
                <w:tcPr>
                  <w:tcW w:w="1037" w:type="dxa"/>
                  <w:shd w:val="clear" w:color="auto" w:fill="auto"/>
                  <w:noWrap w:val="0"/>
                  <w:vAlign w:val="center"/>
                </w:tcPr>
                <w:p w14:paraId="36655E6C">
                  <w:pPr>
                    <w:adjustRightInd w:val="0"/>
                    <w:snapToGrid w:val="0"/>
                    <w:spacing w:line="0" w:lineRule="atLeast"/>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北厂界</w:t>
                  </w:r>
                </w:p>
              </w:tc>
              <w:tc>
                <w:tcPr>
                  <w:tcW w:w="1159" w:type="dxa"/>
                  <w:shd w:val="clear" w:color="auto" w:fill="auto"/>
                  <w:noWrap w:val="0"/>
                  <w:vAlign w:val="center"/>
                </w:tcPr>
                <w:p w14:paraId="5E0913A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42</w:t>
                  </w:r>
                </w:p>
              </w:tc>
              <w:tc>
                <w:tcPr>
                  <w:tcW w:w="1200" w:type="dxa"/>
                  <w:shd w:val="clear" w:color="auto" w:fill="auto"/>
                  <w:noWrap w:val="0"/>
                  <w:vAlign w:val="center"/>
                </w:tcPr>
                <w:p w14:paraId="507313F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42</w:t>
                  </w:r>
                </w:p>
              </w:tc>
              <w:tc>
                <w:tcPr>
                  <w:tcW w:w="954" w:type="dxa"/>
                  <w:vMerge w:val="continue"/>
                  <w:noWrap w:val="0"/>
                  <w:vAlign w:val="center"/>
                </w:tcPr>
                <w:p w14:paraId="4858287A">
                  <w:pPr>
                    <w:pStyle w:val="24"/>
                    <w:widowControl w:val="0"/>
                    <w:adjustRightInd w:val="0"/>
                    <w:snapToGrid w:val="0"/>
                    <w:spacing w:before="0" w:beforeAutospacing="0" w:after="0" w:afterAutospacing="0"/>
                    <w:jc w:val="center"/>
                    <w:rPr>
                      <w:rFonts w:ascii="Times New Roman" w:hAnsi="Times New Roman"/>
                      <w:color w:val="000000" w:themeColor="text1"/>
                      <w:kern w:val="2"/>
                      <w:sz w:val="21"/>
                      <w:szCs w:val="21"/>
                      <w:lang w:bidi="ar"/>
                      <w14:textFill>
                        <w14:solidFill>
                          <w14:schemeClr w14:val="tx1"/>
                        </w14:solidFill>
                      </w14:textFill>
                    </w:rPr>
                  </w:pPr>
                </w:p>
              </w:tc>
              <w:tc>
                <w:tcPr>
                  <w:tcW w:w="885" w:type="dxa"/>
                  <w:vMerge w:val="continue"/>
                  <w:noWrap w:val="0"/>
                  <w:vAlign w:val="center"/>
                </w:tcPr>
                <w:p w14:paraId="1D69FFB2">
                  <w:pPr>
                    <w:pStyle w:val="24"/>
                    <w:widowControl w:val="0"/>
                    <w:adjustRightInd w:val="0"/>
                    <w:snapToGrid w:val="0"/>
                    <w:spacing w:before="0" w:beforeAutospacing="0" w:after="0" w:afterAutospacing="0"/>
                    <w:jc w:val="center"/>
                    <w:rPr>
                      <w:rFonts w:ascii="Times New Roman" w:hAnsi="Times New Roman"/>
                      <w:color w:val="000000" w:themeColor="text1"/>
                      <w:kern w:val="2"/>
                      <w:sz w:val="21"/>
                      <w:szCs w:val="21"/>
                      <w:lang w:bidi="ar"/>
                      <w14:textFill>
                        <w14:solidFill>
                          <w14:schemeClr w14:val="tx1"/>
                        </w14:solidFill>
                      </w14:textFill>
                    </w:rPr>
                  </w:pPr>
                </w:p>
              </w:tc>
              <w:tc>
                <w:tcPr>
                  <w:tcW w:w="1361" w:type="dxa"/>
                  <w:vMerge w:val="continue"/>
                  <w:noWrap w:val="0"/>
                  <w:vAlign w:val="center"/>
                </w:tcPr>
                <w:p w14:paraId="3B2300DF">
                  <w:pPr>
                    <w:pStyle w:val="24"/>
                    <w:widowControl w:val="0"/>
                    <w:adjustRightInd w:val="0"/>
                    <w:snapToGrid w:val="0"/>
                    <w:spacing w:before="0" w:beforeAutospacing="0" w:after="0" w:afterAutospacing="0"/>
                    <w:jc w:val="center"/>
                    <w:rPr>
                      <w:rFonts w:ascii="Times New Roman" w:hAnsi="Times New Roman"/>
                      <w:color w:val="000000" w:themeColor="text1"/>
                      <w:kern w:val="2"/>
                      <w:sz w:val="21"/>
                      <w:szCs w:val="21"/>
                      <w:lang w:bidi="ar"/>
                      <w14:textFill>
                        <w14:solidFill>
                          <w14:schemeClr w14:val="tx1"/>
                        </w14:solidFill>
                      </w14:textFill>
                    </w:rPr>
                  </w:pPr>
                </w:p>
              </w:tc>
            </w:tr>
          </w:tbl>
          <w:p w14:paraId="3782AA91">
            <w:pPr>
              <w:adjustRightInd w:val="0"/>
              <w:snapToGrid w:val="0"/>
              <w:spacing w:before="120" w:beforeLines="50" w:line="360" w:lineRule="auto"/>
              <w:ind w:firstLine="480" w:firstLineChars="200"/>
              <w:rPr>
                <w:rFonts w:hint="eastAsia"/>
                <w:color w:val="000000" w:themeColor="text1"/>
                <w:sz w:val="24"/>
                <w14:textFill>
                  <w14:solidFill>
                    <w14:schemeClr w14:val="tx1"/>
                  </w14:solidFill>
                </w14:textFill>
              </w:rPr>
            </w:pPr>
            <w:r>
              <w:rPr>
                <w:color w:val="000000" w:themeColor="text1"/>
                <w:sz w:val="24"/>
                <w:szCs w:val="22"/>
                <w14:textFill>
                  <w14:solidFill>
                    <w14:schemeClr w14:val="tx1"/>
                  </w14:solidFill>
                </w14:textFill>
              </w:rPr>
              <w:t>由上表可知，在正常运行情况下，项目昼夜间</w:t>
            </w:r>
            <w:r>
              <w:rPr>
                <w:rFonts w:hint="eastAsia"/>
                <w:color w:val="000000" w:themeColor="text1"/>
                <w:sz w:val="24"/>
                <w:szCs w:val="22"/>
                <w14:textFill>
                  <w14:solidFill>
                    <w14:schemeClr w14:val="tx1"/>
                  </w14:solidFill>
                </w14:textFill>
              </w:rPr>
              <w:t>东、西、南、北</w:t>
            </w:r>
            <w:r>
              <w:rPr>
                <w:color w:val="000000" w:themeColor="text1"/>
                <w:sz w:val="24"/>
                <w:szCs w:val="22"/>
                <w14:textFill>
                  <w14:solidFill>
                    <w14:schemeClr w14:val="tx1"/>
                  </w14:solidFill>
                </w14:textFill>
              </w:rPr>
              <w:t>厂界噪声值可满足《工业企业厂界环境噪声排放标准》（GB12348-2008）中的2类排放标准要求</w:t>
            </w:r>
            <w:r>
              <w:rPr>
                <w:rFonts w:hint="eastAsia"/>
                <w:color w:val="000000" w:themeColor="text1"/>
                <w:sz w:val="24"/>
                <w14:textFill>
                  <w14:solidFill>
                    <w14:schemeClr w14:val="tx1"/>
                  </w14:solidFill>
                </w14:textFill>
              </w:rPr>
              <w:t>。</w:t>
            </w:r>
          </w:p>
          <w:p w14:paraId="5992EED0">
            <w:pPr>
              <w:adjustRightInd w:val="0"/>
              <w:snapToGrid w:val="0"/>
              <w:spacing w:line="360" w:lineRule="auto"/>
              <w:ind w:firstLine="482" w:firstLineChars="200"/>
              <w:rPr>
                <w:rFonts w:hint="eastAsia"/>
                <w:color w:val="000000" w:themeColor="text1"/>
                <w:sz w:val="24"/>
                <w14:textFill>
                  <w14:solidFill>
                    <w14:schemeClr w14:val="tx1"/>
                  </w14:solidFill>
                </w14:textFill>
              </w:rPr>
            </w:pPr>
            <w:r>
              <w:rPr>
                <w:rFonts w:hint="eastAsia" w:ascii="Times New Roman" w:hAnsi="Times New Roman" w:eastAsia="宋体" w:cs="Times New Roman"/>
                <w:b/>
                <w:color w:val="000000" w:themeColor="text1"/>
                <w:kern w:val="0"/>
                <w:lang w:val="en-US" w:eastAsia="zh-CN"/>
                <w14:textFill>
                  <w14:solidFill>
                    <w14:schemeClr w14:val="tx1"/>
                  </w14:solidFill>
                </w14:textFill>
              </w:rPr>
              <w:t>监测计划：</w:t>
            </w:r>
            <w:r>
              <w:rPr>
                <w:rFonts w:hint="eastAsia" w:ascii="Times New Roman" w:hAnsi="Times New Roman" w:eastAsia="宋体" w:cs="Times New Roman"/>
                <w:color w:val="000000" w:themeColor="text1"/>
                <w:sz w:val="24"/>
                <w:szCs w:val="22"/>
                <w14:textFill>
                  <w14:solidFill>
                    <w14:schemeClr w14:val="tx1"/>
                  </w14:solidFill>
                </w14:textFill>
              </w:rPr>
              <w:t xml:space="preserve">根据《排污单位自行监测技术指南 </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总则</w:t>
            </w:r>
            <w:r>
              <w:rPr>
                <w:rFonts w:hint="eastAsia" w:ascii="Times New Roman" w:hAnsi="Times New Roman" w:eastAsia="宋体" w:cs="Times New Roman"/>
                <w:color w:val="000000" w:themeColor="text1"/>
                <w:sz w:val="24"/>
                <w:szCs w:val="22"/>
                <w14:textFill>
                  <w14:solidFill>
                    <w14:schemeClr w14:val="tx1"/>
                  </w14:solidFill>
                </w14:textFill>
              </w:rPr>
              <w:t>》（HJ</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819</w:t>
            </w:r>
            <w:r>
              <w:rPr>
                <w:rFonts w:hint="eastAsia" w:ascii="Times New Roman" w:hAnsi="Times New Roman" w:eastAsia="宋体" w:cs="Times New Roman"/>
                <w:color w:val="000000" w:themeColor="text1"/>
                <w:sz w:val="24"/>
                <w:szCs w:val="22"/>
                <w14:textFill>
                  <w14:solidFill>
                    <w14:schemeClr w14:val="tx1"/>
                  </w14:solidFill>
                </w14:textFill>
              </w:rPr>
              <w:t>-20</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17</w:t>
            </w:r>
            <w:r>
              <w:rPr>
                <w:rFonts w:hint="eastAsia" w:ascii="Times New Roman" w:hAnsi="Times New Roman" w:eastAsia="宋体" w:cs="Times New Roman"/>
                <w:color w:val="000000" w:themeColor="text1"/>
                <w:sz w:val="24"/>
                <w:szCs w:val="22"/>
                <w14:textFill>
                  <w14:solidFill>
                    <w14:schemeClr w14:val="tx1"/>
                  </w14:solidFill>
                </w14:textFill>
              </w:rPr>
              <w:t>），结合《排污许可证申请与核发技术</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 xml:space="preserve">规范 </w:t>
            </w:r>
            <w:r>
              <w:rPr>
                <w:rFonts w:hint="eastAsia" w:ascii="Times New Roman" w:hAnsi="Times New Roman" w:eastAsia="宋体" w:cs="Times New Roman"/>
                <w:color w:val="000000" w:themeColor="text1"/>
                <w:sz w:val="24"/>
                <w:szCs w:val="22"/>
                <w14:textFill>
                  <w14:solidFill>
                    <w14:schemeClr w14:val="tx1"/>
                  </w14:solidFill>
                </w14:textFill>
              </w:rPr>
              <w:t>工业噪声》（HJ</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1301</w:t>
            </w:r>
            <w:r>
              <w:rPr>
                <w:rFonts w:hint="eastAsia" w:ascii="Times New Roman" w:hAnsi="Times New Roman" w:eastAsia="宋体" w:cs="Times New Roman"/>
                <w:color w:val="000000" w:themeColor="text1"/>
                <w:sz w:val="24"/>
                <w:szCs w:val="22"/>
                <w14:textFill>
                  <w14:solidFill>
                    <w14:schemeClr w14:val="tx1"/>
                  </w14:solidFill>
                </w14:textFill>
              </w:rPr>
              <w:t>-20</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23</w:t>
            </w:r>
            <w:r>
              <w:rPr>
                <w:rFonts w:hint="eastAsia" w:ascii="Times New Roman" w:hAnsi="Times New Roman" w:eastAsia="宋体" w:cs="Times New Roman"/>
                <w:color w:val="000000" w:themeColor="text1"/>
                <w:sz w:val="24"/>
                <w:szCs w:val="22"/>
                <w14:textFill>
                  <w14:solidFill>
                    <w14:schemeClr w14:val="tx1"/>
                  </w14:solidFill>
                </w14:textFill>
              </w:rPr>
              <w:t>），本项目噪声监测点位及频次要求见下表：</w:t>
            </w:r>
          </w:p>
          <w:p w14:paraId="45AB594F">
            <w:pPr>
              <w:pStyle w:val="73"/>
              <w:adjustRightInd/>
              <w:ind w:firstLine="454"/>
              <w:rPr>
                <w:rFonts w:hint="eastAsia"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表4-</w:t>
            </w:r>
            <w:r>
              <w:rPr>
                <w:rFonts w:hint="eastAsia" w:eastAsia="宋体" w:cs="Times New Roman"/>
                <w:b/>
                <w:bCs w:val="0"/>
                <w:color w:val="000000" w:themeColor="text1"/>
                <w:kern w:val="2"/>
                <w:sz w:val="21"/>
                <w:szCs w:val="21"/>
                <w:lang w:val="en-US" w:eastAsia="zh-CN" w:bidi="ar-SA"/>
                <w14:textFill>
                  <w14:solidFill>
                    <w14:schemeClr w14:val="tx1"/>
                  </w14:solidFill>
                </w14:textFill>
              </w:rPr>
              <w:t>10</w:t>
            </w:r>
            <w:r>
              <w:rPr>
                <w:rFonts w:hint="eastAsia" w:ascii="Times New Roman" w:hAnsi="Times New Roman" w:eastAsia="宋体" w:cs="Times New Roman"/>
                <w:b/>
                <w:bCs w:val="0"/>
                <w:color w:val="000000" w:themeColor="text1"/>
                <w:kern w:val="2"/>
                <w:sz w:val="21"/>
                <w:szCs w:val="21"/>
                <w:lang w:val="en-US" w:eastAsia="zh-CN" w:bidi="ar-SA"/>
                <w14:textFill>
                  <w14:solidFill>
                    <w14:schemeClr w14:val="tx1"/>
                  </w14:solidFill>
                </w14:textFill>
              </w:rPr>
              <w:t xml:space="preserve">  项目运营期环境监测计划表</w:t>
            </w:r>
          </w:p>
          <w:tbl>
            <w:tblPr>
              <w:tblStyle w:val="27"/>
              <w:tblW w:w="74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6"/>
              <w:gridCol w:w="1091"/>
              <w:gridCol w:w="1077"/>
              <w:gridCol w:w="1408"/>
              <w:gridCol w:w="2769"/>
            </w:tblGrid>
            <w:tr w14:paraId="3771E8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26" w:type="dxa"/>
                  <w:noWrap w:val="0"/>
                  <w:vAlign w:val="center"/>
                </w:tcPr>
                <w:p w14:paraId="0A765203">
                  <w:pPr>
                    <w:adjustRightInd w:val="0"/>
                    <w:snapToGrid w:val="0"/>
                    <w:spacing w:line="0" w:lineRule="atLeast"/>
                    <w:ind w:firstLine="0" w:firstLineChars="0"/>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监测要素</w:t>
                  </w:r>
                </w:p>
              </w:tc>
              <w:tc>
                <w:tcPr>
                  <w:tcW w:w="1091" w:type="dxa"/>
                  <w:noWrap w:val="0"/>
                  <w:vAlign w:val="center"/>
                </w:tcPr>
                <w:p w14:paraId="128AC511">
                  <w:pPr>
                    <w:adjustRightInd w:val="0"/>
                    <w:snapToGrid w:val="0"/>
                    <w:spacing w:line="0" w:lineRule="atLeast"/>
                    <w:ind w:firstLine="0" w:firstLineChars="0"/>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监测点位</w:t>
                  </w:r>
                </w:p>
              </w:tc>
              <w:tc>
                <w:tcPr>
                  <w:tcW w:w="1077" w:type="dxa"/>
                  <w:noWrap w:val="0"/>
                  <w:vAlign w:val="center"/>
                </w:tcPr>
                <w:p w14:paraId="2D2D2D22">
                  <w:pPr>
                    <w:adjustRightInd w:val="0"/>
                    <w:snapToGrid w:val="0"/>
                    <w:spacing w:line="0" w:lineRule="atLeast"/>
                    <w:ind w:firstLine="0" w:firstLineChars="0"/>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监测项目</w:t>
                  </w:r>
                </w:p>
              </w:tc>
              <w:tc>
                <w:tcPr>
                  <w:tcW w:w="1408" w:type="dxa"/>
                  <w:noWrap w:val="0"/>
                  <w:vAlign w:val="center"/>
                </w:tcPr>
                <w:p w14:paraId="133AE7A1">
                  <w:pPr>
                    <w:adjustRightInd w:val="0"/>
                    <w:snapToGrid w:val="0"/>
                    <w:spacing w:line="0" w:lineRule="atLeast"/>
                    <w:ind w:firstLine="0" w:firstLineChars="0"/>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监测频次</w:t>
                  </w:r>
                </w:p>
              </w:tc>
              <w:tc>
                <w:tcPr>
                  <w:tcW w:w="2769" w:type="dxa"/>
                  <w:noWrap w:val="0"/>
                  <w:vAlign w:val="center"/>
                </w:tcPr>
                <w:p w14:paraId="45FF713F">
                  <w:pPr>
                    <w:adjustRightInd w:val="0"/>
                    <w:snapToGrid w:val="0"/>
                    <w:spacing w:line="0" w:lineRule="atLeast"/>
                    <w:ind w:firstLine="0" w:firstLineChars="0"/>
                    <w:jc w:val="center"/>
                    <w:rPr>
                      <w:rFonts w:hint="eastAsia" w:ascii="Times New Roman" w:hAnsi="Times New Roman" w:eastAsia="宋体" w:cs="Times New Roman"/>
                      <w:b/>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执行排放标准</w:t>
                  </w:r>
                </w:p>
              </w:tc>
            </w:tr>
            <w:tr w14:paraId="085EEA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126" w:type="dxa"/>
                  <w:noWrap w:val="0"/>
                  <w:vAlign w:val="center"/>
                </w:tcPr>
                <w:p w14:paraId="1CB998A4">
                  <w:pPr>
                    <w:adjustRightInd w:val="0"/>
                    <w:snapToGrid w:val="0"/>
                    <w:spacing w:line="0" w:lineRule="atLeast"/>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噪声</w:t>
                  </w:r>
                </w:p>
              </w:tc>
              <w:tc>
                <w:tcPr>
                  <w:tcW w:w="1091" w:type="dxa"/>
                  <w:noWrap w:val="0"/>
                  <w:vAlign w:val="center"/>
                </w:tcPr>
                <w:p w14:paraId="57F24A72">
                  <w:pPr>
                    <w:adjustRightInd w:val="0"/>
                    <w:snapToGrid w:val="0"/>
                    <w:spacing w:line="0" w:lineRule="atLeast"/>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厂界四周外1m处</w:t>
                  </w:r>
                </w:p>
              </w:tc>
              <w:tc>
                <w:tcPr>
                  <w:tcW w:w="1077" w:type="dxa"/>
                  <w:noWrap w:val="0"/>
                  <w:vAlign w:val="center"/>
                </w:tcPr>
                <w:p w14:paraId="322138EF">
                  <w:pPr>
                    <w:adjustRightInd w:val="0"/>
                    <w:snapToGrid w:val="0"/>
                    <w:spacing w:line="0" w:lineRule="atLeast"/>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等效连续A声级</w:t>
                  </w:r>
                </w:p>
              </w:tc>
              <w:tc>
                <w:tcPr>
                  <w:tcW w:w="1408" w:type="dxa"/>
                  <w:noWrap w:val="0"/>
                  <w:vAlign w:val="center"/>
                </w:tcPr>
                <w:p w14:paraId="62424C6C">
                  <w:pPr>
                    <w:adjustRightInd w:val="0"/>
                    <w:snapToGrid w:val="0"/>
                    <w:spacing w:line="0" w:lineRule="atLeast"/>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每季度监测1次，每次昼夜各一次</w:t>
                  </w:r>
                </w:p>
              </w:tc>
              <w:tc>
                <w:tcPr>
                  <w:tcW w:w="2769" w:type="dxa"/>
                  <w:noWrap w:val="0"/>
                  <w:vAlign w:val="center"/>
                </w:tcPr>
                <w:p w14:paraId="0F24F17D">
                  <w:pPr>
                    <w:adjustRightInd w:val="0"/>
                    <w:snapToGrid w:val="0"/>
                    <w:spacing w:line="0" w:lineRule="atLeast"/>
                    <w:ind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《工业企业厂界环境噪声排放标准》（GB12348-2008）2类标准</w:t>
                  </w:r>
                </w:p>
              </w:tc>
            </w:tr>
          </w:tbl>
          <w:p w14:paraId="14351025">
            <w:pPr>
              <w:autoSpaceDE w:val="0"/>
              <w:autoSpaceDN w:val="0"/>
              <w:adjustRightInd w:val="0"/>
              <w:ind w:firstLine="482"/>
              <w:jc w:val="both"/>
              <w:rPr>
                <w:rFonts w:hint="default" w:ascii="Times New Roman" w:hAnsi="Times New Roman" w:eastAsia="宋体" w:cs="Times New Roman"/>
                <w:b/>
                <w:color w:val="000000" w:themeColor="text1"/>
                <w:kern w:val="0"/>
                <w:lang w:val="en-US" w:eastAsia="zh-CN"/>
                <w14:textFill>
                  <w14:solidFill>
                    <w14:schemeClr w14:val="tx1"/>
                  </w14:solidFill>
                </w14:textFill>
              </w:rPr>
            </w:pPr>
            <w:r>
              <w:rPr>
                <w:rFonts w:hint="default" w:ascii="Times New Roman" w:hAnsi="Times New Roman" w:eastAsia="宋体" w:cs="Times New Roman"/>
                <w:b/>
                <w:color w:val="000000" w:themeColor="text1"/>
                <w:kern w:val="0"/>
                <w:lang w:val="en-US" w:eastAsia="zh-CN"/>
                <w14:textFill>
                  <w14:solidFill>
                    <w14:schemeClr w14:val="tx1"/>
                  </w14:solidFill>
                </w14:textFill>
              </w:rPr>
              <w:t>3.2 汽车行驶噪声</w:t>
            </w:r>
          </w:p>
          <w:p w14:paraId="393CE681">
            <w:pPr>
              <w:autoSpaceDE w:val="0"/>
              <w:autoSpaceDN w:val="0"/>
              <w:adjustRightInd w:val="0"/>
              <w:ind w:firstLine="482"/>
              <w:jc w:val="both"/>
              <w:rPr>
                <w:rFonts w:hint="default" w:ascii="Times New Roman" w:hAnsi="Times New Roman" w:eastAsia="宋体" w:cs="Times New Roman"/>
                <w:bCs/>
                <w:color w:val="000000" w:themeColor="text1"/>
                <w:kern w:val="0"/>
                <w:lang w:val="en-US" w:eastAsia="zh-CN"/>
                <w14:textFill>
                  <w14:solidFill>
                    <w14:schemeClr w14:val="tx1"/>
                  </w14:solidFill>
                </w14:textFill>
              </w:rPr>
            </w:pPr>
            <w:r>
              <w:rPr>
                <w:rFonts w:hint="default" w:ascii="Times New Roman" w:hAnsi="Times New Roman" w:eastAsia="宋体" w:cs="Times New Roman"/>
                <w:bCs/>
                <w:color w:val="000000" w:themeColor="text1"/>
                <w:kern w:val="0"/>
                <w:lang w:val="en-US" w:eastAsia="zh-CN"/>
                <w14:textFill>
                  <w14:solidFill>
                    <w14:schemeClr w14:val="tx1"/>
                  </w14:solidFill>
                </w14:textFill>
              </w:rPr>
              <w:t>本项目地面停车场设置于地块六，中医康养中心位于地块三，距地面停车场距离较远，一般汽车行驶噪声</w:t>
            </w:r>
            <w:r>
              <w:rPr>
                <w:rFonts w:hint="default" w:ascii="Times New Roman" w:hAnsi="Times New Roman" w:cs="Times New Roman"/>
                <w:bCs/>
                <w:color w:val="000000" w:themeColor="text1"/>
                <w:kern w:val="0"/>
                <w:lang w:val="en-US" w:eastAsia="zh-CN"/>
                <w14:textFill>
                  <w14:solidFill>
                    <w14:schemeClr w14:val="tx1"/>
                  </w14:solidFill>
                </w14:textFill>
              </w:rPr>
              <w:t>为</w:t>
            </w:r>
            <w:r>
              <w:rPr>
                <w:rFonts w:hint="default" w:ascii="Times New Roman" w:hAnsi="Times New Roman" w:eastAsia="宋体" w:cs="Times New Roman"/>
                <w:bCs/>
                <w:color w:val="000000" w:themeColor="text1"/>
                <w:kern w:val="0"/>
                <w:lang w:val="en-US" w:eastAsia="zh-CN"/>
                <w14:textFill>
                  <w14:solidFill>
                    <w14:schemeClr w14:val="tx1"/>
                  </w14:solidFill>
                </w14:textFill>
              </w:rPr>
              <w:t>60~70dB</w:t>
            </w:r>
            <w:r>
              <w:rPr>
                <w:rFonts w:hint="default" w:ascii="Times New Roman" w:hAnsi="Times New Roman" w:cs="Times New Roman"/>
                <w:bCs/>
                <w:color w:val="000000" w:themeColor="text1"/>
                <w:kern w:val="0"/>
                <w:lang w:val="en-US" w:eastAsia="zh-CN"/>
                <w14:textFill>
                  <w14:solidFill>
                    <w14:schemeClr w14:val="tx1"/>
                  </w14:solidFill>
                </w14:textFill>
              </w:rPr>
              <w:t>（</w:t>
            </w:r>
            <w:r>
              <w:rPr>
                <w:rFonts w:hint="default" w:ascii="Times New Roman" w:hAnsi="Times New Roman" w:eastAsia="宋体" w:cs="Times New Roman"/>
                <w:bCs/>
                <w:color w:val="000000" w:themeColor="text1"/>
                <w:kern w:val="0"/>
                <w:lang w:val="en-US" w:eastAsia="zh-CN"/>
                <w14:textFill>
                  <w14:solidFill>
                    <w14:schemeClr w14:val="tx1"/>
                  </w14:solidFill>
                </w14:textFill>
              </w:rPr>
              <w:t>A</w:t>
            </w:r>
            <w:r>
              <w:rPr>
                <w:rFonts w:hint="default" w:ascii="Times New Roman" w:hAnsi="Times New Roman" w:cs="Times New Roman"/>
                <w:bCs/>
                <w:color w:val="000000" w:themeColor="text1"/>
                <w:kern w:val="0"/>
                <w:lang w:val="en-US" w:eastAsia="zh-CN"/>
                <w14:textFill>
                  <w14:solidFill>
                    <w14:schemeClr w14:val="tx1"/>
                  </w14:solidFill>
                </w14:textFill>
              </w:rPr>
              <w:t>）</w:t>
            </w:r>
            <w:r>
              <w:rPr>
                <w:rFonts w:hint="default" w:ascii="Times New Roman" w:hAnsi="Times New Roman" w:eastAsia="宋体" w:cs="Times New Roman"/>
                <w:bCs/>
                <w:color w:val="000000" w:themeColor="text1"/>
                <w:kern w:val="0"/>
                <w:lang w:val="en-US" w:eastAsia="zh-CN"/>
                <w14:textFill>
                  <w14:solidFill>
                    <w14:schemeClr w14:val="tx1"/>
                  </w14:solidFill>
                </w14:textFill>
              </w:rPr>
              <w:t>，在景区内设置禁止喇叭鸣放</w:t>
            </w:r>
            <w:r>
              <w:rPr>
                <w:rFonts w:hint="eastAsia" w:cs="Times New Roman"/>
                <w:bCs/>
                <w:color w:val="000000" w:themeColor="text1"/>
                <w:kern w:val="0"/>
                <w:lang w:val="en-US" w:eastAsia="zh-CN"/>
                <w14:textFill>
                  <w14:solidFill>
                    <w14:schemeClr w14:val="tx1"/>
                  </w14:solidFill>
                </w14:textFill>
              </w:rPr>
              <w:t>标识牌并加强项目区绿化</w:t>
            </w:r>
            <w:r>
              <w:rPr>
                <w:rFonts w:hint="default" w:ascii="Times New Roman" w:hAnsi="Times New Roman" w:eastAsia="宋体" w:cs="Times New Roman"/>
                <w:bCs/>
                <w:color w:val="000000" w:themeColor="text1"/>
                <w:kern w:val="0"/>
                <w:lang w:val="en-US" w:eastAsia="zh-CN"/>
                <w14:textFill>
                  <w14:solidFill>
                    <w14:schemeClr w14:val="tx1"/>
                  </w14:solidFill>
                </w14:textFill>
              </w:rPr>
              <w:t>，对项目本身及周边环境产生影响较小。</w:t>
            </w:r>
          </w:p>
          <w:p w14:paraId="6C85C4D3">
            <w:pPr>
              <w:autoSpaceDE w:val="0"/>
              <w:autoSpaceDN w:val="0"/>
              <w:adjustRightInd w:val="0"/>
              <w:ind w:firstLine="482"/>
              <w:jc w:val="both"/>
              <w:rPr>
                <w:rFonts w:hint="default" w:ascii="Times New Roman" w:hAnsi="Times New Roman" w:eastAsia="宋体" w:cs="Times New Roman"/>
                <w:bCs/>
                <w:color w:val="000000" w:themeColor="text1"/>
                <w:kern w:val="0"/>
                <w:lang w:val="en-US" w:eastAsia="zh-CN"/>
                <w14:textFill>
                  <w14:solidFill>
                    <w14:schemeClr w14:val="tx1"/>
                  </w14:solidFill>
                </w14:textFill>
              </w:rPr>
            </w:pPr>
            <w:r>
              <w:rPr>
                <w:rFonts w:hint="default" w:ascii="Times New Roman" w:hAnsi="Times New Roman" w:eastAsia="宋体" w:cs="Times New Roman"/>
                <w:bCs/>
                <w:color w:val="000000" w:themeColor="text1"/>
                <w:kern w:val="0"/>
                <w:lang w:val="en-US" w:eastAsia="zh-CN"/>
                <w14:textFill>
                  <w14:solidFill>
                    <w14:schemeClr w14:val="tx1"/>
                  </w14:solidFill>
                </w14:textFill>
              </w:rPr>
              <w:t>严格按照以上措施落实后，噪声源强可降低到45~55dB</w:t>
            </w:r>
            <w:r>
              <w:rPr>
                <w:rFonts w:hint="default" w:ascii="Times New Roman" w:hAnsi="Times New Roman" w:cs="Times New Roman"/>
                <w:bCs/>
                <w:color w:val="000000" w:themeColor="text1"/>
                <w:kern w:val="0"/>
                <w:lang w:val="en-US" w:eastAsia="zh-CN"/>
                <w14:textFill>
                  <w14:solidFill>
                    <w14:schemeClr w14:val="tx1"/>
                  </w14:solidFill>
                </w14:textFill>
              </w:rPr>
              <w:t>（</w:t>
            </w:r>
            <w:r>
              <w:rPr>
                <w:rFonts w:hint="default" w:ascii="Times New Roman" w:hAnsi="Times New Roman" w:eastAsia="宋体" w:cs="Times New Roman"/>
                <w:bCs/>
                <w:color w:val="000000" w:themeColor="text1"/>
                <w:kern w:val="0"/>
                <w:lang w:val="en-US" w:eastAsia="zh-CN"/>
                <w14:textFill>
                  <w14:solidFill>
                    <w14:schemeClr w14:val="tx1"/>
                  </w14:solidFill>
                </w14:textFill>
              </w:rPr>
              <w:t>A</w:t>
            </w:r>
            <w:r>
              <w:rPr>
                <w:rFonts w:hint="default" w:ascii="Times New Roman" w:hAnsi="Times New Roman" w:cs="Times New Roman"/>
                <w:bCs/>
                <w:color w:val="000000" w:themeColor="text1"/>
                <w:kern w:val="0"/>
                <w:lang w:val="en-US" w:eastAsia="zh-CN"/>
                <w14:textFill>
                  <w14:solidFill>
                    <w14:schemeClr w14:val="tx1"/>
                  </w14:solidFill>
                </w14:textFill>
              </w:rPr>
              <w:t>）</w:t>
            </w:r>
            <w:r>
              <w:rPr>
                <w:rFonts w:hint="default" w:ascii="Times New Roman" w:hAnsi="Times New Roman" w:eastAsia="宋体" w:cs="Times New Roman"/>
                <w:bCs/>
                <w:color w:val="000000" w:themeColor="text1"/>
                <w:kern w:val="0"/>
                <w:lang w:val="en-US" w:eastAsia="zh-CN"/>
                <w14:textFill>
                  <w14:solidFill>
                    <w14:schemeClr w14:val="tx1"/>
                  </w14:solidFill>
                </w14:textFill>
              </w:rPr>
              <w:t>，对项目本身及周边</w:t>
            </w:r>
            <w:r>
              <w:rPr>
                <w:rFonts w:hint="eastAsia" w:cs="Times New Roman"/>
                <w:bCs/>
                <w:color w:val="000000" w:themeColor="text1"/>
                <w:kern w:val="0"/>
                <w:lang w:val="en-US" w:eastAsia="zh-CN"/>
                <w14:textFill>
                  <w14:solidFill>
                    <w14:schemeClr w14:val="tx1"/>
                  </w14:solidFill>
                </w14:textFill>
              </w:rPr>
              <w:t>环境</w:t>
            </w:r>
            <w:r>
              <w:rPr>
                <w:rFonts w:hint="default" w:ascii="Times New Roman" w:hAnsi="Times New Roman" w:eastAsia="宋体" w:cs="Times New Roman"/>
                <w:bCs/>
                <w:color w:val="000000" w:themeColor="text1"/>
                <w:kern w:val="0"/>
                <w:lang w:val="en-US" w:eastAsia="zh-CN"/>
                <w14:textFill>
                  <w14:solidFill>
                    <w14:schemeClr w14:val="tx1"/>
                  </w14:solidFill>
                </w14:textFill>
              </w:rPr>
              <w:t>的声环境影响较小。</w:t>
            </w:r>
          </w:p>
          <w:p w14:paraId="39405695">
            <w:pPr>
              <w:autoSpaceDE w:val="0"/>
              <w:autoSpaceDN w:val="0"/>
              <w:adjustRightInd w:val="0"/>
              <w:ind w:firstLine="482"/>
              <w:jc w:val="both"/>
              <w:rPr>
                <w:rFonts w:hint="default" w:ascii="Times New Roman" w:hAnsi="Times New Roman" w:cs="Times New Roman"/>
                <w:b/>
                <w:color w:val="000000" w:themeColor="text1"/>
                <w:kern w:val="0"/>
                <w:lang w:val="en-US" w:eastAsia="zh-CN"/>
                <w14:textFill>
                  <w14:solidFill>
                    <w14:schemeClr w14:val="tx1"/>
                  </w14:solidFill>
                </w14:textFill>
              </w:rPr>
            </w:pPr>
            <w:r>
              <w:rPr>
                <w:rFonts w:hint="default" w:ascii="Times New Roman" w:hAnsi="Times New Roman" w:cs="Times New Roman"/>
                <w:b/>
                <w:color w:val="000000" w:themeColor="text1"/>
                <w:kern w:val="0"/>
                <w:lang w:val="en-US" w:eastAsia="zh-CN"/>
                <w14:textFill>
                  <w14:solidFill>
                    <w14:schemeClr w14:val="tx1"/>
                  </w14:solidFill>
                </w14:textFill>
              </w:rPr>
              <w:t>3.3 人群活动噪声</w:t>
            </w:r>
          </w:p>
          <w:p w14:paraId="07A35395">
            <w:pPr>
              <w:autoSpaceDE w:val="0"/>
              <w:autoSpaceDN w:val="0"/>
              <w:adjustRightInd w:val="0"/>
              <w:ind w:firstLine="482"/>
              <w:jc w:val="both"/>
              <w:rPr>
                <w:rFonts w:hint="default" w:ascii="Times New Roman" w:hAnsi="Times New Roman" w:eastAsia="宋体" w:cs="Times New Roman"/>
                <w:bCs/>
                <w:color w:val="000000" w:themeColor="text1"/>
                <w:kern w:val="0"/>
                <w:lang w:val="en-US" w:eastAsia="zh-CN"/>
                <w14:textFill>
                  <w14:solidFill>
                    <w14:schemeClr w14:val="tx1"/>
                  </w14:solidFill>
                </w14:textFill>
              </w:rPr>
            </w:pPr>
            <w:r>
              <w:rPr>
                <w:rFonts w:hint="default" w:ascii="Times New Roman" w:hAnsi="Times New Roman" w:eastAsia="宋体" w:cs="Times New Roman"/>
                <w:bCs/>
                <w:color w:val="000000" w:themeColor="text1"/>
                <w:kern w:val="0"/>
                <w:lang w:val="en-US" w:eastAsia="zh-CN"/>
                <w14:textFill>
                  <w14:solidFill>
                    <w14:schemeClr w14:val="tx1"/>
                  </w14:solidFill>
                </w14:textFill>
              </w:rPr>
              <w:t>游人活动噪声均属于流动声源，一般噪声为50-60dB</w:t>
            </w:r>
            <w:r>
              <w:rPr>
                <w:rFonts w:hint="default" w:ascii="Times New Roman" w:hAnsi="Times New Roman" w:cs="Times New Roman"/>
                <w:bCs/>
                <w:color w:val="000000" w:themeColor="text1"/>
                <w:kern w:val="0"/>
                <w:lang w:val="en-US" w:eastAsia="zh-CN"/>
                <w14:textFill>
                  <w14:solidFill>
                    <w14:schemeClr w14:val="tx1"/>
                  </w14:solidFill>
                </w14:textFill>
              </w:rPr>
              <w:t>（</w:t>
            </w:r>
            <w:r>
              <w:rPr>
                <w:rFonts w:hint="default" w:ascii="Times New Roman" w:hAnsi="Times New Roman" w:eastAsia="宋体" w:cs="Times New Roman"/>
                <w:bCs/>
                <w:color w:val="000000" w:themeColor="text1"/>
                <w:kern w:val="0"/>
                <w:lang w:val="en-US" w:eastAsia="zh-CN"/>
                <w14:textFill>
                  <w14:solidFill>
                    <w14:schemeClr w14:val="tx1"/>
                  </w14:solidFill>
                </w14:textFill>
              </w:rPr>
              <w:t>A</w:t>
            </w:r>
            <w:r>
              <w:rPr>
                <w:rFonts w:hint="default" w:ascii="Times New Roman" w:hAnsi="Times New Roman" w:cs="Times New Roman"/>
                <w:bCs/>
                <w:color w:val="000000" w:themeColor="text1"/>
                <w:kern w:val="0"/>
                <w:lang w:val="en-US" w:eastAsia="zh-CN"/>
                <w14:textFill>
                  <w14:solidFill>
                    <w14:schemeClr w14:val="tx1"/>
                  </w14:solidFill>
                </w14:textFill>
              </w:rPr>
              <w:t>）</w:t>
            </w:r>
            <w:r>
              <w:rPr>
                <w:rFonts w:hint="default" w:ascii="Times New Roman" w:hAnsi="Times New Roman" w:eastAsia="宋体" w:cs="Times New Roman"/>
                <w:bCs/>
                <w:color w:val="000000" w:themeColor="text1"/>
                <w:kern w:val="0"/>
                <w:lang w:val="en-US" w:eastAsia="zh-CN"/>
                <w14:textFill>
                  <w14:solidFill>
                    <w14:schemeClr w14:val="tx1"/>
                  </w14:solidFill>
                </w14:textFill>
              </w:rPr>
              <w:t>，对环境的影响时间短、范围小、程度低，加之项目区林木的阻挡和大气的衰减，对周边环境产生的影响较小。</w:t>
            </w:r>
          </w:p>
          <w:p w14:paraId="45EF2293">
            <w:pPr>
              <w:autoSpaceDE w:val="0"/>
              <w:autoSpaceDN w:val="0"/>
              <w:adjustRightInd w:val="0"/>
              <w:ind w:firstLine="482"/>
              <w:jc w:val="both"/>
              <w:rPr>
                <w:rFonts w:hint="default" w:ascii="Times New Roman" w:hAnsi="Times New Roman" w:eastAsia="宋体" w:cs="Times New Roman"/>
                <w:b/>
                <w:color w:val="000000" w:themeColor="text1"/>
                <w:kern w:val="0"/>
                <w:lang w:val="en-US" w:eastAsia="zh-CN"/>
                <w14:textFill>
                  <w14:solidFill>
                    <w14:schemeClr w14:val="tx1"/>
                  </w14:solidFill>
                </w14:textFill>
              </w:rPr>
            </w:pPr>
            <w:r>
              <w:rPr>
                <w:rFonts w:hint="default" w:ascii="Times New Roman" w:hAnsi="Times New Roman" w:eastAsia="宋体" w:cs="Times New Roman"/>
                <w:b/>
                <w:color w:val="000000" w:themeColor="text1"/>
                <w:kern w:val="0"/>
                <w:lang w:val="en-US" w:eastAsia="zh-CN"/>
                <w14:textFill>
                  <w14:solidFill>
                    <w14:schemeClr w14:val="tx1"/>
                  </w14:solidFill>
                </w14:textFill>
              </w:rPr>
              <w:t>4 固废影响分析</w:t>
            </w:r>
          </w:p>
          <w:p w14:paraId="454C7601">
            <w:pPr>
              <w:autoSpaceDE w:val="0"/>
              <w:autoSpaceDN w:val="0"/>
              <w:adjustRightInd w:val="0"/>
              <w:ind w:firstLine="482"/>
              <w:jc w:val="both"/>
              <w:rPr>
                <w:rFonts w:hint="default" w:ascii="Times New Roman" w:hAnsi="Times New Roman" w:eastAsia="宋体" w:cs="Times New Roman"/>
                <w:bCs/>
                <w:color w:val="000000" w:themeColor="text1"/>
                <w:kern w:val="0"/>
                <w:lang w:val="en-US" w:eastAsia="zh-CN"/>
                <w14:textFill>
                  <w14:solidFill>
                    <w14:schemeClr w14:val="tx1"/>
                  </w14:solidFill>
                </w14:textFill>
              </w:rPr>
            </w:pPr>
            <w:r>
              <w:rPr>
                <w:rFonts w:hint="default" w:ascii="Times New Roman" w:hAnsi="Times New Roman" w:eastAsia="宋体" w:cs="Times New Roman"/>
                <w:bCs/>
                <w:color w:val="000000" w:themeColor="text1"/>
                <w:kern w:val="0"/>
                <w:lang w:val="en-US" w:eastAsia="zh-CN"/>
                <w14:textFill>
                  <w14:solidFill>
                    <w14:schemeClr w14:val="tx1"/>
                  </w14:solidFill>
                </w14:textFill>
              </w:rPr>
              <w:t>本项目运营期产生的固废主要为生活垃圾</w:t>
            </w:r>
            <w:r>
              <w:rPr>
                <w:rFonts w:hint="default" w:ascii="Times New Roman" w:hAnsi="Times New Roman" w:cs="Times New Roman"/>
                <w:bCs/>
                <w:color w:val="000000" w:themeColor="text1"/>
                <w:kern w:val="0"/>
                <w:lang w:val="en-US" w:eastAsia="zh-CN"/>
                <w14:textFill>
                  <w14:solidFill>
                    <w14:schemeClr w14:val="tx1"/>
                  </w14:solidFill>
                </w14:textFill>
              </w:rPr>
              <w:t>、医疗废物、污水处理站污泥及废活性炭</w:t>
            </w:r>
            <w:r>
              <w:rPr>
                <w:rFonts w:hint="default" w:ascii="Times New Roman" w:hAnsi="Times New Roman" w:eastAsia="宋体" w:cs="Times New Roman"/>
                <w:bCs/>
                <w:color w:val="000000" w:themeColor="text1"/>
                <w:kern w:val="0"/>
                <w:lang w:val="en-US" w:eastAsia="zh-CN"/>
                <w14:textFill>
                  <w14:solidFill>
                    <w14:schemeClr w14:val="tx1"/>
                  </w14:solidFill>
                </w14:textFill>
              </w:rPr>
              <w:t>。</w:t>
            </w:r>
          </w:p>
          <w:p w14:paraId="0429CD29">
            <w:pPr>
              <w:autoSpaceDE w:val="0"/>
              <w:autoSpaceDN w:val="0"/>
              <w:adjustRightInd w:val="0"/>
              <w:ind w:firstLine="482"/>
              <w:jc w:val="both"/>
              <w:rPr>
                <w:rFonts w:hint="default" w:ascii="Times New Roman" w:hAnsi="Times New Roman" w:eastAsia="宋体" w:cs="Times New Roman"/>
                <w:b/>
                <w:color w:val="000000" w:themeColor="text1"/>
                <w:kern w:val="0"/>
                <w:lang w:val="en-US" w:eastAsia="zh-CN"/>
                <w14:textFill>
                  <w14:solidFill>
                    <w14:schemeClr w14:val="tx1"/>
                  </w14:solidFill>
                </w14:textFill>
              </w:rPr>
            </w:pPr>
            <w:r>
              <w:rPr>
                <w:rFonts w:hint="default" w:ascii="Times New Roman" w:hAnsi="Times New Roman" w:eastAsia="宋体" w:cs="Times New Roman"/>
                <w:b/>
                <w:color w:val="000000" w:themeColor="text1"/>
                <w:kern w:val="0"/>
                <w:lang w:val="en-US" w:eastAsia="zh-CN"/>
                <w14:textFill>
                  <w14:solidFill>
                    <w14:schemeClr w14:val="tx1"/>
                  </w14:solidFill>
                </w14:textFill>
              </w:rPr>
              <w:t>4.1 生活垃圾</w:t>
            </w:r>
          </w:p>
          <w:p w14:paraId="196B7088">
            <w:pPr>
              <w:autoSpaceDE w:val="0"/>
              <w:autoSpaceDN w:val="0"/>
              <w:adjustRightInd w:val="0"/>
              <w:ind w:firstLine="482"/>
              <w:jc w:val="both"/>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项目区内，旅游旺季以每天游人及管理人员以</w:t>
            </w:r>
            <w:r>
              <w:rPr>
                <w:rFonts w:hint="default" w:ascii="Times New Roman" w:hAnsi="Times New Roman" w:cs="Times New Roman"/>
                <w:bCs/>
                <w:color w:val="000000" w:themeColor="text1"/>
                <w:kern w:val="0"/>
                <w:highlight w:val="none"/>
                <w:lang w:val="en-US" w:eastAsia="zh-CN"/>
                <w14:textFill>
                  <w14:solidFill>
                    <w14:schemeClr w14:val="tx1"/>
                  </w14:solidFill>
                </w14:textFill>
              </w:rPr>
              <w:t>3000</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人、210天计算，旅游淡季以每天游人及管理人员以</w:t>
            </w:r>
            <w:r>
              <w:rPr>
                <w:rFonts w:hint="default" w:ascii="Times New Roman" w:hAnsi="Times New Roman" w:cs="Times New Roman"/>
                <w:bCs/>
                <w:color w:val="000000" w:themeColor="text1"/>
                <w:kern w:val="0"/>
                <w:highlight w:val="none"/>
                <w:lang w:val="en-US" w:eastAsia="zh-CN"/>
                <w14:textFill>
                  <w14:solidFill>
                    <w14:schemeClr w14:val="tx1"/>
                  </w14:solidFill>
                </w14:textFill>
              </w:rPr>
              <w:t>1500</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人、</w:t>
            </w:r>
            <w:r>
              <w:rPr>
                <w:rFonts w:hint="default" w:ascii="Times New Roman" w:hAnsi="Times New Roman" w:cs="Times New Roman"/>
                <w:bCs/>
                <w:color w:val="000000" w:themeColor="text1"/>
                <w:kern w:val="0"/>
                <w:highlight w:val="none"/>
                <w:lang w:val="en-US" w:eastAsia="zh-CN"/>
                <w14:textFill>
                  <w14:solidFill>
                    <w14:schemeClr w14:val="tx1"/>
                  </w14:solidFill>
                </w14:textFill>
              </w:rPr>
              <w:t>90</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天计算，生活垃圾产生量以0.5kg/人·</w:t>
            </w:r>
            <w:r>
              <w:rPr>
                <w:rFonts w:hint="default" w:ascii="Times New Roman" w:hAnsi="Times New Roman" w:cs="Times New Roman"/>
                <w:bCs/>
                <w:color w:val="000000" w:themeColor="text1"/>
                <w:kern w:val="0"/>
                <w:highlight w:val="none"/>
                <w:lang w:val="en-US" w:eastAsia="zh-CN"/>
                <w14:textFill>
                  <w14:solidFill>
                    <w14:schemeClr w14:val="tx1"/>
                  </w14:solidFill>
                </w14:textFill>
              </w:rPr>
              <w:t>d</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计，项目建成后全年生活垃圾产生量</w:t>
            </w:r>
            <w:r>
              <w:rPr>
                <w:rFonts w:hint="default" w:ascii="Times New Roman" w:hAnsi="Times New Roman" w:cs="Times New Roman"/>
                <w:bCs/>
                <w:color w:val="000000" w:themeColor="text1"/>
                <w:kern w:val="0"/>
                <w:highlight w:val="none"/>
                <w:lang w:val="en-US" w:eastAsia="zh-CN"/>
                <w14:textFill>
                  <w14:solidFill>
                    <w14:schemeClr w14:val="tx1"/>
                  </w14:solidFill>
                </w14:textFill>
              </w:rPr>
              <w:t>382.5</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t。项目区内沿道路间隔设置垃圾收集点</w:t>
            </w:r>
            <w:r>
              <w:rPr>
                <w:rFonts w:hint="default" w:ascii="Times New Roman" w:hAnsi="Times New Roman" w:cs="Times New Roman"/>
                <w:bCs/>
                <w:color w:val="000000" w:themeColor="text1"/>
                <w:kern w:val="0"/>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生活垃圾做到日产日清。生活垃圾的收集和转运不会对周边环境产生不利影响。</w:t>
            </w:r>
          </w:p>
          <w:p w14:paraId="1A2CADE3">
            <w:pPr>
              <w:autoSpaceDE w:val="0"/>
              <w:autoSpaceDN w:val="0"/>
              <w:adjustRightInd w:val="0"/>
              <w:ind w:firstLine="482"/>
              <w:jc w:val="both"/>
              <w:rPr>
                <w:rFonts w:hint="default" w:ascii="Times New Roman" w:hAnsi="Times New Roman" w:eastAsia="宋体" w:cs="Times New Roman"/>
                <w:b/>
                <w:color w:val="000000" w:themeColor="text1"/>
                <w:kern w:val="0"/>
                <w:lang w:val="en-US" w:eastAsia="zh-CN"/>
                <w14:textFill>
                  <w14:solidFill>
                    <w14:schemeClr w14:val="tx1"/>
                  </w14:solidFill>
                </w14:textFill>
              </w:rPr>
            </w:pPr>
            <w:r>
              <w:rPr>
                <w:rFonts w:hint="default" w:ascii="Times New Roman" w:hAnsi="Times New Roman" w:eastAsia="宋体" w:cs="Times New Roman"/>
                <w:b/>
                <w:color w:val="000000" w:themeColor="text1"/>
                <w:kern w:val="0"/>
                <w:lang w:val="en-US" w:eastAsia="zh-CN"/>
                <w14:textFill>
                  <w14:solidFill>
                    <w14:schemeClr w14:val="tx1"/>
                  </w14:solidFill>
                </w14:textFill>
              </w:rPr>
              <w:t>4.2 医疗</w:t>
            </w:r>
            <w:r>
              <w:rPr>
                <w:rFonts w:hint="default" w:ascii="Times New Roman" w:hAnsi="Times New Roman" w:cs="Times New Roman"/>
                <w:b/>
                <w:color w:val="000000" w:themeColor="text1"/>
                <w:kern w:val="0"/>
                <w:lang w:val="en-US" w:eastAsia="zh-CN"/>
                <w14:textFill>
                  <w14:solidFill>
                    <w14:schemeClr w14:val="tx1"/>
                  </w14:solidFill>
                </w14:textFill>
              </w:rPr>
              <w:t>废物</w:t>
            </w:r>
          </w:p>
          <w:p w14:paraId="40651075">
            <w:pPr>
              <w:autoSpaceDE w:val="0"/>
              <w:autoSpaceDN w:val="0"/>
              <w:adjustRightInd w:val="0"/>
              <w:ind w:firstLine="482"/>
              <w:jc w:val="both"/>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pPr>
            <w:r>
              <w:rPr>
                <w:rFonts w:hint="default" w:ascii="Times New Roman" w:hAnsi="Times New Roman" w:eastAsia="宋体" w:cs="Times New Roman"/>
                <w:bCs/>
                <w:i w:val="0"/>
                <w:iCs w:val="0"/>
                <w:color w:val="000000" w:themeColor="text1"/>
                <w:kern w:val="0"/>
                <w:highlight w:val="none"/>
                <w:lang w:val="en-US" w:eastAsia="zh-CN"/>
                <w14:textFill>
                  <w14:solidFill>
                    <w14:schemeClr w14:val="tx1"/>
                  </w14:solidFill>
                </w14:textFill>
              </w:rPr>
              <w:t>本项目医疗废物主要来自</w:t>
            </w:r>
            <w:r>
              <w:rPr>
                <w:rFonts w:hint="eastAsia" w:cs="Times New Roman"/>
                <w:bCs/>
                <w:i w:val="0"/>
                <w:iCs w:val="0"/>
                <w:color w:val="000000" w:themeColor="text1"/>
                <w:kern w:val="0"/>
                <w:highlight w:val="none"/>
                <w:lang w:val="en-US" w:eastAsia="zh-CN"/>
                <w14:textFill>
                  <w14:solidFill>
                    <w14:schemeClr w14:val="tx1"/>
                  </w14:solidFill>
                </w14:textFill>
              </w:rPr>
              <w:t>中医康养中心的治疗室、理疗室、检查室、急诊室、检验科及病房</w:t>
            </w:r>
            <w:r>
              <w:rPr>
                <w:rFonts w:hint="default" w:ascii="Times New Roman" w:hAnsi="Times New Roman" w:eastAsia="宋体" w:cs="Times New Roman"/>
                <w:bCs/>
                <w:i w:val="0"/>
                <w:iCs w:val="0"/>
                <w:color w:val="000000" w:themeColor="text1"/>
                <w:kern w:val="0"/>
                <w:highlight w:val="none"/>
                <w:lang w:val="en-US" w:eastAsia="zh-CN"/>
                <w14:textFill>
                  <w14:solidFill>
                    <w14:schemeClr w14:val="tx1"/>
                  </w14:solidFill>
                </w14:textFill>
              </w:rPr>
              <w:t>等。根据《第一次全国污染源普查城镇</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生活源产排污系数手册》（第四分册：医院污染物产生、排放系数），并结合医院实际情况，医疗废物产生量按0.42kg/床·日计，本项目共设</w:t>
            </w:r>
            <w:r>
              <w:rPr>
                <w:rFonts w:hint="default" w:ascii="Times New Roman" w:hAnsi="Times New Roman" w:cs="Times New Roman"/>
                <w:bCs/>
                <w:color w:val="000000" w:themeColor="text1"/>
                <w:kern w:val="0"/>
                <w:highlight w:val="none"/>
                <w:lang w:val="en-US" w:eastAsia="zh-CN"/>
                <w14:textFill>
                  <w14:solidFill>
                    <w14:schemeClr w14:val="tx1"/>
                  </w14:solidFill>
                </w14:textFill>
              </w:rPr>
              <w:t>800</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张病床，医疗废物实际产生量</w:t>
            </w:r>
            <w:r>
              <w:rPr>
                <w:rFonts w:hint="default" w:ascii="Times New Roman" w:hAnsi="Times New Roman" w:cs="Times New Roman"/>
                <w:bCs/>
                <w:color w:val="000000" w:themeColor="text1"/>
                <w:kern w:val="0"/>
                <w:highlight w:val="none"/>
                <w:lang w:val="en-US" w:eastAsia="zh-CN"/>
                <w14:textFill>
                  <w14:solidFill>
                    <w14:schemeClr w14:val="tx1"/>
                  </w14:solidFill>
                </w14:textFill>
              </w:rPr>
              <w:t>0.336</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t/d（</w:t>
            </w:r>
            <w:r>
              <w:rPr>
                <w:rFonts w:hint="default" w:ascii="Times New Roman" w:hAnsi="Times New Roman" w:cs="Times New Roman"/>
                <w:bCs/>
                <w:color w:val="000000" w:themeColor="text1"/>
                <w:kern w:val="0"/>
                <w:highlight w:val="none"/>
                <w:lang w:val="en-US" w:eastAsia="zh-CN"/>
                <w14:textFill>
                  <w14:solidFill>
                    <w14:schemeClr w14:val="tx1"/>
                  </w14:solidFill>
                </w14:textFill>
              </w:rPr>
              <w:t>122.64</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t/a）。</w:t>
            </w:r>
          </w:p>
          <w:p w14:paraId="26CE81A1">
            <w:pPr>
              <w:autoSpaceDE w:val="0"/>
              <w:autoSpaceDN w:val="0"/>
              <w:adjustRightInd w:val="0"/>
              <w:ind w:firstLine="482"/>
              <w:jc w:val="both"/>
              <w:rPr>
                <w:rFonts w:hint="default" w:ascii="Times New Roman" w:hAnsi="Times New Roman" w:cs="Times New Roman"/>
                <w:bCs/>
                <w:color w:val="000000" w:themeColor="text1"/>
                <w:kern w:val="0"/>
                <w:highlight w:val="none"/>
                <w:lang w:val="en-US" w:eastAsia="zh-CN"/>
                <w14:textFill>
                  <w14:solidFill>
                    <w14:schemeClr w14:val="tx1"/>
                  </w14:solidFill>
                </w14:textFill>
              </w:rPr>
            </w:pPr>
            <w:r>
              <w:rPr>
                <w:rFonts w:hint="eastAsia" w:cs="Times New Roman"/>
                <w:bCs/>
                <w:color w:val="000000" w:themeColor="text1"/>
                <w:kern w:val="0"/>
                <w:highlight w:val="none"/>
                <w:lang w:val="en-US" w:eastAsia="zh-CN"/>
                <w14:textFill>
                  <w14:solidFill>
                    <w14:schemeClr w14:val="tx1"/>
                  </w14:solidFill>
                </w14:textFill>
              </w:rPr>
              <w:t>本项目</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医疗废物</w:t>
            </w:r>
            <w:r>
              <w:rPr>
                <w:rFonts w:hint="default" w:ascii="Times New Roman" w:hAnsi="Times New Roman" w:cs="Times New Roman"/>
                <w:bCs/>
                <w:color w:val="000000" w:themeColor="text1"/>
                <w:kern w:val="0"/>
                <w:highlight w:val="none"/>
                <w:lang w:val="en-US" w:eastAsia="zh-CN"/>
                <w14:textFill>
                  <w14:solidFill>
                    <w14:schemeClr w14:val="tx1"/>
                  </w14:solidFill>
                </w14:textFill>
              </w:rPr>
              <w:t>分类收集后</w:t>
            </w:r>
            <w:r>
              <w:rPr>
                <w:rFonts w:hint="eastAsia" w:cs="Times New Roman"/>
                <w:bCs/>
                <w:color w:val="000000" w:themeColor="text1"/>
                <w:kern w:val="0"/>
                <w:highlight w:val="none"/>
                <w:lang w:val="en-US" w:eastAsia="zh-CN"/>
                <w14:textFill>
                  <w14:solidFill>
                    <w14:schemeClr w14:val="tx1"/>
                  </w14:solidFill>
                </w14:textFill>
              </w:rPr>
              <w:t>暂存于中医康养中心内的</w:t>
            </w:r>
            <w:r>
              <w:rPr>
                <w:rFonts w:hint="default" w:ascii="Times New Roman" w:hAnsi="Times New Roman" w:cs="Times New Roman"/>
                <w:bCs/>
                <w:color w:val="000000" w:themeColor="text1"/>
                <w:kern w:val="0"/>
                <w:highlight w:val="none"/>
                <w:lang w:val="en-US" w:eastAsia="zh-CN"/>
                <w14:textFill>
                  <w14:solidFill>
                    <w14:schemeClr w14:val="tx1"/>
                  </w14:solidFill>
                </w14:textFill>
              </w:rPr>
              <w:t>医疗废物</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暂存间</w:t>
            </w:r>
            <w:r>
              <w:rPr>
                <w:rFonts w:hint="eastAsia" w:cs="Times New Roman"/>
                <w:bCs/>
                <w:color w:val="000000" w:themeColor="text1"/>
                <w:kern w:val="0"/>
                <w:highlight w:val="none"/>
                <w:lang w:val="en-US" w:eastAsia="zh-CN"/>
                <w14:textFill>
                  <w14:solidFill>
                    <w14:schemeClr w14:val="tx1"/>
                  </w14:solidFill>
                </w14:textFill>
              </w:rPr>
              <w:t>（建筑面积90m</w:t>
            </w:r>
            <w:r>
              <w:rPr>
                <w:rFonts w:hint="eastAsia" w:cs="Times New Roman"/>
                <w:bCs/>
                <w:color w:val="000000" w:themeColor="text1"/>
                <w:kern w:val="0"/>
                <w:highlight w:val="none"/>
                <w:vertAlign w:val="superscript"/>
                <w:lang w:val="en-US" w:eastAsia="zh-CN"/>
                <w14:textFill>
                  <w14:solidFill>
                    <w14:schemeClr w14:val="tx1"/>
                  </w14:solidFill>
                </w14:textFill>
              </w:rPr>
              <w:t>2</w:t>
            </w:r>
            <w:r>
              <w:rPr>
                <w:rFonts w:hint="eastAsia" w:cs="Times New Roman"/>
                <w:bCs/>
                <w:color w:val="000000" w:themeColor="text1"/>
                <w:kern w:val="0"/>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，定期交由有资质单位进行处置</w:t>
            </w:r>
            <w:r>
              <w:rPr>
                <w:rFonts w:hint="default" w:ascii="Times New Roman" w:hAnsi="Times New Roman" w:cs="Times New Roman"/>
                <w:bCs/>
                <w:color w:val="000000" w:themeColor="text1"/>
                <w:kern w:val="0"/>
                <w:highlight w:val="none"/>
                <w:lang w:val="en-US" w:eastAsia="zh-CN"/>
                <w14:textFill>
                  <w14:solidFill>
                    <w14:schemeClr w14:val="tx1"/>
                  </w14:solidFill>
                </w14:textFill>
              </w:rPr>
              <w:t>。</w:t>
            </w:r>
          </w:p>
          <w:p w14:paraId="10A796A9">
            <w:pPr>
              <w:autoSpaceDE w:val="0"/>
              <w:autoSpaceDN w:val="0"/>
              <w:adjustRightInd w:val="0"/>
              <w:ind w:firstLine="482"/>
              <w:jc w:val="both"/>
              <w:rPr>
                <w:rFonts w:hint="default" w:ascii="Times New Roman" w:hAnsi="Times New Roman" w:eastAsia="宋体" w:cs="Times New Roman"/>
                <w:b/>
                <w:color w:val="000000" w:themeColor="text1"/>
                <w:kern w:val="0"/>
                <w:lang w:val="en-US" w:eastAsia="zh-CN"/>
                <w14:textFill>
                  <w14:solidFill>
                    <w14:schemeClr w14:val="tx1"/>
                  </w14:solidFill>
                </w14:textFill>
              </w:rPr>
            </w:pPr>
            <w:r>
              <w:rPr>
                <w:rFonts w:hint="default" w:ascii="Times New Roman" w:hAnsi="Times New Roman" w:eastAsia="宋体" w:cs="Times New Roman"/>
                <w:b/>
                <w:color w:val="000000" w:themeColor="text1"/>
                <w:kern w:val="0"/>
                <w:lang w:val="en-US" w:eastAsia="zh-CN"/>
                <w14:textFill>
                  <w14:solidFill>
                    <w14:schemeClr w14:val="tx1"/>
                  </w14:solidFill>
                </w14:textFill>
              </w:rPr>
              <w:t>4.3 污水处理站污泥</w:t>
            </w:r>
          </w:p>
          <w:p w14:paraId="10BB7DD1">
            <w:pPr>
              <w:keepNext w:val="0"/>
              <w:keepLines w:val="0"/>
              <w:widowControl/>
              <w:suppressLineNumbers w:val="0"/>
              <w:jc w:val="left"/>
              <w:rPr>
                <w:rFonts w:hint="default" w:ascii="Times New Roman" w:hAnsi="Times New Roman" w:eastAsia="宋体" w:cs="Times New Roman"/>
                <w:color w:val="000000" w:themeColor="text1"/>
                <w:spacing w:val="1"/>
                <w:lang w:val="en-US" w:eastAsia="zh-CN"/>
                <w14:textFill>
                  <w14:solidFill>
                    <w14:schemeClr w14:val="tx1"/>
                  </w14:solidFill>
                </w14:textFill>
              </w:rPr>
            </w:pPr>
            <w:r>
              <w:rPr>
                <w:rFonts w:hint="default" w:ascii="Times New Roman" w:hAnsi="Times New Roman" w:eastAsia="宋体" w:cs="Times New Roman"/>
                <w:color w:val="000000" w:themeColor="text1"/>
                <w:spacing w:val="1"/>
                <w:lang w:val="en-US" w:eastAsia="zh-CN"/>
                <w14:textFill>
                  <w14:solidFill>
                    <w14:schemeClr w14:val="tx1"/>
                  </w14:solidFill>
                </w14:textFill>
              </w:rPr>
              <w:t>污水处理污泥包括化粪池的污泥、格栅渣和污水处理池的污泥，根据《医疗机构水污染物排放标准》（GB18466-2005）4.3 污泥控制与处置：“栅渣、化粪池和污水处理站污泥属危险废物，应按危险废物进行处理和处置”，因此污水处理站污泥属于危险废物，危险废物代码为HW49，代码为772-006-49。</w:t>
            </w:r>
            <w:r>
              <w:rPr>
                <w:rFonts w:hint="default" w:ascii="Times New Roman" w:hAnsi="Times New Roman" w:cs="Times New Roman"/>
                <w:color w:val="000000" w:themeColor="text1"/>
                <w:spacing w:val="1"/>
                <w:lang w:val="en-US" w:eastAsia="zh-CN"/>
                <w14:textFill>
                  <w14:solidFill>
                    <w14:schemeClr w14:val="tx1"/>
                  </w14:solidFill>
                </w14:textFill>
              </w:rPr>
              <w:t>本项目产生的污泥用</w:t>
            </w:r>
            <w:r>
              <w:rPr>
                <w:rFonts w:hint="default" w:ascii="Times New Roman" w:hAnsi="Times New Roman" w:eastAsia="宋体" w:cs="Times New Roman"/>
                <w:color w:val="000000" w:themeColor="text1"/>
                <w:spacing w:val="1"/>
                <w:lang w:val="en-US" w:eastAsia="zh-CN"/>
                <w14:textFill>
                  <w14:solidFill>
                    <w14:schemeClr w14:val="tx1"/>
                  </w14:solidFill>
                </w14:textFill>
              </w:rPr>
              <w:t>专用污泥脱水车脱水处理后</w:t>
            </w:r>
            <w:r>
              <w:rPr>
                <w:rFonts w:hint="default" w:ascii="Times New Roman" w:hAnsi="Times New Roman" w:cs="Times New Roman"/>
                <w:color w:val="000000" w:themeColor="text1"/>
                <w:spacing w:val="1"/>
                <w:lang w:val="en-US" w:eastAsia="zh-CN"/>
                <w14:textFill>
                  <w14:solidFill>
                    <w14:schemeClr w14:val="tx1"/>
                  </w14:solidFill>
                </w14:textFill>
              </w:rPr>
              <w:t>，</w:t>
            </w:r>
            <w:r>
              <w:rPr>
                <w:rFonts w:hint="default" w:ascii="Times New Roman" w:hAnsi="Times New Roman" w:eastAsia="宋体" w:cs="Times New Roman"/>
                <w:color w:val="000000" w:themeColor="text1"/>
                <w:spacing w:val="1"/>
                <w:lang w:val="en-US" w:eastAsia="zh-CN"/>
                <w14:textFill>
                  <w14:solidFill>
                    <w14:schemeClr w14:val="tx1"/>
                  </w14:solidFill>
                </w14:textFill>
              </w:rPr>
              <w:t>不在项目区内储存，直接装箱采用专用车辆运送至有资质的单位处理。</w:t>
            </w:r>
          </w:p>
          <w:p w14:paraId="44CA2AE0">
            <w:pPr>
              <w:keepNext w:val="0"/>
              <w:keepLines w:val="0"/>
              <w:widowControl/>
              <w:suppressLineNumbers w:val="0"/>
              <w:jc w:val="left"/>
              <w:rPr>
                <w:rFonts w:hint="default" w:ascii="Times New Roman" w:hAnsi="Times New Roman" w:eastAsia="宋体" w:cs="Times New Roman"/>
                <w:color w:val="000000" w:themeColor="text1"/>
                <w:spacing w:val="1"/>
                <w:lang w:val="en-US" w:eastAsia="zh-CN"/>
                <w14:textFill>
                  <w14:solidFill>
                    <w14:schemeClr w14:val="tx1"/>
                  </w14:solidFill>
                </w14:textFill>
              </w:rPr>
            </w:pP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污水计算污泥产生系数约为2吨/万吨-污水处理量，本项目废水产生量为50736t/a，则污泥产生量约为10.15t/a。</w:t>
            </w:r>
          </w:p>
          <w:p w14:paraId="4F27D734">
            <w:pPr>
              <w:autoSpaceDE w:val="0"/>
              <w:autoSpaceDN w:val="0"/>
              <w:adjustRightInd w:val="0"/>
              <w:ind w:firstLine="482"/>
              <w:jc w:val="both"/>
              <w:rPr>
                <w:rFonts w:hint="default" w:ascii="Times New Roman" w:hAnsi="Times New Roman" w:eastAsia="宋体" w:cs="Times New Roman"/>
                <w:b/>
                <w:color w:val="000000" w:themeColor="text1"/>
                <w:kern w:val="0"/>
                <w:lang w:val="en-US" w:eastAsia="zh-CN"/>
                <w14:textFill>
                  <w14:solidFill>
                    <w14:schemeClr w14:val="tx1"/>
                  </w14:solidFill>
                </w14:textFill>
              </w:rPr>
            </w:pPr>
            <w:r>
              <w:rPr>
                <w:rFonts w:hint="default" w:ascii="Times New Roman" w:hAnsi="Times New Roman" w:eastAsia="宋体" w:cs="Times New Roman"/>
                <w:b/>
                <w:color w:val="000000" w:themeColor="text1"/>
                <w:kern w:val="0"/>
                <w:lang w:val="en-US" w:eastAsia="zh-CN"/>
                <w14:textFill>
                  <w14:solidFill>
                    <w14:schemeClr w14:val="tx1"/>
                  </w14:solidFill>
                </w14:textFill>
              </w:rPr>
              <w:t>4.4 废活性炭</w:t>
            </w:r>
          </w:p>
          <w:p w14:paraId="3B3555DD">
            <w:pPr>
              <w:autoSpaceDE w:val="0"/>
              <w:autoSpaceDN w:val="0"/>
              <w:adjustRightInd w:val="0"/>
              <w:ind w:firstLine="482"/>
              <w:jc w:val="both"/>
              <w:rPr>
                <w:rFonts w:hint="eastAsia" w:cs="Times New Roman"/>
                <w:bCs/>
                <w:color w:val="000000" w:themeColor="text1"/>
                <w:kern w:val="0"/>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本项目污水处理站恶臭气体采用活性炭吸附装置进行处理，根据活性炭吸附容量统计表，活性炭对硫化氢、氨气的吸附容量为20%（1kg活性炭吸附0.2kg臭气），本项目活性炭对臭气的吸附量为0.004t/a，则年消耗活性炭量为0.02t/a。根据设计资料，本项目活性炭装填量约为20kg，每年更换一次，则本项目废活性炭产生量为0.024t/a</w:t>
            </w:r>
            <w:r>
              <w:rPr>
                <w:rFonts w:hint="eastAsia" w:cs="Times New Roman"/>
                <w:bCs/>
                <w:color w:val="000000" w:themeColor="text1"/>
                <w:kern w:val="0"/>
                <w:highlight w:val="none"/>
                <w:lang w:val="en-US" w:eastAsia="zh-CN"/>
                <w14:textFill>
                  <w14:solidFill>
                    <w14:schemeClr w14:val="tx1"/>
                  </w14:solidFill>
                </w14:textFill>
              </w:rPr>
              <w:t>。</w:t>
            </w:r>
          </w:p>
          <w:p w14:paraId="6B6E862D">
            <w:pPr>
              <w:autoSpaceDE w:val="0"/>
              <w:autoSpaceDN w:val="0"/>
              <w:adjustRightInd w:val="0"/>
              <w:ind w:firstLine="482"/>
              <w:jc w:val="both"/>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根据《国家危险废物名录》（2025年版）</w:t>
            </w:r>
            <w:r>
              <w:rPr>
                <w:rFonts w:hint="eastAsia" w:cs="Times New Roman"/>
                <w:bCs/>
                <w:color w:val="000000" w:themeColor="text1"/>
                <w:kern w:val="0"/>
                <w:highlight w:val="none"/>
                <w:lang w:val="en-US" w:eastAsia="zh-CN"/>
                <w14:textFill>
                  <w14:solidFill>
                    <w14:schemeClr w14:val="tx1"/>
                  </w14:solidFill>
                </w14:textFill>
              </w:rPr>
              <w:t>，废活性炭</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属于危险废物，危废代码为HW49（900-039-49），危险特性为T（毒性）。项目产生的活性炭在医疗废物暂存间暂存后，定期交由有资质范围进行处置。</w:t>
            </w:r>
          </w:p>
          <w:p w14:paraId="79BEE687">
            <w:pPr>
              <w:autoSpaceDE w:val="0"/>
              <w:autoSpaceDN w:val="0"/>
              <w:adjustRightInd w:val="0"/>
              <w:ind w:firstLine="482"/>
              <w:jc w:val="both"/>
              <w:rPr>
                <w:rFonts w:hint="default" w:ascii="Times New Roman" w:hAnsi="Times New Roman" w:eastAsia="宋体" w:cs="Times New Roman"/>
                <w:b/>
                <w:color w:val="000000" w:themeColor="text1"/>
                <w:kern w:val="0"/>
                <w:lang w:val="en-US" w:eastAsia="zh-CN"/>
                <w14:textFill>
                  <w14:solidFill>
                    <w14:schemeClr w14:val="tx1"/>
                  </w14:solidFill>
                </w14:textFill>
              </w:rPr>
            </w:pPr>
            <w:r>
              <w:rPr>
                <w:rFonts w:hint="default" w:ascii="Times New Roman" w:hAnsi="Times New Roman" w:eastAsia="宋体" w:cs="Times New Roman"/>
                <w:b/>
                <w:color w:val="000000" w:themeColor="text1"/>
                <w:kern w:val="0"/>
                <w:lang w:val="en-US" w:eastAsia="zh-CN"/>
                <w14:textFill>
                  <w14:solidFill>
                    <w14:schemeClr w14:val="tx1"/>
                  </w14:solidFill>
                </w14:textFill>
              </w:rPr>
              <w:t>5 地下水、土壤环境影响分析</w:t>
            </w:r>
          </w:p>
          <w:p w14:paraId="111D66BC">
            <w:pPr>
              <w:pStyle w:val="8"/>
              <w:spacing w:after="0" w:line="360" w:lineRule="auto"/>
              <w:ind w:left="0" w:leftChars="0" w:firstLine="480"/>
              <w:rPr>
                <w:rFonts w:hint="default" w:ascii="Times New Roman" w:hAnsi="Times New Roman" w:eastAsia="宋体" w:cs="Times New Roman"/>
                <w:bCs/>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4"/>
                <w:szCs w:val="24"/>
                <w:highlight w:val="none"/>
                <w:lang w:val="en-US" w:eastAsia="zh-CN" w:bidi="ar-SA"/>
                <w14:textFill>
                  <w14:solidFill>
                    <w14:schemeClr w14:val="tx1"/>
                  </w14:solidFill>
                </w14:textFill>
              </w:rPr>
              <w:t>生产过程中产生的污染物主要以水为载体，通过包气带中的裂隙、孔隙向地下垂直渗漏和渗透。在遇砂性土会较快进入地下水体，如遇粘性土，载体则沿层面做水平运动，使污染范围扩大，当遇到下渗通道时再垂向渗漏，进入地下水体。包气带的防护能力大小，直接影响着地下水的防护，包气带防护条件与包气带厚度、岩性结构、弱渗透性地层的渗透性能及厚度有关，若包气带粘性土厚度小，且分布不连续、不稳定，则地下水自然防护条件就差，污水渗漏就易对地下水产生污染，若包气带粘性土厚度虽小，但分布连续，稳定，则地下水自然防护条件相对就好些，污染物对地下水影响就相对小些，本项目地下水污染途径主要是</w:t>
            </w:r>
            <w:r>
              <w:rPr>
                <w:rFonts w:hint="default" w:ascii="Times New Roman" w:hAnsi="Times New Roman" w:cs="Times New Roman"/>
                <w:bCs/>
                <w:color w:val="000000" w:themeColor="text1"/>
                <w:kern w:val="0"/>
                <w:sz w:val="24"/>
                <w:szCs w:val="24"/>
                <w:highlight w:val="none"/>
                <w:lang w:val="en-US" w:eastAsia="zh-CN" w:bidi="ar-SA"/>
                <w14:textFill>
                  <w14:solidFill>
                    <w14:schemeClr w14:val="tx1"/>
                  </w14:solidFill>
                </w14:textFill>
              </w:rPr>
              <w:t>医疗废物暂存间及</w:t>
            </w:r>
            <w:r>
              <w:rPr>
                <w:rFonts w:hint="default" w:ascii="Times New Roman" w:hAnsi="Times New Roman" w:eastAsia="宋体" w:cs="Times New Roman"/>
                <w:bCs/>
                <w:color w:val="000000" w:themeColor="text1"/>
                <w:kern w:val="0"/>
                <w:sz w:val="24"/>
                <w:szCs w:val="24"/>
                <w:highlight w:val="none"/>
                <w:lang w:val="en-US" w:eastAsia="zh-CN" w:bidi="ar-SA"/>
                <w14:textFill>
                  <w14:solidFill>
                    <w14:schemeClr w14:val="tx1"/>
                  </w14:solidFill>
                </w14:textFill>
              </w:rPr>
              <w:t>各类污水池</w:t>
            </w:r>
            <w:r>
              <w:rPr>
                <w:rFonts w:hint="default" w:ascii="Times New Roman" w:hAnsi="Times New Roman" w:cs="Times New Roman"/>
                <w:bCs/>
                <w:color w:val="000000" w:themeColor="text1"/>
                <w:kern w:val="0"/>
                <w:sz w:val="24"/>
                <w:szCs w:val="24"/>
                <w:highlight w:val="none"/>
                <w:lang w:val="en-US" w:eastAsia="zh-CN" w:bidi="ar-SA"/>
                <w14:textFill>
                  <w14:solidFill>
                    <w14:schemeClr w14:val="tx1"/>
                  </w14:solidFill>
                </w14:textFill>
              </w:rPr>
              <w:t>和输水管道</w:t>
            </w:r>
            <w:r>
              <w:rPr>
                <w:rFonts w:hint="default" w:ascii="Times New Roman" w:hAnsi="Times New Roman" w:eastAsia="宋体" w:cs="Times New Roman"/>
                <w:bCs/>
                <w:color w:val="000000" w:themeColor="text1"/>
                <w:kern w:val="0"/>
                <w:sz w:val="24"/>
                <w:szCs w:val="24"/>
                <w:highlight w:val="none"/>
                <w:lang w:val="en-US" w:eastAsia="zh-CN" w:bidi="ar-SA"/>
                <w14:textFill>
                  <w14:solidFill>
                    <w14:schemeClr w14:val="tx1"/>
                  </w14:solidFill>
                </w14:textFill>
              </w:rPr>
              <w:t>的渗漏对浅层地下水的影响。</w:t>
            </w:r>
          </w:p>
          <w:p w14:paraId="60B2C65E">
            <w:pPr>
              <w:autoSpaceDE w:val="0"/>
              <w:autoSpaceDN w:val="0"/>
              <w:adjustRightInd w:val="0"/>
              <w:ind w:firstLine="482"/>
              <w:jc w:val="both"/>
              <w:rPr>
                <w:rFonts w:hint="default" w:ascii="Times New Roman" w:hAnsi="Times New Roman" w:cs="Times New Roman"/>
                <w:bCs/>
                <w:color w:val="000000" w:themeColor="text1"/>
                <w:kern w:val="0"/>
                <w:highlight w:val="none"/>
                <w:lang w:val="en-US" w:eastAsia="zh-CN"/>
                <w14:textFill>
                  <w14:solidFill>
                    <w14:schemeClr w14:val="tx1"/>
                  </w14:solidFill>
                </w14:textFill>
              </w:rPr>
            </w:pPr>
            <w:r>
              <w:rPr>
                <w:rFonts w:hint="default" w:ascii="Times New Roman" w:hAnsi="Times New Roman" w:cs="Times New Roman"/>
                <w:bCs/>
                <w:color w:val="000000" w:themeColor="text1"/>
                <w:kern w:val="0"/>
                <w:highlight w:val="none"/>
                <w:lang w:val="en-US" w:eastAsia="zh-CN"/>
                <w14:textFill>
                  <w14:solidFill>
                    <w14:schemeClr w14:val="tx1"/>
                  </w14:solidFill>
                </w14:textFill>
              </w:rPr>
              <w:t>本项目经对医疗废物暂存间、污水处理站各建构筑物及输水管道采取重点防渗区相应防渗措施后，对地下水和土壤的污染影响较小。</w:t>
            </w:r>
          </w:p>
          <w:p w14:paraId="7CD5DE6C">
            <w:pPr>
              <w:autoSpaceDE w:val="0"/>
              <w:autoSpaceDN w:val="0"/>
              <w:adjustRightInd w:val="0"/>
              <w:ind w:firstLine="482"/>
              <w:jc w:val="both"/>
              <w:rPr>
                <w:rFonts w:hint="default" w:ascii="Times New Roman" w:hAnsi="Times New Roman" w:eastAsia="宋体" w:cs="Times New Roman"/>
                <w:b/>
                <w:color w:val="000000" w:themeColor="text1"/>
                <w:kern w:val="0"/>
                <w:lang w:val="en-US" w:eastAsia="zh-CN"/>
                <w14:textFill>
                  <w14:solidFill>
                    <w14:schemeClr w14:val="tx1"/>
                  </w14:solidFill>
                </w14:textFill>
              </w:rPr>
            </w:pPr>
            <w:r>
              <w:rPr>
                <w:rFonts w:hint="default" w:ascii="Times New Roman" w:hAnsi="Times New Roman" w:cs="Times New Roman"/>
                <w:b/>
                <w:color w:val="000000" w:themeColor="text1"/>
                <w:kern w:val="0"/>
                <w:lang w:val="en-US" w:eastAsia="zh-CN"/>
                <w14:textFill>
                  <w14:solidFill>
                    <w14:schemeClr w14:val="tx1"/>
                  </w14:solidFill>
                </w14:textFill>
              </w:rPr>
              <w:t>6</w:t>
            </w:r>
            <w:r>
              <w:rPr>
                <w:rFonts w:hint="default" w:ascii="Times New Roman" w:hAnsi="Times New Roman" w:eastAsia="宋体" w:cs="Times New Roman"/>
                <w:b/>
                <w:color w:val="000000" w:themeColor="text1"/>
                <w:kern w:val="0"/>
                <w:lang w:val="en-US" w:eastAsia="zh-CN"/>
                <w14:textFill>
                  <w14:solidFill>
                    <w14:schemeClr w14:val="tx1"/>
                  </w14:solidFill>
                </w14:textFill>
              </w:rPr>
              <w:t xml:space="preserve"> 生态影响分析</w:t>
            </w:r>
          </w:p>
          <w:p w14:paraId="3095412D">
            <w:pPr>
              <w:autoSpaceDE w:val="0"/>
              <w:autoSpaceDN w:val="0"/>
              <w:adjustRightInd w:val="0"/>
              <w:ind w:firstLine="480"/>
              <w:jc w:val="both"/>
              <w:rPr>
                <w:rFonts w:hint="default" w:ascii="Times New Roman" w:hAnsi="Times New Roman" w:cs="Times New Roman"/>
                <w:bCs/>
                <w:color w:val="000000" w:themeColor="text1"/>
                <w:kern w:val="0"/>
                <w:lang w:eastAsia="zh-CN"/>
                <w14:textFill>
                  <w14:solidFill>
                    <w14:schemeClr w14:val="tx1"/>
                  </w14:solidFill>
                </w14:textFill>
              </w:rPr>
            </w:pPr>
            <w:r>
              <w:rPr>
                <w:rFonts w:hint="default" w:ascii="Times New Roman" w:hAnsi="Times New Roman" w:cs="Times New Roman"/>
                <w:bCs/>
                <w:color w:val="000000" w:themeColor="text1"/>
                <w:kern w:val="0"/>
                <w14:textFill>
                  <w14:solidFill>
                    <w14:schemeClr w14:val="tx1"/>
                  </w14:solidFill>
                </w14:textFill>
              </w:rPr>
              <w:t>经调查，</w:t>
            </w:r>
            <w:r>
              <w:rPr>
                <w:rFonts w:hint="default" w:ascii="Times New Roman" w:hAnsi="Times New Roman" w:cs="Times New Roman"/>
                <w:color w:val="000000" w:themeColor="text1"/>
                <w:lang w:val="en-US" w:eastAsia="zh-CN"/>
                <w14:textFill>
                  <w14:solidFill>
                    <w14:schemeClr w14:val="tx1"/>
                  </w14:solidFill>
                </w14:textFill>
              </w:rPr>
              <w:t>项目区域附近植被为常见植被，未发现古树名木</w:t>
            </w:r>
            <w:r>
              <w:rPr>
                <w:rFonts w:hint="default" w:ascii="Times New Roman" w:hAnsi="Times New Roman" w:cs="Times New Roman"/>
                <w:bCs/>
                <w:color w:val="000000" w:themeColor="text1"/>
                <w:kern w:val="0"/>
                <w14:textFill>
                  <w14:solidFill>
                    <w14:schemeClr w14:val="tx1"/>
                  </w14:solidFill>
                </w14:textFill>
              </w:rPr>
              <w:t>。因此本工程建设不会对</w:t>
            </w:r>
            <w:r>
              <w:rPr>
                <w:rFonts w:hint="default" w:ascii="Times New Roman" w:hAnsi="Times New Roman" w:cs="Times New Roman"/>
                <w:bCs/>
                <w:color w:val="000000" w:themeColor="text1"/>
                <w:kern w:val="0"/>
                <w:lang w:val="en-US" w:eastAsia="zh-CN"/>
                <w14:textFill>
                  <w14:solidFill>
                    <w14:schemeClr w14:val="tx1"/>
                  </w14:solidFill>
                </w14:textFill>
              </w:rPr>
              <w:t>项目区附近</w:t>
            </w:r>
            <w:r>
              <w:rPr>
                <w:rFonts w:hint="default" w:ascii="Times New Roman" w:hAnsi="Times New Roman" w:cs="Times New Roman"/>
                <w:bCs/>
                <w:color w:val="000000" w:themeColor="text1"/>
                <w:kern w:val="0"/>
                <w14:textFill>
                  <w14:solidFill>
                    <w14:schemeClr w14:val="tx1"/>
                  </w14:solidFill>
                </w14:textFill>
              </w:rPr>
              <w:t>植被产生长远的破坏性影响</w:t>
            </w:r>
            <w:r>
              <w:rPr>
                <w:rFonts w:hint="default" w:ascii="Times New Roman" w:hAnsi="Times New Roman" w:cs="Times New Roman"/>
                <w:bCs/>
                <w:color w:val="000000" w:themeColor="text1"/>
                <w:kern w:val="0"/>
                <w:lang w:eastAsia="zh-CN"/>
                <w14:textFill>
                  <w14:solidFill>
                    <w14:schemeClr w14:val="tx1"/>
                  </w14:solidFill>
                </w14:textFill>
              </w:rPr>
              <w:t>。项目工程区基本不存在大型的动物。一般来说，即使存在大型动物，也会自行迁徙，因此只有地表及地下浅层的小型动物受到损失，工程建设对动物生境影响较小。</w:t>
            </w:r>
          </w:p>
          <w:p w14:paraId="464F7E74">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Cs/>
                <w:color w:val="000000" w:themeColor="text1"/>
                <w:kern w:val="0"/>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具体</w:t>
            </w:r>
            <w:r>
              <w:rPr>
                <w:rFonts w:hint="default" w:ascii="Times New Roman" w:hAnsi="Times New Roman" w:cs="Times New Roman"/>
                <w:b/>
                <w:bCs/>
                <w:color w:val="000000" w:themeColor="text1"/>
                <w:kern w:val="2"/>
                <w:sz w:val="24"/>
                <w:szCs w:val="24"/>
                <w:lang w:val="en-US" w:eastAsia="zh-CN" w:bidi="ar-SA"/>
                <w14:textFill>
                  <w14:solidFill>
                    <w14:schemeClr w14:val="tx1"/>
                  </w14:solidFill>
                </w14:textFill>
              </w:rPr>
              <w:t>生态</w:t>
            </w: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环境影响分析见</w:t>
            </w:r>
            <w:r>
              <w:rPr>
                <w:rFonts w:hint="default" w:ascii="Times New Roman" w:hAnsi="Times New Roman" w:cs="Times New Roman"/>
                <w:b/>
                <w:bCs/>
                <w:color w:val="000000" w:themeColor="text1"/>
                <w:kern w:val="2"/>
                <w:sz w:val="24"/>
                <w:szCs w:val="24"/>
                <w:lang w:val="en-US" w:eastAsia="zh-CN" w:bidi="ar-SA"/>
                <w14:textFill>
                  <w14:solidFill>
                    <w14:schemeClr w14:val="tx1"/>
                  </w14:solidFill>
                </w14:textFill>
              </w:rPr>
              <w:t>生态</w:t>
            </w: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环境影响专题评价。</w:t>
            </w:r>
          </w:p>
        </w:tc>
      </w:tr>
      <w:tr w14:paraId="35C3EE89">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10861" w:hRule="atLeast"/>
          <w:jc w:val="center"/>
        </w:trPr>
        <w:tc>
          <w:tcPr>
            <w:tcW w:w="475" w:type="pct"/>
            <w:noWrap w:val="0"/>
            <w:vAlign w:val="center"/>
          </w:tcPr>
          <w:p w14:paraId="5A3B84EF">
            <w:pPr>
              <w:pStyle w:val="24"/>
              <w:adjustRightInd w:val="0"/>
              <w:snapToGrid w:val="0"/>
              <w:spacing w:before="0" w:beforeAutospacing="0" w:after="0" w:afterAutospacing="0"/>
              <w:ind w:firstLine="0" w:firstLineChars="0"/>
              <w:jc w:val="center"/>
              <w:rPr>
                <w:rFonts w:hint="default" w:ascii="Times New Roman" w:hAnsi="Times New Roman" w:cs="Times New Roman"/>
                <w:bCs/>
                <w:color w:val="000000" w:themeColor="text1"/>
                <w:kern w:val="2"/>
                <w:sz w:val="21"/>
                <w:szCs w:val="21"/>
                <w14:textFill>
                  <w14:solidFill>
                    <w14:schemeClr w14:val="tx1"/>
                  </w14:solidFill>
                </w14:textFill>
              </w:rPr>
            </w:pPr>
            <w:r>
              <w:rPr>
                <w:rFonts w:hint="default" w:ascii="Times New Roman" w:hAnsi="Times New Roman" w:cs="Times New Roman"/>
                <w:bCs/>
                <w:color w:val="000000" w:themeColor="text1"/>
                <w:kern w:val="2"/>
                <w14:textFill>
                  <w14:solidFill>
                    <w14:schemeClr w14:val="tx1"/>
                  </w14:solidFill>
                </w14:textFill>
              </w:rPr>
              <w:t>选址选线环境合理性分析</w:t>
            </w:r>
          </w:p>
        </w:tc>
        <w:tc>
          <w:tcPr>
            <w:tcW w:w="4524" w:type="pct"/>
            <w:noWrap w:val="0"/>
            <w:vAlign w:val="center"/>
          </w:tcPr>
          <w:p w14:paraId="2603CBDF">
            <w:pPr>
              <w:ind w:firstLine="480"/>
              <w:rPr>
                <w:rFonts w:hint="default" w:ascii="Times New Roman" w:hAnsi="Times New Roman" w:cs="Times New Roman"/>
                <w:bCs/>
                <w:color w:val="000000" w:themeColor="text1"/>
                <w:kern w:val="0"/>
                <w:lang w:val="en-US" w:eastAsia="zh-CN"/>
                <w14:textFill>
                  <w14:solidFill>
                    <w14:schemeClr w14:val="tx1"/>
                  </w14:solidFill>
                </w14:textFill>
              </w:rPr>
            </w:pPr>
            <w:r>
              <w:rPr>
                <w:rFonts w:hint="default" w:ascii="Times New Roman" w:hAnsi="Times New Roman" w:cs="Times New Roman"/>
                <w:bCs/>
                <w:color w:val="000000" w:themeColor="text1"/>
                <w:kern w:val="0"/>
                <w:lang w:val="en-US" w:eastAsia="zh-CN"/>
                <w14:textFill>
                  <w14:solidFill>
                    <w14:schemeClr w14:val="tx1"/>
                  </w14:solidFill>
                </w14:textFill>
              </w:rPr>
              <w:t>拟建</w:t>
            </w:r>
            <w:r>
              <w:rPr>
                <w:rFonts w:hint="default" w:ascii="Times New Roman" w:hAnsi="Times New Roman" w:cs="Times New Roman"/>
                <w:bCs/>
                <w:color w:val="000000" w:themeColor="text1"/>
                <w:kern w:val="0"/>
                <w:highlight w:val="none"/>
                <w:lang w:val="en-US" w:eastAsia="zh-CN"/>
                <w14:textFill>
                  <w14:solidFill>
                    <w14:schemeClr w14:val="tx1"/>
                  </w14:solidFill>
                </w14:textFill>
              </w:rPr>
              <w:t>项目地点</w:t>
            </w:r>
            <w:r>
              <w:rPr>
                <w:rFonts w:hint="eastAsia" w:cs="Times New Roman"/>
                <w:bCs/>
                <w:color w:val="000000" w:themeColor="text1"/>
                <w:kern w:val="0"/>
                <w:highlight w:val="none"/>
                <w:lang w:val="en-US" w:eastAsia="zh-CN"/>
                <w14:textFill>
                  <w14:solidFill>
                    <w14:schemeClr w14:val="tx1"/>
                  </w14:solidFill>
                </w14:textFill>
              </w:rPr>
              <w:t>紧邻</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泾源县黄花乡六盘山</w:t>
            </w:r>
            <w:r>
              <w:rPr>
                <w:rFonts w:hint="default" w:ascii="Times New Roman" w:hAnsi="Times New Roman" w:cs="Times New Roman"/>
                <w:bCs/>
                <w:color w:val="000000" w:themeColor="text1"/>
                <w:kern w:val="0"/>
                <w:highlight w:val="none"/>
                <w:lang w:val="en-US" w:eastAsia="zh-CN"/>
                <w14:textFill>
                  <w14:solidFill>
                    <w14:schemeClr w14:val="tx1"/>
                  </w14:solidFill>
                </w14:textFill>
              </w:rPr>
              <w:t>自治区级</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自然保护区，</w:t>
            </w:r>
            <w:r>
              <w:rPr>
                <w:rFonts w:hint="default" w:ascii="Times New Roman" w:hAnsi="Times New Roman" w:cs="Times New Roman"/>
                <w:bCs/>
                <w:color w:val="000000" w:themeColor="text1"/>
                <w:kern w:val="0"/>
                <w:highlight w:val="none"/>
                <w:lang w:val="en-US" w:eastAsia="zh-CN"/>
                <w14:textFill>
                  <w14:solidFill>
                    <w14:schemeClr w14:val="tx1"/>
                  </w14:solidFill>
                </w14:textFill>
              </w:rPr>
              <w:t>距保护区最近距离</w:t>
            </w:r>
            <w:r>
              <w:rPr>
                <w:rFonts w:hint="eastAsia" w:cs="Times New Roman"/>
                <w:bCs/>
                <w:color w:val="000000" w:themeColor="text1"/>
                <w:kern w:val="0"/>
                <w:highlight w:val="none"/>
                <w:lang w:val="en-US" w:eastAsia="zh-CN"/>
                <w14:textFill>
                  <w14:solidFill>
                    <w14:schemeClr w14:val="tx1"/>
                  </w14:solidFill>
                </w14:textFill>
              </w:rPr>
              <w:t>不到1</w:t>
            </w:r>
            <w:r>
              <w:rPr>
                <w:rFonts w:hint="default" w:ascii="Times New Roman" w:hAnsi="Times New Roman" w:cs="Times New Roman"/>
                <w:bCs/>
                <w:color w:val="000000" w:themeColor="text1"/>
                <w:kern w:val="0"/>
                <w:highlight w:val="none"/>
                <w:lang w:val="en-US" w:eastAsia="zh-CN"/>
                <w14:textFill>
                  <w14:solidFill>
                    <w14:schemeClr w14:val="tx1"/>
                  </w14:solidFill>
                </w14:textFill>
              </w:rPr>
              <w:t>m。选址不涉及生态保护红线和六盘山自然保护区，本项目占地类型主要为商</w:t>
            </w:r>
            <w:r>
              <w:rPr>
                <w:rFonts w:hint="default" w:ascii="Times New Roman" w:hAnsi="Times New Roman" w:cs="Times New Roman"/>
                <w:bCs/>
                <w:color w:val="000000" w:themeColor="text1"/>
                <w:kern w:val="0"/>
                <w:lang w:val="en-US" w:eastAsia="zh-CN"/>
                <w14:textFill>
                  <w14:solidFill>
                    <w14:schemeClr w14:val="tx1"/>
                  </w14:solidFill>
                </w14:textFill>
              </w:rPr>
              <w:t>服用地，不在禁止占用土地范围内。</w:t>
            </w:r>
          </w:p>
          <w:p w14:paraId="346D66E4">
            <w:pPr>
              <w:ind w:firstLine="480"/>
              <w:rPr>
                <w:rFonts w:hint="default" w:ascii="Times New Roman" w:hAnsi="Times New Roman" w:eastAsia="宋体" w:cs="Times New Roman"/>
                <w:bCs/>
                <w:color w:val="000000" w:themeColor="text1"/>
                <w:kern w:val="0"/>
                <w:lang w:val="en-US" w:eastAsia="zh-CN"/>
                <w14:textFill>
                  <w14:solidFill>
                    <w14:schemeClr w14:val="tx1"/>
                  </w14:solidFill>
                </w14:textFill>
              </w:rPr>
            </w:pPr>
            <w:r>
              <w:rPr>
                <w:rFonts w:hint="default" w:ascii="Times New Roman" w:hAnsi="Times New Roman" w:eastAsia="宋体" w:cs="Times New Roman"/>
                <w:bCs/>
                <w:color w:val="000000" w:themeColor="text1"/>
                <w:kern w:val="0"/>
                <w:lang w:val="en-US" w:eastAsia="zh-CN"/>
                <w14:textFill>
                  <w14:solidFill>
                    <w14:schemeClr w14:val="tx1"/>
                  </w14:solidFill>
                </w14:textFill>
              </w:rPr>
              <w:t>本项目建成投用后，不影响项目区及周边区域的生态环境质量，形成宜游、宜住的旅游、康养场所，能够满足人民群众对青山绿水、生态良好的美丽家园的愿望。</w:t>
            </w:r>
          </w:p>
          <w:p w14:paraId="475FBA5C">
            <w:pPr>
              <w:ind w:firstLine="480"/>
              <w:rPr>
                <w:rFonts w:hint="default" w:ascii="Times New Roman" w:hAnsi="Times New Roman" w:eastAsia="宋体" w:cs="Times New Roman"/>
                <w:bCs/>
                <w:color w:val="000000" w:themeColor="text1"/>
                <w:kern w:val="0"/>
                <w:lang w:val="en-US" w:eastAsia="zh-CN"/>
                <w14:textFill>
                  <w14:solidFill>
                    <w14:schemeClr w14:val="tx1"/>
                  </w14:solidFill>
                </w14:textFill>
              </w:rPr>
            </w:pPr>
            <w:r>
              <w:rPr>
                <w:rFonts w:hint="default" w:ascii="Times New Roman" w:hAnsi="Times New Roman" w:eastAsia="宋体" w:cs="Times New Roman"/>
                <w:bCs/>
                <w:color w:val="000000" w:themeColor="text1"/>
                <w:kern w:val="0"/>
                <w:lang w:val="en-US" w:eastAsia="zh-CN"/>
                <w14:textFill>
                  <w14:solidFill>
                    <w14:schemeClr w14:val="tx1"/>
                  </w14:solidFill>
                </w14:textFill>
              </w:rPr>
              <w:t>因此，本项目选址合理。</w:t>
            </w:r>
          </w:p>
        </w:tc>
      </w:tr>
    </w:tbl>
    <w:p w14:paraId="18090C1E">
      <w:pPr>
        <w:pStyle w:val="2"/>
        <w:keepNext/>
        <w:keepLines w:val="0"/>
        <w:pageBreakBefore w:val="0"/>
        <w:widowControl w:val="0"/>
        <w:kinsoku/>
        <w:wordWrap/>
        <w:overflowPunct w:val="0"/>
        <w:topLinePunct w:val="0"/>
        <w:autoSpaceDE/>
        <w:autoSpaceDN/>
        <w:bidi w:val="0"/>
        <w:adjustRightInd/>
        <w:snapToGrid w:val="0"/>
        <w:spacing w:after="0" w:line="240" w:lineRule="auto"/>
        <w:ind w:lef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br w:type="page"/>
      </w:r>
      <w:r>
        <w:rPr>
          <w:rFonts w:hint="default" w:ascii="Times New Roman" w:hAnsi="Times New Roman" w:cs="Times New Roman"/>
          <w:color w:val="000000" w:themeColor="text1"/>
          <w14:textFill>
            <w14:solidFill>
              <w14:schemeClr w14:val="tx1"/>
            </w14:solidFill>
          </w14:textFill>
        </w:rPr>
        <w:t>五、主要生态环境保护措施</w:t>
      </w:r>
    </w:p>
    <w:tbl>
      <w:tblPr>
        <w:tblStyle w:val="27"/>
        <w:tblW w:w="5093" w:type="pct"/>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28" w:type="dxa"/>
          <w:left w:w="28" w:type="dxa"/>
          <w:bottom w:w="28" w:type="dxa"/>
          <w:right w:w="28" w:type="dxa"/>
        </w:tblCellMar>
      </w:tblPr>
      <w:tblGrid>
        <w:gridCol w:w="402"/>
        <w:gridCol w:w="8123"/>
      </w:tblGrid>
      <w:tr w14:paraId="0C032A6E">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28" w:type="dxa"/>
            <w:left w:w="28" w:type="dxa"/>
            <w:bottom w:w="28" w:type="dxa"/>
            <w:right w:w="28" w:type="dxa"/>
          </w:tblCellMar>
        </w:tblPrEx>
        <w:trPr>
          <w:trHeight w:val="90" w:hRule="atLeast"/>
        </w:trPr>
        <w:tc>
          <w:tcPr>
            <w:tcW w:w="235" w:type="pct"/>
            <w:noWrap w:val="0"/>
            <w:tcMar>
              <w:left w:w="28" w:type="dxa"/>
              <w:right w:w="28" w:type="dxa"/>
            </w:tcMar>
            <w:vAlign w:val="center"/>
          </w:tcPr>
          <w:p w14:paraId="3C5B58D1">
            <w:pPr>
              <w:adjustRightInd w:val="0"/>
              <w:snapToGrid w:val="0"/>
              <w:ind w:firstLine="0" w:firstLineChars="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pacing w:val="10"/>
                <w14:textFill>
                  <w14:solidFill>
                    <w14:schemeClr w14:val="tx1"/>
                  </w14:solidFill>
                </w14:textFill>
              </w:rPr>
              <w:t>施工期生态环境保护措施</w:t>
            </w:r>
          </w:p>
        </w:tc>
        <w:tc>
          <w:tcPr>
            <w:tcW w:w="4764" w:type="pct"/>
            <w:noWrap w:val="0"/>
            <w:vAlign w:val="top"/>
          </w:tcPr>
          <w:p w14:paraId="47F70F41">
            <w:pPr>
              <w:adjustRightInd w:val="0"/>
              <w:snapToGrid w:val="0"/>
              <w:ind w:firstLine="482"/>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1</w:t>
            </w:r>
            <w:r>
              <w:rPr>
                <w:rFonts w:hint="default" w:ascii="Times New Roman" w:hAnsi="Times New Roman" w:cs="Times New Roman"/>
                <w:b/>
                <w:bCs/>
                <w:color w:val="000000" w:themeColor="text1"/>
                <w:lang w:val="en-US" w:eastAsia="zh-CN"/>
                <w14:textFill>
                  <w14:solidFill>
                    <w14:schemeClr w14:val="tx1"/>
                  </w14:solidFill>
                </w14:textFill>
              </w:rPr>
              <w:t xml:space="preserve"> </w:t>
            </w:r>
            <w:r>
              <w:rPr>
                <w:rFonts w:hint="default" w:ascii="Times New Roman" w:hAnsi="Times New Roman" w:cs="Times New Roman"/>
                <w:b/>
                <w:bCs/>
                <w:color w:val="000000" w:themeColor="text1"/>
                <w14:textFill>
                  <w14:solidFill>
                    <w14:schemeClr w14:val="tx1"/>
                  </w14:solidFill>
                </w14:textFill>
              </w:rPr>
              <w:t>大气污染防治措施</w:t>
            </w:r>
          </w:p>
          <w:p w14:paraId="6DD0E0CF">
            <w:pPr>
              <w:adjustRightInd w:val="0"/>
              <w:snapToGrid w:val="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项目施工过程中，由于场地整理</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土方施工</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机械设备的使用，不可避免的会对周边环境</w:t>
            </w:r>
            <w:r>
              <w:rPr>
                <w:rFonts w:hint="default" w:ascii="Times New Roman" w:hAnsi="Times New Roman" w:cs="Times New Roman"/>
                <w:color w:val="000000" w:themeColor="text1"/>
                <w:lang w:val="en-US" w:eastAsia="zh-CN"/>
                <w14:textFill>
                  <w14:solidFill>
                    <w14:schemeClr w14:val="tx1"/>
                  </w14:solidFill>
                </w14:textFill>
              </w:rPr>
              <w:t>空气</w:t>
            </w:r>
            <w:r>
              <w:rPr>
                <w:rFonts w:hint="default" w:ascii="Times New Roman" w:hAnsi="Times New Roman" w:cs="Times New Roman"/>
                <w:color w:val="000000" w:themeColor="text1"/>
                <w14:textFill>
                  <w14:solidFill>
                    <w14:schemeClr w14:val="tx1"/>
                  </w14:solidFill>
                </w14:textFill>
              </w:rPr>
              <w:t>产生一定影响，为降低</w:t>
            </w:r>
            <w:r>
              <w:rPr>
                <w:rFonts w:hint="default" w:ascii="Times New Roman" w:hAnsi="Times New Roman" w:cs="Times New Roman"/>
                <w:color w:val="000000" w:themeColor="text1"/>
                <w:lang w:val="en-US" w:eastAsia="zh-CN"/>
                <w14:textFill>
                  <w14:solidFill>
                    <w14:schemeClr w14:val="tx1"/>
                  </w14:solidFill>
                </w14:textFill>
              </w:rPr>
              <w:t>本</w:t>
            </w:r>
            <w:r>
              <w:rPr>
                <w:rFonts w:hint="default" w:ascii="Times New Roman" w:hAnsi="Times New Roman" w:cs="Times New Roman"/>
                <w:color w:val="000000" w:themeColor="text1"/>
                <w14:textFill>
                  <w14:solidFill>
                    <w14:schemeClr w14:val="tx1"/>
                  </w14:solidFill>
                </w14:textFill>
              </w:rPr>
              <w:t>项目实施过程中对周边环境空气影响，建设单位应严格按照《大气污染防治行动计划》（国发〔2013〕37号）及《宁夏回族自治区大气污染防治条例》的要求，对施工场地采取以下防治措施：</w:t>
            </w:r>
          </w:p>
          <w:p w14:paraId="708978BD">
            <w:pPr>
              <w:adjustRightInd w:val="0"/>
              <w:snapToGrid w:val="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①选择对周围环境影响较小的运输路线；进出项目区的运输车辆应完好，不应装载过满，并采取遮盖、密闭措施，杜绝沿途洒落，以减少运输过程中的扬尘；</w:t>
            </w:r>
          </w:p>
          <w:p w14:paraId="1F3A7217">
            <w:pPr>
              <w:adjustRightInd w:val="0"/>
              <w:snapToGrid w:val="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②土方、砾石等散装物料运输和临时存放，应采取篷布遮盖等有效防风遮挡措施，负责运输的车辆不宜过满，且须严格按照运输路线进出</w:t>
            </w:r>
            <w:r>
              <w:rPr>
                <w:rFonts w:hint="default" w:ascii="Times New Roman" w:hAnsi="Times New Roman" w:cs="Times New Roman"/>
                <w:color w:val="000000" w:themeColor="text1"/>
                <w:lang w:val="en-US" w:eastAsia="zh-CN"/>
                <w14:textFill>
                  <w14:solidFill>
                    <w14:schemeClr w14:val="tx1"/>
                  </w14:solidFill>
                </w14:textFill>
              </w:rPr>
              <w:t>项目区</w:t>
            </w:r>
            <w:r>
              <w:rPr>
                <w:rFonts w:hint="default" w:ascii="Times New Roman" w:hAnsi="Times New Roman" w:cs="Times New Roman"/>
                <w:color w:val="000000" w:themeColor="text1"/>
                <w14:textFill>
                  <w14:solidFill>
                    <w14:schemeClr w14:val="tx1"/>
                  </w14:solidFill>
                </w14:textFill>
              </w:rPr>
              <w:t>，以减少风吹起尘，定期对裸露的施工场地洒水降尘；</w:t>
            </w:r>
          </w:p>
          <w:p w14:paraId="5962A0C2">
            <w:pPr>
              <w:adjustRightInd w:val="0"/>
              <w:snapToGrid w:val="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③施工单位在工程开工十五日前，须向项目所在地生态环境保护行政主管部门申报该工程的扬尘排污申报登记，提交污染防治措施、方案、定期汇报施工进度；</w:t>
            </w:r>
          </w:p>
          <w:p w14:paraId="51CBAFFD">
            <w:pPr>
              <w:adjustRightInd w:val="0"/>
              <w:snapToGrid w:val="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④施工作业区材料堆场地面、车行道路应当进行硬化等防尘处理；</w:t>
            </w:r>
          </w:p>
          <w:p w14:paraId="0911F76D">
            <w:pPr>
              <w:adjustRightInd w:val="0"/>
              <w:snapToGrid w:val="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⑤土方开挖和填筑等施工作业时，必须喷雾降尘，运送土方和建筑垃圾的车辆必须封闭或遮盖，严禁沿路遗漏或抛撒；</w:t>
            </w:r>
          </w:p>
          <w:p w14:paraId="05D782DE">
            <w:pPr>
              <w:adjustRightInd w:val="0"/>
              <w:snapToGrid w:val="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⑥风力达到4级以上大风天气，应停止土方等产生扬尘的作业；</w:t>
            </w:r>
          </w:p>
          <w:p w14:paraId="0B00E0BB">
            <w:pPr>
              <w:adjustRightInd w:val="0"/>
              <w:snapToGrid w:val="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⑦建设项目停工后三个月不能开工建设和工程完成以后，应采取对裸露地面进行临时绿化或覆盖等有效防治措施。工程完成后应及时清理和平整场地，按规划要求对地面进行植被恢复，防治扬尘污染；</w:t>
            </w:r>
          </w:p>
          <w:p w14:paraId="0D77A4C3">
            <w:pPr>
              <w:adjustRightInd w:val="0"/>
              <w:snapToGrid w:val="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⑧堆放水泥或者其他易飞扬的细颗粒建筑材料，应当密闭存放或者采取覆盖等措施；</w:t>
            </w:r>
          </w:p>
          <w:p w14:paraId="0FFE48B5">
            <w:pPr>
              <w:adjustRightInd w:val="0"/>
              <w:snapToGrid w:val="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⑨对负责运输调配土方的车辆加强管理，要求采取篷布遮盖做到不超载运输，对运输路面定期清扫，并适当洒水降尘，保持一定湿度，以减少扬尘；</w:t>
            </w:r>
          </w:p>
          <w:p w14:paraId="09D00A90">
            <w:pPr>
              <w:adjustRightInd w:val="0"/>
              <w:snapToGrid w:val="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⑩施工材料及垃圾清运，应当采用容器或者管道运输，禁止凌空抛撒。运输渣土、建筑垃圾的车辆应当符合下列扬尘污染防治要求：</w:t>
            </w:r>
          </w:p>
          <w:p w14:paraId="7D42E138">
            <w:pPr>
              <w:adjustRightInd w:val="0"/>
              <w:snapToGrid w:val="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A.持有城市管理、交通运输和公安机关交通管理部门批准或者核发的证件；</w:t>
            </w:r>
          </w:p>
          <w:p w14:paraId="5AC33D0A">
            <w:pPr>
              <w:adjustRightInd w:val="0"/>
              <w:snapToGrid w:val="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B.进行密闭化改装，安装</w:t>
            </w:r>
            <w:r>
              <w:rPr>
                <w:rFonts w:hint="default" w:ascii="Times New Roman" w:hAnsi="Times New Roman" w:cs="Times New Roman"/>
                <w:color w:val="000000" w:themeColor="text1"/>
                <w:lang w:eastAsia="zh-CN"/>
                <w14:textFill>
                  <w14:solidFill>
                    <w14:schemeClr w14:val="tx1"/>
                  </w14:solidFill>
                </w14:textFill>
              </w:rPr>
              <w:t>行驶</w:t>
            </w:r>
            <w:r>
              <w:rPr>
                <w:rFonts w:hint="default" w:ascii="Times New Roman" w:hAnsi="Times New Roman" w:cs="Times New Roman"/>
                <w:color w:val="000000" w:themeColor="text1"/>
                <w14:textFill>
                  <w14:solidFill>
                    <w14:schemeClr w14:val="tx1"/>
                  </w14:solidFill>
                </w14:textFill>
              </w:rPr>
              <w:t>及装卸记录仪或者定位终端设备；</w:t>
            </w:r>
          </w:p>
          <w:p w14:paraId="378DCA38">
            <w:pPr>
              <w:adjustRightInd w:val="0"/>
              <w:snapToGrid w:val="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C.除泥、冲洗干净后方可驶出作业场所；装载的建筑垃圾不得超过车厢挡板高度，运输途中的建筑垃圾不得沿途泄漏、散落或者飞扬。</w:t>
            </w:r>
          </w:p>
          <w:p w14:paraId="372EC7B2">
            <w:pPr>
              <w:adjustRightInd w:val="0"/>
              <w:snapToGrid w:val="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施工期为了抑制扬尘，</w:t>
            </w:r>
            <w:r>
              <w:rPr>
                <w:rFonts w:hint="default" w:ascii="Times New Roman" w:hAnsi="Times New Roman" w:cs="Times New Roman"/>
                <w:color w:val="000000" w:themeColor="text1"/>
                <w:lang w:val="en-US" w:eastAsia="zh-CN"/>
                <w14:textFill>
                  <w14:solidFill>
                    <w14:schemeClr w14:val="tx1"/>
                  </w14:solidFill>
                </w14:textFill>
              </w:rPr>
              <w:t>对项目进行</w:t>
            </w:r>
            <w:r>
              <w:rPr>
                <w:rFonts w:hint="default" w:ascii="Times New Roman" w:hAnsi="Times New Roman" w:cs="Times New Roman"/>
                <w:color w:val="000000" w:themeColor="text1"/>
                <w14:textFill>
                  <w14:solidFill>
                    <w14:schemeClr w14:val="tx1"/>
                  </w14:solidFill>
                </w14:textFill>
              </w:rPr>
              <w:t>如下所示：</w:t>
            </w:r>
          </w:p>
          <w:p w14:paraId="00D23526">
            <w:pPr>
              <w:adjustRightInd w:val="0"/>
              <w:snapToGrid w:val="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①施工现场及项目部周围均设封闭围挡。</w:t>
            </w:r>
          </w:p>
          <w:p w14:paraId="5D0FD3F2">
            <w:pPr>
              <w:adjustRightInd w:val="0"/>
              <w:snapToGrid w:val="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②施工中采取边开挖边遮盖，对开挖面、土方、砂石料等裸露部分采用遮阳网覆盖，并采用抑尘车、喷淋系统随时洒水抑尘，保持湿润无扬尘。</w:t>
            </w:r>
          </w:p>
          <w:p w14:paraId="23B1BB5B">
            <w:pPr>
              <w:adjustRightInd w:val="0"/>
              <w:snapToGrid w:val="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③施工路段原路面为沥青混凝土路面，符合硬化的要求，施工过程中指派专人对路面清扫保洁，定期开启喷淋系统随时洒水保湿，防止产生扬尘。</w:t>
            </w:r>
          </w:p>
          <w:p w14:paraId="5354F2C3">
            <w:pPr>
              <w:adjustRightInd w:val="0"/>
              <w:snapToGrid w:val="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④施工现场</w:t>
            </w:r>
            <w:r>
              <w:rPr>
                <w:rFonts w:hint="default" w:ascii="Times New Roman" w:hAnsi="Times New Roman" w:cs="Times New Roman"/>
                <w:color w:val="000000" w:themeColor="text1"/>
                <w:lang w:val="en-US" w:eastAsia="zh-CN"/>
                <w14:textFill>
                  <w14:solidFill>
                    <w14:schemeClr w14:val="tx1"/>
                  </w14:solidFill>
                </w14:textFill>
              </w:rPr>
              <w:t>按照</w:t>
            </w:r>
            <w:r>
              <w:rPr>
                <w:rFonts w:hint="default" w:ascii="Times New Roman" w:hAnsi="Times New Roman" w:cs="Times New Roman"/>
                <w:color w:val="000000" w:themeColor="text1"/>
                <w14:textFill>
                  <w14:solidFill>
                    <w14:schemeClr w14:val="tx1"/>
                  </w14:solidFill>
                </w14:textFill>
              </w:rPr>
              <w:t>施工</w:t>
            </w:r>
            <w:r>
              <w:rPr>
                <w:rFonts w:hint="default" w:ascii="Times New Roman" w:hAnsi="Times New Roman" w:cs="Times New Roman"/>
                <w:color w:val="000000" w:themeColor="text1"/>
                <w:lang w:val="en-US" w:eastAsia="zh-CN"/>
                <w14:textFill>
                  <w14:solidFill>
                    <w14:schemeClr w14:val="tx1"/>
                  </w14:solidFill>
                </w14:textFill>
              </w:rPr>
              <w:t>分段</w:t>
            </w:r>
            <w:r>
              <w:rPr>
                <w:rFonts w:hint="default" w:ascii="Times New Roman" w:hAnsi="Times New Roman" w:cs="Times New Roman"/>
                <w:color w:val="000000" w:themeColor="text1"/>
                <w14:textFill>
                  <w14:solidFill>
                    <w14:schemeClr w14:val="tx1"/>
                  </w14:solidFill>
                </w14:textFill>
              </w:rPr>
              <w:t>配备抑尘车（雾炮机），结合喷淋系统在土方挖运、回填全过程洒水抑尘，进行湿法作业。</w:t>
            </w:r>
          </w:p>
          <w:p w14:paraId="4363EEDE">
            <w:pPr>
              <w:adjustRightInd w:val="0"/>
              <w:snapToGrid w:val="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⑤施工区出入口处设洗车台</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出工地运输车辆冲净无撒漏。由工地驶出车辆必须用苫布对厢体所运渣土遮盖严实，并在洗车台对前后左右轮胎冲洗干净后，方能驶入市政道路。车辆冲洗后的污水经沉淀池处理后回收利用于现场洒水抑尘，并定期对沉淀池进行清掏。</w:t>
            </w:r>
          </w:p>
          <w:p w14:paraId="741F5350">
            <w:pPr>
              <w:adjustRightInd w:val="0"/>
              <w:snapToGrid w:val="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⑥施工现场裸露场地采用遮阳网进行覆盖，并随时洒水抑尘。工程建设过程中产生的建筑垃圾和生活垃圾，堆放时间不得超过三天，堆放期间应全遮盖，无污染。清运时按批准路线和时限，并采取相应抑尘和密闭措施。</w:t>
            </w:r>
          </w:p>
          <w:p w14:paraId="1750B4D7">
            <w:pPr>
              <w:pStyle w:val="5"/>
              <w:spacing w:before="0" w:after="0" w:line="360" w:lineRule="auto"/>
              <w:ind w:firstLine="482"/>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2</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水污染防治措施</w:t>
            </w:r>
          </w:p>
          <w:p w14:paraId="109DE064">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工程施工期间，施工单位应严格按照生态环境保护相关要求，采取如下水污染防治措施：</w:t>
            </w:r>
          </w:p>
          <w:p w14:paraId="17371E83">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（1）在施工场地设置沉淀池，施工期间施工废水经过沉淀池处理后，回用到工程建设中或用于洒水降尘，禁止直接排放到周边水体中。</w:t>
            </w:r>
          </w:p>
          <w:p w14:paraId="574E6581">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（2）施工机械及车轮清洗废水应进行简单的沉淀后，作为道路防尘或绿化用水；禁止在场地内设置维修区，设备及车辆的维修需到专业的维修点进行。</w:t>
            </w:r>
          </w:p>
          <w:p w14:paraId="302FF684">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（3）施工时产生的泥浆水及冲孔钻孔产生的泥浆未经处理不得随意排放，不得直接倾倒。在回填土堆场、施工泥浆产生点应设置临时沉砂池，泥浆水经沉砂池沉淀后回用。</w:t>
            </w:r>
          </w:p>
          <w:p w14:paraId="47283995">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（4）施工期间应避开雨天施工，减少雨水对施工面的冲刷，减少施工废水产生量和排放量。</w:t>
            </w:r>
          </w:p>
          <w:p w14:paraId="7F97C247">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（5）洒水时应注意水量适当，避免产生泥水；进出车辆冲洗时应设置在指定地点，冲洗点周围设置含水沟，避免泥水外溢。</w:t>
            </w:r>
          </w:p>
          <w:p w14:paraId="30F83145">
            <w:pPr>
              <w:pStyle w:val="5"/>
              <w:spacing w:before="0" w:after="0" w:line="360" w:lineRule="auto"/>
              <w:ind w:firstLine="482"/>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3</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噪声污染防治措施</w:t>
            </w:r>
          </w:p>
          <w:p w14:paraId="0CEFFB4F">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施工区噪声主要来源于交通车辆和施工机械噪声。控制噪声污染，需做好以下几个方面的工作：</w:t>
            </w:r>
          </w:p>
          <w:p w14:paraId="67F5B11E">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（1）各施工单位要合理安排工期，做好申报登记，并采取必要的降噪防噪措施。</w:t>
            </w:r>
          </w:p>
          <w:p w14:paraId="0DF9311F">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（2）施工过程中要选用低噪声设备，对机械设备精心养护，保持良好的运行工况，降低设备运行噪声。</w:t>
            </w:r>
          </w:p>
          <w:p w14:paraId="4D6C70C1">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（3）对混凝土搅拌机、推土机、挖土机等高噪声环境下作业人员实行轮班制，每人每天工作时间不超过6小时；并发放耳塞等劳保用品，减轻噪声危害。</w:t>
            </w:r>
          </w:p>
          <w:p w14:paraId="1EA706BA">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（4）各施工点要对施工噪声进行监测，根据施工项目和周围环境敏感情况设立监测点，监测昼夜间噪声值，并根据监测结果调整施工节奏和声屏障位置。</w:t>
            </w:r>
          </w:p>
          <w:p w14:paraId="7B9E91E9">
            <w:pPr>
              <w:pStyle w:val="5"/>
              <w:spacing w:before="0" w:after="0" w:line="377" w:lineRule="auto"/>
              <w:ind w:firstLine="482"/>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4</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固体废物污染防治措施</w:t>
            </w:r>
          </w:p>
          <w:p w14:paraId="624DC282">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（1）表土应采取回填、回用等措施，实现土石方平衡，不得随意丢弃；</w:t>
            </w:r>
          </w:p>
          <w:p w14:paraId="110EE6A0">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（2）生活垃圾采用垃圾桶收集，定期送</w:t>
            </w:r>
            <w:r>
              <w:rPr>
                <w:rFonts w:hint="default" w:ascii="Times New Roman" w:hAnsi="Times New Roman" w:cs="Times New Roman"/>
                <w:color w:val="000000" w:themeColor="text1"/>
                <w:lang w:val="en-US" w:eastAsia="zh-CN"/>
                <w14:textFill>
                  <w14:solidFill>
                    <w14:schemeClr w14:val="tx1"/>
                  </w14:solidFill>
                </w14:textFill>
              </w:rPr>
              <w:t>附近城镇垃圾转运站集中处理，不得随意丢弃</w:t>
            </w:r>
            <w:r>
              <w:rPr>
                <w:rFonts w:hint="default" w:ascii="Times New Roman" w:hAnsi="Times New Roman" w:cs="Times New Roman"/>
                <w:color w:val="000000" w:themeColor="text1"/>
                <w14:textFill>
                  <w14:solidFill>
                    <w14:schemeClr w14:val="tx1"/>
                  </w14:solidFill>
                </w14:textFill>
              </w:rPr>
              <w:t>；</w:t>
            </w:r>
          </w:p>
          <w:p w14:paraId="305011D0">
            <w:pPr>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（3）对于施工建筑垃圾进行分类回收综合利用，不能利用的建筑垃圾及装修垃圾送指定的合法的建筑垃圾场处置。</w:t>
            </w:r>
          </w:p>
          <w:p w14:paraId="250ECCF6">
            <w:pPr>
              <w:pStyle w:val="5"/>
              <w:spacing w:before="0" w:after="0" w:line="377" w:lineRule="auto"/>
              <w:ind w:firstLine="482"/>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5</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生态环境影响防治措施</w:t>
            </w:r>
          </w:p>
          <w:p w14:paraId="156A56E2">
            <w:pPr>
              <w:autoSpaceDE w:val="0"/>
              <w:autoSpaceDN w:val="0"/>
              <w:adjustRightInd w:val="0"/>
              <w:ind w:firstLine="480"/>
              <w:rPr>
                <w:rFonts w:hint="default" w:ascii="Times New Roman" w:hAnsi="Times New Roman" w:cs="Times New Roman"/>
                <w:b/>
                <w:bCs/>
                <w:color w:val="000000" w:themeColor="text1"/>
                <w:kern w:val="0"/>
                <w:lang w:val="en-US" w:eastAsia="zh-CN"/>
                <w14:textFill>
                  <w14:solidFill>
                    <w14:schemeClr w14:val="tx1"/>
                  </w14:solidFill>
                </w14:textFill>
              </w:rPr>
            </w:pPr>
            <w:r>
              <w:rPr>
                <w:rFonts w:hint="default" w:ascii="Times New Roman" w:hAnsi="Times New Roman" w:cs="Times New Roman"/>
                <w:b/>
                <w:bCs/>
                <w:color w:val="000000" w:themeColor="text1"/>
                <w:kern w:val="0"/>
                <w:lang w:val="en-US" w:eastAsia="zh-CN"/>
                <w14:textFill>
                  <w14:solidFill>
                    <w14:schemeClr w14:val="tx1"/>
                  </w14:solidFill>
                </w14:textFill>
              </w:rPr>
              <w:t>5.1 生态绿化</w:t>
            </w:r>
          </w:p>
          <w:p w14:paraId="734D64BF">
            <w:pPr>
              <w:ind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按施工计划，对施工完毕的</w:t>
            </w:r>
            <w:r>
              <w:rPr>
                <w:rFonts w:hint="default" w:ascii="Times New Roman" w:hAnsi="Times New Roman" w:cs="Times New Roman"/>
                <w:color w:val="000000" w:themeColor="text1"/>
                <w:lang w:val="en-US" w:eastAsia="zh-CN"/>
                <w14:textFill>
                  <w14:solidFill>
                    <w14:schemeClr w14:val="tx1"/>
                  </w14:solidFill>
                </w14:textFill>
              </w:rPr>
              <w:t>区域</w:t>
            </w:r>
            <w:r>
              <w:rPr>
                <w:rFonts w:hint="default" w:ascii="Times New Roman" w:hAnsi="Times New Roman" w:eastAsia="宋体" w:cs="Times New Roman"/>
                <w:color w:val="000000" w:themeColor="text1"/>
                <w14:textFill>
                  <w14:solidFill>
                    <w14:schemeClr w14:val="tx1"/>
                  </w14:solidFill>
                </w14:textFill>
              </w:rPr>
              <w:t>进行乔灌草立体绿化，并补偿因施工而清 除的植被。</w:t>
            </w:r>
          </w:p>
          <w:p w14:paraId="54BDAEC3">
            <w:pPr>
              <w:autoSpaceDE w:val="0"/>
              <w:autoSpaceDN w:val="0"/>
              <w:adjustRightInd w:val="0"/>
              <w:ind w:firstLine="480"/>
              <w:rPr>
                <w:rFonts w:hint="default" w:ascii="Times New Roman" w:hAnsi="Times New Roman" w:eastAsia="宋体" w:cs="Times New Roman"/>
                <w:b/>
                <w:bCs/>
                <w:color w:val="000000" w:themeColor="text1"/>
                <w:kern w:val="0"/>
                <w:lang w:val="en-US" w:eastAsia="zh-CN"/>
                <w14:textFill>
                  <w14:solidFill>
                    <w14:schemeClr w14:val="tx1"/>
                  </w14:solidFill>
                </w14:textFill>
              </w:rPr>
            </w:pPr>
            <w:r>
              <w:rPr>
                <w:rFonts w:hint="default" w:ascii="Times New Roman" w:hAnsi="Times New Roman" w:eastAsia="宋体" w:cs="Times New Roman"/>
                <w:b/>
                <w:bCs/>
                <w:color w:val="000000" w:themeColor="text1"/>
                <w:kern w:val="0"/>
                <w:lang w:val="en-US" w:eastAsia="zh-CN"/>
                <w14:textFill>
                  <w14:solidFill>
                    <w14:schemeClr w14:val="tx1"/>
                  </w14:solidFill>
                </w14:textFill>
              </w:rPr>
              <w:t>5.2 景观打造</w:t>
            </w:r>
          </w:p>
          <w:p w14:paraId="102B6426">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垃圾收集</w:t>
            </w:r>
            <w:r>
              <w:rPr>
                <w:rFonts w:hint="default" w:ascii="Times New Roman" w:hAnsi="Times New Roman" w:eastAsia="宋体" w:cs="Times New Roman"/>
                <w:color w:val="000000" w:themeColor="text1"/>
                <w:lang w:val="en-US" w:eastAsia="zh-CN"/>
                <w14:textFill>
                  <w14:solidFill>
                    <w14:schemeClr w14:val="tx1"/>
                  </w14:solidFill>
                </w14:textFill>
              </w:rPr>
              <w:t>设施的</w:t>
            </w:r>
            <w:r>
              <w:rPr>
                <w:rFonts w:hint="default" w:ascii="Times New Roman" w:hAnsi="Times New Roman" w:eastAsia="宋体" w:cs="Times New Roman"/>
                <w:color w:val="000000" w:themeColor="text1"/>
                <w14:textFill>
                  <w14:solidFill>
                    <w14:schemeClr w14:val="tx1"/>
                  </w14:solidFill>
                </w14:textFill>
              </w:rPr>
              <w:t>造型、颜色尽可能与环境相融。各建筑外观</w:t>
            </w:r>
            <w:r>
              <w:rPr>
                <w:rFonts w:hint="default" w:ascii="Times New Roman" w:hAnsi="Times New Roman" w:eastAsia="宋体" w:cs="Times New Roman"/>
                <w:color w:val="000000" w:themeColor="text1"/>
                <w:lang w:val="en-US" w:eastAsia="zh-CN"/>
                <w14:textFill>
                  <w14:solidFill>
                    <w14:schemeClr w14:val="tx1"/>
                  </w14:solidFill>
                </w14:textFill>
              </w:rPr>
              <w:t>尽可能与当地自然环境相和谐</w:t>
            </w:r>
            <w:r>
              <w:rPr>
                <w:rFonts w:hint="default" w:ascii="Times New Roman" w:hAnsi="Times New Roman" w:eastAsia="宋体" w:cs="Times New Roman"/>
                <w:color w:val="000000" w:themeColor="text1"/>
                <w14:textFill>
                  <w14:solidFill>
                    <w14:schemeClr w14:val="tx1"/>
                  </w14:solidFill>
                </w14:textFill>
              </w:rPr>
              <w:t>。供电线路、供水、排水管线设施埋地敷设，不破坏自然景观。 防止出现高楼大厦，各建筑外表不设置霓红灯装饰，防止出现城市景观。</w:t>
            </w:r>
          </w:p>
          <w:p w14:paraId="481282EE">
            <w:pPr>
              <w:autoSpaceDE w:val="0"/>
              <w:autoSpaceDN w:val="0"/>
              <w:adjustRightInd w:val="0"/>
              <w:ind w:firstLine="480"/>
              <w:rPr>
                <w:rFonts w:hint="default" w:ascii="Times New Roman" w:hAnsi="Times New Roman" w:cs="Times New Roman"/>
                <w:b/>
                <w:bCs/>
                <w:color w:val="000000" w:themeColor="text1"/>
                <w:kern w:val="0"/>
                <w:lang w:val="en-US" w:eastAsia="zh-CN"/>
                <w14:textFill>
                  <w14:solidFill>
                    <w14:schemeClr w14:val="tx1"/>
                  </w14:solidFill>
                </w14:textFill>
              </w:rPr>
            </w:pPr>
            <w:r>
              <w:rPr>
                <w:rFonts w:hint="default" w:ascii="Times New Roman" w:hAnsi="Times New Roman" w:cs="Times New Roman"/>
                <w:b/>
                <w:bCs/>
                <w:color w:val="000000" w:themeColor="text1"/>
                <w:kern w:val="0"/>
                <w:lang w:val="en-US" w:eastAsia="zh-CN"/>
                <w14:textFill>
                  <w14:solidFill>
                    <w14:schemeClr w14:val="tx1"/>
                  </w14:solidFill>
                </w14:textFill>
              </w:rPr>
              <w:t>5.3 水土流失预防和治理措施</w:t>
            </w:r>
          </w:p>
          <w:p w14:paraId="2BFB1BF6">
            <w:pPr>
              <w:autoSpaceDE w:val="0"/>
              <w:autoSpaceDN w:val="0"/>
              <w:adjustRightInd w:val="0"/>
              <w:ind w:firstLine="480"/>
              <w:rPr>
                <w:rFonts w:hint="default" w:ascii="Times New Roman" w:hAnsi="Times New Roman" w:eastAsia="宋体" w:cs="Times New Roman"/>
                <w:color w:val="000000" w:themeColor="text1"/>
                <w:kern w:val="0"/>
                <w:lang w:val="en-US" w:eastAsia="zh-CN"/>
                <w14:textFill>
                  <w14:solidFill>
                    <w14:schemeClr w14:val="tx1"/>
                  </w14:solidFill>
                </w14:textFill>
              </w:rPr>
            </w:pPr>
            <w:r>
              <w:rPr>
                <w:rFonts w:hint="default" w:ascii="Times New Roman" w:hAnsi="Times New Roman" w:eastAsia="宋体" w:cs="Times New Roman"/>
                <w:color w:val="000000" w:themeColor="text1"/>
                <w:kern w:val="0"/>
                <w:lang w:val="en-US" w:eastAsia="zh-CN"/>
                <w14:textFill>
                  <w14:solidFill>
                    <w14:schemeClr w14:val="tx1"/>
                  </w14:solidFill>
                </w14:textFill>
              </w:rPr>
              <w:t>施工过程尽量减少开挖面积，施工过程中应边开挖、边回填、边碾压、边  设置截排水沟和护坡等措施。尽量缩短施工工期，减少疏松地面的裸露时间，  合理安排施工时间，尽量避开雨季和汛期。对开挖边坡、回填边坡的防护工程， 应在达到设计稳定边坡后迅速进行防护，同时做好坡面、坡脚排水，施工一处， 保护一处。施工活动在划定的施工区域和通道范围，严禁越界施工。</w:t>
            </w:r>
          </w:p>
          <w:p w14:paraId="365C05CC">
            <w:pPr>
              <w:autoSpaceDE w:val="0"/>
              <w:autoSpaceDN w:val="0"/>
              <w:adjustRightInd w:val="0"/>
              <w:ind w:firstLine="480"/>
              <w:rPr>
                <w:rFonts w:hint="default" w:ascii="Times New Roman" w:hAnsi="Times New Roman" w:eastAsia="宋体" w:cs="Times New Roman"/>
                <w:color w:val="000000" w:themeColor="text1"/>
                <w:kern w:val="0"/>
                <w:lang w:val="en-US" w:eastAsia="zh-CN"/>
                <w14:textFill>
                  <w14:solidFill>
                    <w14:schemeClr w14:val="tx1"/>
                  </w14:solidFill>
                </w14:textFill>
              </w:rPr>
            </w:pPr>
            <w:r>
              <w:rPr>
                <w:rFonts w:hint="default" w:ascii="Times New Roman" w:hAnsi="Times New Roman" w:eastAsia="宋体" w:cs="Times New Roman"/>
                <w:color w:val="000000" w:themeColor="text1"/>
                <w:kern w:val="0"/>
                <w:lang w:val="en-US" w:eastAsia="zh-CN"/>
                <w14:textFill>
                  <w14:solidFill>
                    <w14:schemeClr w14:val="tx1"/>
                  </w14:solidFill>
                </w14:textFill>
              </w:rPr>
              <w:t>具体水保措施有截排水沟、土地整治、绿化等工程措施，临时措施有沉淀 池、覆盖、拦挡、减少扰动面积等措施。</w:t>
            </w:r>
          </w:p>
          <w:p w14:paraId="0F56BDE7">
            <w:pPr>
              <w:autoSpaceDE w:val="0"/>
              <w:autoSpaceDN w:val="0"/>
              <w:adjustRightInd w:val="0"/>
              <w:ind w:firstLine="480"/>
              <w:rPr>
                <w:rFonts w:hint="default" w:ascii="Times New Roman" w:hAnsi="Times New Roman" w:eastAsia="宋体" w:cs="Times New Roman"/>
                <w:b/>
                <w:bCs/>
                <w:color w:val="000000" w:themeColor="text1"/>
                <w:kern w:val="0"/>
                <w:lang w:val="en-US" w:eastAsia="zh-CN"/>
                <w14:textFill>
                  <w14:solidFill>
                    <w14:schemeClr w14:val="tx1"/>
                  </w14:solidFill>
                </w14:textFill>
              </w:rPr>
            </w:pPr>
            <w:r>
              <w:rPr>
                <w:rFonts w:hint="default" w:ascii="Times New Roman" w:hAnsi="Times New Roman" w:cs="Times New Roman"/>
                <w:b/>
                <w:bCs/>
                <w:color w:val="000000" w:themeColor="text1"/>
                <w:kern w:val="0"/>
                <w:lang w:val="en-US" w:eastAsia="zh-CN"/>
                <w14:textFill>
                  <w14:solidFill>
                    <w14:schemeClr w14:val="tx1"/>
                  </w14:solidFill>
                </w14:textFill>
              </w:rPr>
              <w:t xml:space="preserve">5.4 </w:t>
            </w:r>
            <w:r>
              <w:rPr>
                <w:rFonts w:hint="default" w:ascii="Times New Roman" w:hAnsi="Times New Roman" w:eastAsia="宋体" w:cs="Times New Roman"/>
                <w:b/>
                <w:bCs/>
                <w:color w:val="000000" w:themeColor="text1"/>
                <w:kern w:val="0"/>
                <w:lang w:val="en-US" w:eastAsia="zh-CN"/>
                <w14:textFill>
                  <w14:solidFill>
                    <w14:schemeClr w14:val="tx1"/>
                  </w14:solidFill>
                </w14:textFill>
              </w:rPr>
              <w:t>土壤环境保护措施</w:t>
            </w:r>
          </w:p>
          <w:p w14:paraId="6478196E">
            <w:pPr>
              <w:autoSpaceDE w:val="0"/>
              <w:autoSpaceDN w:val="0"/>
              <w:adjustRightInd w:val="0"/>
              <w:ind w:firstLine="480"/>
              <w:rPr>
                <w:rFonts w:hint="default" w:ascii="Times New Roman" w:hAnsi="Times New Roman" w:eastAsia="宋体" w:cs="Times New Roman"/>
                <w:color w:val="000000" w:themeColor="text1"/>
                <w:kern w:val="0"/>
                <w:lang w:val="en-US" w:eastAsia="zh-CN"/>
                <w14:textFill>
                  <w14:solidFill>
                    <w14:schemeClr w14:val="tx1"/>
                  </w14:solidFill>
                </w14:textFill>
              </w:rPr>
            </w:pPr>
            <w:r>
              <w:rPr>
                <w:rFonts w:hint="default" w:ascii="Times New Roman" w:hAnsi="Times New Roman" w:eastAsia="宋体" w:cs="Times New Roman"/>
                <w:color w:val="000000" w:themeColor="text1"/>
                <w:kern w:val="0"/>
                <w:lang w:val="en-US" w:eastAsia="zh-CN"/>
                <w14:textFill>
                  <w14:solidFill>
                    <w14:schemeClr w14:val="tx1"/>
                  </w14:solidFill>
                </w14:textFill>
              </w:rPr>
              <w:t>施工土方工程量大，工程取土应本着经济、合理的原则，在工程位置就近的管理用地范围之内取土，工程竣工后，取土场须做平整处理。施工中应加强施工管理，尽量缩小施工范围，各种施工活动应严格控制在施工区域内，尽可能地不破坏原有的地表植被和土壤。待施工完毕，应尽快整理现场，将表土覆盖在原地表，以恢复植被。</w:t>
            </w:r>
          </w:p>
          <w:p w14:paraId="214ADB2A">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6 生态环境监测计划</w:t>
            </w:r>
          </w:p>
          <w:p w14:paraId="7B6D5398">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kern w:val="0"/>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w:t>
            </w:r>
            <w:r>
              <w:rPr>
                <w:rFonts w:hint="default" w:ascii="Times New Roman" w:hAnsi="Times New Roman" w:eastAsia="宋体" w:cs="Times New Roman"/>
                <w:color w:val="000000" w:themeColor="text1"/>
                <w:lang w:eastAsia="zh-CN"/>
                <w14:textFill>
                  <w14:solidFill>
                    <w14:schemeClr w14:val="tx1"/>
                  </w14:solidFill>
                </w14:textFill>
              </w:rPr>
              <w:t>建设过程中可能对环境造成不利影响</w:t>
            </w:r>
            <w:r>
              <w:rPr>
                <w:rFonts w:hint="default" w:ascii="Times New Roman" w:hAnsi="Times New Roman" w:eastAsia="宋体" w:cs="Times New Roman"/>
                <w:color w:val="000000" w:themeColor="text1"/>
                <w14:textFill>
                  <w14:solidFill>
                    <w14:schemeClr w14:val="tx1"/>
                  </w14:solidFill>
                </w14:textFill>
              </w:rPr>
              <w:t>。因此，为</w:t>
            </w:r>
            <w:r>
              <w:rPr>
                <w:rFonts w:hint="default" w:ascii="Times New Roman" w:hAnsi="Times New Roman" w:eastAsia="宋体" w:cs="Times New Roman"/>
                <w:color w:val="000000" w:themeColor="text1"/>
                <w:lang w:eastAsia="zh-CN"/>
                <w14:textFill>
                  <w14:solidFill>
                    <w14:schemeClr w14:val="tx1"/>
                  </w14:solidFill>
                </w14:textFill>
              </w:rPr>
              <w:t>保护环境</w:t>
            </w:r>
            <w:r>
              <w:rPr>
                <w:rFonts w:hint="default" w:ascii="Times New Roman" w:hAnsi="Times New Roman" w:eastAsia="宋体" w:cs="Times New Roman"/>
                <w:color w:val="000000" w:themeColor="text1"/>
                <w14:textFill>
                  <w14:solidFill>
                    <w14:schemeClr w14:val="tx1"/>
                  </w14:solidFill>
                </w14:textFill>
              </w:rPr>
              <w:t>，确保</w:t>
            </w:r>
            <w:r>
              <w:rPr>
                <w:rFonts w:hint="default" w:ascii="Times New Roman" w:hAnsi="Times New Roman" w:eastAsia="宋体" w:cs="Times New Roman"/>
                <w:color w:val="000000" w:themeColor="text1"/>
                <w:lang w:eastAsia="zh-CN"/>
                <w14:textFill>
                  <w14:solidFill>
                    <w14:schemeClr w14:val="tx1"/>
                  </w14:solidFill>
                </w14:textFill>
              </w:rPr>
              <w:t>施工建设不会对周边生态环境造成较大影响</w:t>
            </w:r>
            <w:r>
              <w:rPr>
                <w:rFonts w:hint="default" w:ascii="Times New Roman" w:hAnsi="Times New Roman" w:eastAsia="宋体" w:cs="Times New Roman"/>
                <w:color w:val="000000" w:themeColor="text1"/>
                <w14:textFill>
                  <w14:solidFill>
                    <w14:schemeClr w14:val="tx1"/>
                  </w14:solidFill>
                </w14:textFill>
              </w:rPr>
              <w:t>，本项目制定</w:t>
            </w:r>
            <w:r>
              <w:rPr>
                <w:rFonts w:hint="default" w:ascii="Times New Roman" w:hAnsi="Times New Roman" w:eastAsia="宋体" w:cs="Times New Roman"/>
                <w:color w:val="000000" w:themeColor="text1"/>
                <w:lang w:eastAsia="zh-CN"/>
                <w14:textFill>
                  <w14:solidFill>
                    <w14:schemeClr w14:val="tx1"/>
                  </w14:solidFill>
                </w14:textFill>
              </w:rPr>
              <w:t>施工期</w:t>
            </w:r>
            <w:r>
              <w:rPr>
                <w:rFonts w:hint="default" w:ascii="Times New Roman" w:hAnsi="Times New Roman" w:eastAsia="宋体" w:cs="Times New Roman"/>
                <w:color w:val="000000" w:themeColor="text1"/>
                <w14:textFill>
                  <w14:solidFill>
                    <w14:schemeClr w14:val="tx1"/>
                  </w14:solidFill>
                </w14:textFill>
              </w:rPr>
              <w:t>生态环境监测计划。</w:t>
            </w:r>
          </w:p>
        </w:tc>
      </w:tr>
      <w:tr w14:paraId="2299E09B">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28" w:type="dxa"/>
            <w:left w:w="28" w:type="dxa"/>
            <w:bottom w:w="28" w:type="dxa"/>
            <w:right w:w="28" w:type="dxa"/>
          </w:tblCellMar>
        </w:tblPrEx>
        <w:trPr>
          <w:trHeight w:val="0" w:hRule="atLeast"/>
        </w:trPr>
        <w:tc>
          <w:tcPr>
            <w:tcW w:w="235" w:type="pct"/>
            <w:noWrap w:val="0"/>
            <w:tcMar>
              <w:left w:w="28" w:type="dxa"/>
              <w:right w:w="28" w:type="dxa"/>
            </w:tcMar>
            <w:vAlign w:val="center"/>
          </w:tcPr>
          <w:p w14:paraId="14A5414E">
            <w:pPr>
              <w:adjustRightInd w:val="0"/>
              <w:snapToGrid w:val="0"/>
              <w:ind w:firstLine="0" w:firstLineChars="0"/>
              <w:jc w:val="center"/>
              <w:rPr>
                <w:rFonts w:hint="default" w:ascii="Times New Roman" w:hAnsi="Times New Roman" w:cs="Times New Roman"/>
                <w:bCs/>
                <w:color w:val="000000" w:themeColor="text1"/>
                <w:spacing w:val="10"/>
                <w:szCs w:val="21"/>
                <w14:textFill>
                  <w14:solidFill>
                    <w14:schemeClr w14:val="tx1"/>
                  </w14:solidFill>
                </w14:textFill>
              </w:rPr>
            </w:pPr>
            <w:r>
              <w:rPr>
                <w:rFonts w:hint="default" w:ascii="Times New Roman" w:hAnsi="Times New Roman" w:cs="Times New Roman"/>
                <w:bCs/>
                <w:color w:val="000000" w:themeColor="text1"/>
                <w:spacing w:val="10"/>
                <w14:textFill>
                  <w14:solidFill>
                    <w14:schemeClr w14:val="tx1"/>
                  </w14:solidFill>
                </w14:textFill>
              </w:rPr>
              <w:t>运营期生态环境保护措施</w:t>
            </w:r>
          </w:p>
        </w:tc>
        <w:tc>
          <w:tcPr>
            <w:tcW w:w="4764" w:type="pct"/>
            <w:noWrap w:val="0"/>
            <w:vAlign w:val="top"/>
          </w:tcPr>
          <w:p w14:paraId="31E2DA9D">
            <w:pPr>
              <w:pStyle w:val="5"/>
              <w:spacing w:before="0" w:after="0" w:line="360" w:lineRule="auto"/>
              <w:ind w:firstLine="482"/>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噪声的防治措施</w:t>
            </w:r>
          </w:p>
          <w:p w14:paraId="288D54B2">
            <w:pPr>
              <w:pStyle w:val="5"/>
              <w:spacing w:before="0" w:after="0" w:line="360" w:lineRule="auto"/>
              <w:ind w:firstLine="482"/>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（1）设备噪声：</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设备选型时，优先选用振动小、低噪声设备；②对上述设备设置基础减震，安装减振、隔振材料（如减振垫、复合减振器等）；③建立设备定期维护、保养的管理制度，确保设备处于良好的运转状态，杜绝因设备不正常运转时产生的高噪声现象。</w:t>
            </w:r>
          </w:p>
          <w:p w14:paraId="3ED73BB0">
            <w:pPr>
              <w:pStyle w:val="5"/>
              <w:spacing w:before="0" w:after="0" w:line="360" w:lineRule="auto"/>
              <w:ind w:firstLine="482"/>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（2）车辆行驶噪声：</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加强内部管理，在项目区出入口及中医康养中心附近设置</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禁止鸣笛标识牌</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及指引标识；</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项目区内旅游车辆选用电动车</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p>
          <w:p w14:paraId="76037134">
            <w:pPr>
              <w:pStyle w:val="5"/>
              <w:numPr>
                <w:ilvl w:val="0"/>
                <w:numId w:val="0"/>
              </w:numPr>
              <w:spacing w:before="0" w:after="0" w:line="360" w:lineRule="auto"/>
              <w:ind w:left="482" w:leftChars="0"/>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（3）人群活动噪声：</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加强项目区内林木种植，可阻挡和衰减噪声影响。</w:t>
            </w:r>
          </w:p>
          <w:p w14:paraId="16A5B871">
            <w:pPr>
              <w:pStyle w:val="5"/>
              <w:spacing w:before="0" w:after="0" w:line="360" w:lineRule="auto"/>
              <w:ind w:firstLine="482"/>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2</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大气环境防治措施</w:t>
            </w:r>
          </w:p>
          <w:p w14:paraId="14FFADCC">
            <w:pPr>
              <w:autoSpaceDE w:val="0"/>
              <w:autoSpaceDN w:val="0"/>
              <w:adjustRightInd w:val="0"/>
              <w:ind w:firstLine="482"/>
              <w:jc w:val="both"/>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本项目运营期产生的废气主要为餐饮油烟和污水处理站恶臭。</w:t>
            </w:r>
          </w:p>
          <w:p w14:paraId="5C748DC8">
            <w:pPr>
              <w:pStyle w:val="5"/>
              <w:spacing w:before="0" w:after="0" w:line="360" w:lineRule="auto"/>
              <w:ind w:firstLine="482"/>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2.1 餐饮油烟</w:t>
            </w:r>
          </w:p>
          <w:p w14:paraId="40798AAE">
            <w:pPr>
              <w:autoSpaceDE w:val="0"/>
              <w:autoSpaceDN w:val="0"/>
              <w:adjustRightInd w:val="0"/>
              <w:ind w:firstLine="482"/>
              <w:jc w:val="both"/>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本项目厨房设置</w:t>
            </w:r>
            <w:r>
              <w:rPr>
                <w:rFonts w:hint="default" w:ascii="Times New Roman" w:hAnsi="Times New Roman" w:cs="Times New Roman"/>
                <w:bCs/>
                <w:color w:val="000000" w:themeColor="text1"/>
                <w:kern w:val="0"/>
                <w:highlight w:val="none"/>
                <w:lang w:val="en-US" w:eastAsia="zh-CN"/>
                <w14:textFill>
                  <w14:solidFill>
                    <w14:schemeClr w14:val="tx1"/>
                  </w14:solidFill>
                </w14:textFill>
              </w:rPr>
              <w:t>15</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个灶头，安装</w:t>
            </w:r>
            <w:r>
              <w:rPr>
                <w:rFonts w:hint="default" w:ascii="Times New Roman" w:hAnsi="Times New Roman" w:cs="Times New Roman"/>
                <w:bCs/>
                <w:color w:val="000000" w:themeColor="text1"/>
                <w:kern w:val="0"/>
                <w:highlight w:val="none"/>
                <w:lang w:val="en-US" w:eastAsia="zh-CN"/>
                <w14:textFill>
                  <w14:solidFill>
                    <w14:schemeClr w14:val="tx1"/>
                  </w14:solidFill>
                </w14:textFill>
              </w:rPr>
              <w:t>4</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台静电式油烟净化器，厨房产生的油烟经灶头上方集气罩收集后汇至静电式油烟净化器处理，处理后经专用烟道引至屋顶排气筒排放。静电式油烟净化器处理效率可达95%，处理后的油烟排放浓度能够满足《饮食业油烟排放标准》（试行）（GB18483-2001）对大型餐厅厨房油烟最高允许排放浓度2.0mg/m</w:t>
            </w:r>
            <w:r>
              <w:rPr>
                <w:rFonts w:hint="default" w:ascii="Times New Roman" w:hAnsi="Times New Roman" w:eastAsia="宋体" w:cs="Times New Roman"/>
                <w:bCs/>
                <w:color w:val="000000" w:themeColor="text1"/>
                <w:kern w:val="0"/>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、净化设施最低去除率85%的要求。</w:t>
            </w:r>
          </w:p>
          <w:p w14:paraId="74EC396A">
            <w:pPr>
              <w:pStyle w:val="45"/>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根据《饮食业环境保护技术规范》（HJ554-2010）及相应环保规定，对于食堂油烟净化装置、排放设计及建设时应满足以下要求：</w:t>
            </w:r>
          </w:p>
          <w:p w14:paraId="4378CB8A">
            <w:pPr>
              <w:pStyle w:val="45"/>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①厨房的炉灶、整箱、烤炉（箱）等加工设施上方应设集气罩，油烟气与热蒸汽的排风管道宜分别设置；油烟集气罩罩口投影面应大于灶台面，罩口下沿离地面高度宜取1.8-1.9m，罩口面风速不应小于0.6m/s；油烟净化装置应置于油烟排风机之前； 油烟排放口应设置监测口及监测平台；</w:t>
            </w:r>
          </w:p>
          <w:p w14:paraId="670CD183">
            <w:pPr>
              <w:pStyle w:val="45"/>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②食堂及住院楼建筑设计应预留运水烟罩、油烟净化处理装置和内置烟井的安装位置和尺寸；内置烟井应由隔热砖砌成，做好相应的保温、隔热、防漏等措施，内置烟井风速不应大于8m/s，避免烟气排放口产生明显的风噪；</w:t>
            </w:r>
          </w:p>
          <w:p w14:paraId="113714FA">
            <w:pPr>
              <w:pStyle w:val="45"/>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③加强油烟治理实施的运营维护，定期清理油烟净化装置，确保油烟处理装置高效稳定运行。</w:t>
            </w:r>
          </w:p>
          <w:p w14:paraId="24972A0C">
            <w:pPr>
              <w:autoSpaceDE w:val="0"/>
              <w:autoSpaceDN w:val="0"/>
              <w:adjustRightInd w:val="0"/>
              <w:ind w:firstLine="482"/>
              <w:jc w:val="both"/>
              <w:rPr>
                <w:rFonts w:hint="default" w:ascii="Times New Roman" w:hAnsi="Times New Roman" w:eastAsia="宋体" w:cs="Times New Roman"/>
                <w:b/>
                <w:color w:val="000000" w:themeColor="text1"/>
                <w:kern w:val="0"/>
                <w:lang w:val="en-US" w:eastAsia="zh-CN"/>
                <w14:textFill>
                  <w14:solidFill>
                    <w14:schemeClr w14:val="tx1"/>
                  </w14:solidFill>
                </w14:textFill>
              </w:rPr>
            </w:pPr>
            <w:r>
              <w:rPr>
                <w:rFonts w:hint="default" w:ascii="Times New Roman" w:hAnsi="Times New Roman" w:eastAsia="宋体" w:cs="Times New Roman"/>
                <w:b/>
                <w:color w:val="000000" w:themeColor="text1"/>
                <w:kern w:val="0"/>
                <w:lang w:val="en-US" w:eastAsia="zh-CN"/>
                <w14:textFill>
                  <w14:solidFill>
                    <w14:schemeClr w14:val="tx1"/>
                  </w14:solidFill>
                </w14:textFill>
              </w:rPr>
              <w:t>2.2 污水处理站恶臭</w:t>
            </w:r>
          </w:p>
          <w:p w14:paraId="74462870">
            <w:pPr>
              <w:autoSpaceDE w:val="0"/>
              <w:autoSpaceDN w:val="0"/>
              <w:adjustRightInd w:val="0"/>
              <w:ind w:firstLine="482"/>
              <w:jc w:val="both"/>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本项目配套建设1座地埋式污水处理站，全密闭设置，恶臭气体密闭收集后经活性炭吸附装置+15m高排气筒处理后达标排放，能满足《恶臭污染物排放标准》（GB14554-93）表2标准要求。</w:t>
            </w:r>
          </w:p>
          <w:p w14:paraId="7B1DA987">
            <w:pPr>
              <w:pStyle w:val="5"/>
              <w:spacing w:before="0" w:after="0" w:line="360" w:lineRule="auto"/>
              <w:ind w:firstLine="482"/>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3</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水环境保护措施</w:t>
            </w:r>
          </w:p>
          <w:p w14:paraId="6C3166ED">
            <w:pPr>
              <w:autoSpaceDE w:val="0"/>
              <w:autoSpaceDN w:val="0"/>
              <w:adjustRightInd w:val="0"/>
              <w:ind w:firstLine="482"/>
              <w:jc w:val="both"/>
              <w:rPr>
                <w:rFonts w:hint="default" w:ascii="Times New Roman" w:hAnsi="Times New Roman" w:cs="Times New Roman"/>
                <w:bCs/>
                <w:color w:val="000000" w:themeColor="text1"/>
                <w:kern w:val="0"/>
                <w:lang w:val="en-US" w:eastAsia="zh-CN"/>
                <w14:textFill>
                  <w14:solidFill>
                    <w14:schemeClr w14:val="tx1"/>
                  </w14:solidFill>
                </w14:textFill>
              </w:rPr>
            </w:pPr>
            <w:r>
              <w:rPr>
                <w:rFonts w:hint="default" w:ascii="Times New Roman" w:hAnsi="Times New Roman" w:cs="Times New Roman"/>
                <w:bCs/>
                <w:color w:val="000000" w:themeColor="text1"/>
                <w:kern w:val="0"/>
                <w:lang w:val="en-US" w:eastAsia="zh-CN"/>
                <w14:textFill>
                  <w14:solidFill>
                    <w14:schemeClr w14:val="tx1"/>
                  </w14:solidFill>
                </w14:textFill>
              </w:rPr>
              <w:t>本项目运营期废水主要为生活废水和医疗废水。本项目配套建设一座</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处理能力为150m</w:t>
            </w:r>
            <w:r>
              <w:rPr>
                <w:rFonts w:hint="default" w:ascii="Times New Roman" w:hAnsi="Times New Roman" w:eastAsia="宋体" w:cs="Times New Roman"/>
                <w:bCs/>
                <w:color w:val="000000" w:themeColor="text1"/>
                <w:kern w:val="0"/>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kern w:val="0"/>
                <w:highlight w:val="none"/>
                <w:lang w:val="en-US" w:eastAsia="zh-CN"/>
                <w14:textFill>
                  <w14:solidFill>
                    <w14:schemeClr w14:val="tx1"/>
                  </w14:solidFill>
                </w14:textFill>
              </w:rPr>
              <w:t>/d</w:t>
            </w:r>
            <w:r>
              <w:rPr>
                <w:rFonts w:hint="eastAsia" w:ascii="Times New Roman" w:hAnsi="Times New Roman" w:eastAsia="宋体" w:cs="Times New Roman"/>
                <w:bCs/>
                <w:color w:val="000000" w:themeColor="text1"/>
                <w:kern w:val="0"/>
                <w:highlight w:val="none"/>
                <w:lang w:val="en-US" w:eastAsia="zh-CN"/>
                <w14:textFill>
                  <w14:solidFill>
                    <w14:schemeClr w14:val="tx1"/>
                  </w14:solidFill>
                </w14:textFill>
              </w:rPr>
              <w:t>的</w:t>
            </w:r>
            <w:r>
              <w:rPr>
                <w:rFonts w:hint="default" w:ascii="Times New Roman" w:hAnsi="Times New Roman" w:cs="Times New Roman"/>
                <w:bCs/>
                <w:color w:val="000000" w:themeColor="text1"/>
                <w:kern w:val="0"/>
                <w:lang w:val="en-US" w:eastAsia="zh-CN"/>
                <w14:textFill>
                  <w14:solidFill>
                    <w14:schemeClr w14:val="tx1"/>
                  </w14:solidFill>
                </w14:textFill>
              </w:rPr>
              <w:t>地埋式污水处理站，采用“化粪池-格栅-调节池-缺氧池-生物接触氧化池+MBR池+消毒池”的处理工艺，消毒采用紫外线消毒，污水处理站安装流量在线监测仪。</w:t>
            </w:r>
          </w:p>
          <w:p w14:paraId="63BEFE53">
            <w:pPr>
              <w:autoSpaceDE w:val="0"/>
              <w:autoSpaceDN w:val="0"/>
              <w:adjustRightInd w:val="0"/>
              <w:ind w:firstLine="482"/>
              <w:jc w:val="both"/>
              <w:rPr>
                <w:rFonts w:hint="default" w:ascii="Times New Roman" w:hAnsi="Times New Roman" w:cs="Times New Roman"/>
                <w:bCs/>
                <w:color w:val="000000" w:themeColor="text1"/>
                <w:kern w:val="0"/>
                <w:lang w:val="en-US" w:eastAsia="zh-CN"/>
                <w14:textFill>
                  <w14:solidFill>
                    <w14:schemeClr w14:val="tx1"/>
                  </w14:solidFill>
                </w14:textFill>
              </w:rPr>
            </w:pPr>
            <w:r>
              <w:rPr>
                <w:rFonts w:hint="default" w:ascii="Times New Roman" w:hAnsi="Times New Roman" w:cs="Times New Roman"/>
                <w:bCs/>
                <w:color w:val="000000" w:themeColor="text1"/>
                <w:kern w:val="0"/>
                <w:lang w:val="en-US" w:eastAsia="zh-CN"/>
                <w14:textFill>
                  <w14:solidFill>
                    <w14:schemeClr w14:val="tx1"/>
                  </w14:solidFill>
                </w14:textFill>
              </w:rPr>
              <w:t>本项目餐饮废水经隔油后与生活污水经化粪池预处理，后一起与医疗废水经MBR膜生物反应工艺处理，达到相关标准后回用于项目区绿化、道路清扫及景观环境。</w:t>
            </w:r>
          </w:p>
          <w:p w14:paraId="21696350">
            <w:pPr>
              <w:autoSpaceDE w:val="0"/>
              <w:autoSpaceDN w:val="0"/>
              <w:adjustRightInd w:val="0"/>
              <w:ind w:firstLine="482"/>
              <w:jc w:val="both"/>
              <w:rPr>
                <w:rFonts w:hint="eastAsia" w:ascii="Times New Roman" w:hAnsi="Times New Roman" w:cs="Times New Roman"/>
                <w:bCs/>
                <w:color w:val="000000" w:themeColor="text1"/>
                <w:kern w:val="0"/>
                <w:lang w:val="en-US" w:eastAsia="zh-CN"/>
                <w14:textFill>
                  <w14:solidFill>
                    <w14:schemeClr w14:val="tx1"/>
                  </w14:solidFill>
                </w14:textFill>
              </w:rPr>
            </w:pPr>
            <w:r>
              <w:rPr>
                <w:rFonts w:hint="default" w:ascii="Times New Roman" w:hAnsi="Times New Roman" w:cs="Times New Roman"/>
                <w:bCs/>
                <w:color w:val="000000" w:themeColor="text1"/>
                <w:kern w:val="0"/>
                <w:lang w:val="en-US" w:eastAsia="zh-CN"/>
                <w14:textFill>
                  <w14:solidFill>
                    <w14:schemeClr w14:val="tx1"/>
                  </w14:solidFill>
                </w14:textFill>
              </w:rPr>
              <w:t>本项目隔油池的设计应符合以下要求：①含油污水的水力停留时间不宜小于0.5h，②池内水流流速不宜大于0.005m/s，③池内分格宜取二档三格，④人工除油的隔油池内存油部分容积不宜小于该池有效容积的25%；隔油池出水管管底至池底的深度不宜小于0.6m；⑥与隔油池相连的管道均应防酸碱、耐高温</w:t>
            </w:r>
            <w:r>
              <w:rPr>
                <w:rFonts w:hint="eastAsia" w:ascii="Times New Roman" w:hAnsi="Times New Roman" w:cs="Times New Roman"/>
                <w:bCs/>
                <w:color w:val="000000" w:themeColor="text1"/>
                <w:kern w:val="0"/>
                <w:lang w:val="en-US" w:eastAsia="zh-CN"/>
                <w14:textFill>
                  <w14:solidFill>
                    <w14:schemeClr w14:val="tx1"/>
                  </w14:solidFill>
                </w14:textFill>
              </w:rPr>
              <w:t>。</w:t>
            </w:r>
          </w:p>
          <w:p w14:paraId="5F412D67">
            <w:pPr>
              <w:autoSpaceDE w:val="0"/>
              <w:autoSpaceDN w:val="0"/>
              <w:adjustRightInd w:val="0"/>
              <w:ind w:firstLine="482"/>
              <w:jc w:val="both"/>
              <w:rPr>
                <w:rFonts w:hint="default" w:ascii="Times New Roman" w:hAnsi="Times New Roman" w:cs="Times New Roman"/>
                <w:bCs/>
                <w:color w:val="000000" w:themeColor="text1"/>
                <w:kern w:val="0"/>
                <w:lang w:val="en-US" w:eastAsia="zh-CN"/>
                <w14:textFill>
                  <w14:solidFill>
                    <w14:schemeClr w14:val="tx1"/>
                  </w14:solidFill>
                </w14:textFill>
              </w:rPr>
            </w:pPr>
            <w:r>
              <w:rPr>
                <w:rFonts w:hint="eastAsia" w:ascii="Times New Roman" w:hAnsi="Times New Roman" w:cs="Times New Roman"/>
                <w:bCs/>
                <w:color w:val="000000" w:themeColor="text1"/>
                <w:kern w:val="0"/>
                <w:lang w:val="en-US" w:eastAsia="zh-CN"/>
                <w14:textFill>
                  <w14:solidFill>
                    <w14:schemeClr w14:val="tx1"/>
                  </w14:solidFill>
                </w14:textFill>
              </w:rPr>
              <w:t>本项目</w:t>
            </w:r>
            <w:r>
              <w:rPr>
                <w:rFonts w:hint="default" w:ascii="Times New Roman" w:hAnsi="Times New Roman" w:cs="Times New Roman"/>
                <w:bCs/>
                <w:color w:val="000000" w:themeColor="text1"/>
                <w:kern w:val="0"/>
                <w:lang w:val="en-US" w:eastAsia="zh-CN"/>
                <w14:textFill>
                  <w14:solidFill>
                    <w14:schemeClr w14:val="tx1"/>
                  </w14:solidFill>
                </w14:textFill>
              </w:rPr>
              <w:t>污水处理站防护隔离要求</w:t>
            </w:r>
            <w:r>
              <w:rPr>
                <w:rFonts w:hint="eastAsia" w:ascii="Times New Roman" w:hAnsi="Times New Roman" w:cs="Times New Roman"/>
                <w:bCs/>
                <w:color w:val="000000" w:themeColor="text1"/>
                <w:kern w:val="0"/>
                <w:lang w:val="en-US" w:eastAsia="zh-CN"/>
                <w14:textFill>
                  <w14:solidFill>
                    <w14:schemeClr w14:val="tx1"/>
                  </w14:solidFill>
                </w14:textFill>
              </w:rPr>
              <w:t>：</w:t>
            </w:r>
            <w:r>
              <w:rPr>
                <w:rFonts w:hint="default" w:ascii="Times New Roman" w:hAnsi="Times New Roman" w:cs="Times New Roman"/>
                <w:bCs/>
                <w:color w:val="000000" w:themeColor="text1"/>
                <w:kern w:val="0"/>
                <w:lang w:val="en-US" w:eastAsia="zh-CN"/>
                <w14:textFill>
                  <w14:solidFill>
                    <w14:schemeClr w14:val="tx1"/>
                  </w14:solidFill>
                </w14:textFill>
              </w:rPr>
              <w:t>①设置绿化防护带或隔离带，保证大气污染物不会对周边</w:t>
            </w:r>
            <w:r>
              <w:rPr>
                <w:rFonts w:hint="eastAsia" w:ascii="Times New Roman" w:hAnsi="Times New Roman" w:cs="Times New Roman"/>
                <w:bCs/>
                <w:color w:val="000000" w:themeColor="text1"/>
                <w:kern w:val="0"/>
                <w:lang w:val="en-US" w:eastAsia="zh-CN"/>
                <w14:textFill>
                  <w14:solidFill>
                    <w14:schemeClr w14:val="tx1"/>
                  </w14:solidFill>
                </w14:textFill>
              </w:rPr>
              <w:t>环境</w:t>
            </w:r>
            <w:r>
              <w:rPr>
                <w:rFonts w:hint="default" w:ascii="Times New Roman" w:hAnsi="Times New Roman" w:cs="Times New Roman"/>
                <w:bCs/>
                <w:color w:val="000000" w:themeColor="text1"/>
                <w:kern w:val="0"/>
                <w:lang w:val="en-US" w:eastAsia="zh-CN"/>
                <w14:textFill>
                  <w14:solidFill>
                    <w14:schemeClr w14:val="tx1"/>
                  </w14:solidFill>
                </w14:textFill>
              </w:rPr>
              <w:t>造成不良影响。</w:t>
            </w:r>
            <w:r>
              <w:rPr>
                <w:rFonts w:hint="eastAsia" w:ascii="Times New Roman" w:hAnsi="Times New Roman" w:cs="Times New Roman"/>
                <w:bCs/>
                <w:color w:val="000000" w:themeColor="text1"/>
                <w:kern w:val="0"/>
                <w:lang w:val="en-US" w:eastAsia="zh-CN"/>
                <w14:textFill>
                  <w14:solidFill>
                    <w14:schemeClr w14:val="tx1"/>
                  </w14:solidFill>
                </w14:textFill>
              </w:rPr>
              <w:t>②</w:t>
            </w:r>
            <w:r>
              <w:rPr>
                <w:rFonts w:hint="default" w:ascii="Times New Roman" w:hAnsi="Times New Roman" w:cs="Times New Roman"/>
                <w:bCs/>
                <w:color w:val="000000" w:themeColor="text1"/>
                <w:kern w:val="0"/>
                <w:lang w:val="en-US" w:eastAsia="zh-CN"/>
                <w14:textFill>
                  <w14:solidFill>
                    <w14:schemeClr w14:val="tx1"/>
                  </w14:solidFill>
                </w14:textFill>
              </w:rPr>
              <w:t>污水处理站应有方便的交通、运输和水电条件</w:t>
            </w:r>
            <w:r>
              <w:rPr>
                <w:rFonts w:hint="eastAsia" w:ascii="Times New Roman" w:hAnsi="Times New Roman" w:cs="Times New Roman"/>
                <w:bCs/>
                <w:color w:val="000000" w:themeColor="text1"/>
                <w:kern w:val="0"/>
                <w:lang w:val="en-US" w:eastAsia="zh-CN"/>
                <w14:textFill>
                  <w14:solidFill>
                    <w14:schemeClr w14:val="tx1"/>
                  </w14:solidFill>
                </w14:textFill>
              </w:rPr>
              <w:t>，</w:t>
            </w:r>
            <w:r>
              <w:rPr>
                <w:rFonts w:hint="default" w:ascii="Times New Roman" w:hAnsi="Times New Roman" w:cs="Times New Roman"/>
                <w:bCs/>
                <w:color w:val="000000" w:themeColor="text1"/>
                <w:kern w:val="0"/>
                <w:lang w:val="en-US" w:eastAsia="zh-CN"/>
                <w14:textFill>
                  <w14:solidFill>
                    <w14:schemeClr w14:val="tx1"/>
                  </w14:solidFill>
                </w14:textFill>
              </w:rPr>
              <w:t>便于污水</w:t>
            </w:r>
            <w:r>
              <w:rPr>
                <w:rFonts w:hint="eastAsia" w:ascii="Times New Roman" w:hAnsi="Times New Roman" w:cs="Times New Roman"/>
                <w:bCs/>
                <w:color w:val="000000" w:themeColor="text1"/>
                <w:kern w:val="0"/>
                <w:lang w:val="en-US" w:eastAsia="zh-CN"/>
                <w14:textFill>
                  <w14:solidFill>
                    <w14:schemeClr w14:val="tx1"/>
                  </w14:solidFill>
                </w14:textFill>
              </w:rPr>
              <w:t>回用</w:t>
            </w:r>
            <w:r>
              <w:rPr>
                <w:rFonts w:hint="default" w:ascii="Times New Roman" w:hAnsi="Times New Roman" w:cs="Times New Roman"/>
                <w:bCs/>
                <w:color w:val="000000" w:themeColor="text1"/>
                <w:kern w:val="0"/>
                <w:lang w:val="en-US" w:eastAsia="zh-CN"/>
                <w14:textFill>
                  <w14:solidFill>
                    <w14:schemeClr w14:val="tx1"/>
                  </w14:solidFill>
                </w14:textFill>
              </w:rPr>
              <w:t>和</w:t>
            </w:r>
            <w:r>
              <w:rPr>
                <w:rFonts w:hint="eastAsia" w:ascii="Times New Roman" w:hAnsi="Times New Roman" w:cs="Times New Roman"/>
                <w:bCs/>
                <w:color w:val="000000" w:themeColor="text1"/>
                <w:kern w:val="0"/>
                <w:lang w:val="en-US" w:eastAsia="zh-CN"/>
                <w14:textFill>
                  <w14:solidFill>
                    <w14:schemeClr w14:val="tx1"/>
                  </w14:solidFill>
                </w14:textFill>
              </w:rPr>
              <w:t>污泥外运</w:t>
            </w:r>
            <w:r>
              <w:rPr>
                <w:rFonts w:hint="default" w:ascii="Times New Roman" w:hAnsi="Times New Roman" w:cs="Times New Roman"/>
                <w:bCs/>
                <w:color w:val="000000" w:themeColor="text1"/>
                <w:kern w:val="0"/>
                <w:lang w:val="en-US" w:eastAsia="zh-CN"/>
                <w14:textFill>
                  <w14:solidFill>
                    <w14:schemeClr w14:val="tx1"/>
                  </w14:solidFill>
                </w14:textFill>
              </w:rPr>
              <w:t>。</w:t>
            </w:r>
            <w:r>
              <w:rPr>
                <w:rFonts w:hint="eastAsia" w:ascii="Times New Roman" w:hAnsi="Times New Roman" w:cs="Times New Roman"/>
                <w:bCs/>
                <w:color w:val="000000" w:themeColor="text1"/>
                <w:kern w:val="0"/>
                <w:lang w:val="en-US" w:eastAsia="zh-CN"/>
                <w14:textFill>
                  <w14:solidFill>
                    <w14:schemeClr w14:val="tx1"/>
                  </w14:solidFill>
                </w14:textFill>
              </w:rPr>
              <w:t>③</w:t>
            </w:r>
            <w:r>
              <w:rPr>
                <w:rFonts w:hint="default" w:ascii="Times New Roman" w:hAnsi="Times New Roman" w:cs="Times New Roman"/>
                <w:bCs/>
                <w:color w:val="000000" w:themeColor="text1"/>
                <w:kern w:val="0"/>
                <w:lang w:val="en-US" w:eastAsia="zh-CN"/>
                <w14:textFill>
                  <w14:solidFill>
                    <w14:schemeClr w14:val="tx1"/>
                  </w14:solidFill>
                </w14:textFill>
              </w:rPr>
              <w:t>应留有扩建的可能，方便施工、运行和维护。</w:t>
            </w:r>
          </w:p>
          <w:p w14:paraId="3B98F7A3">
            <w:pPr>
              <w:pStyle w:val="5"/>
              <w:spacing w:before="0" w:after="0" w:line="360" w:lineRule="auto"/>
              <w:ind w:firstLine="482"/>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4</w:t>
            </w:r>
            <w:r>
              <w:rPr>
                <w:rFonts w:hint="default" w:ascii="Times New Roman" w:hAnsi="Times New Roman" w:cs="Times New Roman"/>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szCs w:val="24"/>
                <w14:textFill>
                  <w14:solidFill>
                    <w14:schemeClr w14:val="tx1"/>
                  </w14:solidFill>
                </w14:textFill>
              </w:rPr>
              <w:t>固体废物防治措施</w:t>
            </w:r>
          </w:p>
          <w:p w14:paraId="0FA6179F">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pacing w:val="1"/>
                <w:lang w:val="en-US" w:eastAsia="zh-CN"/>
                <w14:textFill>
                  <w14:solidFill>
                    <w14:schemeClr w14:val="tx1"/>
                  </w14:solidFill>
                </w14:textFill>
              </w:rPr>
              <w:t>本项目产生的固体废物主要有生活垃圾、医疗废物、污水处理站污泥和废活性炭。</w:t>
            </w:r>
          </w:p>
          <w:p w14:paraId="343F3FF5">
            <w:pPr>
              <w:pStyle w:val="5"/>
              <w:spacing w:before="0" w:after="0" w:line="360" w:lineRule="auto"/>
              <w:ind w:firstLine="482"/>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4.1 生活垃圾</w:t>
            </w:r>
          </w:p>
          <w:p w14:paraId="3BAD048C">
            <w:pPr>
              <w:keepNext w:val="0"/>
              <w:keepLines w:val="0"/>
              <w:widowControl/>
              <w:suppressLineNumbers w:val="0"/>
              <w:jc w:val="left"/>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生活垃圾收集后交环卫部门统一清运，</w:t>
            </w:r>
            <w:r>
              <w:rPr>
                <w:rFonts w:hint="default" w:ascii="Times New Roman" w:hAnsi="Times New Roman" w:cs="Times New Roman"/>
                <w:color w:val="000000" w:themeColor="text1"/>
                <w:spacing w:val="1"/>
                <w14:textFill>
                  <w14:solidFill>
                    <w14:schemeClr w14:val="tx1"/>
                  </w14:solidFill>
                </w14:textFill>
              </w:rPr>
              <w:t>日产日清</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p>
          <w:p w14:paraId="206BB5F4">
            <w:pPr>
              <w:keepNext w:val="0"/>
              <w:keepLines w:val="0"/>
              <w:widowControl/>
              <w:suppressLineNumbers w:val="0"/>
              <w:jc w:val="left"/>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4.2 医疗废物</w:t>
            </w:r>
          </w:p>
          <w:p w14:paraId="105000AE">
            <w:pPr>
              <w:keepNext w:val="0"/>
              <w:keepLines w:val="0"/>
              <w:widowControl/>
              <w:suppressLineNumbers w:val="0"/>
              <w:jc w:val="left"/>
              <w:rPr>
                <w:rFonts w:hint="default" w:ascii="Times New Roman" w:hAnsi="Times New Roman" w:cs="Times New Roman"/>
                <w:color w:val="000000" w:themeColor="text1"/>
                <w:spacing w:val="1"/>
                <w:lang w:val="en-US" w:eastAsia="zh-CN"/>
                <w14:textFill>
                  <w14:solidFill>
                    <w14:schemeClr w14:val="tx1"/>
                  </w14:solidFill>
                </w14:textFill>
              </w:rPr>
            </w:pPr>
            <w:r>
              <w:rPr>
                <w:rFonts w:hint="default" w:ascii="Times New Roman" w:hAnsi="Times New Roman" w:cs="Times New Roman"/>
                <w:color w:val="000000" w:themeColor="text1"/>
                <w:spacing w:val="1"/>
                <w:lang w:val="en-US" w:eastAsia="zh-CN"/>
                <w14:textFill>
                  <w14:solidFill>
                    <w14:schemeClr w14:val="tx1"/>
                  </w14:solidFill>
                </w14:textFill>
              </w:rPr>
              <w:t>医疗</w:t>
            </w:r>
            <w:r>
              <w:rPr>
                <w:rFonts w:hint="eastAsia" w:cs="Times New Roman"/>
                <w:color w:val="000000" w:themeColor="text1"/>
                <w:spacing w:val="1"/>
                <w:lang w:val="en-US" w:eastAsia="zh-CN"/>
                <w14:textFill>
                  <w14:solidFill>
                    <w14:schemeClr w14:val="tx1"/>
                  </w14:solidFill>
                </w14:textFill>
              </w:rPr>
              <w:t>废物</w:t>
            </w:r>
            <w:r>
              <w:rPr>
                <w:rFonts w:hint="default" w:ascii="Times New Roman" w:hAnsi="Times New Roman" w:cs="Times New Roman"/>
                <w:color w:val="000000" w:themeColor="text1"/>
                <w:spacing w:val="1"/>
                <w:lang w:val="en-US" w:eastAsia="zh-CN"/>
                <w14:textFill>
                  <w14:solidFill>
                    <w14:schemeClr w14:val="tx1"/>
                  </w14:solidFill>
                </w14:textFill>
              </w:rPr>
              <w:t>中带有细菌、病毒，若随意存放或处置，易引起感染。为避免</w:t>
            </w:r>
            <w:r>
              <w:rPr>
                <w:rFonts w:hint="eastAsia" w:cs="Times New Roman"/>
                <w:color w:val="000000" w:themeColor="text1"/>
                <w:spacing w:val="1"/>
                <w:lang w:val="en-US" w:eastAsia="zh-CN"/>
                <w14:textFill>
                  <w14:solidFill>
                    <w14:schemeClr w14:val="tx1"/>
                  </w14:solidFill>
                </w14:textFill>
              </w:rPr>
              <w:t>本项目</w:t>
            </w:r>
            <w:r>
              <w:rPr>
                <w:rFonts w:hint="default" w:ascii="Times New Roman" w:hAnsi="Times New Roman" w:cs="Times New Roman"/>
                <w:color w:val="000000" w:themeColor="text1"/>
                <w:spacing w:val="1"/>
                <w:lang w:val="en-US" w:eastAsia="zh-CN"/>
                <w14:textFill>
                  <w14:solidFill>
                    <w14:schemeClr w14:val="tx1"/>
                  </w14:solidFill>
                </w14:textFill>
              </w:rPr>
              <w:t>产生的医疗废物对周围环境产生不良影响，建设单位应根据《医疗废物管理条例》中的相关规定对医院产生的医疗废物采取相应治理措施，以减轻对环境的影响。</w:t>
            </w:r>
          </w:p>
          <w:p w14:paraId="73C26637">
            <w:pPr>
              <w:keepNext w:val="0"/>
              <w:keepLines w:val="0"/>
              <w:widowControl/>
              <w:suppressLineNumbers w:val="0"/>
              <w:jc w:val="left"/>
              <w:rPr>
                <w:rFonts w:hint="default" w:ascii="Times New Roman" w:hAnsi="Times New Roman" w:cs="Times New Roman"/>
                <w:color w:val="000000" w:themeColor="text1"/>
                <w:spacing w:val="1"/>
                <w:lang w:val="en-US" w:eastAsia="zh-CN"/>
                <w14:textFill>
                  <w14:solidFill>
                    <w14:schemeClr w14:val="tx1"/>
                  </w14:solidFill>
                </w14:textFill>
              </w:rPr>
            </w:pPr>
            <w:r>
              <w:rPr>
                <w:rFonts w:hint="default" w:ascii="Times New Roman" w:hAnsi="Times New Roman" w:cs="Times New Roman"/>
                <w:color w:val="000000" w:themeColor="text1"/>
                <w:spacing w:val="1"/>
                <w:lang w:val="en-US" w:eastAsia="zh-CN"/>
                <w14:textFill>
                  <w14:solidFill>
                    <w14:schemeClr w14:val="tx1"/>
                  </w14:solidFill>
                </w14:textFill>
              </w:rPr>
              <w:t>本项目</w:t>
            </w:r>
            <w:r>
              <w:rPr>
                <w:rFonts w:hint="eastAsia" w:cs="Times New Roman"/>
                <w:color w:val="000000" w:themeColor="text1"/>
                <w:spacing w:val="1"/>
                <w:lang w:val="en-US" w:eastAsia="zh-CN"/>
                <w14:textFill>
                  <w14:solidFill>
                    <w14:schemeClr w14:val="tx1"/>
                  </w14:solidFill>
                </w14:textFill>
              </w:rPr>
              <w:t>在中医康养中心内</w:t>
            </w:r>
            <w:r>
              <w:rPr>
                <w:rFonts w:hint="default" w:ascii="Times New Roman" w:hAnsi="Times New Roman" w:cs="Times New Roman"/>
                <w:color w:val="000000" w:themeColor="text1"/>
                <w:spacing w:val="1"/>
                <w:lang w:val="en-US" w:eastAsia="zh-CN"/>
                <w14:textFill>
                  <w14:solidFill>
                    <w14:schemeClr w14:val="tx1"/>
                  </w14:solidFill>
                </w14:textFill>
              </w:rPr>
              <w:t>设置临时医疗废物暂存间，医疗废物分类收集后暂存于医疗废物暂存间，委托有资质单位集中处置。医疗废物管理制度以及医疗废物暂存间具体设置情况如下：</w:t>
            </w:r>
          </w:p>
          <w:p w14:paraId="06D7C8A7">
            <w:pPr>
              <w:keepNext w:val="0"/>
              <w:keepLines w:val="0"/>
              <w:widowControl/>
              <w:suppressLineNumbers w:val="0"/>
              <w:jc w:val="left"/>
              <w:rPr>
                <w:rFonts w:hint="default" w:ascii="Times New Roman" w:hAnsi="Times New Roman" w:cs="Times New Roman"/>
                <w:color w:val="000000" w:themeColor="text1"/>
                <w:spacing w:val="1"/>
                <w:lang w:val="en-US" w:eastAsia="zh-CN"/>
                <w14:textFill>
                  <w14:solidFill>
                    <w14:schemeClr w14:val="tx1"/>
                  </w14:solidFill>
                </w14:textFill>
              </w:rPr>
            </w:pPr>
            <w:r>
              <w:rPr>
                <w:rFonts w:hint="default" w:ascii="Times New Roman" w:hAnsi="Times New Roman" w:cs="Times New Roman"/>
                <w:color w:val="000000" w:themeColor="text1"/>
                <w:spacing w:val="1"/>
                <w:lang w:val="en-US" w:eastAsia="zh-CN"/>
                <w14:textFill>
                  <w14:solidFill>
                    <w14:schemeClr w14:val="tx1"/>
                  </w14:solidFill>
                </w14:textFill>
              </w:rPr>
              <w:t>①医疗废物收集包装袋选择淡黄色专用医疗废物收集袋，医疗废物贮存区采用专用的黄色医疗废物收集桶，材质、内衬符合要求，且在硬质桶中不进行堆叠码放，在柔性容器中堆叠码放时，封口扎紧，同时收集转运前</w:t>
            </w:r>
            <w:r>
              <w:rPr>
                <w:rFonts w:hint="eastAsia" w:cs="Times New Roman"/>
                <w:color w:val="000000" w:themeColor="text1"/>
                <w:spacing w:val="1"/>
                <w:lang w:val="en-US" w:eastAsia="zh-CN"/>
                <w14:textFill>
                  <w14:solidFill>
                    <w14:schemeClr w14:val="tx1"/>
                  </w14:solidFill>
                </w14:textFill>
              </w:rPr>
              <w:t>需</w:t>
            </w:r>
            <w:r>
              <w:rPr>
                <w:rFonts w:hint="default" w:ascii="Times New Roman" w:hAnsi="Times New Roman" w:cs="Times New Roman"/>
                <w:color w:val="000000" w:themeColor="text1"/>
                <w:spacing w:val="1"/>
                <w:lang w:val="en-US" w:eastAsia="zh-CN"/>
                <w14:textFill>
                  <w14:solidFill>
                    <w14:schemeClr w14:val="tx1"/>
                  </w14:solidFill>
                </w14:textFill>
              </w:rPr>
              <w:t>专人进行检查确保包装袋无破碎、泄漏或变形的情况发生，并保证容器和包装物外表面保持清洁。</w:t>
            </w:r>
          </w:p>
          <w:p w14:paraId="5119BF75">
            <w:pPr>
              <w:keepNext w:val="0"/>
              <w:keepLines w:val="0"/>
              <w:widowControl/>
              <w:suppressLineNumbers w:val="0"/>
              <w:jc w:val="left"/>
              <w:rPr>
                <w:rFonts w:hint="default" w:ascii="Times New Roman" w:hAnsi="Times New Roman" w:cs="Times New Roman"/>
                <w:color w:val="000000" w:themeColor="text1"/>
                <w:spacing w:val="1"/>
                <w:highlight w:val="none"/>
                <w:lang w:val="en-US" w:eastAsia="zh-CN"/>
                <w14:textFill>
                  <w14:solidFill>
                    <w14:schemeClr w14:val="tx1"/>
                  </w14:solidFill>
                </w14:textFill>
              </w:rPr>
            </w:pPr>
            <w:r>
              <w:rPr>
                <w:rFonts w:hint="default" w:ascii="Times New Roman" w:hAnsi="Times New Roman" w:cs="Times New Roman"/>
                <w:color w:val="000000" w:themeColor="text1"/>
                <w:spacing w:val="1"/>
                <w:highlight w:val="none"/>
                <w:lang w:val="en-US" w:eastAsia="zh-CN"/>
                <w14:textFill>
                  <w14:solidFill>
                    <w14:schemeClr w14:val="tx1"/>
                  </w14:solidFill>
                </w14:textFill>
              </w:rPr>
              <w:t>②医疗废物暂存间内</w:t>
            </w:r>
            <w:r>
              <w:rPr>
                <w:rFonts w:hint="eastAsia" w:cs="Times New Roman"/>
                <w:color w:val="000000" w:themeColor="text1"/>
                <w:spacing w:val="1"/>
                <w:highlight w:val="none"/>
                <w:lang w:val="en-US" w:eastAsia="zh-CN"/>
                <w14:textFill>
                  <w14:solidFill>
                    <w14:schemeClr w14:val="tx1"/>
                  </w14:solidFill>
                </w14:textFill>
              </w:rPr>
              <w:t>需</w:t>
            </w:r>
            <w:r>
              <w:rPr>
                <w:rFonts w:hint="default" w:ascii="Times New Roman" w:hAnsi="Times New Roman" w:cs="Times New Roman"/>
                <w:color w:val="000000" w:themeColor="text1"/>
                <w:spacing w:val="1"/>
                <w:highlight w:val="none"/>
                <w:lang w:val="en-US" w:eastAsia="zh-CN"/>
                <w14:textFill>
                  <w14:solidFill>
                    <w14:schemeClr w14:val="tx1"/>
                  </w14:solidFill>
                </w14:textFill>
              </w:rPr>
              <w:t>设置专用收集容器，各类医疗废物收集在专用收集袋中再分类放置于各自的专用收集容器中暂存，且不</w:t>
            </w:r>
            <w:r>
              <w:rPr>
                <w:rFonts w:hint="eastAsia" w:cs="Times New Roman"/>
                <w:color w:val="000000" w:themeColor="text1"/>
                <w:spacing w:val="1"/>
                <w:highlight w:val="none"/>
                <w:lang w:val="en-US" w:eastAsia="zh-CN"/>
                <w14:textFill>
                  <w14:solidFill>
                    <w14:schemeClr w14:val="tx1"/>
                  </w14:solidFill>
                </w14:textFill>
              </w:rPr>
              <w:t>可</w:t>
            </w:r>
            <w:r>
              <w:rPr>
                <w:rFonts w:hint="default" w:ascii="Times New Roman" w:hAnsi="Times New Roman" w:cs="Times New Roman"/>
                <w:color w:val="000000" w:themeColor="text1"/>
                <w:spacing w:val="1"/>
                <w:highlight w:val="none"/>
                <w:lang w:val="en-US" w:eastAsia="zh-CN"/>
                <w14:textFill>
                  <w14:solidFill>
                    <w14:schemeClr w14:val="tx1"/>
                  </w14:solidFill>
                </w14:textFill>
              </w:rPr>
              <w:t>与地面及裙脚直接接触。医疗废物暂时贮存的时间不得超过2天。</w:t>
            </w:r>
          </w:p>
          <w:p w14:paraId="1B164AE4">
            <w:pPr>
              <w:keepNext w:val="0"/>
              <w:keepLines w:val="0"/>
              <w:widowControl/>
              <w:suppressLineNumbers w:val="0"/>
              <w:jc w:val="left"/>
              <w:rPr>
                <w:rFonts w:hint="default" w:ascii="Times New Roman" w:hAnsi="Times New Roman" w:cs="Times New Roman"/>
                <w:color w:val="000000" w:themeColor="text1"/>
                <w:spacing w:val="1"/>
                <w:lang w:val="en-US" w:eastAsia="zh-CN"/>
                <w14:textFill>
                  <w14:solidFill>
                    <w14:schemeClr w14:val="tx1"/>
                  </w14:solidFill>
                </w14:textFill>
              </w:rPr>
            </w:pPr>
            <w:r>
              <w:rPr>
                <w:rFonts w:hint="default" w:ascii="Times New Roman" w:hAnsi="Times New Roman" w:cs="Times New Roman"/>
                <w:color w:val="000000" w:themeColor="text1"/>
                <w:spacing w:val="1"/>
                <w:lang w:val="en-US" w:eastAsia="zh-CN"/>
                <w14:textFill>
                  <w14:solidFill>
                    <w14:schemeClr w14:val="tx1"/>
                  </w14:solidFill>
                </w14:textFill>
              </w:rPr>
              <w:t>③医疗废物暂存间与其他区域</w:t>
            </w:r>
            <w:r>
              <w:rPr>
                <w:rFonts w:hint="eastAsia" w:cs="Times New Roman"/>
                <w:color w:val="000000" w:themeColor="text1"/>
                <w:spacing w:val="1"/>
                <w:lang w:val="en-US" w:eastAsia="zh-CN"/>
                <w14:textFill>
                  <w14:solidFill>
                    <w14:schemeClr w14:val="tx1"/>
                  </w14:solidFill>
                </w14:textFill>
              </w:rPr>
              <w:t>要</w:t>
            </w:r>
            <w:r>
              <w:rPr>
                <w:rFonts w:hint="default" w:ascii="Times New Roman" w:hAnsi="Times New Roman" w:cs="Times New Roman"/>
                <w:color w:val="000000" w:themeColor="text1"/>
                <w:spacing w:val="1"/>
                <w:lang w:val="en-US" w:eastAsia="zh-CN"/>
                <w14:textFill>
                  <w14:solidFill>
                    <w14:schemeClr w14:val="tx1"/>
                  </w14:solidFill>
                </w14:textFill>
              </w:rPr>
              <w:t>有明显的墙壁隔离措施；地面进行硬化，墙面裙脚及地面均</w:t>
            </w:r>
            <w:r>
              <w:rPr>
                <w:rFonts w:hint="eastAsia" w:cs="Times New Roman"/>
                <w:color w:val="000000" w:themeColor="text1"/>
                <w:spacing w:val="1"/>
                <w:lang w:val="en-US" w:eastAsia="zh-CN"/>
                <w14:textFill>
                  <w14:solidFill>
                    <w14:schemeClr w14:val="tx1"/>
                  </w14:solidFill>
                </w14:textFill>
              </w:rPr>
              <w:t>需</w:t>
            </w:r>
            <w:r>
              <w:rPr>
                <w:rFonts w:hint="default" w:ascii="Times New Roman" w:hAnsi="Times New Roman" w:cs="Times New Roman"/>
                <w:color w:val="000000" w:themeColor="text1"/>
                <w:spacing w:val="1"/>
                <w:lang w:val="en-US" w:eastAsia="zh-CN"/>
                <w14:textFill>
                  <w14:solidFill>
                    <w14:schemeClr w14:val="tx1"/>
                  </w14:solidFill>
                </w14:textFill>
              </w:rPr>
              <w:t>进行防渗防腐设置。</w:t>
            </w:r>
            <w:r>
              <w:rPr>
                <w:rFonts w:hint="eastAsia" w:cs="Times New Roman"/>
                <w:color w:val="000000" w:themeColor="text1"/>
                <w:spacing w:val="1"/>
                <w:lang w:val="en-US" w:eastAsia="zh-CN"/>
                <w14:textFill>
                  <w14:solidFill>
                    <w14:schemeClr w14:val="tx1"/>
                  </w14:solidFill>
                </w14:textFill>
              </w:rPr>
              <w:t>医疗废物暂存间需</w:t>
            </w:r>
            <w:r>
              <w:rPr>
                <w:rFonts w:hint="default" w:ascii="Times New Roman" w:hAnsi="Times New Roman" w:cs="Times New Roman"/>
                <w:color w:val="000000" w:themeColor="text1"/>
                <w:spacing w:val="1"/>
                <w:lang w:val="en-US" w:eastAsia="zh-CN"/>
                <w14:textFill>
                  <w14:solidFill>
                    <w14:schemeClr w14:val="tx1"/>
                  </w14:solidFill>
                </w14:textFill>
              </w:rPr>
              <w:t>做到防风、防雨、防晒、防渗、防止危险废物流失、扬散等措施</w:t>
            </w:r>
            <w:r>
              <w:rPr>
                <w:rFonts w:hint="eastAsia" w:cs="Times New Roman"/>
                <w:color w:val="000000" w:themeColor="text1"/>
                <w:spacing w:val="1"/>
                <w:lang w:val="en-US" w:eastAsia="zh-CN"/>
                <w14:textFill>
                  <w14:solidFill>
                    <w14:schemeClr w14:val="tx1"/>
                  </w14:solidFill>
                </w14:textFill>
              </w:rPr>
              <w:t>，且</w:t>
            </w:r>
            <w:r>
              <w:rPr>
                <w:rFonts w:hint="default" w:ascii="Times New Roman" w:hAnsi="Times New Roman" w:cs="Times New Roman"/>
                <w:color w:val="000000" w:themeColor="text1"/>
                <w:spacing w:val="1"/>
                <w:lang w:val="en-US" w:eastAsia="zh-CN"/>
                <w14:textFill>
                  <w14:solidFill>
                    <w14:schemeClr w14:val="tx1"/>
                  </w14:solidFill>
                </w14:textFill>
              </w:rPr>
              <w:t>日常</w:t>
            </w:r>
            <w:r>
              <w:rPr>
                <w:rFonts w:hint="eastAsia" w:cs="Times New Roman"/>
                <w:color w:val="000000" w:themeColor="text1"/>
                <w:spacing w:val="1"/>
                <w:lang w:val="en-US" w:eastAsia="zh-CN"/>
                <w14:textFill>
                  <w14:solidFill>
                    <w14:schemeClr w14:val="tx1"/>
                  </w14:solidFill>
                </w14:textFill>
              </w:rPr>
              <w:t>情况下需做到</w:t>
            </w:r>
            <w:r>
              <w:rPr>
                <w:rFonts w:hint="default" w:ascii="Times New Roman" w:hAnsi="Times New Roman" w:cs="Times New Roman"/>
                <w:color w:val="000000" w:themeColor="text1"/>
                <w:spacing w:val="1"/>
                <w:lang w:val="en-US" w:eastAsia="zh-CN"/>
                <w14:textFill>
                  <w14:solidFill>
                    <w14:schemeClr w14:val="tx1"/>
                  </w14:solidFill>
                </w14:textFill>
              </w:rPr>
              <w:t>门窗紧闭，房门上锁，派专人看守管理，防止无关人员进入。</w:t>
            </w:r>
          </w:p>
          <w:p w14:paraId="2F29D462">
            <w:pPr>
              <w:keepNext w:val="0"/>
              <w:keepLines w:val="0"/>
              <w:widowControl/>
              <w:suppressLineNumbers w:val="0"/>
              <w:jc w:val="left"/>
              <w:rPr>
                <w:rFonts w:hint="default" w:ascii="Times New Roman" w:hAnsi="Times New Roman" w:cs="Times New Roman"/>
                <w:color w:val="000000" w:themeColor="text1"/>
                <w:spacing w:val="1"/>
                <w:lang w:val="en-US" w:eastAsia="zh-CN"/>
                <w14:textFill>
                  <w14:solidFill>
                    <w14:schemeClr w14:val="tx1"/>
                  </w14:solidFill>
                </w14:textFill>
              </w:rPr>
            </w:pPr>
            <w:r>
              <w:rPr>
                <w:rFonts w:hint="default" w:ascii="Times New Roman" w:hAnsi="Times New Roman" w:cs="Times New Roman"/>
                <w:color w:val="000000" w:themeColor="text1"/>
                <w:spacing w:val="1"/>
                <w:lang w:val="en-US" w:eastAsia="zh-CN"/>
                <w14:textFill>
                  <w14:solidFill>
                    <w14:schemeClr w14:val="tx1"/>
                  </w14:solidFill>
                </w14:textFill>
              </w:rPr>
              <w:t>④医疗废物暂存间做到能防虫害且容易清洗。锐器储存地建议建设为全封闭区，与其他的废物储存地隔开，且与人员活动密集区隔开。防止鸟类和昆虫进入，</w:t>
            </w:r>
            <w:r>
              <w:rPr>
                <w:rFonts w:hint="eastAsia" w:cs="Times New Roman"/>
                <w:color w:val="000000" w:themeColor="text1"/>
                <w:spacing w:val="1"/>
                <w:lang w:val="en-US" w:eastAsia="zh-CN"/>
                <w14:textFill>
                  <w14:solidFill>
                    <w14:schemeClr w14:val="tx1"/>
                  </w14:solidFill>
                </w14:textFill>
              </w:rPr>
              <w:t>确保</w:t>
            </w:r>
            <w:r>
              <w:rPr>
                <w:rFonts w:hint="default" w:ascii="Times New Roman" w:hAnsi="Times New Roman" w:cs="Times New Roman"/>
                <w:color w:val="000000" w:themeColor="text1"/>
                <w:spacing w:val="1"/>
                <w:lang w:val="en-US" w:eastAsia="zh-CN"/>
                <w14:textFill>
                  <w14:solidFill>
                    <w14:schemeClr w14:val="tx1"/>
                  </w14:solidFill>
                </w14:textFill>
              </w:rPr>
              <w:t>照明和通风效果</w:t>
            </w:r>
            <w:r>
              <w:rPr>
                <w:rFonts w:hint="eastAsia" w:cs="Times New Roman"/>
                <w:color w:val="000000" w:themeColor="text1"/>
                <w:spacing w:val="1"/>
                <w:lang w:val="en-US" w:eastAsia="zh-CN"/>
                <w14:textFill>
                  <w14:solidFill>
                    <w14:schemeClr w14:val="tx1"/>
                  </w14:solidFill>
                </w14:textFill>
              </w:rPr>
              <w:t>良</w:t>
            </w:r>
            <w:r>
              <w:rPr>
                <w:rFonts w:hint="default" w:ascii="Times New Roman" w:hAnsi="Times New Roman" w:cs="Times New Roman"/>
                <w:color w:val="000000" w:themeColor="text1"/>
                <w:spacing w:val="1"/>
                <w:lang w:val="en-US" w:eastAsia="zh-CN"/>
                <w14:textFill>
                  <w14:solidFill>
                    <w14:schemeClr w14:val="tx1"/>
                  </w14:solidFill>
                </w14:textFill>
              </w:rPr>
              <w:t>好</w:t>
            </w:r>
            <w:r>
              <w:rPr>
                <w:rFonts w:hint="eastAsia" w:cs="Times New Roman"/>
                <w:color w:val="000000" w:themeColor="text1"/>
                <w:spacing w:val="1"/>
                <w:lang w:val="en-US" w:eastAsia="zh-CN"/>
                <w14:textFill>
                  <w14:solidFill>
                    <w14:schemeClr w14:val="tx1"/>
                  </w14:solidFill>
                </w14:textFill>
              </w:rPr>
              <w:t>。</w:t>
            </w:r>
          </w:p>
          <w:p w14:paraId="1DECDF7E">
            <w:pPr>
              <w:keepNext w:val="0"/>
              <w:keepLines w:val="0"/>
              <w:widowControl/>
              <w:suppressLineNumbers w:val="0"/>
              <w:jc w:val="left"/>
              <w:rPr>
                <w:rFonts w:hint="default" w:ascii="Times New Roman" w:hAnsi="Times New Roman" w:cs="Times New Roman"/>
                <w:color w:val="000000" w:themeColor="text1"/>
                <w:spacing w:val="1"/>
                <w:lang w:val="en-US" w:eastAsia="zh-CN"/>
                <w14:textFill>
                  <w14:solidFill>
                    <w14:schemeClr w14:val="tx1"/>
                  </w14:solidFill>
                </w14:textFill>
              </w:rPr>
            </w:pPr>
            <w:r>
              <w:rPr>
                <w:rFonts w:hint="default" w:ascii="Times New Roman" w:hAnsi="Times New Roman" w:cs="Times New Roman"/>
                <w:color w:val="000000" w:themeColor="text1"/>
                <w:spacing w:val="1"/>
                <w:lang w:val="en-US" w:eastAsia="zh-CN"/>
                <w14:textFill>
                  <w14:solidFill>
                    <w14:schemeClr w14:val="tx1"/>
                  </w14:solidFill>
                </w14:textFill>
              </w:rPr>
              <w:t>⑤根据《医疗废物集中处置技术规范（试行）》的规定，医疗废物低温暂存，暂存温度低于20℃，且最长存放时间不超过48小时。</w:t>
            </w:r>
          </w:p>
          <w:p w14:paraId="565AD8C5">
            <w:pPr>
              <w:keepNext w:val="0"/>
              <w:keepLines w:val="0"/>
              <w:widowControl/>
              <w:suppressLineNumbers w:val="0"/>
              <w:jc w:val="left"/>
              <w:rPr>
                <w:rFonts w:hint="default" w:ascii="Times New Roman" w:hAnsi="Times New Roman" w:eastAsia="宋体" w:cs="Times New Roman"/>
                <w:color w:val="000000" w:themeColor="text1"/>
                <w:spacing w:val="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
                <w:highlight w:val="none"/>
                <w:lang w:val="en-US" w:eastAsia="zh-CN"/>
                <w14:textFill>
                  <w14:solidFill>
                    <w14:schemeClr w14:val="tx1"/>
                  </w14:solidFill>
                </w14:textFill>
              </w:rPr>
              <w:t>⑥</w:t>
            </w:r>
            <w:r>
              <w:rPr>
                <w:rFonts w:hint="default" w:ascii="Times New Roman" w:hAnsi="Times New Roman" w:eastAsia="宋体" w:cs="Times New Roman"/>
                <w:color w:val="000000" w:themeColor="text1"/>
                <w:spacing w:val="1"/>
                <w:highlight w:val="none"/>
                <w:lang w:val="en-US" w:eastAsia="zh-CN"/>
                <w14:textFill>
                  <w14:solidFill>
                    <w14:schemeClr w14:val="tx1"/>
                  </w14:solidFill>
                </w14:textFill>
              </w:rPr>
              <w:t>建立档案制度，详细记录入场的</w:t>
            </w:r>
            <w:r>
              <w:rPr>
                <w:rFonts w:hint="eastAsia" w:ascii="Times New Roman" w:hAnsi="Times New Roman" w:eastAsia="宋体" w:cs="Times New Roman"/>
                <w:color w:val="000000" w:themeColor="text1"/>
                <w:spacing w:val="1"/>
                <w:highlight w:val="none"/>
                <w:lang w:val="en-US" w:eastAsia="zh-CN"/>
                <w14:textFill>
                  <w14:solidFill>
                    <w14:schemeClr w14:val="tx1"/>
                  </w14:solidFill>
                </w14:textFill>
              </w:rPr>
              <w:t>各类医疗废物</w:t>
            </w:r>
            <w:r>
              <w:rPr>
                <w:rFonts w:hint="default" w:ascii="Times New Roman" w:hAnsi="Times New Roman" w:eastAsia="宋体" w:cs="Times New Roman"/>
                <w:color w:val="000000" w:themeColor="text1"/>
                <w:spacing w:val="1"/>
                <w:highlight w:val="none"/>
                <w:lang w:val="en-US" w:eastAsia="zh-CN"/>
                <w14:textFill>
                  <w14:solidFill>
                    <w14:schemeClr w14:val="tx1"/>
                  </w14:solidFill>
                </w14:textFill>
              </w:rPr>
              <w:t>种类和数量等信息长期保存，供随时查阅；</w:t>
            </w:r>
          </w:p>
          <w:p w14:paraId="72615FC4">
            <w:pPr>
              <w:keepNext w:val="0"/>
              <w:keepLines w:val="0"/>
              <w:widowControl/>
              <w:suppressLineNumbers w:val="0"/>
              <w:jc w:val="left"/>
              <w:rPr>
                <w:rFonts w:hint="default" w:ascii="Times New Roman" w:hAnsi="Times New Roman" w:eastAsia="宋体" w:cs="Times New Roman"/>
                <w:color w:val="000000" w:themeColor="text1"/>
                <w:spacing w:val="1"/>
                <w:highlight w:val="yellow"/>
                <w:lang w:val="en-US" w:eastAsia="zh-CN"/>
                <w14:textFill>
                  <w14:solidFill>
                    <w14:schemeClr w14:val="tx1"/>
                  </w14:solidFill>
                </w14:textFill>
              </w:rPr>
            </w:pPr>
            <w:r>
              <w:rPr>
                <w:rFonts w:hint="eastAsia" w:ascii="Times New Roman" w:hAnsi="Times New Roman" w:eastAsia="宋体" w:cs="Times New Roman"/>
                <w:color w:val="000000" w:themeColor="text1"/>
                <w:spacing w:val="1"/>
                <w:highlight w:val="none"/>
                <w:lang w:val="en-US" w:eastAsia="zh-CN"/>
                <w14:textFill>
                  <w14:solidFill>
                    <w14:schemeClr w14:val="tx1"/>
                  </w14:solidFill>
                </w14:textFill>
              </w:rPr>
              <w:t>⑦</w:t>
            </w:r>
            <w:r>
              <w:rPr>
                <w:rFonts w:hint="default" w:ascii="Times New Roman" w:hAnsi="Times New Roman" w:eastAsia="宋体" w:cs="Times New Roman"/>
                <w:color w:val="000000" w:themeColor="text1"/>
                <w:spacing w:val="1"/>
                <w:highlight w:val="none"/>
                <w:lang w:val="en-US" w:eastAsia="zh-CN"/>
                <w14:textFill>
                  <w14:solidFill>
                    <w14:schemeClr w14:val="tx1"/>
                  </w14:solidFill>
                </w14:textFill>
              </w:rPr>
              <w:t>落实固废处置方案，</w:t>
            </w:r>
            <w:r>
              <w:rPr>
                <w:rFonts w:hint="eastAsia" w:ascii="Times New Roman" w:hAnsi="Times New Roman" w:eastAsia="宋体" w:cs="Times New Roman"/>
                <w:color w:val="000000" w:themeColor="text1"/>
                <w:spacing w:val="1"/>
                <w:highlight w:val="none"/>
                <w:lang w:val="en-US" w:eastAsia="zh-CN"/>
                <w14:textFill>
                  <w14:solidFill>
                    <w14:schemeClr w14:val="tx1"/>
                  </w14:solidFill>
                </w14:textFill>
              </w:rPr>
              <w:t>与</w:t>
            </w:r>
            <w:r>
              <w:rPr>
                <w:rFonts w:hint="default" w:ascii="Times New Roman" w:hAnsi="Times New Roman" w:eastAsia="宋体" w:cs="Times New Roman"/>
                <w:color w:val="000000" w:themeColor="text1"/>
                <w:spacing w:val="1"/>
                <w:highlight w:val="none"/>
                <w:lang w:val="en-US" w:eastAsia="zh-CN"/>
                <w14:textFill>
                  <w14:solidFill>
                    <w14:schemeClr w14:val="tx1"/>
                  </w14:solidFill>
                </w14:textFill>
              </w:rPr>
              <w:t>有资质单位签订协议，尽可能及时外运，避免</w:t>
            </w:r>
            <w:r>
              <w:rPr>
                <w:rFonts w:hint="eastAsia" w:ascii="Times New Roman" w:hAnsi="Times New Roman" w:eastAsia="宋体" w:cs="Times New Roman"/>
                <w:color w:val="000000" w:themeColor="text1"/>
                <w:spacing w:val="1"/>
                <w:highlight w:val="none"/>
                <w:lang w:val="en-US" w:eastAsia="zh-CN"/>
                <w14:textFill>
                  <w14:solidFill>
                    <w14:schemeClr w14:val="tx1"/>
                  </w14:solidFill>
                </w14:textFill>
              </w:rPr>
              <w:t>危险废物</w:t>
            </w:r>
            <w:r>
              <w:rPr>
                <w:rFonts w:hint="default" w:ascii="Times New Roman" w:hAnsi="Times New Roman" w:eastAsia="宋体" w:cs="Times New Roman"/>
                <w:color w:val="000000" w:themeColor="text1"/>
                <w:spacing w:val="1"/>
                <w:highlight w:val="none"/>
                <w:lang w:val="en-US" w:eastAsia="zh-CN"/>
                <w14:textFill>
                  <w14:solidFill>
                    <w14:schemeClr w14:val="tx1"/>
                  </w14:solidFill>
                </w14:textFill>
              </w:rPr>
              <w:t>长期堆存。</w:t>
            </w:r>
          </w:p>
          <w:p w14:paraId="7E0C1ACB">
            <w:pPr>
              <w:keepNext w:val="0"/>
              <w:keepLines w:val="0"/>
              <w:widowControl/>
              <w:suppressLineNumbers w:val="0"/>
              <w:jc w:val="left"/>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4.3 污水处理站污泥</w:t>
            </w:r>
          </w:p>
          <w:p w14:paraId="14577E75">
            <w:pPr>
              <w:keepNext w:val="0"/>
              <w:keepLines w:val="0"/>
              <w:widowControl/>
              <w:suppressLineNumbers w:val="0"/>
              <w:jc w:val="left"/>
              <w:rPr>
                <w:rFonts w:hint="default" w:ascii="Times New Roman" w:hAnsi="Times New Roman" w:eastAsia="宋体" w:cs="Times New Roman"/>
                <w:color w:val="000000" w:themeColor="text1"/>
                <w:spacing w:val="1"/>
                <w:lang w:val="en-US" w:eastAsia="zh-CN"/>
                <w14:textFill>
                  <w14:solidFill>
                    <w14:schemeClr w14:val="tx1"/>
                  </w14:solidFill>
                </w14:textFill>
              </w:rPr>
            </w:pPr>
            <w:r>
              <w:rPr>
                <w:rFonts w:hint="default" w:ascii="Times New Roman" w:hAnsi="Times New Roman" w:eastAsia="宋体" w:cs="Times New Roman"/>
                <w:color w:val="000000" w:themeColor="text1"/>
                <w:spacing w:val="1"/>
                <w:lang w:val="en-US" w:eastAsia="zh-CN"/>
                <w14:textFill>
                  <w14:solidFill>
                    <w14:schemeClr w14:val="tx1"/>
                  </w14:solidFill>
                </w14:textFill>
              </w:rPr>
              <w:t>污水处理污泥包括化粪池的污泥、格栅渣和污水处理池的污泥，根据《医疗机构水污染物排放标准》（GB18466-2005）4.3 污泥控制与处置：“栅渣、化粪池和污水处理站污泥属危险废物，应按危险废物进行处理和处置”，因此污水处理站污泥属于危险废物，危险废物代码为HW49，代码为772-006-49。</w:t>
            </w:r>
            <w:r>
              <w:rPr>
                <w:rFonts w:hint="eastAsia" w:ascii="Times New Roman" w:hAnsi="Times New Roman" w:eastAsia="宋体" w:cs="Times New Roman"/>
                <w:color w:val="000000" w:themeColor="text1"/>
                <w:spacing w:val="1"/>
                <w:lang w:val="en-US" w:eastAsia="zh-CN"/>
                <w14:textFill>
                  <w14:solidFill>
                    <w14:schemeClr w14:val="tx1"/>
                  </w14:solidFill>
                </w14:textFill>
              </w:rPr>
              <w:t xml:space="preserve">        </w:t>
            </w:r>
          </w:p>
          <w:p w14:paraId="15CDE648">
            <w:pPr>
              <w:keepNext w:val="0"/>
              <w:keepLines w:val="0"/>
              <w:widowControl/>
              <w:suppressLineNumbers w:val="0"/>
              <w:jc w:val="left"/>
              <w:rPr>
                <w:rFonts w:hint="default" w:ascii="Times New Roman" w:hAnsi="Times New Roman" w:eastAsia="宋体" w:cs="Times New Roman"/>
                <w:color w:val="000000" w:themeColor="text1"/>
                <w:spacing w:val="1"/>
                <w:lang w:val="en-US" w:eastAsia="zh-CN"/>
                <w14:textFill>
                  <w14:solidFill>
                    <w14:schemeClr w14:val="tx1"/>
                  </w14:solidFill>
                </w14:textFill>
              </w:rPr>
            </w:pPr>
            <w:r>
              <w:rPr>
                <w:rFonts w:hint="default" w:ascii="Times New Roman" w:hAnsi="Times New Roman" w:cs="Times New Roman"/>
                <w:color w:val="000000" w:themeColor="text1"/>
                <w:spacing w:val="1"/>
                <w:lang w:val="en-US" w:eastAsia="zh-CN"/>
                <w14:textFill>
                  <w14:solidFill>
                    <w14:schemeClr w14:val="tx1"/>
                  </w14:solidFill>
                </w14:textFill>
              </w:rPr>
              <w:t>本项目产生的污泥用</w:t>
            </w:r>
            <w:r>
              <w:rPr>
                <w:rFonts w:hint="default" w:ascii="Times New Roman" w:hAnsi="Times New Roman" w:eastAsia="宋体" w:cs="Times New Roman"/>
                <w:color w:val="000000" w:themeColor="text1"/>
                <w:spacing w:val="1"/>
                <w:lang w:val="en-US" w:eastAsia="zh-CN"/>
                <w14:textFill>
                  <w14:solidFill>
                    <w14:schemeClr w14:val="tx1"/>
                  </w14:solidFill>
                </w14:textFill>
              </w:rPr>
              <w:t>专用污泥脱水车脱水处理后</w:t>
            </w:r>
            <w:r>
              <w:rPr>
                <w:rFonts w:hint="default" w:ascii="Times New Roman" w:hAnsi="Times New Roman" w:cs="Times New Roman"/>
                <w:color w:val="000000" w:themeColor="text1"/>
                <w:spacing w:val="1"/>
                <w:lang w:val="en-US" w:eastAsia="zh-CN"/>
                <w14:textFill>
                  <w14:solidFill>
                    <w14:schemeClr w14:val="tx1"/>
                  </w14:solidFill>
                </w14:textFill>
              </w:rPr>
              <w:t>，</w:t>
            </w:r>
            <w:r>
              <w:rPr>
                <w:rFonts w:hint="default" w:ascii="Times New Roman" w:hAnsi="Times New Roman" w:eastAsia="宋体" w:cs="Times New Roman"/>
                <w:color w:val="000000" w:themeColor="text1"/>
                <w:spacing w:val="1"/>
                <w:lang w:val="en-US" w:eastAsia="zh-CN"/>
                <w14:textFill>
                  <w14:solidFill>
                    <w14:schemeClr w14:val="tx1"/>
                  </w14:solidFill>
                </w14:textFill>
              </w:rPr>
              <w:t>污泥不在项目区内储存，直接装箱采用专用车辆运送至有资质的单位处理。</w:t>
            </w:r>
          </w:p>
          <w:p w14:paraId="18986A00">
            <w:pPr>
              <w:keepNext w:val="0"/>
              <w:keepLines w:val="0"/>
              <w:widowControl/>
              <w:suppressLineNumbers w:val="0"/>
              <w:jc w:val="left"/>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4.4 废活性炭</w:t>
            </w:r>
          </w:p>
          <w:p w14:paraId="494C5EE2">
            <w:pPr>
              <w:keepNext w:val="0"/>
              <w:keepLines w:val="0"/>
              <w:widowControl/>
              <w:suppressLineNumbers w:val="0"/>
              <w:jc w:val="left"/>
              <w:rPr>
                <w:rFonts w:hint="eastAsia" w:cs="Times New Roman"/>
                <w:color w:val="000000" w:themeColor="text1"/>
                <w:spacing w:val="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
                <w:lang w:val="en-US" w:eastAsia="zh-CN"/>
                <w14:textFill>
                  <w14:solidFill>
                    <w14:schemeClr w14:val="tx1"/>
                  </w14:solidFill>
                </w14:textFill>
              </w:rPr>
              <w:t>本项目污水处理站恶臭气体采用活性炭吸附装置进行处理，</w:t>
            </w:r>
            <w:r>
              <w:rPr>
                <w:rFonts w:hint="default" w:ascii="Times New Roman" w:hAnsi="Times New Roman" w:cs="Times New Roman"/>
                <w:color w:val="000000" w:themeColor="text1"/>
                <w:spacing w:val="1"/>
                <w:lang w:val="en-US" w:eastAsia="zh-CN"/>
                <w14:textFill>
                  <w14:solidFill>
                    <w14:schemeClr w14:val="tx1"/>
                  </w14:solidFill>
                </w14:textFill>
              </w:rPr>
              <w:t>约</w:t>
            </w:r>
            <w:r>
              <w:rPr>
                <w:rFonts w:hint="default" w:ascii="Times New Roman" w:hAnsi="Times New Roman" w:eastAsia="宋体" w:cs="Times New Roman"/>
                <w:color w:val="000000" w:themeColor="text1"/>
                <w:spacing w:val="1"/>
                <w:lang w:val="en-US" w:eastAsia="zh-CN"/>
                <w14:textFill>
                  <w14:solidFill>
                    <w14:schemeClr w14:val="tx1"/>
                  </w14:solidFill>
                </w14:textFill>
              </w:rPr>
              <w:t>每年更换一次，项目产生的废活性炭在医疗废物暂存间暂存后，定期交由有资质范围进行处置。</w:t>
            </w:r>
            <w:r>
              <w:rPr>
                <w:rFonts w:hint="eastAsia" w:cs="Times New Roman"/>
                <w:color w:val="000000" w:themeColor="text1"/>
                <w:spacing w:val="1"/>
                <w:lang w:val="en-US" w:eastAsia="zh-CN"/>
                <w14:textFill>
                  <w14:solidFill>
                    <w14:schemeClr w14:val="tx1"/>
                  </w14:solidFill>
                </w14:textFill>
              </w:rPr>
              <w:t>本项目废活性炭与医疗废物共同暂存于医疗废物暂存间，废活性炭储存要求：</w:t>
            </w:r>
            <w:r>
              <w:rPr>
                <w:rFonts w:hint="default" w:ascii="Times New Roman" w:hAnsi="Times New Roman" w:eastAsia="宋体" w:cs="Times New Roman"/>
                <w:color w:val="000000" w:themeColor="text1"/>
                <w:spacing w:val="1"/>
                <w:highlight w:val="none"/>
                <w:lang w:val="en-US" w:eastAsia="zh-CN"/>
                <w14:textFill>
                  <w14:solidFill>
                    <w14:schemeClr w14:val="tx1"/>
                  </w14:solidFill>
                </w14:textFill>
              </w:rPr>
              <w:t>建立</w:t>
            </w:r>
            <w:r>
              <w:rPr>
                <w:rFonts w:hint="eastAsia" w:cs="Times New Roman"/>
                <w:color w:val="000000" w:themeColor="text1"/>
                <w:spacing w:val="1"/>
                <w:highlight w:val="none"/>
                <w:lang w:val="en-US" w:eastAsia="zh-CN"/>
                <w14:textFill>
                  <w14:solidFill>
                    <w14:schemeClr w14:val="tx1"/>
                  </w14:solidFill>
                </w14:textFill>
              </w:rPr>
              <w:t>废活性炭</w:t>
            </w:r>
            <w:r>
              <w:rPr>
                <w:rFonts w:hint="default" w:ascii="Times New Roman" w:hAnsi="Times New Roman" w:eastAsia="宋体" w:cs="Times New Roman"/>
                <w:color w:val="000000" w:themeColor="text1"/>
                <w:spacing w:val="1"/>
                <w:highlight w:val="none"/>
                <w:lang w:val="en-US" w:eastAsia="zh-CN"/>
                <w14:textFill>
                  <w14:solidFill>
                    <w14:schemeClr w14:val="tx1"/>
                  </w14:solidFill>
                </w14:textFill>
              </w:rPr>
              <w:t>档案制度，详细记录入场的</w:t>
            </w:r>
            <w:r>
              <w:rPr>
                <w:rFonts w:hint="eastAsia" w:cs="Times New Roman"/>
                <w:color w:val="000000" w:themeColor="text1"/>
                <w:spacing w:val="1"/>
                <w:highlight w:val="none"/>
                <w:lang w:val="en-US" w:eastAsia="zh-CN"/>
                <w14:textFill>
                  <w14:solidFill>
                    <w14:schemeClr w14:val="tx1"/>
                  </w14:solidFill>
                </w14:textFill>
              </w:rPr>
              <w:t>废活性炭</w:t>
            </w:r>
            <w:r>
              <w:rPr>
                <w:rFonts w:hint="default" w:ascii="Times New Roman" w:hAnsi="Times New Roman" w:eastAsia="宋体" w:cs="Times New Roman"/>
                <w:color w:val="000000" w:themeColor="text1"/>
                <w:spacing w:val="1"/>
                <w:highlight w:val="none"/>
                <w:lang w:val="en-US" w:eastAsia="zh-CN"/>
                <w14:textFill>
                  <w14:solidFill>
                    <w14:schemeClr w14:val="tx1"/>
                  </w14:solidFill>
                </w14:textFill>
              </w:rPr>
              <w:t>来源、数量、特性和包装容器的类别、入库日期、存放库位、废物出库日期及接受单位名称等信息</w:t>
            </w:r>
            <w:r>
              <w:rPr>
                <w:rFonts w:hint="eastAsia" w:cs="Times New Roman"/>
                <w:color w:val="000000" w:themeColor="text1"/>
                <w:spacing w:val="1"/>
                <w:highlight w:val="none"/>
                <w:lang w:val="en-US" w:eastAsia="zh-CN"/>
                <w14:textFill>
                  <w14:solidFill>
                    <w14:schemeClr w14:val="tx1"/>
                  </w14:solidFill>
                </w14:textFill>
              </w:rPr>
              <w:t>；废活性炭应与医疗废物分区存放。</w:t>
            </w:r>
          </w:p>
          <w:p w14:paraId="220F2DD4">
            <w:pPr>
              <w:keepNext w:val="0"/>
              <w:keepLines w:val="0"/>
              <w:widowControl/>
              <w:suppressLineNumbers w:val="0"/>
              <w:jc w:val="left"/>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5 地下水、土壤防治措施</w:t>
            </w:r>
          </w:p>
          <w:p w14:paraId="154D36AF">
            <w:pPr>
              <w:keepNext w:val="0"/>
              <w:keepLines w:val="0"/>
              <w:widowControl/>
              <w:suppressLineNumbers w:val="0"/>
              <w:jc w:val="left"/>
              <w:rPr>
                <w:rFonts w:hint="default" w:ascii="Times New Roman" w:hAnsi="Times New Roman" w:eastAsia="宋体" w:cs="Times New Roman"/>
                <w:color w:val="000000" w:themeColor="text1"/>
                <w:spacing w:val="1"/>
                <w:lang w:val="en-US" w:eastAsia="zh-CN"/>
                <w14:textFill>
                  <w14:solidFill>
                    <w14:schemeClr w14:val="tx1"/>
                  </w14:solidFill>
                </w14:textFill>
              </w:rPr>
            </w:pPr>
            <w:r>
              <w:rPr>
                <w:rFonts w:hint="default" w:ascii="Times New Roman" w:hAnsi="Times New Roman" w:eastAsia="宋体" w:cs="Times New Roman"/>
                <w:color w:val="000000" w:themeColor="text1"/>
                <w:spacing w:val="1"/>
                <w:lang w:val="en-US" w:eastAsia="zh-CN"/>
                <w14:textFill>
                  <w14:solidFill>
                    <w14:schemeClr w14:val="tx1"/>
                  </w14:solidFill>
                </w14:textFill>
              </w:rPr>
              <w:t>针对可能对地下水和土壤造成影响的各环节，按照“考虑重点，辐射全面”的防腐防渗原则、防渗技术要求进行划分。本项目将</w:t>
            </w:r>
            <w:r>
              <w:rPr>
                <w:rFonts w:hint="default" w:ascii="Times New Roman" w:hAnsi="Times New Roman" w:cs="Times New Roman"/>
                <w:color w:val="000000" w:themeColor="text1"/>
                <w:spacing w:val="1"/>
                <w:lang w:val="en-US" w:eastAsia="zh-CN"/>
                <w14:textFill>
                  <w14:solidFill>
                    <w14:schemeClr w14:val="tx1"/>
                  </w14:solidFill>
                </w14:textFill>
              </w:rPr>
              <w:t>医疗废物暂存间、</w:t>
            </w:r>
            <w:r>
              <w:rPr>
                <w:rFonts w:hint="default" w:ascii="Times New Roman" w:hAnsi="Times New Roman" w:eastAsia="宋体" w:cs="Times New Roman"/>
                <w:color w:val="000000" w:themeColor="text1"/>
                <w:spacing w:val="1"/>
                <w:lang w:val="en-US" w:eastAsia="zh-CN"/>
                <w14:textFill>
                  <w14:solidFill>
                    <w14:schemeClr w14:val="tx1"/>
                  </w14:solidFill>
                </w14:textFill>
              </w:rPr>
              <w:t>配套建设的地埋式污水处理站及污水输送管道划分为重点防渗区。重点防渗区具体防渗措施</w:t>
            </w:r>
            <w:r>
              <w:rPr>
                <w:rFonts w:hint="default" w:ascii="Times New Roman" w:hAnsi="Times New Roman" w:cs="Times New Roman"/>
                <w:color w:val="000000" w:themeColor="text1"/>
                <w:spacing w:val="1"/>
                <w:lang w:val="en-US" w:eastAsia="zh-CN"/>
                <w14:textFill>
                  <w14:solidFill>
                    <w14:schemeClr w14:val="tx1"/>
                  </w14:solidFill>
                </w14:textFill>
              </w:rPr>
              <w:t>如下：</w:t>
            </w:r>
          </w:p>
          <w:p w14:paraId="71CADE86">
            <w:pPr>
              <w:keepNext w:val="0"/>
              <w:keepLines w:val="0"/>
              <w:widowControl/>
              <w:suppressLineNumbers w:val="0"/>
              <w:jc w:val="left"/>
              <w:rPr>
                <w:rFonts w:hint="default" w:ascii="Times New Roman" w:hAnsi="Times New Roman" w:eastAsia="宋体" w:cs="Times New Roman"/>
                <w:color w:val="000000" w:themeColor="text1"/>
                <w:spacing w:val="1"/>
                <w:lang w:val="en-US" w:eastAsia="zh-CN"/>
                <w14:textFill>
                  <w14:solidFill>
                    <w14:schemeClr w14:val="tx1"/>
                  </w14:solidFill>
                </w14:textFill>
              </w:rPr>
            </w:pPr>
            <w:r>
              <w:rPr>
                <w:rFonts w:hint="default" w:ascii="Times New Roman" w:hAnsi="Times New Roman" w:eastAsia="宋体" w:cs="Times New Roman"/>
                <w:color w:val="000000" w:themeColor="text1"/>
                <w:spacing w:val="1"/>
                <w:lang w:val="en-US" w:eastAsia="zh-CN"/>
                <w14:textFill>
                  <w14:solidFill>
                    <w14:schemeClr w14:val="tx1"/>
                  </w14:solidFill>
                </w14:textFill>
              </w:rPr>
              <w:t>①所有废水处理构筑物池体混凝土抗压强度、抗渗、抗冻性能必须达到设计要求；底板混凝土高程和坡度要满足设计要求；池壁要垂直、表面平整，相临湿接缝部位的混凝土应紧密，保护层厚度符合规定；浇注池壁混凝土前，混凝土施工缝应凿毛产冲洗干净，混凝土要衔接紧密不得渗漏；预埋管件、止水带和填缝板要安装牢固，位置准确；每座水池必须做满水实验，确保质量合格。</w:t>
            </w:r>
          </w:p>
          <w:p w14:paraId="479DB3C5">
            <w:pPr>
              <w:keepNext w:val="0"/>
              <w:keepLines w:val="0"/>
              <w:widowControl/>
              <w:suppressLineNumbers w:val="0"/>
              <w:jc w:val="left"/>
              <w:rPr>
                <w:rFonts w:hint="default" w:ascii="Times New Roman" w:hAnsi="Times New Roman" w:eastAsia="宋体" w:cs="Times New Roman"/>
                <w:color w:val="000000" w:themeColor="text1"/>
                <w:spacing w:val="1"/>
                <w:lang w:val="en-US" w:eastAsia="zh-CN"/>
                <w14:textFill>
                  <w14:solidFill>
                    <w14:schemeClr w14:val="tx1"/>
                  </w14:solidFill>
                </w14:textFill>
              </w:rPr>
            </w:pPr>
            <w:r>
              <w:rPr>
                <w:rFonts w:hint="default" w:ascii="Times New Roman" w:hAnsi="Times New Roman" w:eastAsia="宋体" w:cs="Times New Roman"/>
                <w:color w:val="000000" w:themeColor="text1"/>
                <w:spacing w:val="1"/>
                <w:lang w:val="en-US" w:eastAsia="zh-CN"/>
                <w14:textFill>
                  <w14:solidFill>
                    <w14:schemeClr w14:val="tx1"/>
                  </w14:solidFill>
                </w14:textFill>
              </w:rPr>
              <w:t>②池体或区域地坪及裙墙重点防渗可采用粘土铺底，再在上面铺设HDPE土工膜和抗渗混凝土，按照《环境影响评价技术导则 地下水环境》（HJ610-2011）要求，确保防渗层等效黏土防渗层Mb≥6.0m，渗透系数≤10-7cm。</w:t>
            </w:r>
          </w:p>
          <w:p w14:paraId="37086D05">
            <w:pPr>
              <w:keepNext w:val="0"/>
              <w:keepLines w:val="0"/>
              <w:widowControl/>
              <w:suppressLineNumbers w:val="0"/>
              <w:jc w:val="left"/>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
                <w:lang w:val="en-US" w:eastAsia="zh-CN"/>
                <w14:textFill>
                  <w14:solidFill>
                    <w14:schemeClr w14:val="tx1"/>
                  </w14:solidFill>
                </w14:textFill>
              </w:rPr>
              <w:t>③废水输送全部采用管道输送。</w:t>
            </w:r>
          </w:p>
        </w:tc>
      </w:tr>
      <w:tr w14:paraId="4525D89B">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28" w:type="dxa"/>
            <w:left w:w="28" w:type="dxa"/>
            <w:bottom w:w="28" w:type="dxa"/>
            <w:right w:w="28" w:type="dxa"/>
          </w:tblCellMar>
        </w:tblPrEx>
        <w:trPr>
          <w:trHeight w:val="1182" w:hRule="atLeast"/>
        </w:trPr>
        <w:tc>
          <w:tcPr>
            <w:tcW w:w="235" w:type="pct"/>
            <w:noWrap w:val="0"/>
            <w:vAlign w:val="center"/>
          </w:tcPr>
          <w:p w14:paraId="6BAD3B11">
            <w:pPr>
              <w:adjustRightInd w:val="0"/>
              <w:snapToGrid w:val="0"/>
              <w:ind w:firstLine="0" w:firstLineChars="0"/>
              <w:jc w:val="both"/>
              <w:rPr>
                <w:rFonts w:hint="default" w:ascii="Times New Roman" w:hAnsi="Times New Roman" w:cs="Times New Roman"/>
                <w:bCs/>
                <w:color w:val="000000" w:themeColor="text1"/>
                <w:spacing w:val="10"/>
                <w:szCs w:val="2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其他</w:t>
            </w:r>
          </w:p>
        </w:tc>
        <w:tc>
          <w:tcPr>
            <w:tcW w:w="4764" w:type="pct"/>
            <w:noWrap w:val="0"/>
            <w:vAlign w:val="center"/>
          </w:tcPr>
          <w:p w14:paraId="4CD4CBB8">
            <w:pPr>
              <w:pStyle w:val="15"/>
              <w:numPr>
                <w:ilvl w:val="0"/>
                <w:numId w:val="0"/>
              </w:numPr>
              <w:spacing w:line="360" w:lineRule="auto"/>
              <w:ind w:firstLine="482" w:firstLineChars="200"/>
              <w:rPr>
                <w:rFonts w:hint="default" w:ascii="Times New Roman" w:hAnsi="Times New Roman" w:cs="Times New Roman"/>
                <w:b/>
                <w:bCs/>
                <w:color w:val="000000" w:themeColor="text1"/>
                <w:sz w:val="24"/>
                <w:lang w:val="en-US" w:eastAsia="zh-CN"/>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1 环境管理</w:t>
            </w:r>
          </w:p>
          <w:p w14:paraId="6023BC5D">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cs="Times New Roman"/>
                <w:bCs/>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环境管理目标确保本项目符合环境保护法规要求；以适当的环境保护投资充分发挥本项目潜在的效益；实现项目建设的环境、社会与经济效益的统一。</w:t>
            </w:r>
          </w:p>
          <w:p w14:paraId="035D89A5">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cs="Times New Roman"/>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建设单位</w:t>
            </w:r>
            <w:r>
              <w:rPr>
                <w:rFonts w:hint="default" w:ascii="Times New Roman" w:hAnsi="Times New Roman" w:cs="Times New Roman"/>
                <w:bCs/>
                <w:color w:val="000000" w:themeColor="text1"/>
                <w:sz w:val="24"/>
                <w:szCs w:val="24"/>
                <w:lang w:val="en-US" w:eastAsia="zh-CN"/>
                <w14:textFill>
                  <w14:solidFill>
                    <w14:schemeClr w14:val="tx1"/>
                  </w14:solidFill>
                </w14:textFill>
              </w:rPr>
              <w:t>应</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设置专职的环境管理员，安排专业环保人员负责施工中的环境管理工作。为保证各项措施有效实施，环境管理员应在工程筹建期设置。</w:t>
            </w:r>
          </w:p>
          <w:p w14:paraId="2D6B80FF">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环境管理员具有以下职责：</w:t>
            </w:r>
          </w:p>
          <w:p w14:paraId="07ADE232">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cs="Times New Roman"/>
                <w:bCs/>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贯彻国家及有关部门的环保方针、政策、法规、条例，对工程施工过程中各项环保措施执行情况进行监督检查。结合本</w:t>
            </w:r>
            <w:r>
              <w:rPr>
                <w:rFonts w:hint="default" w:ascii="Times New Roman" w:hAnsi="Times New Roman" w:cs="Times New Roman"/>
                <w:bCs/>
                <w:color w:val="000000" w:themeColor="text1"/>
                <w:sz w:val="24"/>
                <w:szCs w:val="24"/>
                <w:lang w:val="en-US" w:eastAsia="zh-CN"/>
                <w14:textFill>
                  <w14:solidFill>
                    <w14:schemeClr w14:val="tx1"/>
                  </w14:solidFill>
                </w14:textFill>
              </w:rPr>
              <w:t>项目</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特点，制定施工区环境管理办法</w:t>
            </w:r>
            <w:r>
              <w:rPr>
                <w:rFonts w:hint="default" w:ascii="Times New Roman" w:hAnsi="Times New Roman" w:cs="Times New Roman"/>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并指导、监督实施。</w:t>
            </w:r>
          </w:p>
          <w:p w14:paraId="16154B82">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cs="Times New Roman"/>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选择有资质的单位签订</w:t>
            </w:r>
            <w:r>
              <w:rPr>
                <w:rFonts w:hint="default" w:ascii="Times New Roman" w:hAnsi="Times New Roman" w:cs="Times New Roman"/>
                <w:bCs/>
                <w:color w:val="000000" w:themeColor="text1"/>
                <w:sz w:val="24"/>
                <w:szCs w:val="24"/>
                <w:lang w:val="en-US" w:eastAsia="zh-CN"/>
                <w14:textFill>
                  <w14:solidFill>
                    <w14:schemeClr w14:val="tx1"/>
                  </w14:solidFill>
                </w14:textFill>
              </w:rPr>
              <w:t>监测</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合同，进行环境监测、环境监理工作。</w:t>
            </w:r>
          </w:p>
          <w:p w14:paraId="01DC28FE">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cs="Times New Roman"/>
                <w:bCs/>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做好施工期各种突发环境事件的预防工作，准备好应急处理措施。</w:t>
            </w:r>
          </w:p>
          <w:p w14:paraId="47CCA78E">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加强对施工人员的环保宣传教育，增强其环保意识。</w:t>
            </w:r>
          </w:p>
          <w:p w14:paraId="4CE1F3FC">
            <w:pPr>
              <w:adjustRightInd w:val="0"/>
              <w:snapToGrid w:val="0"/>
              <w:spacing w:line="360" w:lineRule="auto"/>
              <w:ind w:firstLine="482" w:firstLineChars="200"/>
              <w:jc w:val="both"/>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2 环境监测</w:t>
            </w:r>
          </w:p>
          <w:p w14:paraId="3D365732">
            <w:pPr>
              <w:adjustRightInd w:val="0"/>
              <w:snapToGrid w:val="0"/>
              <w:spacing w:line="360" w:lineRule="auto"/>
              <w:ind w:firstLine="480" w:firstLineChars="200"/>
              <w:jc w:val="both"/>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本项目环境监测主要目的是通过项目建设中和建成后的环境监测为环境管理提供依据，本项目环境监测情况详见下表。</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环境监测点位图见附图1</w:t>
            </w:r>
            <w:r>
              <w:rPr>
                <w:rFonts w:hint="eastAsia" w:cs="Times New Roman"/>
                <w:bCs/>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bCs/>
                <w:color w:val="000000" w:themeColor="text1"/>
                <w:sz w:val="24"/>
                <w:szCs w:val="24"/>
                <w:highlight w:val="none"/>
                <w:lang w:val="en-US" w:eastAsia="zh-CN"/>
                <w14:textFill>
                  <w14:solidFill>
                    <w14:schemeClr w14:val="tx1"/>
                  </w14:solidFill>
                </w14:textFill>
              </w:rPr>
              <w:t>。</w:t>
            </w:r>
          </w:p>
          <w:p w14:paraId="07B8E72D">
            <w:pPr>
              <w:pStyle w:val="63"/>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cs="Times New Roman"/>
                <w:b/>
                <w:bCs w:val="0"/>
                <w:color w:val="000000" w:themeColor="text1"/>
                <w:sz w:val="21"/>
                <w:szCs w:val="21"/>
                <w:lang w:val="en-US" w:eastAsia="zh-CN"/>
                <w14:textFill>
                  <w14:solidFill>
                    <w14:schemeClr w14:val="tx1"/>
                  </w14:solidFill>
                </w14:textFill>
              </w:rPr>
            </w:pPr>
            <w:r>
              <w:rPr>
                <w:rFonts w:hint="default" w:ascii="Times New Roman" w:hAnsi="Times New Roman" w:cs="Times New Roman"/>
                <w:b/>
                <w:bCs w:val="0"/>
                <w:color w:val="000000" w:themeColor="text1"/>
                <w:sz w:val="21"/>
                <w:szCs w:val="21"/>
                <w:lang w:val="en-US" w:eastAsia="zh-CN"/>
                <w14:textFill>
                  <w14:solidFill>
                    <w14:schemeClr w14:val="tx1"/>
                  </w14:solidFill>
                </w14:textFill>
              </w:rPr>
              <w:t>表5-1  环境监测计划一览表</w:t>
            </w:r>
          </w:p>
          <w:tbl>
            <w:tblPr>
              <w:tblStyle w:val="28"/>
              <w:tblW w:w="79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5"/>
              <w:gridCol w:w="736"/>
              <w:gridCol w:w="655"/>
              <w:gridCol w:w="942"/>
              <w:gridCol w:w="1384"/>
              <w:gridCol w:w="2985"/>
              <w:gridCol w:w="887"/>
            </w:tblGrid>
            <w:tr w14:paraId="054675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65" w:type="dxa"/>
                  <w:tcBorders>
                    <w:tl2br w:val="nil"/>
                    <w:tr2bl w:val="nil"/>
                  </w:tcBorders>
                  <w:vAlign w:val="center"/>
                </w:tcPr>
                <w:p w14:paraId="002E7A90">
                  <w:pPr>
                    <w:ind w:left="0" w:leftChars="0" w:right="0" w:rightChars="0" w:firstLine="0" w:firstLineChars="0"/>
                    <w:jc w:val="cente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时期</w:t>
                  </w:r>
                </w:p>
              </w:tc>
              <w:tc>
                <w:tcPr>
                  <w:tcW w:w="736" w:type="dxa"/>
                  <w:tcBorders>
                    <w:tl2br w:val="nil"/>
                    <w:tr2bl w:val="nil"/>
                  </w:tcBorders>
                  <w:vAlign w:val="center"/>
                </w:tcPr>
                <w:p w14:paraId="3CF0BF01">
                  <w:pPr>
                    <w:ind w:left="0" w:leftChars="0" w:right="0" w:rightChars="0" w:firstLine="0" w:firstLineChars="0"/>
                    <w:jc w:val="cente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类别</w:t>
                  </w:r>
                </w:p>
              </w:tc>
              <w:tc>
                <w:tcPr>
                  <w:tcW w:w="1597" w:type="dxa"/>
                  <w:gridSpan w:val="2"/>
                  <w:tcBorders>
                    <w:tl2br w:val="nil"/>
                    <w:tr2bl w:val="nil"/>
                  </w:tcBorders>
                  <w:vAlign w:val="center"/>
                </w:tcPr>
                <w:p w14:paraId="698E9CB7">
                  <w:pPr>
                    <w:ind w:left="0" w:leftChars="0" w:right="0" w:rightChars="0" w:firstLine="0" w:firstLineChars="0"/>
                    <w:jc w:val="cente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val="0"/>
                      <w:color w:val="000000" w:themeColor="text1"/>
                      <w:sz w:val="21"/>
                      <w:szCs w:val="21"/>
                      <w:highlight w:val="none"/>
                      <w:lang w:val="en-US" w:eastAsia="zh-CN"/>
                      <w14:textFill>
                        <w14:solidFill>
                          <w14:schemeClr w14:val="tx1"/>
                        </w14:solidFill>
                      </w14:textFill>
                    </w:rPr>
                    <w:t>监测点位</w:t>
                  </w:r>
                </w:p>
              </w:tc>
              <w:tc>
                <w:tcPr>
                  <w:tcW w:w="1384" w:type="dxa"/>
                  <w:tcBorders>
                    <w:tl2br w:val="nil"/>
                    <w:tr2bl w:val="nil"/>
                  </w:tcBorders>
                  <w:vAlign w:val="center"/>
                </w:tcPr>
                <w:p w14:paraId="2425EE0A">
                  <w:pPr>
                    <w:ind w:left="0" w:leftChars="0" w:right="0" w:rightChars="0" w:firstLine="0" w:firstLineChars="0"/>
                    <w:jc w:val="cente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val="0"/>
                      <w:color w:val="000000" w:themeColor="text1"/>
                      <w:sz w:val="21"/>
                      <w:szCs w:val="21"/>
                      <w:highlight w:val="none"/>
                      <w:lang w:val="en-US" w:eastAsia="zh-CN"/>
                      <w14:textFill>
                        <w14:solidFill>
                          <w14:schemeClr w14:val="tx1"/>
                        </w14:solidFill>
                      </w14:textFill>
                    </w:rPr>
                    <w:t>监测因子</w:t>
                  </w:r>
                </w:p>
              </w:tc>
              <w:tc>
                <w:tcPr>
                  <w:tcW w:w="2985" w:type="dxa"/>
                  <w:tcBorders>
                    <w:tl2br w:val="nil"/>
                    <w:tr2bl w:val="nil"/>
                  </w:tcBorders>
                  <w:vAlign w:val="center"/>
                </w:tcPr>
                <w:p w14:paraId="18428414">
                  <w:pPr>
                    <w:ind w:left="0" w:leftChars="0" w:right="0" w:rightChars="0" w:firstLine="0" w:firstLineChars="0"/>
                    <w:jc w:val="cente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val="0"/>
                      <w:color w:val="000000" w:themeColor="text1"/>
                      <w:sz w:val="21"/>
                      <w:szCs w:val="21"/>
                      <w:highlight w:val="none"/>
                      <w:lang w:val="en-US" w:eastAsia="zh-CN"/>
                      <w14:textFill>
                        <w14:solidFill>
                          <w14:schemeClr w14:val="tx1"/>
                        </w14:solidFill>
                      </w14:textFill>
                    </w:rPr>
                    <w:t>执行标准</w:t>
                  </w:r>
                </w:p>
              </w:tc>
              <w:tc>
                <w:tcPr>
                  <w:tcW w:w="887" w:type="dxa"/>
                  <w:tcBorders>
                    <w:tl2br w:val="nil"/>
                    <w:tr2bl w:val="nil"/>
                  </w:tcBorders>
                  <w:vAlign w:val="center"/>
                </w:tcPr>
                <w:p w14:paraId="15A32C20">
                  <w:pPr>
                    <w:ind w:left="0" w:leftChars="0" w:right="0" w:rightChars="0" w:firstLine="0" w:firstLineChars="0"/>
                    <w:jc w:val="cente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监测</w:t>
                  </w:r>
                </w:p>
                <w:p w14:paraId="4FA92CB0">
                  <w:pPr>
                    <w:ind w:left="0" w:leftChars="0" w:right="0" w:rightChars="0" w:firstLine="0" w:firstLineChars="0"/>
                    <w:jc w:val="cente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频次</w:t>
                  </w:r>
                </w:p>
              </w:tc>
            </w:tr>
            <w:tr w14:paraId="4488B4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65" w:type="dxa"/>
                  <w:vMerge w:val="restart"/>
                  <w:tcBorders>
                    <w:tl2br w:val="nil"/>
                    <w:tr2bl w:val="nil"/>
                  </w:tcBorders>
                  <w:vAlign w:val="center"/>
                </w:tcPr>
                <w:p w14:paraId="088E73B2">
                  <w:pPr>
                    <w:ind w:left="0" w:leftChars="0" w:right="0" w:rightChars="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施工期</w:t>
                  </w:r>
                </w:p>
              </w:tc>
              <w:tc>
                <w:tcPr>
                  <w:tcW w:w="736" w:type="dxa"/>
                  <w:tcBorders>
                    <w:tl2br w:val="nil"/>
                    <w:tr2bl w:val="nil"/>
                  </w:tcBorders>
                  <w:vAlign w:val="center"/>
                </w:tcPr>
                <w:p w14:paraId="16CD2400">
                  <w:pPr>
                    <w:ind w:left="0" w:leftChars="0" w:right="0" w:rightChars="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环境</w:t>
                  </w:r>
                </w:p>
                <w:p w14:paraId="420AD804">
                  <w:pPr>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空气</w:t>
                  </w:r>
                </w:p>
              </w:tc>
              <w:tc>
                <w:tcPr>
                  <w:tcW w:w="1597" w:type="dxa"/>
                  <w:gridSpan w:val="2"/>
                  <w:tcBorders>
                    <w:tl2br w:val="nil"/>
                    <w:tr2bl w:val="nil"/>
                  </w:tcBorders>
                  <w:vAlign w:val="center"/>
                </w:tcPr>
                <w:p w14:paraId="6C3DF6F2">
                  <w:pPr>
                    <w:ind w:left="0" w:leftChars="0" w:right="0" w:rightChars="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施工现场</w:t>
                  </w:r>
                </w:p>
              </w:tc>
              <w:tc>
                <w:tcPr>
                  <w:tcW w:w="1384" w:type="dxa"/>
                  <w:tcBorders>
                    <w:tl2br w:val="nil"/>
                    <w:tr2bl w:val="nil"/>
                  </w:tcBorders>
                  <w:vAlign w:val="center"/>
                </w:tcPr>
                <w:p w14:paraId="570752B7">
                  <w:pPr>
                    <w:ind w:left="0" w:leftChars="0" w:right="0" w:rightChars="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TSP</w:t>
                  </w:r>
                </w:p>
              </w:tc>
              <w:tc>
                <w:tcPr>
                  <w:tcW w:w="2985" w:type="dxa"/>
                  <w:tcBorders>
                    <w:tl2br w:val="nil"/>
                    <w:tr2bl w:val="nil"/>
                  </w:tcBorders>
                  <w:vAlign w:val="center"/>
                </w:tcPr>
                <w:p w14:paraId="59DDDBFF">
                  <w:pPr>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《大气污染物综合排放标准》（GB16297-1996）</w:t>
                  </w:r>
                </w:p>
              </w:tc>
              <w:tc>
                <w:tcPr>
                  <w:tcW w:w="887" w:type="dxa"/>
                  <w:vMerge w:val="restart"/>
                  <w:tcBorders>
                    <w:tl2br w:val="nil"/>
                    <w:tr2bl w:val="nil"/>
                  </w:tcBorders>
                  <w:vAlign w:val="center"/>
                </w:tcPr>
                <w:p w14:paraId="04DCF206">
                  <w:pPr>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1次</w:t>
                  </w:r>
                </w:p>
              </w:tc>
            </w:tr>
            <w:tr w14:paraId="74C470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65" w:type="dxa"/>
                  <w:vMerge w:val="continue"/>
                  <w:tcBorders>
                    <w:tl2br w:val="nil"/>
                    <w:tr2bl w:val="nil"/>
                  </w:tcBorders>
                  <w:vAlign w:val="center"/>
                </w:tcPr>
                <w:p w14:paraId="215B5B77">
                  <w:pPr>
                    <w:ind w:left="0" w:leftChars="0" w:right="0" w:rightChars="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736" w:type="dxa"/>
                  <w:tcBorders>
                    <w:tl2br w:val="nil"/>
                    <w:tr2bl w:val="nil"/>
                  </w:tcBorders>
                  <w:vAlign w:val="center"/>
                </w:tcPr>
                <w:p w14:paraId="4DDC95B8">
                  <w:pPr>
                    <w:ind w:left="0" w:leftChars="0" w:right="0" w:rightChars="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噪声</w:t>
                  </w:r>
                </w:p>
              </w:tc>
              <w:tc>
                <w:tcPr>
                  <w:tcW w:w="1597" w:type="dxa"/>
                  <w:gridSpan w:val="2"/>
                  <w:tcBorders>
                    <w:tl2br w:val="nil"/>
                    <w:tr2bl w:val="nil"/>
                  </w:tcBorders>
                  <w:vAlign w:val="center"/>
                </w:tcPr>
                <w:p w14:paraId="46591B3E">
                  <w:pPr>
                    <w:ind w:left="0" w:leftChars="0" w:right="0" w:rightChars="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施工现场</w:t>
                  </w:r>
                </w:p>
              </w:tc>
              <w:tc>
                <w:tcPr>
                  <w:tcW w:w="1384" w:type="dxa"/>
                  <w:tcBorders>
                    <w:tl2br w:val="nil"/>
                    <w:tr2bl w:val="nil"/>
                  </w:tcBorders>
                  <w:vAlign w:val="center"/>
                </w:tcPr>
                <w:p w14:paraId="6602D445">
                  <w:pPr>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等效连续A声级</w:t>
                  </w:r>
                </w:p>
              </w:tc>
              <w:tc>
                <w:tcPr>
                  <w:tcW w:w="2985" w:type="dxa"/>
                  <w:tcBorders>
                    <w:tl2br w:val="nil"/>
                    <w:tr2bl w:val="nil"/>
                  </w:tcBorders>
                  <w:vAlign w:val="center"/>
                </w:tcPr>
                <w:p w14:paraId="33D0AFED">
                  <w:pPr>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《建筑施工场界环境噪声排放标准》（GB12523-2011）</w:t>
                  </w:r>
                </w:p>
              </w:tc>
              <w:tc>
                <w:tcPr>
                  <w:tcW w:w="887" w:type="dxa"/>
                  <w:vMerge w:val="continue"/>
                  <w:tcBorders>
                    <w:tl2br w:val="nil"/>
                    <w:tr2bl w:val="nil"/>
                  </w:tcBorders>
                  <w:vAlign w:val="center"/>
                </w:tcPr>
                <w:p w14:paraId="3439D4BF">
                  <w:pPr>
                    <w:ind w:left="0" w:leftChars="0" w:right="0" w:rightChars="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r>
            <w:tr w14:paraId="06AF39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64" w:hRule="atLeast"/>
                <w:jc w:val="center"/>
              </w:trPr>
              <w:tc>
                <w:tcPr>
                  <w:tcW w:w="365" w:type="dxa"/>
                  <w:vMerge w:val="continue"/>
                  <w:tcBorders>
                    <w:tl2br w:val="nil"/>
                    <w:tr2bl w:val="nil"/>
                  </w:tcBorders>
                  <w:vAlign w:val="center"/>
                </w:tcPr>
                <w:p w14:paraId="7A2645C1">
                  <w:pPr>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736" w:type="dxa"/>
                  <w:tcBorders>
                    <w:tl2br w:val="nil"/>
                    <w:tr2bl w:val="nil"/>
                  </w:tcBorders>
                  <w:shd w:val="clear" w:color="auto" w:fill="auto"/>
                  <w:vAlign w:val="center"/>
                </w:tcPr>
                <w:p w14:paraId="03A13893">
                  <w:pPr>
                    <w:ind w:left="0" w:leftChars="0" w:right="0" w:rightChars="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生态</w:t>
                  </w:r>
                </w:p>
              </w:tc>
              <w:tc>
                <w:tcPr>
                  <w:tcW w:w="1597" w:type="dxa"/>
                  <w:gridSpan w:val="2"/>
                  <w:tcBorders>
                    <w:tl2br w:val="nil"/>
                    <w:tr2bl w:val="nil"/>
                  </w:tcBorders>
                  <w:shd w:val="clear" w:color="auto" w:fill="auto"/>
                  <w:vAlign w:val="center"/>
                </w:tcPr>
                <w:p w14:paraId="31190F4D">
                  <w:pPr>
                    <w:ind w:left="0" w:leftChars="0" w:right="0" w:rightChars="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施工场地中心位置</w:t>
                  </w:r>
                </w:p>
              </w:tc>
              <w:tc>
                <w:tcPr>
                  <w:tcW w:w="1384" w:type="dxa"/>
                  <w:tcBorders>
                    <w:tl2br w:val="nil"/>
                    <w:tr2bl w:val="nil"/>
                  </w:tcBorders>
                  <w:shd w:val="clear" w:color="auto" w:fill="auto"/>
                  <w:vAlign w:val="center"/>
                </w:tcPr>
                <w:p w14:paraId="42599C3F">
                  <w:pPr>
                    <w:ind w:left="0" w:leftChars="0" w:right="0" w:rightChars="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调查植被覆盖情况、绿化面积、植物种类等</w:t>
                  </w:r>
                </w:p>
              </w:tc>
              <w:tc>
                <w:tcPr>
                  <w:tcW w:w="2985" w:type="dxa"/>
                  <w:tcBorders>
                    <w:tl2br w:val="nil"/>
                    <w:tr2bl w:val="nil"/>
                  </w:tcBorders>
                  <w:shd w:val="clear" w:color="auto" w:fill="auto"/>
                  <w:vAlign w:val="center"/>
                </w:tcPr>
                <w:p w14:paraId="02874052">
                  <w:pPr>
                    <w:ind w:left="0" w:leftChars="0" w:right="0" w:rightChars="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887" w:type="dxa"/>
                  <w:tcBorders>
                    <w:tl2br w:val="nil"/>
                    <w:tr2bl w:val="nil"/>
                  </w:tcBorders>
                  <w:shd w:val="clear" w:color="auto" w:fill="auto"/>
                  <w:vAlign w:val="center"/>
                </w:tcPr>
                <w:p w14:paraId="66094F54">
                  <w:pPr>
                    <w:ind w:left="0" w:leftChars="0" w:right="0" w:rightChars="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施工后监测一次</w:t>
                  </w:r>
                </w:p>
              </w:tc>
            </w:tr>
            <w:tr w14:paraId="1F50D2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365" w:type="dxa"/>
                  <w:vMerge w:val="restart"/>
                  <w:tcBorders>
                    <w:tl2br w:val="nil"/>
                    <w:tr2bl w:val="nil"/>
                  </w:tcBorders>
                  <w:vAlign w:val="center"/>
                </w:tcPr>
                <w:p w14:paraId="00857097">
                  <w:pPr>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运营期</w:t>
                  </w:r>
                </w:p>
              </w:tc>
              <w:tc>
                <w:tcPr>
                  <w:tcW w:w="736" w:type="dxa"/>
                  <w:tcBorders>
                    <w:tl2br w:val="nil"/>
                    <w:tr2bl w:val="nil"/>
                  </w:tcBorders>
                  <w:vAlign w:val="center"/>
                </w:tcPr>
                <w:p w14:paraId="4B5F7725">
                  <w:pPr>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噪声</w:t>
                  </w:r>
                </w:p>
              </w:tc>
              <w:tc>
                <w:tcPr>
                  <w:tcW w:w="1597" w:type="dxa"/>
                  <w:gridSpan w:val="2"/>
                  <w:tcBorders>
                    <w:tl2br w:val="nil"/>
                    <w:tr2bl w:val="nil"/>
                  </w:tcBorders>
                  <w:vAlign w:val="center"/>
                </w:tcPr>
                <w:p w14:paraId="515BE059">
                  <w:pPr>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厂界四周</w:t>
                  </w:r>
                </w:p>
              </w:tc>
              <w:tc>
                <w:tcPr>
                  <w:tcW w:w="1384" w:type="dxa"/>
                  <w:tcBorders>
                    <w:tl2br w:val="nil"/>
                    <w:tr2bl w:val="nil"/>
                  </w:tcBorders>
                  <w:vAlign w:val="center"/>
                </w:tcPr>
                <w:p w14:paraId="16662D3C">
                  <w:pPr>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等效连续A声级</w:t>
                  </w:r>
                </w:p>
              </w:tc>
              <w:tc>
                <w:tcPr>
                  <w:tcW w:w="2985" w:type="dxa"/>
                  <w:tcBorders>
                    <w:tl2br w:val="nil"/>
                    <w:tr2bl w:val="nil"/>
                  </w:tcBorders>
                  <w:vAlign w:val="center"/>
                </w:tcPr>
                <w:p w14:paraId="2FC83F8C">
                  <w:pPr>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工业企业厂界环境噪声排放标准</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》GB</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12348</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-2008</w:t>
                  </w:r>
                </w:p>
              </w:tc>
              <w:tc>
                <w:tcPr>
                  <w:tcW w:w="887" w:type="dxa"/>
                  <w:tcBorders>
                    <w:tl2br w:val="nil"/>
                    <w:tr2bl w:val="nil"/>
                  </w:tcBorders>
                  <w:vAlign w:val="center"/>
                </w:tcPr>
                <w:p w14:paraId="3B3CB6C9">
                  <w:pPr>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每年1次</w:t>
                  </w:r>
                </w:p>
              </w:tc>
            </w:tr>
            <w:tr w14:paraId="5AAF4D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365" w:type="dxa"/>
                  <w:vMerge w:val="continue"/>
                  <w:tcBorders>
                    <w:tl2br w:val="nil"/>
                    <w:tr2bl w:val="nil"/>
                  </w:tcBorders>
                  <w:vAlign w:val="center"/>
                </w:tcPr>
                <w:p w14:paraId="4F780ED7">
                  <w:pPr>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736" w:type="dxa"/>
                  <w:vMerge w:val="restart"/>
                  <w:tcBorders>
                    <w:tl2br w:val="nil"/>
                    <w:tr2bl w:val="nil"/>
                  </w:tcBorders>
                  <w:vAlign w:val="center"/>
                </w:tcPr>
                <w:p w14:paraId="7551BCE0">
                  <w:pPr>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废气</w:t>
                  </w:r>
                </w:p>
              </w:tc>
              <w:tc>
                <w:tcPr>
                  <w:tcW w:w="1597" w:type="dxa"/>
                  <w:gridSpan w:val="2"/>
                  <w:tcBorders>
                    <w:tl2br w:val="nil"/>
                    <w:tr2bl w:val="nil"/>
                  </w:tcBorders>
                  <w:vAlign w:val="center"/>
                </w:tcPr>
                <w:p w14:paraId="03A5B214">
                  <w:pPr>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餐饮油烟排放口</w:t>
                  </w:r>
                </w:p>
              </w:tc>
              <w:tc>
                <w:tcPr>
                  <w:tcW w:w="1384" w:type="dxa"/>
                  <w:tcBorders>
                    <w:tl2br w:val="nil"/>
                    <w:tr2bl w:val="nil"/>
                  </w:tcBorders>
                  <w:vAlign w:val="center"/>
                </w:tcPr>
                <w:p w14:paraId="3C4CABD9">
                  <w:pPr>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油烟</w:t>
                  </w:r>
                </w:p>
              </w:tc>
              <w:tc>
                <w:tcPr>
                  <w:tcW w:w="2985" w:type="dxa"/>
                  <w:tcBorders>
                    <w:tl2br w:val="nil"/>
                    <w:tr2bl w:val="nil"/>
                  </w:tcBorders>
                  <w:vAlign w:val="center"/>
                </w:tcPr>
                <w:p w14:paraId="190C1B27">
                  <w:pPr>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《饮食业油烟排放标准》（试行）（GB18483-2001）</w:t>
                  </w:r>
                </w:p>
              </w:tc>
              <w:tc>
                <w:tcPr>
                  <w:tcW w:w="887" w:type="dxa"/>
                  <w:tcBorders>
                    <w:tl2br w:val="nil"/>
                    <w:tr2bl w:val="nil"/>
                  </w:tcBorders>
                  <w:vAlign w:val="center"/>
                </w:tcPr>
                <w:p w14:paraId="767710EF">
                  <w:pPr>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每年1次</w:t>
                  </w:r>
                </w:p>
              </w:tc>
            </w:tr>
            <w:tr w14:paraId="0EAC13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65" w:type="dxa"/>
                  <w:vMerge w:val="continue"/>
                  <w:tcBorders>
                    <w:tl2br w:val="nil"/>
                    <w:tr2bl w:val="nil"/>
                  </w:tcBorders>
                  <w:vAlign w:val="center"/>
                </w:tcPr>
                <w:p w14:paraId="4C5B42D2">
                  <w:pPr>
                    <w:ind w:left="0" w:leftChars="0" w:right="0" w:rightChars="0" w:firstLine="0" w:firstLineChars="0"/>
                    <w:jc w:val="center"/>
                    <w:rPr>
                      <w:color w:val="000000" w:themeColor="text1"/>
                      <w14:textFill>
                        <w14:solidFill>
                          <w14:schemeClr w14:val="tx1"/>
                        </w14:solidFill>
                      </w14:textFill>
                    </w:rPr>
                  </w:pPr>
                </w:p>
              </w:tc>
              <w:tc>
                <w:tcPr>
                  <w:tcW w:w="736" w:type="dxa"/>
                  <w:vMerge w:val="continue"/>
                  <w:tcBorders>
                    <w:tl2br w:val="nil"/>
                    <w:tr2bl w:val="nil"/>
                  </w:tcBorders>
                  <w:vAlign w:val="center"/>
                </w:tcPr>
                <w:p w14:paraId="7C3B9C36">
                  <w:pPr>
                    <w:ind w:left="0" w:leftChars="0" w:right="0" w:rightChars="0" w:firstLine="0" w:firstLineChars="0"/>
                    <w:jc w:val="center"/>
                    <w:rPr>
                      <w:color w:val="000000" w:themeColor="text1"/>
                      <w14:textFill>
                        <w14:solidFill>
                          <w14:schemeClr w14:val="tx1"/>
                        </w14:solidFill>
                      </w14:textFill>
                    </w:rPr>
                  </w:pPr>
                </w:p>
              </w:tc>
              <w:tc>
                <w:tcPr>
                  <w:tcW w:w="655" w:type="dxa"/>
                  <w:vMerge w:val="restart"/>
                  <w:tcBorders>
                    <w:tl2br w:val="nil"/>
                    <w:tr2bl w:val="nil"/>
                  </w:tcBorders>
                  <w:vAlign w:val="center"/>
                </w:tcPr>
                <w:p w14:paraId="37D2D63E">
                  <w:pPr>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污水处理站恶臭</w:t>
                  </w:r>
                </w:p>
              </w:tc>
              <w:tc>
                <w:tcPr>
                  <w:tcW w:w="942" w:type="dxa"/>
                  <w:tcBorders>
                    <w:tl2br w:val="nil"/>
                    <w:tr2bl w:val="nil"/>
                  </w:tcBorders>
                  <w:vAlign w:val="center"/>
                </w:tcPr>
                <w:p w14:paraId="3CB4D082">
                  <w:pPr>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污水处理站废气排放口</w:t>
                  </w:r>
                </w:p>
              </w:tc>
              <w:tc>
                <w:tcPr>
                  <w:tcW w:w="1384" w:type="dxa"/>
                  <w:vMerge w:val="restart"/>
                  <w:tcBorders>
                    <w:tl2br w:val="nil"/>
                    <w:tr2bl w:val="nil"/>
                  </w:tcBorders>
                  <w:vAlign w:val="center"/>
                </w:tcPr>
                <w:p w14:paraId="0D421955">
                  <w:pPr>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氨、硫化氢、臭气浓度</w:t>
                  </w:r>
                </w:p>
              </w:tc>
              <w:tc>
                <w:tcPr>
                  <w:tcW w:w="2985" w:type="dxa"/>
                  <w:tcBorders>
                    <w:tl2br w:val="nil"/>
                    <w:tr2bl w:val="nil"/>
                  </w:tcBorders>
                  <w:vAlign w:val="center"/>
                </w:tcPr>
                <w:p w14:paraId="4C065FCB">
                  <w:pPr>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《恶臭污染物排放标准》（GB14554-1993）</w:t>
                  </w:r>
                </w:p>
              </w:tc>
              <w:tc>
                <w:tcPr>
                  <w:tcW w:w="887" w:type="dxa"/>
                  <w:vMerge w:val="restart"/>
                  <w:tcBorders>
                    <w:tl2br w:val="nil"/>
                    <w:tr2bl w:val="nil"/>
                  </w:tcBorders>
                  <w:vAlign w:val="center"/>
                </w:tcPr>
                <w:p w14:paraId="40E9D594">
                  <w:pPr>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1次/半年</w:t>
                  </w:r>
                </w:p>
              </w:tc>
            </w:tr>
            <w:tr w14:paraId="29C494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65" w:type="dxa"/>
                  <w:vMerge w:val="continue"/>
                  <w:tcBorders>
                    <w:tl2br w:val="nil"/>
                    <w:tr2bl w:val="nil"/>
                  </w:tcBorders>
                  <w:vAlign w:val="center"/>
                </w:tcPr>
                <w:p w14:paraId="4C3A60F3">
                  <w:pPr>
                    <w:ind w:left="0" w:leftChars="0" w:right="0" w:rightChars="0" w:firstLine="0" w:firstLineChars="0"/>
                    <w:jc w:val="center"/>
                    <w:rPr>
                      <w:color w:val="000000" w:themeColor="text1"/>
                      <w14:textFill>
                        <w14:solidFill>
                          <w14:schemeClr w14:val="tx1"/>
                        </w14:solidFill>
                      </w14:textFill>
                    </w:rPr>
                  </w:pPr>
                </w:p>
              </w:tc>
              <w:tc>
                <w:tcPr>
                  <w:tcW w:w="736" w:type="dxa"/>
                  <w:vMerge w:val="continue"/>
                  <w:tcBorders>
                    <w:tl2br w:val="nil"/>
                    <w:tr2bl w:val="nil"/>
                  </w:tcBorders>
                  <w:vAlign w:val="center"/>
                </w:tcPr>
                <w:p w14:paraId="60534CA4">
                  <w:pPr>
                    <w:ind w:left="0" w:leftChars="0" w:right="0" w:rightChars="0" w:firstLine="0" w:firstLineChars="0"/>
                    <w:jc w:val="center"/>
                    <w:rPr>
                      <w:color w:val="000000" w:themeColor="text1"/>
                      <w14:textFill>
                        <w14:solidFill>
                          <w14:schemeClr w14:val="tx1"/>
                        </w14:solidFill>
                      </w14:textFill>
                    </w:rPr>
                  </w:pPr>
                </w:p>
              </w:tc>
              <w:tc>
                <w:tcPr>
                  <w:tcW w:w="655" w:type="dxa"/>
                  <w:vMerge w:val="continue"/>
                  <w:tcBorders>
                    <w:tl2br w:val="nil"/>
                    <w:tr2bl w:val="nil"/>
                  </w:tcBorders>
                  <w:vAlign w:val="center"/>
                </w:tcPr>
                <w:p w14:paraId="0297FC26">
                  <w:pPr>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942" w:type="dxa"/>
                  <w:tcBorders>
                    <w:tl2br w:val="nil"/>
                    <w:tr2bl w:val="nil"/>
                  </w:tcBorders>
                  <w:vAlign w:val="center"/>
                </w:tcPr>
                <w:p w14:paraId="3669B9FD">
                  <w:pPr>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污水处理设施周界</w:t>
                  </w:r>
                </w:p>
              </w:tc>
              <w:tc>
                <w:tcPr>
                  <w:tcW w:w="1384" w:type="dxa"/>
                  <w:vMerge w:val="continue"/>
                  <w:tcBorders>
                    <w:tl2br w:val="nil"/>
                    <w:tr2bl w:val="nil"/>
                  </w:tcBorders>
                  <w:vAlign w:val="center"/>
                </w:tcPr>
                <w:p w14:paraId="1BF01235">
                  <w:pPr>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985" w:type="dxa"/>
                  <w:tcBorders>
                    <w:tl2br w:val="nil"/>
                    <w:tr2bl w:val="nil"/>
                  </w:tcBorders>
                  <w:vAlign w:val="center"/>
                </w:tcPr>
                <w:p w14:paraId="5D99A9A8">
                  <w:pPr>
                    <w:ind w:left="0" w:leftChars="0" w:right="0" w:rightChars="0"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《城镇污水处理厂污染物排放标准》（GB18918-2002）</w:t>
                  </w:r>
                </w:p>
              </w:tc>
              <w:tc>
                <w:tcPr>
                  <w:tcW w:w="887" w:type="dxa"/>
                  <w:vMerge w:val="continue"/>
                  <w:tcBorders>
                    <w:tl2br w:val="nil"/>
                    <w:tr2bl w:val="nil"/>
                  </w:tcBorders>
                  <w:vAlign w:val="center"/>
                </w:tcPr>
                <w:p w14:paraId="781F41AE">
                  <w:pPr>
                    <w:ind w:left="0" w:leftChars="0" w:right="0" w:rightChars="0"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4621E8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65" w:type="dxa"/>
                  <w:vMerge w:val="continue"/>
                  <w:tcBorders>
                    <w:tl2br w:val="nil"/>
                    <w:tr2bl w:val="nil"/>
                  </w:tcBorders>
                  <w:vAlign w:val="center"/>
                </w:tcPr>
                <w:p w14:paraId="0ECE5DBC">
                  <w:pPr>
                    <w:ind w:left="0" w:leftChars="0" w:right="0" w:rightChars="0" w:firstLine="0" w:firstLineChars="0"/>
                    <w:jc w:val="center"/>
                    <w:rPr>
                      <w:rFonts w:hint="default" w:ascii="Times New Roman" w:hAnsi="Times New Roman" w:cs="Times New Roman"/>
                      <w:color w:val="000000" w:themeColor="text1"/>
                      <w:highlight w:val="none"/>
                      <w14:textFill>
                        <w14:solidFill>
                          <w14:schemeClr w14:val="tx1"/>
                        </w14:solidFill>
                      </w14:textFill>
                    </w:rPr>
                  </w:pPr>
                </w:p>
              </w:tc>
              <w:tc>
                <w:tcPr>
                  <w:tcW w:w="736" w:type="dxa"/>
                  <w:tcBorders>
                    <w:tl2br w:val="nil"/>
                    <w:tr2bl w:val="nil"/>
                  </w:tcBorders>
                  <w:vAlign w:val="center"/>
                </w:tcPr>
                <w:p w14:paraId="0A43919B">
                  <w:pPr>
                    <w:ind w:left="0" w:leftChars="0" w:right="0" w:rightChars="0"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废水</w:t>
                  </w:r>
                </w:p>
              </w:tc>
              <w:tc>
                <w:tcPr>
                  <w:tcW w:w="1597" w:type="dxa"/>
                  <w:gridSpan w:val="2"/>
                  <w:tcBorders>
                    <w:tl2br w:val="nil"/>
                    <w:tr2bl w:val="nil"/>
                  </w:tcBorders>
                  <w:vAlign w:val="center"/>
                </w:tcPr>
                <w:p w14:paraId="4D381821">
                  <w:pPr>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污水处理站出水口</w:t>
                  </w:r>
                </w:p>
              </w:tc>
              <w:tc>
                <w:tcPr>
                  <w:tcW w:w="1384" w:type="dxa"/>
                  <w:tcBorders>
                    <w:tl2br w:val="nil"/>
                    <w:tr2bl w:val="nil"/>
                  </w:tcBorders>
                  <w:vAlign w:val="center"/>
                </w:tcPr>
                <w:p w14:paraId="2459A046">
                  <w:pPr>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生活污水、医疗废水</w:t>
                  </w:r>
                </w:p>
              </w:tc>
              <w:tc>
                <w:tcPr>
                  <w:tcW w:w="2985" w:type="dxa"/>
                  <w:tcBorders>
                    <w:tl2br w:val="nil"/>
                    <w:tr2bl w:val="nil"/>
                  </w:tcBorders>
                  <w:vAlign w:val="center"/>
                </w:tcPr>
                <w:p w14:paraId="03A8DA2E">
                  <w:pPr>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《医疗机构水污染物排放标准》（GB18466-2005）、《城市污水再生利用 城市再用水水质》（GB/T18920-2020）、《城市污水再生利用 景观环境用水水质》（GB/T18921-2019）标准</w:t>
                  </w:r>
                </w:p>
              </w:tc>
              <w:tc>
                <w:tcPr>
                  <w:tcW w:w="887" w:type="dxa"/>
                  <w:tcBorders>
                    <w:tl2br w:val="nil"/>
                    <w:tr2bl w:val="nil"/>
                  </w:tcBorders>
                  <w:vAlign w:val="center"/>
                </w:tcPr>
                <w:p w14:paraId="202636BA">
                  <w:pPr>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1次/半年</w:t>
                  </w:r>
                </w:p>
              </w:tc>
            </w:tr>
            <w:tr w14:paraId="667916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365" w:type="dxa"/>
                  <w:vMerge w:val="continue"/>
                  <w:tcBorders>
                    <w:tl2br w:val="nil"/>
                    <w:tr2bl w:val="nil"/>
                  </w:tcBorders>
                  <w:vAlign w:val="center"/>
                </w:tcPr>
                <w:p w14:paraId="0BF04131">
                  <w:pPr>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736" w:type="dxa"/>
                  <w:tcBorders>
                    <w:tl2br w:val="nil"/>
                    <w:tr2bl w:val="nil"/>
                  </w:tcBorders>
                  <w:vAlign w:val="center"/>
                </w:tcPr>
                <w:p w14:paraId="5DA4BDDD">
                  <w:pPr>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生态</w:t>
                  </w:r>
                </w:p>
              </w:tc>
              <w:tc>
                <w:tcPr>
                  <w:tcW w:w="1597" w:type="dxa"/>
                  <w:gridSpan w:val="2"/>
                  <w:tcBorders>
                    <w:tl2br w:val="nil"/>
                    <w:tr2bl w:val="nil"/>
                  </w:tcBorders>
                  <w:vAlign w:val="center"/>
                </w:tcPr>
                <w:p w14:paraId="626765E2">
                  <w:pPr>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与施工期监测点位相同</w:t>
                  </w:r>
                </w:p>
              </w:tc>
              <w:tc>
                <w:tcPr>
                  <w:tcW w:w="1384" w:type="dxa"/>
                  <w:tcBorders>
                    <w:tl2br w:val="nil"/>
                    <w:tr2bl w:val="nil"/>
                  </w:tcBorders>
                  <w:vAlign w:val="center"/>
                </w:tcPr>
                <w:p w14:paraId="731E93D7">
                  <w:pPr>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植被恢复状况、恢复植被的生长状况</w:t>
                  </w:r>
                </w:p>
              </w:tc>
              <w:tc>
                <w:tcPr>
                  <w:tcW w:w="2985" w:type="dxa"/>
                  <w:tcBorders>
                    <w:tl2br w:val="nil"/>
                    <w:tr2bl w:val="nil"/>
                  </w:tcBorders>
                  <w:vAlign w:val="center"/>
                </w:tcPr>
                <w:p w14:paraId="6026FC45">
                  <w:pPr>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887" w:type="dxa"/>
                  <w:tcBorders>
                    <w:tl2br w:val="nil"/>
                    <w:tr2bl w:val="nil"/>
                  </w:tcBorders>
                  <w:vAlign w:val="center"/>
                </w:tcPr>
                <w:p w14:paraId="00E9B6A6">
                  <w:pPr>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隔年1次</w:t>
                  </w:r>
                </w:p>
              </w:tc>
            </w:tr>
          </w:tbl>
          <w:p w14:paraId="74CA25EC">
            <w:pPr>
              <w:ind w:left="0" w:leftChars="0" w:right="0" w:rightChars="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p>
        </w:tc>
      </w:tr>
      <w:tr w14:paraId="6A0D016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28" w:type="dxa"/>
            <w:left w:w="28" w:type="dxa"/>
            <w:bottom w:w="28" w:type="dxa"/>
            <w:right w:w="28" w:type="dxa"/>
          </w:tblCellMar>
        </w:tblPrEx>
        <w:trPr>
          <w:trHeight w:val="6822" w:hRule="atLeast"/>
        </w:trPr>
        <w:tc>
          <w:tcPr>
            <w:tcW w:w="235" w:type="pct"/>
            <w:noWrap w:val="0"/>
            <w:vAlign w:val="center"/>
          </w:tcPr>
          <w:p w14:paraId="79C41567">
            <w:pPr>
              <w:adjustRightInd w:val="0"/>
              <w:snapToGrid w:val="0"/>
              <w:ind w:firstLine="0" w:firstLineChars="0"/>
              <w:jc w:val="center"/>
              <w:rPr>
                <w:rFonts w:hint="default" w:ascii="Times New Roman" w:hAnsi="Times New Roman" w:cs="Times New Roman"/>
                <w:bCs/>
                <w:color w:val="000000" w:themeColor="text1"/>
                <w:spacing w:val="10"/>
                <w:szCs w:val="2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环保投资</w:t>
            </w:r>
          </w:p>
        </w:tc>
        <w:tc>
          <w:tcPr>
            <w:tcW w:w="4764" w:type="pct"/>
            <w:noWrap w:val="0"/>
            <w:vAlign w:val="center"/>
          </w:tcPr>
          <w:p w14:paraId="113ED87A">
            <w:pPr>
              <w:keepNext w:val="0"/>
              <w:keepLines w:val="0"/>
              <w:widowControl/>
              <w:suppressLineNumbers w:val="0"/>
              <w:jc w:val="left"/>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本项目总投资为</w:t>
            </w:r>
            <w:r>
              <w:rPr>
                <w:rFonts w:hint="eastAsia" w:cs="Times New Roman"/>
                <w:color w:val="000000" w:themeColor="text1"/>
                <w:kern w:val="0"/>
                <w:sz w:val="24"/>
                <w:szCs w:val="24"/>
                <w:lang w:val="en-US" w:eastAsia="zh-CN" w:bidi="ar"/>
                <w14:textFill>
                  <w14:solidFill>
                    <w14:schemeClr w14:val="tx1"/>
                  </w14:solidFill>
                </w14:textFill>
              </w:rPr>
              <w:t>159638</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万元，下表所列环保投资为主要处理措施及治污设施的投资估算。环保投资额为</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3217</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万元，占总投资的2.</w:t>
            </w:r>
            <w:r>
              <w:rPr>
                <w:rFonts w:hint="eastAsia" w:cs="Times New Roman"/>
                <w:color w:val="000000" w:themeColor="text1"/>
                <w:kern w:val="0"/>
                <w:sz w:val="24"/>
                <w:szCs w:val="24"/>
                <w:lang w:val="en-US" w:eastAsia="zh-CN" w:bidi="ar"/>
                <w14:textFill>
                  <w14:solidFill>
                    <w14:schemeClr w14:val="tx1"/>
                  </w14:solidFill>
                </w14:textFill>
              </w:rPr>
              <w:t>02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%。环保投资主要用于施工期和运营期废气、废水、噪声、固废及生态治理等。</w:t>
            </w:r>
          </w:p>
          <w:p w14:paraId="4F82C7AF">
            <w:pPr>
              <w:pStyle w:val="63"/>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表5-</w:t>
            </w:r>
            <w:r>
              <w:rPr>
                <w:rFonts w:hint="default" w:ascii="Times New Roman" w:hAnsi="Times New Roman" w:cs="Times New Roman"/>
                <w:b/>
                <w:bCs w:val="0"/>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 xml:space="preserve">  项目环保投资表</w:t>
            </w:r>
          </w:p>
          <w:tbl>
            <w:tblPr>
              <w:tblStyle w:val="27"/>
              <w:tblW w:w="494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05"/>
              <w:gridCol w:w="441"/>
              <w:gridCol w:w="3342"/>
              <w:gridCol w:w="1716"/>
              <w:gridCol w:w="1973"/>
            </w:tblGrid>
            <w:tr w14:paraId="6754A1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6" w:type="pct"/>
                  <w:tcBorders>
                    <w:tl2br w:val="nil"/>
                    <w:tr2bl w:val="nil"/>
                  </w:tcBorders>
                  <w:noWrap w:val="0"/>
                  <w:vAlign w:val="center"/>
                </w:tcPr>
                <w:p w14:paraId="6F96E334">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序号</w:t>
                  </w:r>
                </w:p>
              </w:tc>
              <w:tc>
                <w:tcPr>
                  <w:tcW w:w="276" w:type="pct"/>
                  <w:tcBorders>
                    <w:tl2br w:val="nil"/>
                    <w:tr2bl w:val="nil"/>
                  </w:tcBorders>
                  <w:noWrap w:val="0"/>
                  <w:vAlign w:val="center"/>
                </w:tcPr>
                <w:p w14:paraId="01CA8038">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时期</w:t>
                  </w:r>
                </w:p>
              </w:tc>
              <w:tc>
                <w:tcPr>
                  <w:tcW w:w="2094" w:type="pct"/>
                  <w:tcBorders>
                    <w:tl2br w:val="nil"/>
                    <w:tr2bl w:val="nil"/>
                  </w:tcBorders>
                  <w:noWrap w:val="0"/>
                  <w:vAlign w:val="center"/>
                </w:tcPr>
                <w:p w14:paraId="60F0F797">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投资项目</w:t>
                  </w:r>
                </w:p>
              </w:tc>
              <w:tc>
                <w:tcPr>
                  <w:tcW w:w="1075" w:type="pct"/>
                  <w:tcBorders>
                    <w:tl2br w:val="nil"/>
                    <w:tr2bl w:val="nil"/>
                  </w:tcBorders>
                  <w:noWrap w:val="0"/>
                  <w:vAlign w:val="center"/>
                </w:tcPr>
                <w:p w14:paraId="4F811EC8">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投资金额（万元）</w:t>
                  </w:r>
                </w:p>
              </w:tc>
              <w:tc>
                <w:tcPr>
                  <w:tcW w:w="1236" w:type="pct"/>
                  <w:tcBorders>
                    <w:tl2br w:val="nil"/>
                    <w:tr2bl w:val="nil"/>
                  </w:tcBorders>
                  <w:noWrap w:val="0"/>
                  <w:vAlign w:val="center"/>
                </w:tcPr>
                <w:p w14:paraId="33067D3B">
                  <w:pPr>
                    <w:spacing w:line="240" w:lineRule="auto"/>
                    <w:ind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占环保投资比例（%）</w:t>
                  </w:r>
                </w:p>
              </w:tc>
            </w:tr>
            <w:tr w14:paraId="666753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6" w:type="pct"/>
                  <w:tcBorders>
                    <w:tl2br w:val="nil"/>
                    <w:tr2bl w:val="nil"/>
                  </w:tcBorders>
                  <w:noWrap w:val="0"/>
                  <w:vAlign w:val="center"/>
                </w:tcPr>
                <w:p w14:paraId="5EEA2612">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276" w:type="pct"/>
                  <w:vMerge w:val="restart"/>
                  <w:tcBorders>
                    <w:tl2br w:val="nil"/>
                    <w:tr2bl w:val="nil"/>
                  </w:tcBorders>
                  <w:noWrap w:val="0"/>
                  <w:vAlign w:val="center"/>
                </w:tcPr>
                <w:p w14:paraId="5433FDC4">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施工期</w:t>
                  </w:r>
                </w:p>
              </w:tc>
              <w:tc>
                <w:tcPr>
                  <w:tcW w:w="2094" w:type="pct"/>
                  <w:tcBorders>
                    <w:tl2br w:val="nil"/>
                    <w:tr2bl w:val="nil"/>
                  </w:tcBorders>
                  <w:noWrap w:val="0"/>
                  <w:vAlign w:val="center"/>
                </w:tcPr>
                <w:p w14:paraId="2255C791">
                  <w:pPr>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施工期扬尘治理及固废清运</w:t>
                  </w:r>
                </w:p>
              </w:tc>
              <w:tc>
                <w:tcPr>
                  <w:tcW w:w="1075" w:type="pct"/>
                  <w:tcBorders>
                    <w:tl2br w:val="nil"/>
                    <w:tr2bl w:val="nil"/>
                  </w:tcBorders>
                  <w:noWrap w:val="0"/>
                  <w:vAlign w:val="center"/>
                </w:tcPr>
                <w:p w14:paraId="7CA12D7E">
                  <w:pPr>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w:t>
                  </w:r>
                </w:p>
              </w:tc>
              <w:tc>
                <w:tcPr>
                  <w:tcW w:w="1236" w:type="pct"/>
                  <w:tcBorders>
                    <w:tl2br w:val="nil"/>
                    <w:tr2bl w:val="nil"/>
                  </w:tcBorders>
                  <w:noWrap w:val="0"/>
                  <w:vAlign w:val="center"/>
                </w:tcPr>
                <w:p w14:paraId="366E7FE4">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0.31</w:t>
                  </w:r>
                </w:p>
              </w:tc>
            </w:tr>
            <w:tr w14:paraId="71EFAE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6" w:type="pct"/>
                  <w:tcBorders>
                    <w:tl2br w:val="nil"/>
                    <w:tr2bl w:val="nil"/>
                  </w:tcBorders>
                  <w:noWrap w:val="0"/>
                  <w:vAlign w:val="center"/>
                </w:tcPr>
                <w:p w14:paraId="64FE05AB">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w:t>
                  </w:r>
                </w:p>
              </w:tc>
              <w:tc>
                <w:tcPr>
                  <w:tcW w:w="276" w:type="pct"/>
                  <w:vMerge w:val="continue"/>
                  <w:tcBorders>
                    <w:tl2br w:val="nil"/>
                    <w:tr2bl w:val="nil"/>
                  </w:tcBorders>
                  <w:noWrap w:val="0"/>
                  <w:vAlign w:val="center"/>
                </w:tcPr>
                <w:p w14:paraId="6EEE23E5">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2094" w:type="pct"/>
                  <w:tcBorders>
                    <w:tl2br w:val="nil"/>
                    <w:tr2bl w:val="nil"/>
                  </w:tcBorders>
                  <w:noWrap w:val="0"/>
                  <w:vAlign w:val="center"/>
                </w:tcPr>
                <w:p w14:paraId="313BCA66">
                  <w:pPr>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固体废物收集设施</w:t>
                  </w:r>
                </w:p>
              </w:tc>
              <w:tc>
                <w:tcPr>
                  <w:tcW w:w="1075" w:type="pct"/>
                  <w:tcBorders>
                    <w:tl2br w:val="nil"/>
                    <w:tr2bl w:val="nil"/>
                  </w:tcBorders>
                  <w:noWrap w:val="0"/>
                  <w:vAlign w:val="center"/>
                </w:tcPr>
                <w:p w14:paraId="6B0A3258">
                  <w:pPr>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8</w:t>
                  </w:r>
                </w:p>
              </w:tc>
              <w:tc>
                <w:tcPr>
                  <w:tcW w:w="1236" w:type="pct"/>
                  <w:tcBorders>
                    <w:tl2br w:val="nil"/>
                    <w:tr2bl w:val="nil"/>
                  </w:tcBorders>
                  <w:noWrap w:val="0"/>
                  <w:vAlign w:val="center"/>
                </w:tcPr>
                <w:p w14:paraId="4EC4D980">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0.25</w:t>
                  </w:r>
                </w:p>
              </w:tc>
            </w:tr>
            <w:tr w14:paraId="7C24F8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6" w:type="pct"/>
                  <w:tcBorders>
                    <w:tl2br w:val="nil"/>
                    <w:tr2bl w:val="nil"/>
                  </w:tcBorders>
                  <w:noWrap w:val="0"/>
                  <w:vAlign w:val="center"/>
                </w:tcPr>
                <w:p w14:paraId="13DF3E49">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w:t>
                  </w:r>
                </w:p>
              </w:tc>
              <w:tc>
                <w:tcPr>
                  <w:tcW w:w="276" w:type="pct"/>
                  <w:vMerge w:val="continue"/>
                  <w:tcBorders>
                    <w:tl2br w:val="nil"/>
                    <w:tr2bl w:val="nil"/>
                  </w:tcBorders>
                  <w:noWrap w:val="0"/>
                  <w:vAlign w:val="center"/>
                </w:tcPr>
                <w:p w14:paraId="7CEED373">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2094" w:type="pct"/>
                  <w:tcBorders>
                    <w:tl2br w:val="nil"/>
                    <w:tr2bl w:val="nil"/>
                  </w:tcBorders>
                  <w:noWrap w:val="0"/>
                  <w:vAlign w:val="center"/>
                </w:tcPr>
                <w:p w14:paraId="32C6C9A8">
                  <w:pPr>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施工期废水收集措施</w:t>
                  </w:r>
                </w:p>
              </w:tc>
              <w:tc>
                <w:tcPr>
                  <w:tcW w:w="1075" w:type="pct"/>
                  <w:tcBorders>
                    <w:tl2br w:val="nil"/>
                    <w:tr2bl w:val="nil"/>
                  </w:tcBorders>
                  <w:noWrap w:val="0"/>
                  <w:vAlign w:val="center"/>
                </w:tcPr>
                <w:p w14:paraId="151FEDE1">
                  <w:pPr>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15</w:t>
                  </w:r>
                </w:p>
              </w:tc>
              <w:tc>
                <w:tcPr>
                  <w:tcW w:w="1236" w:type="pct"/>
                  <w:tcBorders>
                    <w:tl2br w:val="nil"/>
                    <w:tr2bl w:val="nil"/>
                  </w:tcBorders>
                  <w:noWrap w:val="0"/>
                  <w:vAlign w:val="center"/>
                </w:tcPr>
                <w:p w14:paraId="36D60979">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0.47</w:t>
                  </w:r>
                </w:p>
              </w:tc>
            </w:tr>
            <w:tr w14:paraId="1022F0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6" w:type="pct"/>
                  <w:tcBorders>
                    <w:tl2br w:val="nil"/>
                    <w:tr2bl w:val="nil"/>
                  </w:tcBorders>
                  <w:noWrap w:val="0"/>
                  <w:vAlign w:val="center"/>
                </w:tcPr>
                <w:p w14:paraId="02A02EAC">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w:t>
                  </w:r>
                </w:p>
              </w:tc>
              <w:tc>
                <w:tcPr>
                  <w:tcW w:w="276" w:type="pct"/>
                  <w:vMerge w:val="continue"/>
                  <w:tcBorders>
                    <w:tl2br w:val="nil"/>
                    <w:tr2bl w:val="nil"/>
                  </w:tcBorders>
                  <w:noWrap w:val="0"/>
                  <w:vAlign w:val="center"/>
                </w:tcPr>
                <w:p w14:paraId="0C693474">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2094" w:type="pct"/>
                  <w:tcBorders>
                    <w:tl2br w:val="nil"/>
                    <w:tr2bl w:val="nil"/>
                  </w:tcBorders>
                  <w:noWrap w:val="0"/>
                  <w:vAlign w:val="center"/>
                </w:tcPr>
                <w:p w14:paraId="1A88258F">
                  <w:pPr>
                    <w:spacing w:line="240" w:lineRule="auto"/>
                    <w:ind w:firstLine="0" w:firstLineChars="0"/>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防振降噪，围挡隔声等噪声防治</w:t>
                  </w:r>
                </w:p>
              </w:tc>
              <w:tc>
                <w:tcPr>
                  <w:tcW w:w="1075" w:type="pct"/>
                  <w:tcBorders>
                    <w:tl2br w:val="nil"/>
                    <w:tr2bl w:val="nil"/>
                  </w:tcBorders>
                  <w:noWrap w:val="0"/>
                  <w:vAlign w:val="center"/>
                </w:tcPr>
                <w:p w14:paraId="0B335E48">
                  <w:pPr>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9</w:t>
                  </w:r>
                </w:p>
              </w:tc>
              <w:tc>
                <w:tcPr>
                  <w:tcW w:w="1236" w:type="pct"/>
                  <w:tcBorders>
                    <w:tl2br w:val="nil"/>
                    <w:tr2bl w:val="nil"/>
                  </w:tcBorders>
                  <w:noWrap w:val="0"/>
                  <w:vAlign w:val="center"/>
                </w:tcPr>
                <w:p w14:paraId="176B0A8E">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0.28</w:t>
                  </w:r>
                </w:p>
              </w:tc>
            </w:tr>
            <w:tr w14:paraId="00AFD6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6" w:type="pct"/>
                  <w:tcBorders>
                    <w:tl2br w:val="nil"/>
                    <w:tr2bl w:val="nil"/>
                  </w:tcBorders>
                  <w:noWrap w:val="0"/>
                  <w:vAlign w:val="center"/>
                </w:tcPr>
                <w:p w14:paraId="0C01C1AE">
                  <w:pPr>
                    <w:spacing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5</w:t>
                  </w:r>
                </w:p>
              </w:tc>
              <w:tc>
                <w:tcPr>
                  <w:tcW w:w="276" w:type="pct"/>
                  <w:vMerge w:val="continue"/>
                  <w:tcBorders>
                    <w:tl2br w:val="nil"/>
                    <w:tr2bl w:val="nil"/>
                  </w:tcBorders>
                  <w:noWrap w:val="0"/>
                  <w:vAlign w:val="center"/>
                </w:tcPr>
                <w:p w14:paraId="67C4D700">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2094" w:type="pct"/>
                  <w:tcBorders>
                    <w:tl2br w:val="nil"/>
                    <w:tr2bl w:val="nil"/>
                  </w:tcBorders>
                  <w:noWrap w:val="0"/>
                  <w:vAlign w:val="center"/>
                </w:tcPr>
                <w:p w14:paraId="623C6006">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植被恢复</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对临时占地进行土地平整后用原表土覆盖，并进行植被恢复</w:t>
                  </w:r>
                </w:p>
              </w:tc>
              <w:tc>
                <w:tcPr>
                  <w:tcW w:w="1075" w:type="pct"/>
                  <w:tcBorders>
                    <w:tl2br w:val="nil"/>
                    <w:tr2bl w:val="nil"/>
                  </w:tcBorders>
                  <w:noWrap w:val="0"/>
                  <w:vAlign w:val="center"/>
                </w:tcPr>
                <w:p w14:paraId="60494D8E">
                  <w:pPr>
                    <w:spacing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w:t>
                  </w:r>
                </w:p>
              </w:tc>
              <w:tc>
                <w:tcPr>
                  <w:tcW w:w="1236" w:type="pct"/>
                  <w:tcBorders>
                    <w:tl2br w:val="nil"/>
                    <w:tr2bl w:val="nil"/>
                  </w:tcBorders>
                  <w:noWrap w:val="0"/>
                  <w:vAlign w:val="center"/>
                </w:tcPr>
                <w:p w14:paraId="26AFC2EF">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0.31</w:t>
                  </w:r>
                </w:p>
              </w:tc>
            </w:tr>
            <w:tr w14:paraId="0B7647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6" w:type="pct"/>
                  <w:tcBorders>
                    <w:tl2br w:val="nil"/>
                    <w:tr2bl w:val="nil"/>
                  </w:tcBorders>
                  <w:noWrap w:val="0"/>
                  <w:vAlign w:val="center"/>
                </w:tcPr>
                <w:p w14:paraId="384D4807">
                  <w:pPr>
                    <w:spacing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276" w:type="pct"/>
                  <w:vMerge w:val="restart"/>
                  <w:tcBorders>
                    <w:tl2br w:val="nil"/>
                    <w:tr2bl w:val="nil"/>
                  </w:tcBorders>
                  <w:noWrap w:val="0"/>
                  <w:vAlign w:val="center"/>
                </w:tcPr>
                <w:p w14:paraId="788BE27F">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运营期</w:t>
                  </w:r>
                </w:p>
              </w:tc>
              <w:tc>
                <w:tcPr>
                  <w:tcW w:w="2094" w:type="pct"/>
                  <w:tcBorders>
                    <w:tl2br w:val="nil"/>
                    <w:tr2bl w:val="nil"/>
                  </w:tcBorders>
                  <w:noWrap w:val="0"/>
                  <w:vAlign w:val="center"/>
                </w:tcPr>
                <w:p w14:paraId="52A72574">
                  <w:pPr>
                    <w:spacing w:line="240" w:lineRule="auto"/>
                    <w:ind w:firstLine="0" w:firstLineChars="0"/>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餐饮油烟废气经集气罩收集后经油烟净化装置处理后引至屋顶排放；</w:t>
                  </w:r>
                  <w:r>
                    <w:rPr>
                      <w:rFonts w:hint="default" w:ascii="Times New Roman" w:hAnsi="Times New Roman" w:cs="Times New Roman"/>
                      <w:color w:val="000000" w:themeColor="text1"/>
                      <w:sz w:val="21"/>
                      <w:szCs w:val="21"/>
                      <w:lang w:val="en-US" w:eastAsia="zh-CN"/>
                      <w14:textFill>
                        <w14:solidFill>
                          <w14:schemeClr w14:val="tx1"/>
                        </w14:solidFill>
                      </w14:textFill>
                    </w:rPr>
                    <w:t>污水处理站恶臭通过活性炭吸附装置+15m排气筒处理排放</w:t>
                  </w:r>
                </w:p>
              </w:tc>
              <w:tc>
                <w:tcPr>
                  <w:tcW w:w="1075" w:type="pct"/>
                  <w:tcBorders>
                    <w:tl2br w:val="nil"/>
                    <w:tr2bl w:val="nil"/>
                  </w:tcBorders>
                  <w:noWrap w:val="0"/>
                  <w:vAlign w:val="center"/>
                </w:tcPr>
                <w:p w14:paraId="2EDA72DD">
                  <w:pPr>
                    <w:spacing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80</w:t>
                  </w:r>
                </w:p>
              </w:tc>
              <w:tc>
                <w:tcPr>
                  <w:tcW w:w="1236" w:type="pct"/>
                  <w:tcBorders>
                    <w:tl2br w:val="nil"/>
                    <w:tr2bl w:val="nil"/>
                  </w:tcBorders>
                  <w:noWrap w:val="0"/>
                  <w:vAlign w:val="center"/>
                </w:tcPr>
                <w:p w14:paraId="1C16150F">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2.49</w:t>
                  </w:r>
                </w:p>
              </w:tc>
            </w:tr>
            <w:tr w14:paraId="4686D2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5" w:hRule="atLeast"/>
                <w:jc w:val="center"/>
              </w:trPr>
              <w:tc>
                <w:tcPr>
                  <w:tcW w:w="316" w:type="pct"/>
                  <w:tcBorders>
                    <w:tl2br w:val="nil"/>
                    <w:tr2bl w:val="nil"/>
                  </w:tcBorders>
                  <w:noWrap w:val="0"/>
                  <w:vAlign w:val="center"/>
                </w:tcPr>
                <w:p w14:paraId="173A366C">
                  <w:pPr>
                    <w:spacing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w:t>
                  </w:r>
                </w:p>
              </w:tc>
              <w:tc>
                <w:tcPr>
                  <w:tcW w:w="276" w:type="pct"/>
                  <w:vMerge w:val="continue"/>
                  <w:tcBorders>
                    <w:tl2br w:val="nil"/>
                    <w:tr2bl w:val="nil"/>
                  </w:tcBorders>
                  <w:noWrap w:val="0"/>
                  <w:vAlign w:val="center"/>
                </w:tcPr>
                <w:p w14:paraId="0F345E54">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2094" w:type="pct"/>
                  <w:tcBorders>
                    <w:tl2br w:val="nil"/>
                    <w:tr2bl w:val="nil"/>
                  </w:tcBorders>
                  <w:noWrap w:val="0"/>
                  <w:vAlign w:val="center"/>
                </w:tcPr>
                <w:p w14:paraId="032CD007">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新建污水处理站，产生的生活废水和医疗废水通过污水处理站处理后达标回用</w:t>
                  </w:r>
                </w:p>
              </w:tc>
              <w:tc>
                <w:tcPr>
                  <w:tcW w:w="1075" w:type="pct"/>
                  <w:tcBorders>
                    <w:tl2br w:val="nil"/>
                    <w:tr2bl w:val="nil"/>
                  </w:tcBorders>
                  <w:noWrap w:val="0"/>
                  <w:vAlign w:val="center"/>
                </w:tcPr>
                <w:p w14:paraId="3D70C215">
                  <w:pPr>
                    <w:spacing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3000</w:t>
                  </w:r>
                </w:p>
              </w:tc>
              <w:tc>
                <w:tcPr>
                  <w:tcW w:w="1236" w:type="pct"/>
                  <w:tcBorders>
                    <w:tl2br w:val="nil"/>
                    <w:tr2bl w:val="nil"/>
                  </w:tcBorders>
                  <w:noWrap w:val="0"/>
                  <w:vAlign w:val="center"/>
                </w:tcPr>
                <w:p w14:paraId="72619617">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93.25</w:t>
                  </w:r>
                </w:p>
              </w:tc>
            </w:tr>
            <w:tr w14:paraId="76A012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6" w:type="pct"/>
                  <w:tcBorders>
                    <w:tl2br w:val="nil"/>
                    <w:tr2bl w:val="nil"/>
                  </w:tcBorders>
                  <w:noWrap w:val="0"/>
                  <w:vAlign w:val="center"/>
                </w:tcPr>
                <w:p w14:paraId="67830664">
                  <w:pPr>
                    <w:spacing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w:t>
                  </w:r>
                </w:p>
              </w:tc>
              <w:tc>
                <w:tcPr>
                  <w:tcW w:w="276" w:type="pct"/>
                  <w:vMerge w:val="continue"/>
                  <w:tcBorders>
                    <w:tl2br w:val="nil"/>
                    <w:tr2bl w:val="nil"/>
                  </w:tcBorders>
                  <w:noWrap w:val="0"/>
                  <w:vAlign w:val="center"/>
                </w:tcPr>
                <w:p w14:paraId="46016DB0">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2094" w:type="pct"/>
                  <w:tcBorders>
                    <w:tl2br w:val="nil"/>
                    <w:tr2bl w:val="nil"/>
                  </w:tcBorders>
                  <w:noWrap w:val="0"/>
                  <w:vAlign w:val="center"/>
                </w:tcPr>
                <w:p w14:paraId="3A8F9058">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设备采取防振降噪措施，围挡隔声等噪声防治</w:t>
                  </w:r>
                </w:p>
              </w:tc>
              <w:tc>
                <w:tcPr>
                  <w:tcW w:w="1075" w:type="pct"/>
                  <w:tcBorders>
                    <w:tl2br w:val="nil"/>
                    <w:tr2bl w:val="nil"/>
                  </w:tcBorders>
                  <w:noWrap w:val="0"/>
                  <w:vAlign w:val="center"/>
                </w:tcPr>
                <w:p w14:paraId="4E8B575B">
                  <w:pPr>
                    <w:spacing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w:t>
                  </w:r>
                </w:p>
              </w:tc>
              <w:tc>
                <w:tcPr>
                  <w:tcW w:w="1236" w:type="pct"/>
                  <w:tcBorders>
                    <w:tl2br w:val="nil"/>
                    <w:tr2bl w:val="nil"/>
                  </w:tcBorders>
                  <w:noWrap w:val="0"/>
                  <w:vAlign w:val="center"/>
                </w:tcPr>
                <w:p w14:paraId="3CE4E6D7">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0.62</w:t>
                  </w:r>
                </w:p>
              </w:tc>
            </w:tr>
            <w:tr w14:paraId="309154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6" w:type="pct"/>
                  <w:tcBorders>
                    <w:tl2br w:val="nil"/>
                    <w:tr2bl w:val="nil"/>
                  </w:tcBorders>
                  <w:noWrap w:val="0"/>
                  <w:vAlign w:val="center"/>
                </w:tcPr>
                <w:p w14:paraId="05D9AA13">
                  <w:pPr>
                    <w:spacing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w:t>
                  </w:r>
                </w:p>
              </w:tc>
              <w:tc>
                <w:tcPr>
                  <w:tcW w:w="276" w:type="pct"/>
                  <w:vMerge w:val="continue"/>
                  <w:tcBorders>
                    <w:tl2br w:val="nil"/>
                    <w:tr2bl w:val="nil"/>
                  </w:tcBorders>
                  <w:noWrap w:val="0"/>
                  <w:vAlign w:val="center"/>
                </w:tcPr>
                <w:p w14:paraId="0639F365">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2094" w:type="pct"/>
                  <w:tcBorders>
                    <w:tl2br w:val="nil"/>
                    <w:tr2bl w:val="nil"/>
                  </w:tcBorders>
                  <w:noWrap w:val="0"/>
                  <w:vAlign w:val="center"/>
                </w:tcPr>
                <w:p w14:paraId="6854301D">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设置多个垃圾收集箱，运营期产生的生活垃圾日产日清，经收集后委托环卫部门统一清运处理</w:t>
                  </w:r>
                  <w:r>
                    <w:rPr>
                      <w:rFonts w:hint="default" w:ascii="Times New Roman" w:hAnsi="Times New Roman" w:cs="Times New Roman"/>
                      <w:color w:val="000000" w:themeColor="text1"/>
                      <w:sz w:val="21"/>
                      <w:szCs w:val="21"/>
                      <w:lang w:val="en-US" w:eastAsia="zh-CN"/>
                      <w14:textFill>
                        <w14:solidFill>
                          <w14:schemeClr w14:val="tx1"/>
                        </w14:solidFill>
                      </w14:textFill>
                    </w:rPr>
                    <w:t>；设置医疗废物暂存间，医疗废物分类收集后暂存，定期委托有资质的单位处理</w:t>
                  </w:r>
                </w:p>
              </w:tc>
              <w:tc>
                <w:tcPr>
                  <w:tcW w:w="1075" w:type="pct"/>
                  <w:tcBorders>
                    <w:tl2br w:val="nil"/>
                    <w:tr2bl w:val="nil"/>
                  </w:tcBorders>
                  <w:noWrap w:val="0"/>
                  <w:vAlign w:val="center"/>
                </w:tcPr>
                <w:p w14:paraId="57F445E7">
                  <w:pPr>
                    <w:spacing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35</w:t>
                  </w:r>
                </w:p>
              </w:tc>
              <w:tc>
                <w:tcPr>
                  <w:tcW w:w="1236" w:type="pct"/>
                  <w:tcBorders>
                    <w:tl2br w:val="nil"/>
                    <w:tr2bl w:val="nil"/>
                  </w:tcBorders>
                  <w:noWrap w:val="0"/>
                  <w:vAlign w:val="center"/>
                </w:tcPr>
                <w:p w14:paraId="58829F2B">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1.09</w:t>
                  </w:r>
                </w:p>
              </w:tc>
            </w:tr>
            <w:tr w14:paraId="2A7C15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6" w:type="pct"/>
                  <w:tcBorders>
                    <w:tl2br w:val="nil"/>
                    <w:tr2bl w:val="nil"/>
                  </w:tcBorders>
                  <w:noWrap w:val="0"/>
                  <w:vAlign w:val="center"/>
                </w:tcPr>
                <w:p w14:paraId="716AF000">
                  <w:pPr>
                    <w:spacing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5</w:t>
                  </w:r>
                </w:p>
              </w:tc>
              <w:tc>
                <w:tcPr>
                  <w:tcW w:w="276" w:type="pct"/>
                  <w:vMerge w:val="continue"/>
                  <w:tcBorders>
                    <w:tl2br w:val="nil"/>
                    <w:tr2bl w:val="nil"/>
                  </w:tcBorders>
                  <w:noWrap w:val="0"/>
                  <w:vAlign w:val="center"/>
                </w:tcPr>
                <w:p w14:paraId="370C2D53">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2094" w:type="pct"/>
                  <w:tcBorders>
                    <w:tl2br w:val="nil"/>
                    <w:tr2bl w:val="nil"/>
                  </w:tcBorders>
                  <w:noWrap w:val="0"/>
                  <w:vAlign w:val="center"/>
                </w:tcPr>
                <w:p w14:paraId="421B831D">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做好绿植的维护、养护工作，确保绿植茁壮生长</w:t>
                  </w:r>
                </w:p>
              </w:tc>
              <w:tc>
                <w:tcPr>
                  <w:tcW w:w="1075" w:type="pct"/>
                  <w:tcBorders>
                    <w:tl2br w:val="nil"/>
                    <w:tr2bl w:val="nil"/>
                  </w:tcBorders>
                  <w:noWrap w:val="0"/>
                  <w:vAlign w:val="center"/>
                </w:tcPr>
                <w:p w14:paraId="7FE6AD8A">
                  <w:pPr>
                    <w:spacing w:line="240" w:lineRule="auto"/>
                    <w:ind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30</w:t>
                  </w:r>
                </w:p>
              </w:tc>
              <w:tc>
                <w:tcPr>
                  <w:tcW w:w="1236" w:type="pct"/>
                  <w:tcBorders>
                    <w:tl2br w:val="nil"/>
                    <w:tr2bl w:val="nil"/>
                  </w:tcBorders>
                  <w:noWrap w:val="0"/>
                  <w:vAlign w:val="center"/>
                </w:tcPr>
                <w:p w14:paraId="04C55FDA">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0.93</w:t>
                  </w:r>
                </w:p>
              </w:tc>
            </w:tr>
            <w:tr w14:paraId="5DCB82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87" w:type="pct"/>
                  <w:gridSpan w:val="3"/>
                  <w:tcBorders>
                    <w:tl2br w:val="nil"/>
                    <w:tr2bl w:val="nil"/>
                  </w:tcBorders>
                  <w:noWrap w:val="0"/>
                  <w:vAlign w:val="center"/>
                </w:tcPr>
                <w:p w14:paraId="535F7911">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合计</w:t>
                  </w:r>
                </w:p>
              </w:tc>
              <w:tc>
                <w:tcPr>
                  <w:tcW w:w="1075" w:type="pct"/>
                  <w:tcBorders>
                    <w:tl2br w:val="nil"/>
                    <w:tr2bl w:val="nil"/>
                  </w:tcBorders>
                  <w:noWrap w:val="0"/>
                  <w:vAlign w:val="center"/>
                </w:tcPr>
                <w:p w14:paraId="5067F057">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3217</w:t>
                  </w:r>
                </w:p>
              </w:tc>
              <w:tc>
                <w:tcPr>
                  <w:tcW w:w="1236" w:type="pct"/>
                  <w:tcBorders>
                    <w:tl2br w:val="nil"/>
                    <w:tr2bl w:val="nil"/>
                  </w:tcBorders>
                  <w:noWrap w:val="0"/>
                  <w:vAlign w:val="center"/>
                </w:tcPr>
                <w:p w14:paraId="01B88B9B">
                  <w:pPr>
                    <w:spacing w:line="240" w:lineRule="auto"/>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100</w:t>
                  </w:r>
                </w:p>
              </w:tc>
            </w:tr>
          </w:tbl>
          <w:p w14:paraId="0B0701C4">
            <w:pPr>
              <w:ind w:firstLine="0" w:firstLineChars="0"/>
              <w:jc w:val="center"/>
              <w:rPr>
                <w:rFonts w:hint="default" w:ascii="Times New Roman" w:hAnsi="Times New Roman" w:cs="Times New Roman"/>
                <w:color w:val="000000" w:themeColor="text1"/>
                <w14:textFill>
                  <w14:solidFill>
                    <w14:schemeClr w14:val="tx1"/>
                  </w14:solidFill>
                </w14:textFill>
              </w:rPr>
            </w:pPr>
          </w:p>
        </w:tc>
      </w:tr>
    </w:tbl>
    <w:p w14:paraId="62E7C037">
      <w:pPr>
        <w:ind w:firstLine="480"/>
        <w:rPr>
          <w:rFonts w:hint="default" w:ascii="Times New Roman" w:hAnsi="Times New Roman" w:cs="Times New Roman"/>
          <w:color w:val="000000" w:themeColor="text1"/>
          <w14:textFill>
            <w14:solidFill>
              <w14:schemeClr w14:val="tx1"/>
            </w14:solidFill>
          </w14:textFill>
        </w:rPr>
        <w:sectPr>
          <w:pgSz w:w="11907" w:h="16840"/>
          <w:pgMar w:top="1440" w:right="1797" w:bottom="1440" w:left="1797" w:header="851" w:footer="1077" w:gutter="0"/>
          <w:pgBorders>
            <w:top w:val="none" w:sz="0" w:space="0"/>
            <w:left w:val="none" w:sz="0" w:space="0"/>
            <w:bottom w:val="none" w:sz="0" w:space="0"/>
            <w:right w:val="none" w:sz="0" w:space="0"/>
          </w:pgBorders>
          <w:pgNumType w:fmt="numberInDash"/>
          <w:cols w:space="720" w:num="1"/>
          <w:docGrid w:linePitch="312" w:charSpace="0"/>
        </w:sectPr>
      </w:pPr>
    </w:p>
    <w:p w14:paraId="1894C380">
      <w:pPr>
        <w:pStyle w:val="2"/>
        <w:keepNext/>
        <w:keepLines w:val="0"/>
        <w:pageBreakBefore w:val="0"/>
        <w:widowControl w:val="0"/>
        <w:kinsoku/>
        <w:wordWrap/>
        <w:overflowPunct w:val="0"/>
        <w:topLinePunct w:val="0"/>
        <w:autoSpaceDE/>
        <w:autoSpaceDN/>
        <w:bidi w:val="0"/>
        <w:adjustRightInd/>
        <w:snapToGrid w:val="0"/>
        <w:spacing w:after="0" w:line="240" w:lineRule="auto"/>
        <w:ind w:lef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六、生态环境保护措施监督检查清单</w:t>
      </w:r>
    </w:p>
    <w:tbl>
      <w:tblPr>
        <w:tblStyle w:val="27"/>
        <w:tblW w:w="5008"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833"/>
        <w:gridCol w:w="1804"/>
        <w:gridCol w:w="1925"/>
        <w:gridCol w:w="2204"/>
        <w:gridCol w:w="1770"/>
      </w:tblGrid>
      <w:tr w14:paraId="7614245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487" w:type="pct"/>
            <w:vMerge w:val="restart"/>
            <w:tcBorders>
              <w:tl2br w:val="single" w:color="auto" w:sz="4" w:space="0"/>
            </w:tcBorders>
            <w:noWrap w:val="0"/>
            <w:vAlign w:val="top"/>
          </w:tcPr>
          <w:p w14:paraId="58488A1F">
            <w:pPr>
              <w:pStyle w:val="24"/>
              <w:adjustRightInd w:val="0"/>
              <w:snapToGrid w:val="0"/>
              <w:spacing w:before="72" w:beforeLines="30" w:beforeAutospacing="0" w:after="0" w:afterAutospacing="0"/>
              <w:ind w:firstLine="0" w:firstLineChars="0"/>
              <w:jc w:val="center"/>
              <w:outlineLvl w:val="0"/>
              <w:rPr>
                <w:rFonts w:hint="default" w:ascii="Times New Roman" w:hAnsi="Times New Roman" w:eastAsia="宋体" w:cs="Times New Roman"/>
                <w:b/>
                <w:bCs/>
                <w:color w:val="000000" w:themeColor="text1"/>
                <w:kern w:val="2"/>
                <w:sz w:val="24"/>
                <w:szCs w:val="24"/>
                <w14:textFill>
                  <w14:solidFill>
                    <w14:schemeClr w14:val="tx1"/>
                  </w14:solidFill>
                </w14:textFill>
              </w:rPr>
            </w:pPr>
            <w:r>
              <w:rPr>
                <w:rFonts w:hint="default" w:ascii="Times New Roman" w:hAnsi="Times New Roman" w:eastAsia="宋体" w:cs="Times New Roman"/>
                <w:b/>
                <w:bCs/>
                <w:color w:val="000000" w:themeColor="text1"/>
                <w:kern w:val="2"/>
                <w:sz w:val="24"/>
                <w:szCs w:val="24"/>
                <w14:textFill>
                  <w14:solidFill>
                    <w14:schemeClr w14:val="tx1"/>
                  </w14:solidFill>
                </w14:textFill>
              </w:rPr>
              <w:t>内容</w:t>
            </w:r>
          </w:p>
          <w:p w14:paraId="306E6BF8">
            <w:pPr>
              <w:pStyle w:val="24"/>
              <w:adjustRightInd w:val="0"/>
              <w:snapToGrid w:val="0"/>
              <w:spacing w:before="0" w:beforeAutospacing="0" w:after="0" w:afterAutospacing="0"/>
              <w:ind w:firstLine="0" w:firstLineChars="0"/>
              <w:outlineLvl w:val="0"/>
              <w:rPr>
                <w:rFonts w:hint="default" w:ascii="Times New Roman" w:hAnsi="Times New Roman" w:eastAsia="宋体" w:cs="Times New Roman"/>
                <w:b/>
                <w:bCs/>
                <w:color w:val="000000" w:themeColor="text1"/>
                <w:kern w:val="2"/>
                <w:sz w:val="24"/>
                <w:szCs w:val="24"/>
                <w14:textFill>
                  <w14:solidFill>
                    <w14:schemeClr w14:val="tx1"/>
                  </w14:solidFill>
                </w14:textFill>
              </w:rPr>
            </w:pPr>
            <w:r>
              <w:rPr>
                <w:rFonts w:hint="default" w:ascii="Times New Roman" w:hAnsi="Times New Roman" w:eastAsia="宋体" w:cs="Times New Roman"/>
                <w:b/>
                <w:bCs/>
                <w:color w:val="000000" w:themeColor="text1"/>
                <w:kern w:val="2"/>
                <w:sz w:val="24"/>
                <w:szCs w:val="24"/>
                <w14:textFill>
                  <w14:solidFill>
                    <w14:schemeClr w14:val="tx1"/>
                  </w14:solidFill>
                </w14:textFill>
              </w:rPr>
              <w:t>要素</w:t>
            </w:r>
          </w:p>
        </w:tc>
        <w:tc>
          <w:tcPr>
            <w:tcW w:w="2184" w:type="pct"/>
            <w:gridSpan w:val="2"/>
            <w:noWrap w:val="0"/>
            <w:vAlign w:val="center"/>
          </w:tcPr>
          <w:p w14:paraId="435AB63D">
            <w:pPr>
              <w:pStyle w:val="24"/>
              <w:adjustRightInd w:val="0"/>
              <w:snapToGrid w:val="0"/>
              <w:spacing w:before="0" w:beforeAutospacing="0" w:after="0" w:afterAutospacing="0" w:line="240" w:lineRule="auto"/>
              <w:ind w:firstLine="0" w:firstLineChars="0"/>
              <w:jc w:val="center"/>
              <w:outlineLvl w:val="0"/>
              <w:rPr>
                <w:rFonts w:hint="default" w:ascii="Times New Roman" w:hAnsi="Times New Roman" w:eastAsia="宋体" w:cs="Times New Roman"/>
                <w:b/>
                <w:bCs/>
                <w:color w:val="000000" w:themeColor="text1"/>
                <w:kern w:val="2"/>
                <w:sz w:val="24"/>
                <w:szCs w:val="24"/>
                <w14:textFill>
                  <w14:solidFill>
                    <w14:schemeClr w14:val="tx1"/>
                  </w14:solidFill>
                </w14:textFill>
              </w:rPr>
            </w:pPr>
            <w:r>
              <w:rPr>
                <w:rFonts w:hint="default" w:ascii="Times New Roman" w:hAnsi="Times New Roman" w:eastAsia="宋体" w:cs="Times New Roman"/>
                <w:b/>
                <w:bCs/>
                <w:color w:val="000000" w:themeColor="text1"/>
                <w:kern w:val="2"/>
                <w:sz w:val="24"/>
                <w:szCs w:val="24"/>
                <w14:textFill>
                  <w14:solidFill>
                    <w14:schemeClr w14:val="tx1"/>
                  </w14:solidFill>
                </w14:textFill>
              </w:rPr>
              <w:t>施工期</w:t>
            </w:r>
          </w:p>
        </w:tc>
        <w:tc>
          <w:tcPr>
            <w:tcW w:w="2327" w:type="pct"/>
            <w:gridSpan w:val="2"/>
            <w:noWrap w:val="0"/>
            <w:vAlign w:val="center"/>
          </w:tcPr>
          <w:p w14:paraId="3025517D">
            <w:pPr>
              <w:pStyle w:val="24"/>
              <w:adjustRightInd w:val="0"/>
              <w:snapToGrid w:val="0"/>
              <w:spacing w:before="0" w:beforeAutospacing="0" w:after="0" w:afterAutospacing="0" w:line="240" w:lineRule="auto"/>
              <w:ind w:firstLine="0" w:firstLineChars="0"/>
              <w:jc w:val="center"/>
              <w:outlineLvl w:val="0"/>
              <w:rPr>
                <w:rFonts w:hint="default" w:ascii="Times New Roman" w:hAnsi="Times New Roman" w:eastAsia="宋体" w:cs="Times New Roman"/>
                <w:b/>
                <w:bCs/>
                <w:color w:val="000000" w:themeColor="text1"/>
                <w:kern w:val="2"/>
                <w:sz w:val="24"/>
                <w:szCs w:val="24"/>
                <w14:textFill>
                  <w14:solidFill>
                    <w14:schemeClr w14:val="tx1"/>
                  </w14:solidFill>
                </w14:textFill>
              </w:rPr>
            </w:pPr>
            <w:r>
              <w:rPr>
                <w:rFonts w:hint="default" w:ascii="Times New Roman" w:hAnsi="Times New Roman" w:eastAsia="宋体" w:cs="Times New Roman"/>
                <w:b/>
                <w:bCs/>
                <w:color w:val="000000" w:themeColor="text1"/>
                <w:kern w:val="2"/>
                <w:sz w:val="24"/>
                <w:szCs w:val="24"/>
                <w14:textFill>
                  <w14:solidFill>
                    <w14:schemeClr w14:val="tx1"/>
                  </w14:solidFill>
                </w14:textFill>
              </w:rPr>
              <w:t>运营期</w:t>
            </w:r>
          </w:p>
        </w:tc>
      </w:tr>
      <w:tr w14:paraId="130E52EE">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487" w:type="pct"/>
            <w:vMerge w:val="continue"/>
            <w:noWrap w:val="0"/>
            <w:vAlign w:val="top"/>
          </w:tcPr>
          <w:p w14:paraId="7037ABE3">
            <w:pPr>
              <w:pStyle w:val="24"/>
              <w:adjustRightInd w:val="0"/>
              <w:snapToGrid w:val="0"/>
              <w:spacing w:before="0" w:beforeAutospacing="0" w:after="0" w:afterAutospacing="0"/>
              <w:ind w:firstLine="0" w:firstLineChars="0"/>
              <w:jc w:val="center"/>
              <w:outlineLvl w:val="0"/>
              <w:rPr>
                <w:rFonts w:hint="default" w:ascii="Times New Roman" w:hAnsi="Times New Roman" w:eastAsia="宋体" w:cs="Times New Roman"/>
                <w:b/>
                <w:bCs/>
                <w:color w:val="000000" w:themeColor="text1"/>
                <w:kern w:val="2"/>
                <w:sz w:val="24"/>
                <w:szCs w:val="24"/>
                <w14:textFill>
                  <w14:solidFill>
                    <w14:schemeClr w14:val="tx1"/>
                  </w14:solidFill>
                </w14:textFill>
              </w:rPr>
            </w:pPr>
          </w:p>
        </w:tc>
        <w:tc>
          <w:tcPr>
            <w:tcW w:w="1056" w:type="pct"/>
            <w:noWrap w:val="0"/>
            <w:vAlign w:val="center"/>
          </w:tcPr>
          <w:p w14:paraId="17A2AD4B">
            <w:pPr>
              <w:pStyle w:val="24"/>
              <w:adjustRightInd w:val="0"/>
              <w:snapToGrid w:val="0"/>
              <w:spacing w:before="0" w:beforeAutospacing="0" w:after="0" w:afterAutospacing="0" w:line="240" w:lineRule="auto"/>
              <w:ind w:firstLine="0" w:firstLineChars="0"/>
              <w:jc w:val="center"/>
              <w:outlineLvl w:val="0"/>
              <w:rPr>
                <w:rFonts w:hint="default" w:ascii="Times New Roman" w:hAnsi="Times New Roman" w:eastAsia="宋体" w:cs="Times New Roman"/>
                <w:b/>
                <w:bCs/>
                <w:color w:val="000000" w:themeColor="text1"/>
                <w:kern w:val="2"/>
                <w:sz w:val="24"/>
                <w:szCs w:val="24"/>
                <w14:textFill>
                  <w14:solidFill>
                    <w14:schemeClr w14:val="tx1"/>
                  </w14:solidFill>
                </w14:textFill>
              </w:rPr>
            </w:pPr>
            <w:r>
              <w:rPr>
                <w:rFonts w:hint="default" w:ascii="Times New Roman" w:hAnsi="Times New Roman" w:eastAsia="宋体" w:cs="Times New Roman"/>
                <w:b/>
                <w:bCs/>
                <w:color w:val="000000" w:themeColor="text1"/>
                <w:kern w:val="2"/>
                <w:sz w:val="24"/>
                <w:szCs w:val="24"/>
                <w14:textFill>
                  <w14:solidFill>
                    <w14:schemeClr w14:val="tx1"/>
                  </w14:solidFill>
                </w14:textFill>
              </w:rPr>
              <w:t>环境保护措施</w:t>
            </w:r>
          </w:p>
        </w:tc>
        <w:tc>
          <w:tcPr>
            <w:tcW w:w="1127" w:type="pct"/>
            <w:noWrap w:val="0"/>
            <w:vAlign w:val="center"/>
          </w:tcPr>
          <w:p w14:paraId="67B632AD">
            <w:pPr>
              <w:pStyle w:val="24"/>
              <w:adjustRightInd w:val="0"/>
              <w:snapToGrid w:val="0"/>
              <w:spacing w:before="0" w:beforeAutospacing="0" w:after="0" w:afterAutospacing="0" w:line="240" w:lineRule="auto"/>
              <w:ind w:firstLine="0" w:firstLineChars="0"/>
              <w:jc w:val="center"/>
              <w:outlineLvl w:val="0"/>
              <w:rPr>
                <w:rFonts w:hint="default" w:ascii="Times New Roman" w:hAnsi="Times New Roman" w:eastAsia="宋体" w:cs="Times New Roman"/>
                <w:b/>
                <w:bCs/>
                <w:color w:val="000000" w:themeColor="text1"/>
                <w:kern w:val="2"/>
                <w:sz w:val="24"/>
                <w:szCs w:val="24"/>
                <w14:textFill>
                  <w14:solidFill>
                    <w14:schemeClr w14:val="tx1"/>
                  </w14:solidFill>
                </w14:textFill>
              </w:rPr>
            </w:pPr>
            <w:r>
              <w:rPr>
                <w:rFonts w:hint="default" w:ascii="Times New Roman" w:hAnsi="Times New Roman" w:eastAsia="宋体" w:cs="Times New Roman"/>
                <w:b/>
                <w:bCs/>
                <w:color w:val="000000" w:themeColor="text1"/>
                <w:kern w:val="2"/>
                <w:sz w:val="24"/>
                <w:szCs w:val="24"/>
                <w14:textFill>
                  <w14:solidFill>
                    <w14:schemeClr w14:val="tx1"/>
                  </w14:solidFill>
                </w14:textFill>
              </w:rPr>
              <w:t>验收要求</w:t>
            </w:r>
          </w:p>
        </w:tc>
        <w:tc>
          <w:tcPr>
            <w:tcW w:w="1291" w:type="pct"/>
            <w:noWrap w:val="0"/>
            <w:vAlign w:val="center"/>
          </w:tcPr>
          <w:p w14:paraId="2C85098E">
            <w:pPr>
              <w:pStyle w:val="24"/>
              <w:adjustRightInd w:val="0"/>
              <w:snapToGrid w:val="0"/>
              <w:spacing w:before="0" w:beforeAutospacing="0" w:after="0" w:afterAutospacing="0" w:line="240" w:lineRule="auto"/>
              <w:ind w:firstLine="0" w:firstLineChars="0"/>
              <w:jc w:val="center"/>
              <w:outlineLvl w:val="0"/>
              <w:rPr>
                <w:rFonts w:hint="default" w:ascii="Times New Roman" w:hAnsi="Times New Roman" w:eastAsia="宋体" w:cs="Times New Roman"/>
                <w:b/>
                <w:bCs/>
                <w:color w:val="000000" w:themeColor="text1"/>
                <w:kern w:val="2"/>
                <w:sz w:val="24"/>
                <w:szCs w:val="24"/>
                <w14:textFill>
                  <w14:solidFill>
                    <w14:schemeClr w14:val="tx1"/>
                  </w14:solidFill>
                </w14:textFill>
              </w:rPr>
            </w:pPr>
            <w:r>
              <w:rPr>
                <w:rFonts w:hint="default" w:ascii="Times New Roman" w:hAnsi="Times New Roman" w:eastAsia="宋体" w:cs="Times New Roman"/>
                <w:b/>
                <w:bCs/>
                <w:color w:val="000000" w:themeColor="text1"/>
                <w:kern w:val="2"/>
                <w:sz w:val="24"/>
                <w:szCs w:val="24"/>
                <w14:textFill>
                  <w14:solidFill>
                    <w14:schemeClr w14:val="tx1"/>
                  </w14:solidFill>
                </w14:textFill>
              </w:rPr>
              <w:t>环境保护措施</w:t>
            </w:r>
          </w:p>
        </w:tc>
        <w:tc>
          <w:tcPr>
            <w:tcW w:w="1036" w:type="pct"/>
            <w:noWrap w:val="0"/>
            <w:vAlign w:val="center"/>
          </w:tcPr>
          <w:p w14:paraId="3ABCF5C6">
            <w:pPr>
              <w:pStyle w:val="24"/>
              <w:adjustRightInd w:val="0"/>
              <w:snapToGrid w:val="0"/>
              <w:spacing w:before="0" w:beforeAutospacing="0" w:after="0" w:afterAutospacing="0" w:line="240" w:lineRule="auto"/>
              <w:ind w:firstLine="0" w:firstLineChars="0"/>
              <w:jc w:val="center"/>
              <w:outlineLvl w:val="0"/>
              <w:rPr>
                <w:rFonts w:hint="default" w:ascii="Times New Roman" w:hAnsi="Times New Roman" w:eastAsia="宋体" w:cs="Times New Roman"/>
                <w:b/>
                <w:bCs/>
                <w:color w:val="000000" w:themeColor="text1"/>
                <w:kern w:val="2"/>
                <w:sz w:val="24"/>
                <w:szCs w:val="24"/>
                <w14:textFill>
                  <w14:solidFill>
                    <w14:schemeClr w14:val="tx1"/>
                  </w14:solidFill>
                </w14:textFill>
              </w:rPr>
            </w:pPr>
            <w:r>
              <w:rPr>
                <w:rFonts w:hint="default" w:ascii="Times New Roman" w:hAnsi="Times New Roman" w:eastAsia="宋体" w:cs="Times New Roman"/>
                <w:b/>
                <w:bCs/>
                <w:color w:val="000000" w:themeColor="text1"/>
                <w:kern w:val="2"/>
                <w:sz w:val="24"/>
                <w:szCs w:val="24"/>
                <w14:textFill>
                  <w14:solidFill>
                    <w14:schemeClr w14:val="tx1"/>
                  </w14:solidFill>
                </w14:textFill>
              </w:rPr>
              <w:t>验收要求</w:t>
            </w:r>
          </w:p>
        </w:tc>
      </w:tr>
      <w:tr w14:paraId="5A59535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1591" w:hRule="atLeast"/>
          <w:jc w:val="center"/>
        </w:trPr>
        <w:tc>
          <w:tcPr>
            <w:tcW w:w="487" w:type="pct"/>
            <w:noWrap w:val="0"/>
            <w:vAlign w:val="center"/>
          </w:tcPr>
          <w:p w14:paraId="62D261A7">
            <w:pPr>
              <w:adjustRightInd w:val="0"/>
              <w:snapToGrid w:val="0"/>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陆生生态</w:t>
            </w:r>
          </w:p>
        </w:tc>
        <w:tc>
          <w:tcPr>
            <w:tcW w:w="1056" w:type="pct"/>
            <w:noWrap w:val="0"/>
            <w:vAlign w:val="center"/>
          </w:tcPr>
          <w:p w14:paraId="62E0E08D">
            <w:pPr>
              <w:adjustRightInd w:val="0"/>
              <w:snapToGrid w:val="0"/>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为维持项目区域内生态平衡，保护工程区内的生物多样性，在施工中，为消减施工队伍对植被和土壤的影响，应划定标明施工区域，减少在非施工区域的活动；临时占地及时清理场地，破坏的植被要及时恢复</w:t>
            </w:r>
          </w:p>
        </w:tc>
        <w:tc>
          <w:tcPr>
            <w:tcW w:w="1127" w:type="pct"/>
            <w:noWrap w:val="0"/>
            <w:vAlign w:val="center"/>
          </w:tcPr>
          <w:p w14:paraId="3C5F1548">
            <w:pPr>
              <w:adjustRightInd w:val="0"/>
              <w:snapToGrid w:val="0"/>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无裸露空地，植被恢复</w:t>
            </w:r>
          </w:p>
        </w:tc>
        <w:tc>
          <w:tcPr>
            <w:tcW w:w="1291" w:type="pct"/>
            <w:noWrap w:val="0"/>
            <w:vAlign w:val="center"/>
          </w:tcPr>
          <w:p w14:paraId="0A2F1B89">
            <w:pPr>
              <w:adjustRightInd w:val="0"/>
              <w:snapToGrid w:val="0"/>
              <w:ind w:left="0" w:leftChars="0" w:right="0" w:rightChars="0" w:firstLine="0" w:firstLine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划定标明施工区域，减少在非施工区域的活动</w:t>
            </w: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消减施工队伍对植被和土壤的影响；临时占地及时清理场地，及时恢复破坏的植被</w:t>
            </w:r>
          </w:p>
        </w:tc>
        <w:tc>
          <w:tcPr>
            <w:tcW w:w="1036" w:type="pct"/>
            <w:noWrap w:val="0"/>
            <w:vAlign w:val="center"/>
          </w:tcPr>
          <w:p w14:paraId="6A771EF4">
            <w:pPr>
              <w:adjustRightInd w:val="0"/>
              <w:snapToGrid w:val="0"/>
              <w:ind w:left="0" w:leftChars="0" w:right="0" w:rightChars="0" w:firstLine="0" w:firstLine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落实措施</w:t>
            </w:r>
          </w:p>
        </w:tc>
      </w:tr>
      <w:tr w14:paraId="5364B7ED">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487" w:type="pct"/>
            <w:noWrap w:val="0"/>
            <w:vAlign w:val="center"/>
          </w:tcPr>
          <w:p w14:paraId="6F9B64DE">
            <w:pPr>
              <w:adjustRightInd w:val="0"/>
              <w:snapToGrid w:val="0"/>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水生生态</w:t>
            </w:r>
          </w:p>
        </w:tc>
        <w:tc>
          <w:tcPr>
            <w:tcW w:w="1056" w:type="pct"/>
            <w:noWrap w:val="0"/>
            <w:vAlign w:val="center"/>
          </w:tcPr>
          <w:p w14:paraId="60E46CD8">
            <w:pPr>
              <w:adjustRightInd w:val="0"/>
              <w:snapToGrid w:val="0"/>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1127" w:type="pct"/>
            <w:noWrap w:val="0"/>
            <w:vAlign w:val="center"/>
          </w:tcPr>
          <w:p w14:paraId="13273D23">
            <w:pPr>
              <w:adjustRightInd w:val="0"/>
              <w:snapToGrid w:val="0"/>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1291" w:type="pct"/>
            <w:noWrap w:val="0"/>
            <w:vAlign w:val="center"/>
          </w:tcPr>
          <w:p w14:paraId="1F039427">
            <w:pPr>
              <w:adjustRightInd w:val="0"/>
              <w:snapToGrid w:val="0"/>
              <w:ind w:firstLine="0" w:firstLine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1036" w:type="pct"/>
            <w:noWrap w:val="0"/>
            <w:vAlign w:val="center"/>
          </w:tcPr>
          <w:p w14:paraId="1340260E">
            <w:pPr>
              <w:adjustRightInd w:val="0"/>
              <w:snapToGrid w:val="0"/>
              <w:ind w:left="0" w:leftChars="0" w:right="0" w:rightChars="0" w:firstLine="0" w:firstLineChars="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14:paraId="31B696E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657" w:hRule="atLeast"/>
          <w:jc w:val="center"/>
        </w:trPr>
        <w:tc>
          <w:tcPr>
            <w:tcW w:w="487" w:type="pct"/>
            <w:noWrap w:val="0"/>
            <w:vAlign w:val="center"/>
          </w:tcPr>
          <w:p w14:paraId="1A39033C">
            <w:pPr>
              <w:adjustRightInd w:val="0"/>
              <w:snapToGrid w:val="0"/>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地表水环境</w:t>
            </w:r>
          </w:p>
        </w:tc>
        <w:tc>
          <w:tcPr>
            <w:tcW w:w="1056" w:type="pct"/>
            <w:noWrap w:val="0"/>
            <w:vAlign w:val="center"/>
          </w:tcPr>
          <w:p w14:paraId="63FD80D9">
            <w:pPr>
              <w:adjustRightInd w:val="0"/>
              <w:snapToGrid w:val="0"/>
              <w:ind w:left="0" w:leftChars="0" w:right="0" w:rightChars="0" w:firstLine="0" w:firstLineChars="0"/>
              <w:jc w:val="center"/>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设置临时化粪池1座，施工期委托环卫部门吸污车拉运处理；设置临时防渗沉淀池1座，</w:t>
            </w:r>
            <w:r>
              <w:rPr>
                <w:rFonts w:hint="default" w:ascii="Times New Roman" w:hAnsi="Times New Roman" w:cs="Times New Roman"/>
                <w:color w:val="000000" w:themeColor="text1"/>
                <w:szCs w:val="21"/>
                <w14:textFill>
                  <w14:solidFill>
                    <w14:schemeClr w14:val="tx1"/>
                  </w14:solidFill>
                </w14:textFill>
              </w:rPr>
              <w:t>车辆冲洗和施工废水经沉淀处理后用于场地洒水抑尘。</w:t>
            </w:r>
          </w:p>
        </w:tc>
        <w:tc>
          <w:tcPr>
            <w:tcW w:w="1127" w:type="pct"/>
            <w:noWrap w:val="0"/>
            <w:vAlign w:val="center"/>
          </w:tcPr>
          <w:p w14:paraId="2F4E3ADF">
            <w:pPr>
              <w:adjustRightInd w:val="0"/>
              <w:snapToGrid w:val="0"/>
              <w:ind w:left="0" w:leftChars="0" w:right="0" w:rightChars="0" w:firstLine="0" w:firstLineChars="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落实措施</w:t>
            </w:r>
          </w:p>
        </w:tc>
        <w:tc>
          <w:tcPr>
            <w:tcW w:w="1291" w:type="pct"/>
            <w:noWrap w:val="0"/>
            <w:vAlign w:val="center"/>
          </w:tcPr>
          <w:p w14:paraId="75A546FE">
            <w:pPr>
              <w:adjustRightInd w:val="0"/>
              <w:snapToGrid w:val="0"/>
              <w:ind w:left="0" w:leftChars="0" w:right="0" w:rightChars="0" w:firstLine="0" w:firstLineChars="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项目餐饮废水经隔油后与生活污水一起经化粪池预处理，后与医疗废水一起经配套建设的150m</w:t>
            </w:r>
            <w:r>
              <w:rPr>
                <w:rFonts w:hint="default" w:ascii="Times New Roman" w:hAnsi="Times New Roman" w:cs="Times New Roman"/>
                <w:color w:val="000000" w:themeColor="text1"/>
                <w:szCs w:val="21"/>
                <w:vertAlign w:val="superscript"/>
                <w:lang w:val="en-US" w:eastAsia="zh-CN"/>
                <w14:textFill>
                  <w14:solidFill>
                    <w14:schemeClr w14:val="tx1"/>
                  </w14:solidFill>
                </w14:textFill>
              </w:rPr>
              <w:t>3</w:t>
            </w:r>
            <w:r>
              <w:rPr>
                <w:rFonts w:hint="default" w:ascii="Times New Roman" w:hAnsi="Times New Roman" w:cs="Times New Roman"/>
                <w:color w:val="000000" w:themeColor="text1"/>
                <w:szCs w:val="21"/>
                <w:lang w:val="en-US" w:eastAsia="zh-CN"/>
                <w14:textFill>
                  <w14:solidFill>
                    <w14:schemeClr w14:val="tx1"/>
                  </w14:solidFill>
                </w14:textFill>
              </w:rPr>
              <w:t>/d的污水处理站采用</w:t>
            </w:r>
            <w:r>
              <w:rPr>
                <w:rFonts w:hint="eastAsia" w:cs="Times New Roman"/>
                <w:color w:val="000000" w:themeColor="text1"/>
                <w:szCs w:val="21"/>
                <w:lang w:val="en-US"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化</w:t>
            </w:r>
          </w:p>
          <w:p w14:paraId="7B5ED072">
            <w:pPr>
              <w:adjustRightInd w:val="0"/>
              <w:snapToGrid w:val="0"/>
              <w:ind w:left="0" w:leftChars="0" w:right="0" w:rightChars="0" w:firstLine="0" w:firstLineChars="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粪池-格栅-调节池-缺氧池-生物接触氧化池+MBR池+紫外线消毒</w:t>
            </w:r>
            <w:r>
              <w:rPr>
                <w:rFonts w:hint="eastAsia" w:cs="Times New Roman"/>
                <w:color w:val="000000" w:themeColor="text1"/>
                <w:szCs w:val="21"/>
                <w:lang w:val="en-US"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工艺处理达标处理后，回用于项目区绿化、道路清扫及景观环境</w:t>
            </w:r>
          </w:p>
        </w:tc>
        <w:tc>
          <w:tcPr>
            <w:tcW w:w="1036" w:type="pct"/>
            <w:noWrap w:val="0"/>
            <w:vAlign w:val="center"/>
          </w:tcPr>
          <w:p w14:paraId="0472DC96">
            <w:pPr>
              <w:adjustRightInd w:val="0"/>
              <w:snapToGrid w:val="0"/>
              <w:ind w:left="0" w:leftChars="0" w:right="0" w:rightChars="0" w:firstLine="0" w:firstLineChars="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回用水质满足《医疗机构水污染物排放标准》（GB18466-2005）、《城市污水再生利用 城市再用水水质》（GB/T18920-2020）、《城市污水再生利用 景观环境用水水质》（GB/T18921-2019）三者最高标准限值</w:t>
            </w:r>
          </w:p>
        </w:tc>
      </w:tr>
      <w:tr w14:paraId="32A04A6F">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4082" w:hRule="atLeast"/>
          <w:jc w:val="center"/>
        </w:trPr>
        <w:tc>
          <w:tcPr>
            <w:tcW w:w="487" w:type="pct"/>
            <w:noWrap w:val="0"/>
            <w:vAlign w:val="center"/>
          </w:tcPr>
          <w:p w14:paraId="1BD0E2D4">
            <w:pPr>
              <w:adjustRightInd w:val="0"/>
              <w:snapToGrid w:val="0"/>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地下水及土壤环境</w:t>
            </w:r>
          </w:p>
        </w:tc>
        <w:tc>
          <w:tcPr>
            <w:tcW w:w="1056" w:type="pct"/>
            <w:noWrap w:val="0"/>
            <w:vAlign w:val="center"/>
          </w:tcPr>
          <w:p w14:paraId="16A3995B">
            <w:pPr>
              <w:adjustRightInd w:val="0"/>
              <w:snapToGrid w:val="0"/>
              <w:ind w:firstLine="0" w:firstLine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加强</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三废</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管理，尤其是对施工废水以及固体废物的处理与处置的管理，提高其治理、回收和利用率，禁止排入地下水和土壤</w:t>
            </w:r>
          </w:p>
        </w:tc>
        <w:tc>
          <w:tcPr>
            <w:tcW w:w="1127" w:type="pct"/>
            <w:noWrap w:val="0"/>
            <w:vAlign w:val="center"/>
          </w:tcPr>
          <w:p w14:paraId="51E7126D">
            <w:pPr>
              <w:adjustRightInd w:val="0"/>
              <w:snapToGrid w:val="0"/>
              <w:ind w:firstLine="0" w:firstLine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确保达标</w:t>
            </w:r>
          </w:p>
        </w:tc>
        <w:tc>
          <w:tcPr>
            <w:tcW w:w="1291" w:type="pct"/>
            <w:noWrap w:val="0"/>
            <w:vAlign w:val="center"/>
          </w:tcPr>
          <w:p w14:paraId="715C51F2">
            <w:pPr>
              <w:adjustRightInd w:val="0"/>
              <w:snapToGrid w:val="0"/>
              <w:ind w:left="0" w:leftChars="0" w:right="0" w:rightChars="0" w:firstLine="0" w:firstLineChars="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医疗废物暂存间、污水处理站及输水管道按重点防渗区要求建设，确保防渗层等效黏土防渗层Mb≥6.0m，渗透系数≤10</w:t>
            </w:r>
            <w:r>
              <w:rPr>
                <w:rFonts w:hint="default" w:ascii="Times New Roman" w:hAnsi="Times New Roman" w:cs="Times New Roman"/>
                <w:color w:val="000000" w:themeColor="text1"/>
                <w:szCs w:val="21"/>
                <w:vertAlign w:val="superscript"/>
                <w:lang w:val="en-US" w:eastAsia="zh-CN"/>
                <w14:textFill>
                  <w14:solidFill>
                    <w14:schemeClr w14:val="tx1"/>
                  </w14:solidFill>
                </w14:textFill>
              </w:rPr>
              <w:t>-7</w:t>
            </w:r>
            <w:r>
              <w:rPr>
                <w:rFonts w:hint="default" w:ascii="Times New Roman" w:hAnsi="Times New Roman" w:cs="Times New Roman"/>
                <w:color w:val="000000" w:themeColor="text1"/>
                <w:szCs w:val="21"/>
                <w:lang w:val="en-US" w:eastAsia="zh-CN"/>
                <w14:textFill>
                  <w14:solidFill>
                    <w14:schemeClr w14:val="tx1"/>
                  </w14:solidFill>
                </w14:textFill>
              </w:rPr>
              <w:t>cm</w:t>
            </w:r>
          </w:p>
        </w:tc>
        <w:tc>
          <w:tcPr>
            <w:tcW w:w="1036" w:type="pct"/>
            <w:noWrap w:val="0"/>
            <w:vAlign w:val="center"/>
          </w:tcPr>
          <w:p w14:paraId="21FAB54B">
            <w:pPr>
              <w:adjustRightInd w:val="0"/>
              <w:snapToGrid w:val="0"/>
              <w:ind w:firstLine="0" w:firstLineChars="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落实措施</w:t>
            </w:r>
          </w:p>
        </w:tc>
      </w:tr>
      <w:tr w14:paraId="7B39B17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487" w:type="pct"/>
            <w:noWrap w:val="0"/>
            <w:vAlign w:val="center"/>
          </w:tcPr>
          <w:p w14:paraId="34273E86">
            <w:pPr>
              <w:adjustRightInd w:val="0"/>
              <w:snapToGrid w:val="0"/>
              <w:ind w:firstLine="0" w:firstLineChar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声环境</w:t>
            </w:r>
          </w:p>
        </w:tc>
        <w:tc>
          <w:tcPr>
            <w:tcW w:w="1056" w:type="pct"/>
            <w:noWrap w:val="0"/>
            <w:vAlign w:val="center"/>
          </w:tcPr>
          <w:p w14:paraId="288F2A82">
            <w:pPr>
              <w:adjustRightInd w:val="0"/>
              <w:snapToGrid w:val="0"/>
              <w:ind w:firstLine="0" w:firstLineChars="0"/>
              <w:jc w:val="center"/>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优先选用低噪声设备，加强设备的维护，确保设备处于良好运转状态，杜绝因设备不正常运转时产生的高噪声；避免大量高噪声设备同时施工。</w:t>
            </w:r>
          </w:p>
        </w:tc>
        <w:tc>
          <w:tcPr>
            <w:tcW w:w="1127" w:type="pct"/>
            <w:vMerge w:val="restart"/>
            <w:noWrap w:val="0"/>
            <w:vAlign w:val="center"/>
          </w:tcPr>
          <w:p w14:paraId="079B6D4D">
            <w:pPr>
              <w:adjustRightInd w:val="0"/>
              <w:snapToGrid w:val="0"/>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满足《建筑施工场界环境噪声排放标准》</w:t>
            </w:r>
          </w:p>
          <w:p w14:paraId="55F40ADD">
            <w:pPr>
              <w:adjustRightInd w:val="0"/>
              <w:snapToGrid w:val="0"/>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（GB12523-2011）限值</w:t>
            </w:r>
          </w:p>
        </w:tc>
        <w:tc>
          <w:tcPr>
            <w:tcW w:w="1291" w:type="pct"/>
            <w:noWrap w:val="0"/>
            <w:vAlign w:val="center"/>
          </w:tcPr>
          <w:p w14:paraId="45FB2F1C">
            <w:pPr>
              <w:adjustRightInd w:val="0"/>
              <w:snapToGrid w:val="0"/>
              <w:ind w:firstLine="0" w:firstLine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优先选用低噪声设备，加强设备的维护，确保设备处于良好运转状态，杜绝因设备不正常运转时产生的高噪声；</w:t>
            </w:r>
            <w:r>
              <w:rPr>
                <w:rFonts w:hint="default" w:ascii="Times New Roman" w:hAnsi="Times New Roman" w:cs="Times New Roman"/>
                <w:color w:val="000000" w:themeColor="text1"/>
                <w:sz w:val="24"/>
                <w:szCs w:val="24"/>
                <w:lang w:val="en-US" w:eastAsia="zh-CN"/>
                <w14:textFill>
                  <w14:solidFill>
                    <w14:schemeClr w14:val="tx1"/>
                  </w14:solidFill>
                </w14:textFill>
              </w:rPr>
              <w:t>项目区内设置禁止喇叭鸣放；人群活动噪声经林木的阻挡和大气的衰减，对周边环境影响较小</w:t>
            </w:r>
          </w:p>
        </w:tc>
        <w:tc>
          <w:tcPr>
            <w:tcW w:w="1036" w:type="pct"/>
            <w:noWrap w:val="0"/>
            <w:vAlign w:val="center"/>
          </w:tcPr>
          <w:p w14:paraId="1C305FE1">
            <w:pPr>
              <w:adjustRightInd w:val="0"/>
              <w:snapToGrid w:val="0"/>
              <w:ind w:firstLine="0" w:firstLineChars="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满足《工业企业厂界环境噪声排放标准》（GB12348－2008）2类标准（昼间60dB（A），夜间50dB（A））要求</w:t>
            </w:r>
          </w:p>
        </w:tc>
      </w:tr>
      <w:tr w14:paraId="29966867">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487" w:type="pct"/>
            <w:noWrap w:val="0"/>
            <w:vAlign w:val="center"/>
          </w:tcPr>
          <w:p w14:paraId="773F941B">
            <w:pPr>
              <w:adjustRightInd w:val="0"/>
              <w:snapToGrid w:val="0"/>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振动</w:t>
            </w:r>
          </w:p>
        </w:tc>
        <w:tc>
          <w:tcPr>
            <w:tcW w:w="1056" w:type="pct"/>
            <w:noWrap w:val="0"/>
            <w:vAlign w:val="center"/>
          </w:tcPr>
          <w:p w14:paraId="0A09BDF4">
            <w:pPr>
              <w:adjustRightInd w:val="0"/>
              <w:snapToGrid w:val="0"/>
              <w:ind w:firstLine="0" w:firstLineChars="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选用符合国家有关标准的施工机具和运输车辆，尽量选用低噪声设备，</w:t>
            </w:r>
            <w:r>
              <w:rPr>
                <w:rFonts w:hint="default" w:ascii="Times New Roman" w:hAnsi="Times New Roman" w:cs="Times New Roman"/>
                <w:color w:val="000000" w:themeColor="text1"/>
                <w:szCs w:val="21"/>
                <w:lang w:eastAsia="zh-CN"/>
                <w14:textFill>
                  <w14:solidFill>
                    <w14:schemeClr w14:val="tx1"/>
                  </w14:solidFill>
                </w14:textFill>
              </w:rPr>
              <w:t>同时</w:t>
            </w:r>
            <w:r>
              <w:rPr>
                <w:rFonts w:hint="default" w:ascii="Times New Roman" w:hAnsi="Times New Roman" w:cs="Times New Roman"/>
                <w:color w:val="000000" w:themeColor="text1"/>
                <w:szCs w:val="21"/>
                <w14:textFill>
                  <w14:solidFill>
                    <w14:schemeClr w14:val="tx1"/>
                  </w14:solidFill>
                </w14:textFill>
              </w:rPr>
              <w:t>加强各类施工设备的维护和保养，保持其良好的运转状态</w:t>
            </w:r>
            <w:r>
              <w:rPr>
                <w:rFonts w:hint="default" w:ascii="Times New Roman" w:hAnsi="Times New Roman" w:cs="Times New Roman"/>
                <w:color w:val="000000" w:themeColor="text1"/>
                <w:szCs w:val="21"/>
                <w:lang w:eastAsia="zh-CN"/>
                <w14:textFill>
                  <w14:solidFill>
                    <w14:schemeClr w14:val="tx1"/>
                  </w14:solidFill>
                </w14:textFill>
              </w:rPr>
              <w:t>，避免午间及夜间施工</w:t>
            </w:r>
          </w:p>
        </w:tc>
        <w:tc>
          <w:tcPr>
            <w:tcW w:w="1127" w:type="pct"/>
            <w:vMerge w:val="continue"/>
            <w:noWrap w:val="0"/>
            <w:vAlign w:val="center"/>
          </w:tcPr>
          <w:p w14:paraId="5C6C6AB9">
            <w:pPr>
              <w:adjustRightInd w:val="0"/>
              <w:snapToGrid w:val="0"/>
              <w:ind w:firstLine="0" w:firstLineChars="0"/>
              <w:jc w:val="center"/>
              <w:rPr>
                <w:rFonts w:hint="default" w:ascii="Times New Roman" w:hAnsi="Times New Roman" w:cs="Times New Roman"/>
                <w:color w:val="000000" w:themeColor="text1"/>
                <w:szCs w:val="21"/>
                <w14:textFill>
                  <w14:solidFill>
                    <w14:schemeClr w14:val="tx1"/>
                  </w14:solidFill>
                </w14:textFill>
              </w:rPr>
            </w:pPr>
          </w:p>
        </w:tc>
        <w:tc>
          <w:tcPr>
            <w:tcW w:w="1291" w:type="pct"/>
            <w:noWrap w:val="0"/>
            <w:vAlign w:val="center"/>
          </w:tcPr>
          <w:p w14:paraId="33EB4F40">
            <w:pPr>
              <w:adjustRightInd w:val="0"/>
              <w:snapToGrid w:val="0"/>
              <w:ind w:firstLine="0" w:firstLine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尽量选用低噪声设备，</w:t>
            </w:r>
            <w:r>
              <w:rPr>
                <w:rFonts w:hint="default" w:ascii="Times New Roman" w:hAnsi="Times New Roman" w:cs="Times New Roman"/>
                <w:color w:val="000000" w:themeColor="text1"/>
                <w:szCs w:val="21"/>
                <w:lang w:eastAsia="zh-CN"/>
                <w14:textFill>
                  <w14:solidFill>
                    <w14:schemeClr w14:val="tx1"/>
                  </w14:solidFill>
                </w14:textFill>
              </w:rPr>
              <w:t>同时</w:t>
            </w:r>
            <w:r>
              <w:rPr>
                <w:rFonts w:hint="default" w:ascii="Times New Roman" w:hAnsi="Times New Roman" w:cs="Times New Roman"/>
                <w:color w:val="000000" w:themeColor="text1"/>
                <w:szCs w:val="21"/>
                <w14:textFill>
                  <w14:solidFill>
                    <w14:schemeClr w14:val="tx1"/>
                  </w14:solidFill>
                </w14:textFill>
              </w:rPr>
              <w:t>加强各类施工设备的维护和保养，保持其良好的运转状态</w:t>
            </w:r>
          </w:p>
        </w:tc>
        <w:tc>
          <w:tcPr>
            <w:tcW w:w="1036" w:type="pct"/>
            <w:noWrap w:val="0"/>
            <w:vAlign w:val="center"/>
          </w:tcPr>
          <w:p w14:paraId="2412AA65">
            <w:pPr>
              <w:adjustRightInd w:val="0"/>
              <w:snapToGrid w:val="0"/>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14:paraId="7A57C904">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487" w:type="pct"/>
            <w:noWrap w:val="0"/>
            <w:vAlign w:val="center"/>
          </w:tcPr>
          <w:p w14:paraId="5B02831B">
            <w:pPr>
              <w:adjustRightInd w:val="0"/>
              <w:snapToGrid w:val="0"/>
              <w:ind w:firstLine="0" w:firstLineChars="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大气环境</w:t>
            </w:r>
          </w:p>
        </w:tc>
        <w:tc>
          <w:tcPr>
            <w:tcW w:w="1056" w:type="pct"/>
            <w:noWrap w:val="0"/>
            <w:vAlign w:val="center"/>
          </w:tcPr>
          <w:p w14:paraId="35F43FDF">
            <w:pPr>
              <w:adjustRightInd w:val="0"/>
              <w:snapToGrid w:val="0"/>
              <w:ind w:firstLine="0" w:firstLineChars="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施工区四周设立简易隔离围屏，减少施工扬尘对外环境的不利影响；定期洒水抑尘；做好机械、车辆的管理和维修，保持良好性能，尾气能达标排放</w:t>
            </w:r>
          </w:p>
        </w:tc>
        <w:tc>
          <w:tcPr>
            <w:tcW w:w="1127" w:type="pct"/>
            <w:noWrap w:val="0"/>
            <w:vAlign w:val="center"/>
          </w:tcPr>
          <w:p w14:paraId="694B2B36">
            <w:pPr>
              <w:adjustRightInd w:val="0"/>
              <w:snapToGrid w:val="0"/>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施工扬尘满足《大气污染物综合排放标准》（GB16297-1996）无组织监控浓度限值要求</w:t>
            </w:r>
          </w:p>
        </w:tc>
        <w:tc>
          <w:tcPr>
            <w:tcW w:w="1291" w:type="pct"/>
            <w:noWrap w:val="0"/>
            <w:vAlign w:val="center"/>
          </w:tcPr>
          <w:p w14:paraId="67C92CF9">
            <w:pPr>
              <w:adjustRightInd w:val="0"/>
              <w:snapToGrid w:val="0"/>
              <w:ind w:firstLine="0" w:firstLineChars="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餐饮油烟废气经集气罩收集后经油烟净化装置处理后引至屋顶排放；污水处理站恶臭密闭收集后经活性炭吸附装置+15m高排气筒达标处理后排放</w:t>
            </w:r>
          </w:p>
        </w:tc>
        <w:tc>
          <w:tcPr>
            <w:tcW w:w="1036" w:type="pct"/>
            <w:noWrap w:val="0"/>
            <w:vAlign w:val="center"/>
          </w:tcPr>
          <w:p w14:paraId="229508C2">
            <w:pPr>
              <w:adjustRightInd w:val="0"/>
              <w:snapToGrid w:val="0"/>
              <w:ind w:firstLine="0" w:firstLineChars="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餐饮油烟满足《饮食业油烟排放标准》（GB18483-2001）；污水处理站恶臭满足《恶臭污染物排放标准》（GB14554-93）表2恶臭污染物排放标准值</w:t>
            </w:r>
          </w:p>
        </w:tc>
      </w:tr>
      <w:tr w14:paraId="065CDFCD">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1356" w:hRule="atLeast"/>
          <w:jc w:val="center"/>
        </w:trPr>
        <w:tc>
          <w:tcPr>
            <w:tcW w:w="487" w:type="pct"/>
            <w:noWrap w:val="0"/>
            <w:vAlign w:val="center"/>
          </w:tcPr>
          <w:p w14:paraId="2F11D9C6">
            <w:pPr>
              <w:adjustRightInd w:val="0"/>
              <w:snapToGrid w:val="0"/>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固体废物</w:t>
            </w:r>
          </w:p>
        </w:tc>
        <w:tc>
          <w:tcPr>
            <w:tcW w:w="1056" w:type="pct"/>
            <w:noWrap w:val="0"/>
            <w:vAlign w:val="center"/>
          </w:tcPr>
          <w:p w14:paraId="082E6B12">
            <w:pPr>
              <w:adjustRightInd w:val="0"/>
              <w:snapToGrid w:val="0"/>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弃土和表土应采取回填、回用等措施，实现土石方平衡，不得随意丢弃；</w:t>
            </w:r>
            <w:r>
              <w:rPr>
                <w:rFonts w:hint="default" w:ascii="Times New Roman" w:hAnsi="Times New Roman" w:cs="Times New Roman"/>
                <w:color w:val="000000" w:themeColor="text1"/>
                <w:spacing w:val="-3"/>
                <w14:textFill>
                  <w14:solidFill>
                    <w14:schemeClr w14:val="tx1"/>
                  </w14:solidFill>
                </w14:textFill>
              </w:rPr>
              <w:t>建筑垃圾、生活</w:t>
            </w:r>
            <w:r>
              <w:rPr>
                <w:rFonts w:hint="default" w:ascii="Times New Roman" w:hAnsi="Times New Roman" w:cs="Times New Roman"/>
                <w:color w:val="000000" w:themeColor="text1"/>
                <w:spacing w:val="-6"/>
                <w14:textFill>
                  <w14:solidFill>
                    <w14:schemeClr w14:val="tx1"/>
                  </w14:solidFill>
                </w14:textFill>
              </w:rPr>
              <w:t>垃圾日产日清</w:t>
            </w:r>
          </w:p>
        </w:tc>
        <w:tc>
          <w:tcPr>
            <w:tcW w:w="1127" w:type="pct"/>
            <w:noWrap w:val="0"/>
            <w:vAlign w:val="center"/>
          </w:tcPr>
          <w:p w14:paraId="69F61079">
            <w:pPr>
              <w:adjustRightInd w:val="0"/>
              <w:snapToGrid w:val="0"/>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落实措施</w:t>
            </w:r>
          </w:p>
        </w:tc>
        <w:tc>
          <w:tcPr>
            <w:tcW w:w="1291" w:type="pct"/>
            <w:noWrap w:val="0"/>
            <w:vAlign w:val="center"/>
          </w:tcPr>
          <w:p w14:paraId="6A1E4D40">
            <w:pPr>
              <w:adjustRightInd w:val="0"/>
              <w:snapToGrid w:val="0"/>
              <w:ind w:firstLine="0" w:firstLineChars="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生活垃圾收集后委托环卫部门清运；医疗废物分类收集后在临时医疗废物暂存间分区暂存，委托有资质单位集中处置；专用污泥脱水车脱水处理后的污泥不在项目区内储存，直接装箱采用专用车辆运送至有资质的单位处理。项目产生的废活性炭在医疗废物暂存间暂存后，定期由有资质单位处理。</w:t>
            </w:r>
          </w:p>
        </w:tc>
        <w:tc>
          <w:tcPr>
            <w:tcW w:w="1036" w:type="pct"/>
            <w:noWrap w:val="0"/>
            <w:vAlign w:val="center"/>
          </w:tcPr>
          <w:p w14:paraId="087B8AAB">
            <w:pPr>
              <w:adjustRightInd w:val="0"/>
              <w:snapToGrid w:val="0"/>
              <w:ind w:firstLine="0" w:firstLineChars="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落实措施</w:t>
            </w:r>
          </w:p>
        </w:tc>
      </w:tr>
      <w:tr w14:paraId="7761F7ED">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87" w:type="pct"/>
            <w:noWrap w:val="0"/>
            <w:vAlign w:val="center"/>
          </w:tcPr>
          <w:p w14:paraId="1FA69690">
            <w:pPr>
              <w:adjustRightInd w:val="0"/>
              <w:snapToGrid w:val="0"/>
              <w:spacing w:line="240" w:lineRule="auto"/>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电磁环境</w:t>
            </w:r>
          </w:p>
        </w:tc>
        <w:tc>
          <w:tcPr>
            <w:tcW w:w="1056" w:type="pct"/>
            <w:noWrap w:val="0"/>
            <w:vAlign w:val="center"/>
          </w:tcPr>
          <w:p w14:paraId="5AF25EF2">
            <w:pPr>
              <w:adjustRightInd w:val="0"/>
              <w:snapToGrid w:val="0"/>
              <w:spacing w:line="240" w:lineRule="auto"/>
              <w:ind w:firstLine="0" w:firstLine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1127" w:type="pct"/>
            <w:noWrap w:val="0"/>
            <w:vAlign w:val="center"/>
          </w:tcPr>
          <w:p w14:paraId="26D5A2C7">
            <w:pPr>
              <w:adjustRightInd w:val="0"/>
              <w:snapToGrid w:val="0"/>
              <w:spacing w:line="240" w:lineRule="auto"/>
              <w:ind w:firstLine="0" w:firstLine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1291" w:type="pct"/>
            <w:noWrap w:val="0"/>
            <w:vAlign w:val="center"/>
          </w:tcPr>
          <w:p w14:paraId="5B345AB1">
            <w:pPr>
              <w:adjustRightInd w:val="0"/>
              <w:snapToGrid w:val="0"/>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1036" w:type="pct"/>
            <w:noWrap w:val="0"/>
            <w:vAlign w:val="center"/>
          </w:tcPr>
          <w:p w14:paraId="70578CD0">
            <w:pPr>
              <w:adjustRightInd w:val="0"/>
              <w:snapToGrid w:val="0"/>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14:paraId="44A37355">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87" w:type="pct"/>
            <w:noWrap w:val="0"/>
            <w:vAlign w:val="center"/>
          </w:tcPr>
          <w:p w14:paraId="182D7035">
            <w:pPr>
              <w:adjustRightInd w:val="0"/>
              <w:snapToGrid w:val="0"/>
              <w:spacing w:line="240" w:lineRule="auto"/>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环境风险</w:t>
            </w:r>
          </w:p>
        </w:tc>
        <w:tc>
          <w:tcPr>
            <w:tcW w:w="1056" w:type="pct"/>
            <w:noWrap w:val="0"/>
            <w:vAlign w:val="center"/>
          </w:tcPr>
          <w:p w14:paraId="145ED56E">
            <w:pPr>
              <w:adjustRightInd w:val="0"/>
              <w:snapToGrid w:val="0"/>
              <w:ind w:firstLine="0" w:firstLineChars="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1127" w:type="pct"/>
            <w:noWrap w:val="0"/>
            <w:vAlign w:val="center"/>
          </w:tcPr>
          <w:p w14:paraId="5A0AB8C9">
            <w:pPr>
              <w:adjustRightInd w:val="0"/>
              <w:snapToGrid w:val="0"/>
              <w:ind w:firstLine="0" w:firstLineChars="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1291" w:type="pct"/>
            <w:noWrap w:val="0"/>
            <w:vAlign w:val="center"/>
          </w:tcPr>
          <w:p w14:paraId="299B26CD">
            <w:pPr>
              <w:adjustRightInd w:val="0"/>
              <w:snapToGrid w:val="0"/>
              <w:ind w:firstLine="0" w:firstLineChars="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c>
          <w:tcPr>
            <w:tcW w:w="1036" w:type="pct"/>
            <w:noWrap w:val="0"/>
            <w:vAlign w:val="center"/>
          </w:tcPr>
          <w:p w14:paraId="3EA12D70">
            <w:pPr>
              <w:adjustRightInd w:val="0"/>
              <w:snapToGrid w:val="0"/>
              <w:ind w:firstLine="0" w:firstLineChars="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w:t>
            </w:r>
          </w:p>
        </w:tc>
      </w:tr>
      <w:tr w14:paraId="035DDBD1">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487" w:type="pct"/>
            <w:noWrap w:val="0"/>
            <w:vAlign w:val="center"/>
          </w:tcPr>
          <w:p w14:paraId="797857C5">
            <w:pPr>
              <w:adjustRightInd w:val="0"/>
              <w:snapToGrid w:val="0"/>
              <w:spacing w:line="240" w:lineRule="auto"/>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环境监测</w:t>
            </w:r>
          </w:p>
        </w:tc>
        <w:tc>
          <w:tcPr>
            <w:tcW w:w="4512" w:type="pct"/>
            <w:gridSpan w:val="4"/>
            <w:noWrap w:val="0"/>
            <w:vAlign w:val="center"/>
          </w:tcPr>
          <w:p w14:paraId="2BB11390">
            <w:pPr>
              <w:adjustRightInd w:val="0"/>
              <w:snapToGrid w:val="0"/>
              <w:ind w:firstLine="0" w:firstLineChars="0"/>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落实环评中对施工期</w:t>
            </w:r>
            <w:r>
              <w:rPr>
                <w:rFonts w:hint="eastAsia" w:cs="Times New Roman"/>
                <w:color w:val="000000" w:themeColor="text1"/>
                <w:szCs w:val="21"/>
                <w:lang w:val="en-US" w:eastAsia="zh-CN"/>
                <w14:textFill>
                  <w14:solidFill>
                    <w14:schemeClr w14:val="tx1"/>
                  </w14:solidFill>
                </w14:textFill>
              </w:rPr>
              <w:t>、运营期的</w:t>
            </w:r>
            <w:r>
              <w:rPr>
                <w:rFonts w:hint="default" w:ascii="Times New Roman" w:hAnsi="Times New Roman" w:cs="Times New Roman"/>
                <w:color w:val="000000" w:themeColor="text1"/>
                <w:szCs w:val="21"/>
                <w:lang w:val="en-US" w:eastAsia="zh-CN"/>
                <w14:textFill>
                  <w14:solidFill>
                    <w14:schemeClr w14:val="tx1"/>
                  </w14:solidFill>
                </w14:textFill>
              </w:rPr>
              <w:t>环境监测要求；</w:t>
            </w:r>
            <w:r>
              <w:rPr>
                <w:rFonts w:hint="default" w:ascii="Times New Roman" w:hAnsi="Times New Roman" w:cs="Times New Roman"/>
                <w:color w:val="000000" w:themeColor="text1"/>
                <w:szCs w:val="21"/>
                <w14:textFill>
                  <w14:solidFill>
                    <w14:schemeClr w14:val="tx1"/>
                  </w14:solidFill>
                </w14:textFill>
              </w:rPr>
              <w:t>按照</w:t>
            </w:r>
            <w:r>
              <w:rPr>
                <w:rFonts w:hint="eastAsia" w:cs="Times New Roman"/>
                <w:color w:val="000000" w:themeColor="text1"/>
                <w:szCs w:val="21"/>
                <w:lang w:val="en-US" w:eastAsia="zh-CN"/>
                <w14:textFill>
                  <w14:solidFill>
                    <w14:schemeClr w14:val="tx1"/>
                  </w14:solidFill>
                </w14:textFill>
              </w:rPr>
              <w:t>相关</w:t>
            </w:r>
            <w:r>
              <w:rPr>
                <w:rFonts w:hint="default" w:ascii="Times New Roman" w:hAnsi="Times New Roman" w:cs="Times New Roman"/>
                <w:color w:val="000000" w:themeColor="text1"/>
                <w:szCs w:val="21"/>
                <w14:textFill>
                  <w14:solidFill>
                    <w14:schemeClr w14:val="tx1"/>
                  </w14:solidFill>
                </w14:textFill>
              </w:rPr>
              <w:t>要求定期进行自行监测</w:t>
            </w:r>
          </w:p>
        </w:tc>
      </w:tr>
      <w:tr w14:paraId="7DE3DE1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487" w:type="pct"/>
            <w:noWrap w:val="0"/>
            <w:vAlign w:val="center"/>
          </w:tcPr>
          <w:p w14:paraId="004382ED">
            <w:pPr>
              <w:adjustRightInd w:val="0"/>
              <w:snapToGrid w:val="0"/>
              <w:spacing w:line="240" w:lineRule="auto"/>
              <w:ind w:firstLine="0" w:firstLineChars="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其他</w:t>
            </w:r>
          </w:p>
        </w:tc>
        <w:tc>
          <w:tcPr>
            <w:tcW w:w="4512" w:type="pct"/>
            <w:gridSpan w:val="4"/>
            <w:noWrap w:val="0"/>
            <w:vAlign w:val="center"/>
          </w:tcPr>
          <w:p w14:paraId="28C63ED8">
            <w:pPr>
              <w:adjustRightInd w:val="0"/>
              <w:snapToGrid w:val="0"/>
              <w:ind w:firstLine="0" w:firstLineChars="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1、建设单位应设置专职的环境管理员，安排专业环保人员负责施工、运营中的环境管理工作。</w:t>
            </w:r>
          </w:p>
          <w:p w14:paraId="24F79452">
            <w:pPr>
              <w:adjustRightInd w:val="0"/>
              <w:snapToGrid w:val="0"/>
              <w:ind w:firstLine="0" w:firstLineChars="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2、选择有资质的单位签订监测合同，进行环境监测、环境监理工作。</w:t>
            </w:r>
          </w:p>
          <w:p w14:paraId="69080601">
            <w:pPr>
              <w:adjustRightInd w:val="0"/>
              <w:snapToGrid w:val="0"/>
              <w:ind w:firstLine="0" w:firstLineChars="0"/>
              <w:jc w:val="left"/>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3、做好施工期各种突发环境事件的预防工作，准备好应急处理措施。</w:t>
            </w:r>
          </w:p>
          <w:p w14:paraId="72B0B6D8">
            <w:pPr>
              <w:adjustRightInd w:val="0"/>
              <w:snapToGrid w:val="0"/>
              <w:ind w:firstLine="0" w:firstLineChars="0"/>
              <w:jc w:val="left"/>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4、加强对施工人员的环保宣传教育，增强其环保意识。</w:t>
            </w:r>
          </w:p>
        </w:tc>
      </w:tr>
    </w:tbl>
    <w:p w14:paraId="2A9CB55A">
      <w:pPr>
        <w:pStyle w:val="24"/>
        <w:ind w:firstLine="600"/>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sectPr>
          <w:pgSz w:w="11906" w:h="16838"/>
          <w:pgMar w:top="1440" w:right="1800" w:bottom="1440" w:left="1800" w:header="851" w:footer="1077" w:gutter="0"/>
          <w:pgBorders>
            <w:top w:val="none" w:sz="0" w:space="0"/>
            <w:left w:val="none" w:sz="0" w:space="0"/>
            <w:bottom w:val="none" w:sz="0" w:space="0"/>
            <w:right w:val="none" w:sz="0" w:space="0"/>
          </w:pgBorders>
          <w:pgNumType w:fmt="numberInDash"/>
          <w:cols w:space="720" w:num="1"/>
          <w:docGrid w:linePitch="312" w:charSpace="0"/>
        </w:sectPr>
      </w:pPr>
    </w:p>
    <w:p w14:paraId="04E0B278">
      <w:pPr>
        <w:pStyle w:val="2"/>
        <w:keepNext/>
        <w:keepLines w:val="0"/>
        <w:pageBreakBefore w:val="0"/>
        <w:widowControl w:val="0"/>
        <w:kinsoku/>
        <w:wordWrap/>
        <w:overflowPunct w:val="0"/>
        <w:topLinePunct w:val="0"/>
        <w:autoSpaceDE/>
        <w:autoSpaceDN/>
        <w:bidi w:val="0"/>
        <w:adjustRightInd/>
        <w:snapToGrid w:val="0"/>
        <w:spacing w:after="0" w:line="240" w:lineRule="auto"/>
        <w:ind w:left="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七、结论</w:t>
      </w:r>
    </w:p>
    <w:tbl>
      <w:tblPr>
        <w:tblStyle w:val="27"/>
        <w:tblW w:w="5000" w:type="pct"/>
        <w:jc w:val="center"/>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44AF07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13039" w:hRule="atLeast"/>
          <w:jc w:val="center"/>
        </w:trPr>
        <w:tc>
          <w:tcPr>
            <w:tcW w:w="5000" w:type="pct"/>
            <w:noWrap w:val="0"/>
            <w:vAlign w:val="center"/>
          </w:tcPr>
          <w:p w14:paraId="670BFA27">
            <w:pPr>
              <w:ind w:firstLine="480"/>
              <w:jc w:val="left"/>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综上所述，宁夏泾源县龙房宫片区生态环境修复与农林文旅康融合开发EOD项目符合国家产业政策，符合泾源县旅游规划，场址选址合理可行。项目在运营后将产生废气、废水、噪声及固体废物等污染物，在严格采取本报告表所提出的各项环境保护措施后，项目对周围环境的影响较小。因此，在保证污染防治措施有效实施的基础上，从环境保护的角度分析，本评价认为该项目的建设是可行的。</w:t>
            </w:r>
          </w:p>
        </w:tc>
      </w:tr>
    </w:tbl>
    <w:p w14:paraId="089DBADD">
      <w:pPr>
        <w:pStyle w:val="22"/>
        <w:ind w:left="0" w:leftChars="0" w:firstLine="0" w:firstLineChars="0"/>
        <w:jc w:val="both"/>
        <w:rPr>
          <w:rFonts w:hint="default" w:ascii="Times New Roman" w:hAnsi="Times New Roman" w:cs="Times New Roman"/>
          <w:color w:val="000000" w:themeColor="text1"/>
          <w14:textFill>
            <w14:solidFill>
              <w14:schemeClr w14:val="tx1"/>
            </w14:solidFill>
          </w14:textFill>
        </w:rPr>
      </w:pPr>
    </w:p>
    <w:p w14:paraId="02A3D60D">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eastAsia="宋体" w:cs="Times New Roman"/>
          <w:b/>
          <w:bCs/>
          <w:snapToGrid w:val="0"/>
          <w:color w:val="000000" w:themeColor="text1"/>
          <w:spacing w:val="-18"/>
          <w:kern w:val="0"/>
          <w:sz w:val="35"/>
          <w:szCs w:val="35"/>
          <w:lang w:val="en-US" w:eastAsia="zh-CN"/>
          <w14:textFill>
            <w14:solidFill>
              <w14:schemeClr w14:val="tx1"/>
            </w14:solidFill>
          </w14:textFill>
        </w:rPr>
        <w:sectPr>
          <w:footerReference r:id="rId9" w:type="default"/>
          <w:pgSz w:w="11906" w:h="16838"/>
          <w:pgMar w:top="1440" w:right="1800" w:bottom="1440" w:left="1800" w:header="851" w:footer="1077" w:gutter="0"/>
          <w:pgBorders>
            <w:top w:val="none" w:sz="0" w:space="0"/>
            <w:left w:val="none" w:sz="0" w:space="0"/>
            <w:bottom w:val="none" w:sz="0" w:space="0"/>
            <w:right w:val="none" w:sz="0" w:space="0"/>
          </w:pgBorders>
          <w:pgNumType w:fmt="numberInDash" w:start="1"/>
          <w:cols w:space="720" w:num="1"/>
          <w:docGrid w:linePitch="312" w:charSpace="0"/>
        </w:sectPr>
      </w:pPr>
    </w:p>
    <w:p w14:paraId="76C5540D">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eastAsia="宋体" w:cs="Times New Roman"/>
          <w:b/>
          <w:bCs/>
          <w:snapToGrid w:val="0"/>
          <w:color w:val="000000" w:themeColor="text1"/>
          <w:spacing w:val="-18"/>
          <w:kern w:val="0"/>
          <w:sz w:val="35"/>
          <w:szCs w:val="35"/>
          <w:lang w:val="en-US" w:eastAsia="zh-CN"/>
          <w14:textFill>
            <w14:solidFill>
              <w14:schemeClr w14:val="tx1"/>
            </w14:solidFill>
          </w14:textFill>
        </w:rPr>
      </w:pPr>
    </w:p>
    <w:p w14:paraId="588ACFCA">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eastAsia="宋体" w:cs="Times New Roman"/>
          <w:b/>
          <w:bCs/>
          <w:snapToGrid w:val="0"/>
          <w:color w:val="000000" w:themeColor="text1"/>
          <w:spacing w:val="-18"/>
          <w:kern w:val="0"/>
          <w:sz w:val="35"/>
          <w:szCs w:val="35"/>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spacing w:val="-18"/>
          <w:kern w:val="0"/>
          <w:sz w:val="35"/>
          <w:szCs w:val="35"/>
          <w:lang w:val="en-US" w:eastAsia="zh-CN"/>
          <w14:textFill>
            <w14:solidFill>
              <w14:schemeClr w14:val="tx1"/>
            </w14:solidFill>
          </w14:textFill>
        </w:rPr>
        <w:t>宁夏泾源县龙房宫片区生态环境修复与农林文旅康</w:t>
      </w:r>
    </w:p>
    <w:p w14:paraId="7C55590F">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eastAsia="宋体" w:cs="Times New Roman"/>
          <w:b/>
          <w:bCs/>
          <w:snapToGrid w:val="0"/>
          <w:color w:val="000000" w:themeColor="text1"/>
          <w:spacing w:val="-18"/>
          <w:kern w:val="0"/>
          <w:sz w:val="35"/>
          <w:szCs w:val="35"/>
          <w:lang w:val="en-US" w:eastAsia="zh-CN"/>
          <w14:textFill>
            <w14:solidFill>
              <w14:schemeClr w14:val="tx1"/>
            </w14:solidFill>
          </w14:textFill>
        </w:rPr>
      </w:pPr>
      <w:r>
        <w:rPr>
          <w:rFonts w:hint="default" w:ascii="Times New Roman" w:hAnsi="Times New Roman" w:eastAsia="宋体" w:cs="Times New Roman"/>
          <w:b/>
          <w:bCs/>
          <w:snapToGrid w:val="0"/>
          <w:color w:val="000000" w:themeColor="text1"/>
          <w:spacing w:val="-18"/>
          <w:kern w:val="0"/>
          <w:sz w:val="35"/>
          <w:szCs w:val="35"/>
          <w:lang w:val="en-US" w:eastAsia="zh-CN"/>
          <w14:textFill>
            <w14:solidFill>
              <w14:schemeClr w14:val="tx1"/>
            </w14:solidFill>
          </w14:textFill>
        </w:rPr>
        <w:t>融合开发EOD项目</w:t>
      </w:r>
    </w:p>
    <w:p w14:paraId="644D4965">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0" w:firstLineChars="0"/>
        <w:jc w:val="center"/>
        <w:textAlignment w:val="baseline"/>
        <w:rPr>
          <w:rFonts w:hint="default" w:ascii="Times New Roman" w:hAnsi="Times New Roman" w:eastAsia="宋体" w:cs="Times New Roman"/>
          <w:b/>
          <w:bCs/>
          <w:snapToGrid w:val="0"/>
          <w:color w:val="000000" w:themeColor="text1"/>
          <w:spacing w:val="-18"/>
          <w:kern w:val="0"/>
          <w:sz w:val="35"/>
          <w:szCs w:val="35"/>
          <w:lang w:val="en-US" w:eastAsia="zh-CN"/>
          <w14:textFill>
            <w14:solidFill>
              <w14:schemeClr w14:val="tx1"/>
            </w14:solidFill>
          </w14:textFill>
        </w:rPr>
      </w:pPr>
    </w:p>
    <w:p w14:paraId="196CC8EA">
      <w:pPr>
        <w:keepNext w:val="0"/>
        <w:keepLines w:val="0"/>
        <w:pageBreakBefore w:val="0"/>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b/>
          <w:bCs/>
          <w:color w:val="000000" w:themeColor="text1"/>
          <w:spacing w:val="-16"/>
          <w:sz w:val="43"/>
          <w:szCs w:val="43"/>
          <w14:textFill>
            <w14:solidFill>
              <w14:schemeClr w14:val="tx1"/>
            </w14:solidFill>
          </w14:textFill>
        </w:rPr>
      </w:pPr>
      <w:r>
        <w:rPr>
          <w:rFonts w:hint="default" w:ascii="Times New Roman" w:hAnsi="Times New Roman" w:eastAsia="宋体" w:cs="Times New Roman"/>
          <w:b/>
          <w:bCs/>
          <w:color w:val="000000" w:themeColor="text1"/>
          <w:spacing w:val="-16"/>
          <w:sz w:val="43"/>
          <w:szCs w:val="43"/>
          <w14:textFill>
            <w14:solidFill>
              <w14:schemeClr w14:val="tx1"/>
            </w14:solidFill>
          </w14:textFill>
        </w:rPr>
        <w:t>生态环境影响专项分析报告</w:t>
      </w:r>
    </w:p>
    <w:p w14:paraId="53AF7BD9">
      <w:pPr>
        <w:keepNext w:val="0"/>
        <w:keepLines w:val="0"/>
        <w:pageBreakBefore w:val="0"/>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b/>
          <w:bCs/>
          <w:color w:val="000000" w:themeColor="text1"/>
          <w:spacing w:val="-16"/>
          <w:sz w:val="43"/>
          <w:szCs w:val="43"/>
          <w14:textFill>
            <w14:solidFill>
              <w14:schemeClr w14:val="tx1"/>
            </w14:solidFill>
          </w14:textFill>
        </w:rPr>
      </w:pPr>
    </w:p>
    <w:p w14:paraId="2758CE88">
      <w:pPr>
        <w:keepNext w:val="0"/>
        <w:keepLines w:val="0"/>
        <w:pageBreakBefore w:val="0"/>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b/>
          <w:bCs/>
          <w:color w:val="000000" w:themeColor="text1"/>
          <w:spacing w:val="-16"/>
          <w:sz w:val="43"/>
          <w:szCs w:val="43"/>
          <w14:textFill>
            <w14:solidFill>
              <w14:schemeClr w14:val="tx1"/>
            </w14:solidFill>
          </w14:textFill>
        </w:rPr>
      </w:pPr>
    </w:p>
    <w:p w14:paraId="51FF1003">
      <w:pPr>
        <w:keepNext w:val="0"/>
        <w:keepLines w:val="0"/>
        <w:pageBreakBefore w:val="0"/>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b/>
          <w:bCs/>
          <w:color w:val="000000" w:themeColor="text1"/>
          <w:spacing w:val="-16"/>
          <w:sz w:val="43"/>
          <w:szCs w:val="43"/>
          <w14:textFill>
            <w14:solidFill>
              <w14:schemeClr w14:val="tx1"/>
            </w14:solidFill>
          </w14:textFill>
        </w:rPr>
      </w:pPr>
    </w:p>
    <w:p w14:paraId="257923ED">
      <w:pPr>
        <w:keepNext w:val="0"/>
        <w:keepLines w:val="0"/>
        <w:pageBreakBefore w:val="0"/>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b/>
          <w:bCs/>
          <w:color w:val="000000" w:themeColor="text1"/>
          <w:spacing w:val="-16"/>
          <w:sz w:val="43"/>
          <w:szCs w:val="43"/>
          <w14:textFill>
            <w14:solidFill>
              <w14:schemeClr w14:val="tx1"/>
            </w14:solidFill>
          </w14:textFill>
        </w:rPr>
      </w:pPr>
    </w:p>
    <w:p w14:paraId="347211EB">
      <w:pPr>
        <w:keepNext w:val="0"/>
        <w:keepLines w:val="0"/>
        <w:pageBreakBefore w:val="0"/>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b/>
          <w:bCs/>
          <w:color w:val="000000" w:themeColor="text1"/>
          <w:spacing w:val="-16"/>
          <w:sz w:val="43"/>
          <w:szCs w:val="43"/>
          <w14:textFill>
            <w14:solidFill>
              <w14:schemeClr w14:val="tx1"/>
            </w14:solidFill>
          </w14:textFill>
        </w:rPr>
      </w:pPr>
    </w:p>
    <w:p w14:paraId="14B65547">
      <w:pPr>
        <w:keepNext w:val="0"/>
        <w:keepLines w:val="0"/>
        <w:pageBreakBefore w:val="0"/>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b/>
          <w:bCs/>
          <w:color w:val="000000" w:themeColor="text1"/>
          <w:spacing w:val="-16"/>
          <w:sz w:val="43"/>
          <w:szCs w:val="43"/>
          <w14:textFill>
            <w14:solidFill>
              <w14:schemeClr w14:val="tx1"/>
            </w14:solidFill>
          </w14:textFill>
        </w:rPr>
      </w:pPr>
    </w:p>
    <w:p w14:paraId="353A67E6">
      <w:pPr>
        <w:keepNext w:val="0"/>
        <w:keepLines w:val="0"/>
        <w:pageBreakBefore w:val="0"/>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b/>
          <w:bCs/>
          <w:color w:val="000000" w:themeColor="text1"/>
          <w:spacing w:val="-16"/>
          <w:sz w:val="43"/>
          <w:szCs w:val="43"/>
          <w14:textFill>
            <w14:solidFill>
              <w14:schemeClr w14:val="tx1"/>
            </w14:solidFill>
          </w14:textFill>
        </w:rPr>
      </w:pPr>
    </w:p>
    <w:p w14:paraId="458F3AF4">
      <w:pPr>
        <w:keepNext w:val="0"/>
        <w:keepLines w:val="0"/>
        <w:pageBreakBefore w:val="0"/>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b/>
          <w:bCs/>
          <w:color w:val="000000" w:themeColor="text1"/>
          <w:spacing w:val="-16"/>
          <w:sz w:val="43"/>
          <w:szCs w:val="43"/>
          <w14:textFill>
            <w14:solidFill>
              <w14:schemeClr w14:val="tx1"/>
            </w14:solidFill>
          </w14:textFill>
        </w:rPr>
      </w:pPr>
    </w:p>
    <w:p w14:paraId="2D3400BA">
      <w:pPr>
        <w:keepNext w:val="0"/>
        <w:keepLines w:val="0"/>
        <w:pageBreakBefore w:val="0"/>
        <w:wordWrap/>
        <w:overflowPunct/>
        <w:topLinePunct w:val="0"/>
        <w:bidi w:val="0"/>
        <w:spacing w:line="360" w:lineRule="auto"/>
        <w:ind w:left="0" w:leftChars="0" w:right="0" w:rightChars="0" w:firstLine="0" w:firstLineChars="0"/>
        <w:jc w:val="both"/>
        <w:rPr>
          <w:rFonts w:hint="default" w:ascii="Times New Roman" w:hAnsi="Times New Roman" w:eastAsia="宋体" w:cs="Times New Roman"/>
          <w:b/>
          <w:bCs/>
          <w:color w:val="000000" w:themeColor="text1"/>
          <w:spacing w:val="-16"/>
          <w:sz w:val="43"/>
          <w:szCs w:val="43"/>
          <w14:textFill>
            <w14:solidFill>
              <w14:schemeClr w14:val="tx1"/>
            </w14:solidFill>
          </w14:textFill>
        </w:rPr>
      </w:pPr>
    </w:p>
    <w:p w14:paraId="79668960">
      <w:pPr>
        <w:keepNext w:val="0"/>
        <w:keepLines w:val="0"/>
        <w:pageBreakBefore w:val="0"/>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b/>
          <w:bCs/>
          <w:color w:val="000000" w:themeColor="text1"/>
          <w:spacing w:val="-16"/>
          <w:sz w:val="28"/>
          <w:szCs w:val="28"/>
          <w:lang w:val="en-US" w:eastAsia="zh-CN"/>
          <w14:textFill>
            <w14:solidFill>
              <w14:schemeClr w14:val="tx1"/>
            </w14:solidFill>
          </w14:textFill>
        </w:rPr>
        <w:sectPr>
          <w:footerReference r:id="rId10" w:type="default"/>
          <w:pgSz w:w="11906" w:h="16838"/>
          <w:pgMar w:top="1440" w:right="1800" w:bottom="1440" w:left="1800" w:header="851" w:footer="1077" w:gutter="0"/>
          <w:pgBorders>
            <w:top w:val="none" w:sz="0" w:space="0"/>
            <w:left w:val="none" w:sz="0" w:space="0"/>
            <w:bottom w:val="none" w:sz="0" w:space="0"/>
            <w:right w:val="none" w:sz="0" w:space="0"/>
          </w:pgBorders>
          <w:pgNumType w:fmt="decimal" w:start="1"/>
          <w:cols w:space="720" w:num="1"/>
          <w:docGrid w:linePitch="312" w:charSpace="0"/>
        </w:sectPr>
      </w:pPr>
      <w:r>
        <w:rPr>
          <w:rFonts w:hint="default" w:ascii="Times New Roman" w:hAnsi="Times New Roman" w:eastAsia="宋体" w:cs="Times New Roman"/>
          <w:b/>
          <w:bCs/>
          <w:color w:val="000000" w:themeColor="text1"/>
          <w:spacing w:val="-16"/>
          <w:sz w:val="28"/>
          <w:szCs w:val="28"/>
          <w:lang w:val="en-US" w:eastAsia="zh-CN"/>
          <w14:textFill>
            <w14:solidFill>
              <w14:schemeClr w14:val="tx1"/>
            </w14:solidFill>
          </w14:textFill>
        </w:rPr>
        <w:t>202</w:t>
      </w:r>
      <w:r>
        <w:rPr>
          <w:rFonts w:hint="default" w:ascii="Times New Roman" w:hAnsi="Times New Roman" w:cs="Times New Roman"/>
          <w:b/>
          <w:bCs/>
          <w:color w:val="000000" w:themeColor="text1"/>
          <w:spacing w:val="-16"/>
          <w:sz w:val="28"/>
          <w:szCs w:val="28"/>
          <w:lang w:val="en-US" w:eastAsia="zh-CN"/>
          <w14:textFill>
            <w14:solidFill>
              <w14:schemeClr w14:val="tx1"/>
            </w14:solidFill>
          </w14:textFill>
        </w:rPr>
        <w:t>5</w:t>
      </w:r>
      <w:r>
        <w:rPr>
          <w:rFonts w:hint="default" w:ascii="Times New Roman" w:hAnsi="Times New Roman" w:eastAsia="宋体" w:cs="Times New Roman"/>
          <w:b/>
          <w:bCs/>
          <w:color w:val="000000" w:themeColor="text1"/>
          <w:spacing w:val="-16"/>
          <w:sz w:val="28"/>
          <w:szCs w:val="28"/>
          <w:lang w:val="en-US" w:eastAsia="zh-CN"/>
          <w14:textFill>
            <w14:solidFill>
              <w14:schemeClr w14:val="tx1"/>
            </w14:solidFill>
          </w14:textFill>
        </w:rPr>
        <w:t>年</w:t>
      </w:r>
      <w:r>
        <w:rPr>
          <w:rFonts w:hint="eastAsia" w:cs="Times New Roman"/>
          <w:b/>
          <w:bCs/>
          <w:color w:val="000000" w:themeColor="text1"/>
          <w:spacing w:val="-16"/>
          <w:sz w:val="28"/>
          <w:szCs w:val="28"/>
          <w:lang w:val="en-US" w:eastAsia="zh-CN"/>
          <w14:textFill>
            <w14:solidFill>
              <w14:schemeClr w14:val="tx1"/>
            </w14:solidFill>
          </w14:textFill>
        </w:rPr>
        <w:t>4</w:t>
      </w:r>
      <w:r>
        <w:rPr>
          <w:rFonts w:hint="default" w:ascii="Times New Roman" w:hAnsi="Times New Roman" w:eastAsia="宋体" w:cs="Times New Roman"/>
          <w:b/>
          <w:bCs/>
          <w:color w:val="000000" w:themeColor="text1"/>
          <w:spacing w:val="-16"/>
          <w:sz w:val="28"/>
          <w:szCs w:val="28"/>
          <w:lang w:val="en-US" w:eastAsia="zh-CN"/>
          <w14:textFill>
            <w14:solidFill>
              <w14:schemeClr w14:val="tx1"/>
            </w14:solidFill>
          </w14:textFill>
        </w:rPr>
        <w:t>月</w:t>
      </w:r>
    </w:p>
    <w:p w14:paraId="67B8D03D">
      <w:pPr>
        <w:keepNext w:val="0"/>
        <w:keepLines w:val="0"/>
        <w:pageBreakBefore w:val="0"/>
        <w:wordWrap/>
        <w:overflowPunct/>
        <w:topLinePunct w:val="0"/>
        <w:bidi w:val="0"/>
        <w:spacing w:line="360" w:lineRule="auto"/>
        <w:ind w:left="0" w:leftChars="0" w:right="0" w:rightChars="0" w:firstLine="0" w:firstLineChars="0"/>
        <w:jc w:val="center"/>
        <w:rPr>
          <w:rFonts w:hint="default" w:ascii="Times New Roman" w:hAnsi="Times New Roman" w:eastAsia="宋体" w:cs="Times New Roman"/>
          <w:b/>
          <w:bCs/>
          <w:color w:val="000000" w:themeColor="text1"/>
          <w:spacing w:val="-16"/>
          <w:sz w:val="28"/>
          <w:szCs w:val="28"/>
          <w:lang w:val="en-US" w:eastAsia="zh-CN"/>
          <w14:textFill>
            <w14:solidFill>
              <w14:schemeClr w14:val="tx1"/>
            </w14:solidFill>
          </w14:textFill>
        </w:rPr>
        <w:sectPr>
          <w:pgSz w:w="11906" w:h="16838"/>
          <w:pgMar w:top="1440" w:right="1800" w:bottom="1440" w:left="1800"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73B5E172">
      <w:pPr>
        <w:pStyle w:val="15"/>
        <w:numPr>
          <w:ilvl w:val="0"/>
          <w:numId w:val="0"/>
        </w:numPr>
        <w:spacing w:line="360" w:lineRule="auto"/>
        <w:ind w:firstLine="482" w:firstLineChars="200"/>
        <w:rPr>
          <w:rFonts w:hint="default" w:ascii="Times New Roman" w:hAnsi="Times New Roman" w:cs="Times New Roman"/>
          <w:b/>
          <w:bCs/>
          <w:color w:val="000000" w:themeColor="text1"/>
          <w:sz w:val="24"/>
          <w:lang w:val="en-US" w:eastAsia="zh-CN"/>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1 项目概况</w:t>
      </w:r>
    </w:p>
    <w:p w14:paraId="4023D810">
      <w:pPr>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本项目为宁夏泾源县龙房宫片区生态环境修复与农林文旅康融合开发EOD项目，</w:t>
      </w:r>
      <w:r>
        <w:rPr>
          <w:rFonts w:hint="default" w:ascii="Times New Roman" w:hAnsi="Times New Roman" w:cs="Times New Roman"/>
          <w:color w:val="000000" w:themeColor="text1"/>
          <w:lang w:val="en-US" w:eastAsia="zh-CN"/>
          <w14:textFill>
            <w14:solidFill>
              <w14:schemeClr w14:val="tx1"/>
            </w14:solidFill>
          </w14:textFill>
        </w:rPr>
        <w:t>项目地点位于</w:t>
      </w:r>
      <w:r>
        <w:rPr>
          <w:rFonts w:hint="default" w:ascii="Times New Roman" w:hAnsi="Times New Roman" w:eastAsia="宋体" w:cs="Times New Roman"/>
          <w:color w:val="000000" w:themeColor="text1"/>
          <w:lang w:val="en-US" w:eastAsia="zh-CN"/>
          <w14:textFill>
            <w14:solidFill>
              <w14:schemeClr w14:val="tx1"/>
            </w14:solidFill>
          </w14:textFill>
        </w:rPr>
        <w:t>固原市泾源县黄花乡</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紧邻</w:t>
      </w:r>
      <w:r>
        <w:rPr>
          <w:rFonts w:hint="default" w:ascii="Times New Roman" w:hAnsi="Times New Roman" w:eastAsia="宋体" w:cs="Times New Roman"/>
          <w:color w:val="000000" w:themeColor="text1"/>
          <w:lang w:val="en-US" w:eastAsia="zh-CN"/>
          <w14:textFill>
            <w14:solidFill>
              <w14:schemeClr w14:val="tx1"/>
            </w14:solidFill>
          </w14:textFill>
        </w:rPr>
        <w:t>六盘山</w:t>
      </w:r>
      <w:r>
        <w:rPr>
          <w:rFonts w:hint="default" w:ascii="Times New Roman" w:hAnsi="Times New Roman" w:cs="Times New Roman"/>
          <w:color w:val="000000" w:themeColor="text1"/>
          <w:lang w:val="en-US" w:eastAsia="zh-CN"/>
          <w14:textFill>
            <w14:solidFill>
              <w14:schemeClr w14:val="tx1"/>
            </w14:solidFill>
          </w14:textFill>
        </w:rPr>
        <w:t>自治区级</w:t>
      </w:r>
      <w:r>
        <w:rPr>
          <w:rFonts w:hint="default" w:ascii="Times New Roman" w:hAnsi="Times New Roman" w:eastAsia="宋体" w:cs="Times New Roman"/>
          <w:color w:val="000000" w:themeColor="text1"/>
          <w:lang w:val="en-US" w:eastAsia="zh-CN"/>
          <w14:textFill>
            <w14:solidFill>
              <w14:schemeClr w14:val="tx1"/>
            </w14:solidFill>
          </w14:textFill>
        </w:rPr>
        <w:t>自然保护区</w:t>
      </w:r>
      <w:r>
        <w:rPr>
          <w:rFonts w:hint="default" w:ascii="Times New Roman" w:hAnsi="Times New Roman" w:cs="Times New Roman"/>
          <w:color w:val="000000" w:themeColor="text1"/>
          <w:lang w:val="en-US" w:eastAsia="zh-CN"/>
          <w14:textFill>
            <w14:solidFill>
              <w14:schemeClr w14:val="tx1"/>
            </w14:solidFill>
          </w14:textFill>
        </w:rPr>
        <w:t>，距保护区最近距离</w:t>
      </w:r>
      <w:r>
        <w:rPr>
          <w:rFonts w:hint="eastAsia" w:cs="Times New Roman"/>
          <w:color w:val="000000" w:themeColor="text1"/>
          <w:lang w:val="en-US" w:eastAsia="zh-CN"/>
          <w14:textFill>
            <w14:solidFill>
              <w14:schemeClr w14:val="tx1"/>
            </w14:solidFill>
          </w14:textFill>
        </w:rPr>
        <w:t>不到1</w:t>
      </w:r>
      <w:r>
        <w:rPr>
          <w:rFonts w:hint="default" w:ascii="Times New Roman" w:hAnsi="Times New Roman" w:cs="Times New Roman"/>
          <w:color w:val="000000" w:themeColor="text1"/>
          <w:lang w:val="en-US" w:eastAsia="zh-CN"/>
          <w14:textFill>
            <w14:solidFill>
              <w14:schemeClr w14:val="tx1"/>
            </w14:solidFill>
          </w14:textFill>
        </w:rPr>
        <w:t>m</w:t>
      </w:r>
      <w:r>
        <w:rPr>
          <w:rFonts w:hint="default" w:ascii="Times New Roman" w:hAnsi="Times New Roman" w:eastAsia="宋体" w:cs="Times New Roman"/>
          <w:color w:val="000000" w:themeColor="text1"/>
          <w:lang w:val="en-US" w:eastAsia="zh-CN"/>
          <w14:textFill>
            <w14:solidFill>
              <w14:schemeClr w14:val="tx1"/>
            </w14:solidFill>
          </w14:textFill>
        </w:rPr>
        <w:t>。项目总用地面积为</w:t>
      </w:r>
      <w:r>
        <w:rPr>
          <w:rFonts w:hint="eastAsia" w:cs="Times New Roman"/>
          <w:color w:val="000000" w:themeColor="text1"/>
          <w:highlight w:val="none"/>
          <w:lang w:val="en-US" w:eastAsia="zh-CN"/>
          <w14:textFill>
            <w14:solidFill>
              <w14:schemeClr w14:val="tx1"/>
            </w14:solidFill>
          </w14:textFill>
        </w:rPr>
        <w:t>148111</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建设内容包括</w:t>
      </w:r>
      <w:r>
        <w:rPr>
          <w:rFonts w:hint="default" w:ascii="Times New Roman" w:hAnsi="Times New Roman" w:cs="Times New Roman"/>
          <w:color w:val="000000" w:themeColor="text1"/>
          <w:kern w:val="0"/>
          <w:lang w:val="en-US" w:eastAsia="zh-CN"/>
          <w14:textFill>
            <w14:solidFill>
              <w14:schemeClr w14:val="tx1"/>
            </w14:solidFill>
          </w14:textFill>
        </w:rPr>
        <w:t>道路提升、农村垃圾、农文旅配套、农业面源污染、山洪及地质灾害、清洁取暖改造、城乡供水一体化及水土保持、人居环境、</w:t>
      </w:r>
      <w:r>
        <w:rPr>
          <w:rFonts w:hint="eastAsia" w:cs="Times New Roman"/>
          <w:color w:val="000000" w:themeColor="text1"/>
          <w:kern w:val="0"/>
          <w:lang w:val="en-US" w:eastAsia="zh-CN"/>
          <w14:textFill>
            <w14:solidFill>
              <w14:schemeClr w14:val="tx1"/>
            </w14:solidFill>
          </w14:textFill>
        </w:rPr>
        <w:t>“</w:t>
      </w:r>
      <w:r>
        <w:rPr>
          <w:rFonts w:hint="default" w:ascii="Times New Roman" w:hAnsi="Times New Roman" w:cs="Times New Roman"/>
          <w:color w:val="000000" w:themeColor="text1"/>
          <w:kern w:val="0"/>
          <w:lang w:val="en-US" w:eastAsia="zh-CN"/>
          <w14:textFill>
            <w14:solidFill>
              <w14:schemeClr w14:val="tx1"/>
            </w14:solidFill>
          </w14:textFill>
        </w:rPr>
        <w:t>一老一少</w:t>
      </w:r>
      <w:r>
        <w:rPr>
          <w:rFonts w:hint="eastAsia" w:cs="Times New Roman"/>
          <w:color w:val="000000" w:themeColor="text1"/>
          <w:kern w:val="0"/>
          <w:lang w:val="en-US" w:eastAsia="zh-CN"/>
          <w14:textFill>
            <w14:solidFill>
              <w14:schemeClr w14:val="tx1"/>
            </w14:solidFill>
          </w14:textFill>
        </w:rPr>
        <w:t>”</w:t>
      </w:r>
      <w:r>
        <w:rPr>
          <w:rFonts w:hint="default" w:ascii="Times New Roman" w:hAnsi="Times New Roman" w:cs="Times New Roman"/>
          <w:color w:val="000000" w:themeColor="text1"/>
          <w:kern w:val="0"/>
          <w:lang w:val="en-US" w:eastAsia="zh-CN"/>
          <w14:textFill>
            <w14:solidFill>
              <w14:schemeClr w14:val="tx1"/>
            </w14:solidFill>
          </w14:textFill>
        </w:rPr>
        <w:t>服务、农村生活污水；农产品交易、林下经济、文化展示、森林旅游、温泉康养。本次仅评价农产品交易、林下经济、文化展示、森林旅游、温泉康养部分。</w:t>
      </w:r>
    </w:p>
    <w:p w14:paraId="1614127C">
      <w:pPr>
        <w:pStyle w:val="15"/>
        <w:numPr>
          <w:ilvl w:val="0"/>
          <w:numId w:val="0"/>
        </w:numPr>
        <w:spacing w:line="360" w:lineRule="auto"/>
        <w:ind w:firstLine="482" w:firstLineChars="200"/>
        <w:rPr>
          <w:rFonts w:hint="default" w:ascii="Times New Roman" w:hAnsi="Times New Roman" w:cs="Times New Roman"/>
          <w:b/>
          <w:bCs/>
          <w:color w:val="000000" w:themeColor="text1"/>
          <w:sz w:val="24"/>
          <w:lang w:val="en-US" w:eastAsia="zh-CN"/>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2 评价依据</w:t>
      </w:r>
    </w:p>
    <w:p w14:paraId="79422834">
      <w:pPr>
        <w:pStyle w:val="66"/>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《中华人民共和国环境保护法》</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（中华人民共和国主席令第九号）</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p>
    <w:p w14:paraId="6C44B25D">
      <w:pPr>
        <w:pStyle w:val="66"/>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《中华人民共和国环境影响评价法</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2018年</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修订</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p>
    <w:p w14:paraId="0942ABA8">
      <w:pPr>
        <w:pStyle w:val="66"/>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《中华人民共和国野生动物保护法》</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2022年</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修订</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p>
    <w:p w14:paraId="313A7C5F">
      <w:pPr>
        <w:pStyle w:val="66"/>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（4）</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《建设项目环境保护管理条例》</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（2017年修订）</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p>
    <w:p w14:paraId="2A2A6EE4">
      <w:pPr>
        <w:pStyle w:val="66"/>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（5）</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《全国生态环境保护纲要》</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（国发〔2000〕38号）</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p>
    <w:p w14:paraId="021D9D68">
      <w:pPr>
        <w:pStyle w:val="66"/>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（6）</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《建设项目环境影响评价技术导则</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 xml:space="preserve"> </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总纲》</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HJ2.1-2016</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p>
    <w:p w14:paraId="26912743">
      <w:pPr>
        <w:pStyle w:val="66"/>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（7）</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《环境影响评价技术导则</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 xml:space="preserve"> </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生态影响》</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HJ19-2011</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p>
    <w:p w14:paraId="648E89A2">
      <w:pPr>
        <w:pStyle w:val="66"/>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（8）</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建设单位提供的其他有关资料。</w:t>
      </w:r>
    </w:p>
    <w:p w14:paraId="3FDBECE5">
      <w:pPr>
        <w:pStyle w:val="15"/>
        <w:numPr>
          <w:ilvl w:val="0"/>
          <w:numId w:val="0"/>
        </w:numPr>
        <w:spacing w:line="360" w:lineRule="auto"/>
        <w:ind w:firstLine="482" w:firstLineChars="200"/>
        <w:rPr>
          <w:rFonts w:hint="default" w:ascii="Times New Roman" w:hAnsi="Times New Roman" w:cs="Times New Roman"/>
          <w:b/>
          <w:bCs/>
          <w:color w:val="000000" w:themeColor="text1"/>
          <w:sz w:val="24"/>
          <w:lang w:val="en-US" w:eastAsia="zh-CN"/>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3 生态环境评价工作等级及范围</w:t>
      </w:r>
    </w:p>
    <w:p w14:paraId="2C97349F">
      <w:pPr>
        <w:pStyle w:val="15"/>
        <w:numPr>
          <w:ilvl w:val="0"/>
          <w:numId w:val="0"/>
        </w:numPr>
        <w:spacing w:line="360" w:lineRule="auto"/>
        <w:ind w:firstLine="482" w:firstLineChars="200"/>
        <w:rPr>
          <w:rFonts w:hint="default" w:ascii="Times New Roman" w:hAnsi="Times New Roman" w:cs="Times New Roman"/>
          <w:b/>
          <w:bCs/>
          <w:color w:val="000000" w:themeColor="text1"/>
          <w:sz w:val="24"/>
          <w:lang w:val="en-US" w:eastAsia="zh-CN"/>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3.1 评价等级</w:t>
      </w:r>
    </w:p>
    <w:p w14:paraId="3F405BED">
      <w:pPr>
        <w:ind w:firstLine="48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根据《环境影响评价技术导则 生态影响》（HJ19-20</w:t>
      </w:r>
      <w:r>
        <w:rPr>
          <w:rFonts w:hint="default" w:ascii="Times New Roman" w:hAnsi="Times New Roman" w:cs="Times New Roman"/>
          <w:color w:val="000000" w:themeColor="text1"/>
          <w:lang w:val="en-US" w:eastAsia="zh-CN"/>
          <w14:textFill>
            <w14:solidFill>
              <w14:schemeClr w14:val="tx1"/>
            </w14:solidFill>
          </w14:textFill>
        </w:rPr>
        <w:t>22</w:t>
      </w:r>
      <w:r>
        <w:rPr>
          <w:rFonts w:hint="default" w:ascii="Times New Roman" w:hAnsi="Times New Roman" w:eastAsia="宋体" w:cs="Times New Roman"/>
          <w:color w:val="000000" w:themeColor="text1"/>
          <w:lang w:val="en-US" w:eastAsia="zh-CN"/>
          <w14:textFill>
            <w14:solidFill>
              <w14:schemeClr w14:val="tx1"/>
            </w14:solidFill>
          </w14:textFill>
        </w:rPr>
        <w:t>）规定：</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依据</w:t>
      </w:r>
      <w:r>
        <w:rPr>
          <w:rFonts w:hint="default" w:ascii="Times New Roman" w:hAnsi="Times New Roman" w:cs="Times New Roman"/>
          <w:color w:val="000000" w:themeColor="text1"/>
          <w:lang w:val="en-US" w:eastAsia="zh-CN"/>
          <w14:textFill>
            <w14:solidFill>
              <w14:schemeClr w14:val="tx1"/>
            </w14:solidFill>
          </w14:textFill>
        </w:rPr>
        <w:t>建设项目影响区域的生态敏感性和影响程度，评价等级划分为</w:t>
      </w:r>
      <w:r>
        <w:rPr>
          <w:rFonts w:hint="default" w:ascii="Times New Roman" w:hAnsi="Times New Roman" w:eastAsia="宋体" w:cs="Times New Roman"/>
          <w:color w:val="000000" w:themeColor="text1"/>
          <w:lang w:val="en-US" w:eastAsia="zh-CN"/>
          <w14:textFill>
            <w14:solidFill>
              <w14:schemeClr w14:val="tx1"/>
            </w14:solidFill>
          </w14:textFill>
        </w:rPr>
        <w:t>一级、二级和三级</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按照</w:t>
      </w:r>
      <w:r>
        <w:rPr>
          <w:rFonts w:hint="default" w:ascii="Times New Roman" w:hAnsi="Times New Roman" w:eastAsia="宋体" w:cs="Times New Roman"/>
          <w:color w:val="000000" w:themeColor="text1"/>
          <w:lang w:val="en-US" w:eastAsia="zh-CN"/>
          <w14:textFill>
            <w14:solidFill>
              <w14:schemeClr w14:val="tx1"/>
            </w14:solidFill>
          </w14:textFill>
        </w:rPr>
        <w:t>《环境影响评价技术导则 生态影响》（HJ19-20</w:t>
      </w:r>
      <w:r>
        <w:rPr>
          <w:rFonts w:hint="default" w:ascii="Times New Roman" w:hAnsi="Times New Roman" w:cs="Times New Roman"/>
          <w:color w:val="000000" w:themeColor="text1"/>
          <w:lang w:val="en-US" w:eastAsia="zh-CN"/>
          <w14:textFill>
            <w14:solidFill>
              <w14:schemeClr w14:val="tx1"/>
            </w14:solidFill>
          </w14:textFill>
        </w:rPr>
        <w:t>22</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评价等级判定原则，本项目生态影响评价判定过程见表</w:t>
      </w:r>
      <w:r>
        <w:rPr>
          <w:rFonts w:hint="eastAsia"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w:t>
      </w:r>
    </w:p>
    <w:p w14:paraId="19C73A96">
      <w:pPr>
        <w:adjustRightInd w:val="0"/>
        <w:snapToGrid w:val="0"/>
        <w:spacing w:line="240" w:lineRule="auto"/>
        <w:jc w:val="center"/>
        <w:rPr>
          <w:rFonts w:hint="default" w:ascii="Times New Roman" w:hAnsi="Times New Roman" w:eastAsia="宋体" w:cs="Times New Roman"/>
          <w:b/>
          <w:bCs/>
          <w:color w:val="000000" w:themeColor="text1"/>
          <w:sz w:val="24"/>
          <w:szCs w:val="24"/>
          <w:highlight w:val="none"/>
          <w:lang w:val="en-US" w:eastAsia="zh-CN" w:bidi="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bidi="zh-CN"/>
          <w14:textFill>
            <w14:solidFill>
              <w14:schemeClr w14:val="tx1"/>
            </w14:solidFill>
          </w14:textFill>
        </w:rPr>
        <w:t>表1  生态影响评价工作等级确定</w:t>
      </w:r>
    </w:p>
    <w:tbl>
      <w:tblPr>
        <w:tblStyle w:val="2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3577"/>
        <w:gridCol w:w="4193"/>
      </w:tblGrid>
      <w:tr w14:paraId="5B84FE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98" w:type="dxa"/>
            <w:tcBorders>
              <w:tl2br w:val="nil"/>
              <w:tr2bl w:val="nil"/>
            </w:tcBorders>
            <w:vAlign w:val="center"/>
          </w:tcPr>
          <w:p w14:paraId="16D23E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序号</w:t>
            </w:r>
          </w:p>
        </w:tc>
        <w:tc>
          <w:tcPr>
            <w:tcW w:w="3577" w:type="dxa"/>
            <w:tcBorders>
              <w:tl2br w:val="nil"/>
              <w:tr2bl w:val="nil"/>
            </w:tcBorders>
            <w:vAlign w:val="center"/>
          </w:tcPr>
          <w:p w14:paraId="47D209E7">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center"/>
              <w:textAlignment w:val="auto"/>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评价原则</w:t>
            </w:r>
          </w:p>
        </w:tc>
        <w:tc>
          <w:tcPr>
            <w:tcW w:w="4193" w:type="dxa"/>
            <w:tcBorders>
              <w:tl2br w:val="nil"/>
              <w:tr2bl w:val="nil"/>
            </w:tcBorders>
            <w:vAlign w:val="center"/>
          </w:tcPr>
          <w:p w14:paraId="075DF5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1"/>
                <w:szCs w:val="21"/>
                <w:highlight w:val="none"/>
                <w:vertAlign w:val="baseline"/>
                <w:lang w:val="en-US" w:eastAsia="zh-CN"/>
                <w14:textFill>
                  <w14:solidFill>
                    <w14:schemeClr w14:val="tx1"/>
                  </w14:solidFill>
                </w14:textFill>
              </w:rPr>
              <w:t>陆生生态</w:t>
            </w:r>
          </w:p>
        </w:tc>
      </w:tr>
      <w:tr w14:paraId="523449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8" w:type="dxa"/>
            <w:tcBorders>
              <w:tl2br w:val="nil"/>
              <w:tr2bl w:val="nil"/>
            </w:tcBorders>
            <w:vAlign w:val="center"/>
          </w:tcPr>
          <w:p w14:paraId="6F2AD674">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a</w:t>
            </w:r>
          </w:p>
        </w:tc>
        <w:tc>
          <w:tcPr>
            <w:tcW w:w="3577" w:type="dxa"/>
            <w:tcBorders>
              <w:tl2br w:val="nil"/>
              <w:tr2bl w:val="nil"/>
            </w:tcBorders>
            <w:vAlign w:val="center"/>
          </w:tcPr>
          <w:p w14:paraId="66802BA8">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涉及国家公园、自然保护区、世界自然遗产、重要生境生境时，评价等级为一级。</w:t>
            </w:r>
          </w:p>
        </w:tc>
        <w:tc>
          <w:tcPr>
            <w:tcW w:w="4193" w:type="dxa"/>
            <w:tcBorders>
              <w:tl2br w:val="nil"/>
              <w:tr2bl w:val="nil"/>
            </w:tcBorders>
            <w:vAlign w:val="center"/>
          </w:tcPr>
          <w:p w14:paraId="41C41891">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w:t>
            </w:r>
            <w:r>
              <w:rPr>
                <w:rFonts w:hint="default" w:ascii="Times New Roman" w:hAnsi="Times New Roman" w:cs="Times New Roman"/>
                <w:color w:val="000000" w:themeColor="text1"/>
                <w:sz w:val="21"/>
                <w:szCs w:val="21"/>
                <w:lang w:val="en-US" w:eastAsia="zh-CN"/>
                <w14:textFill>
                  <w14:solidFill>
                    <w14:schemeClr w14:val="tx1"/>
                  </w14:solidFill>
                </w14:textFill>
              </w:rPr>
              <w:t>建设地点</w:t>
            </w:r>
            <w:r>
              <w:rPr>
                <w:rFonts w:hint="eastAsia" w:cs="Times New Roman"/>
                <w:color w:val="000000" w:themeColor="text1"/>
                <w:sz w:val="21"/>
                <w:szCs w:val="21"/>
                <w:lang w:val="en-US" w:eastAsia="zh-CN"/>
                <w14:textFill>
                  <w14:solidFill>
                    <w14:schemeClr w14:val="tx1"/>
                  </w14:solidFill>
                </w14:textFill>
              </w:rPr>
              <w:t>紧邻</w:t>
            </w:r>
            <w:r>
              <w:rPr>
                <w:rFonts w:hint="default" w:ascii="Times New Roman" w:hAnsi="Times New Roman" w:cs="Times New Roman"/>
                <w:color w:val="000000" w:themeColor="text1"/>
                <w:sz w:val="21"/>
                <w:szCs w:val="21"/>
                <w:lang w:val="en-US" w:eastAsia="zh-CN"/>
                <w14:textFill>
                  <w14:solidFill>
                    <w14:schemeClr w14:val="tx1"/>
                  </w14:solidFill>
                </w14:textFill>
              </w:rPr>
              <w:t>六盘山自治区级自然保护区，距保护区最近距离</w:t>
            </w:r>
            <w:r>
              <w:rPr>
                <w:rFonts w:hint="eastAsia" w:cs="Times New Roman"/>
                <w:color w:val="000000" w:themeColor="text1"/>
                <w:sz w:val="21"/>
                <w:szCs w:val="21"/>
                <w:lang w:val="en-US" w:eastAsia="zh-CN"/>
                <w14:textFill>
                  <w14:solidFill>
                    <w14:schemeClr w14:val="tx1"/>
                  </w14:solidFill>
                </w14:textFill>
              </w:rPr>
              <w:t>不到1</w:t>
            </w:r>
            <w:r>
              <w:rPr>
                <w:rFonts w:hint="default" w:ascii="Times New Roman" w:hAnsi="Times New Roman" w:cs="Times New Roman"/>
                <w:color w:val="000000" w:themeColor="text1"/>
                <w:sz w:val="21"/>
                <w:szCs w:val="21"/>
                <w:lang w:val="en-US" w:eastAsia="zh-CN"/>
                <w14:textFill>
                  <w14:solidFill>
                    <w14:schemeClr w14:val="tx1"/>
                  </w14:solidFill>
                </w14:textFill>
              </w:rPr>
              <w:t>m，不在自然保护区内，故不符合本条判定</w:t>
            </w:r>
          </w:p>
        </w:tc>
      </w:tr>
      <w:tr w14:paraId="1C18A6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698" w:type="dxa"/>
            <w:tcBorders>
              <w:tl2br w:val="nil"/>
              <w:tr2bl w:val="nil"/>
            </w:tcBorders>
            <w:vAlign w:val="center"/>
          </w:tcPr>
          <w:p w14:paraId="379BAF29">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b</w:t>
            </w:r>
          </w:p>
        </w:tc>
        <w:tc>
          <w:tcPr>
            <w:tcW w:w="3577" w:type="dxa"/>
            <w:tcBorders>
              <w:tl2br w:val="nil"/>
              <w:tr2bl w:val="nil"/>
            </w:tcBorders>
            <w:vAlign w:val="center"/>
          </w:tcPr>
          <w:p w14:paraId="7CE151A6">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涉及自然公园时，评价等级为二级；</w:t>
            </w:r>
          </w:p>
        </w:tc>
        <w:tc>
          <w:tcPr>
            <w:tcW w:w="4193" w:type="dxa"/>
            <w:tcBorders>
              <w:tl2br w:val="nil"/>
              <w:tr2bl w:val="nil"/>
            </w:tcBorders>
            <w:vAlign w:val="center"/>
          </w:tcPr>
          <w:p w14:paraId="74777A30">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不涉及</w:t>
            </w:r>
          </w:p>
        </w:tc>
      </w:tr>
      <w:tr w14:paraId="23F3F3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4" w:hRule="atLeast"/>
          <w:jc w:val="center"/>
        </w:trPr>
        <w:tc>
          <w:tcPr>
            <w:tcW w:w="698" w:type="dxa"/>
            <w:tcBorders>
              <w:tl2br w:val="nil"/>
              <w:tr2bl w:val="nil"/>
            </w:tcBorders>
            <w:vAlign w:val="center"/>
          </w:tcPr>
          <w:p w14:paraId="73E42F50">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c</w:t>
            </w:r>
          </w:p>
        </w:tc>
        <w:tc>
          <w:tcPr>
            <w:tcW w:w="3577" w:type="dxa"/>
            <w:tcBorders>
              <w:tl2br w:val="nil"/>
              <w:tr2bl w:val="nil"/>
            </w:tcBorders>
            <w:vAlign w:val="center"/>
          </w:tcPr>
          <w:p w14:paraId="42CF8DA3">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涉及生态保护红线时，评价等级不低于二级；</w:t>
            </w:r>
          </w:p>
        </w:tc>
        <w:tc>
          <w:tcPr>
            <w:tcW w:w="4193" w:type="dxa"/>
            <w:tcBorders>
              <w:tl2br w:val="nil"/>
              <w:tr2bl w:val="nil"/>
            </w:tcBorders>
            <w:vAlign w:val="center"/>
          </w:tcPr>
          <w:p w14:paraId="36ABA174">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不涉及</w:t>
            </w:r>
          </w:p>
        </w:tc>
      </w:tr>
      <w:tr w14:paraId="618EB1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8" w:type="dxa"/>
            <w:tcBorders>
              <w:tl2br w:val="nil"/>
              <w:tr2bl w:val="nil"/>
            </w:tcBorders>
            <w:vAlign w:val="center"/>
          </w:tcPr>
          <w:p w14:paraId="7C6205D4">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d</w:t>
            </w:r>
          </w:p>
        </w:tc>
        <w:tc>
          <w:tcPr>
            <w:tcW w:w="3577" w:type="dxa"/>
            <w:tcBorders>
              <w:tl2br w:val="nil"/>
              <w:tr2bl w:val="nil"/>
            </w:tcBorders>
            <w:vAlign w:val="center"/>
          </w:tcPr>
          <w:p w14:paraId="58C4196C">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根据HJ2.3判断属于水文要素影响型且地表水评价等级不低于二级的建设项目，生态影响评价等级不低于二级；</w:t>
            </w:r>
          </w:p>
        </w:tc>
        <w:tc>
          <w:tcPr>
            <w:tcW w:w="4193" w:type="dxa"/>
            <w:tcBorders>
              <w:tl2br w:val="nil"/>
              <w:tr2bl w:val="nil"/>
            </w:tcBorders>
            <w:vAlign w:val="center"/>
          </w:tcPr>
          <w:p w14:paraId="5501E1A8">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不涉及</w:t>
            </w:r>
          </w:p>
        </w:tc>
      </w:tr>
      <w:tr w14:paraId="63F5A3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8" w:type="dxa"/>
            <w:tcBorders>
              <w:tl2br w:val="nil"/>
              <w:tr2bl w:val="nil"/>
            </w:tcBorders>
            <w:vAlign w:val="center"/>
          </w:tcPr>
          <w:p w14:paraId="1264BBAB">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e</w:t>
            </w:r>
          </w:p>
        </w:tc>
        <w:tc>
          <w:tcPr>
            <w:tcW w:w="3577" w:type="dxa"/>
            <w:tcBorders>
              <w:tl2br w:val="nil"/>
              <w:tr2bl w:val="nil"/>
            </w:tcBorders>
            <w:vAlign w:val="center"/>
          </w:tcPr>
          <w:p w14:paraId="3B50BB9C">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根据HJ610、HJ964判断地下水水位或土壤影响范围内分布有天然林、公益林、湿地等生态保护目标的建设项目，生态影响评价等级不低于二级；</w:t>
            </w:r>
          </w:p>
        </w:tc>
        <w:tc>
          <w:tcPr>
            <w:tcW w:w="4193" w:type="dxa"/>
            <w:tcBorders>
              <w:tl2br w:val="nil"/>
              <w:tr2bl w:val="nil"/>
            </w:tcBorders>
            <w:vAlign w:val="center"/>
          </w:tcPr>
          <w:p w14:paraId="023507EF">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不涉及</w:t>
            </w:r>
          </w:p>
        </w:tc>
      </w:tr>
      <w:tr w14:paraId="3340E4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8" w:type="dxa"/>
            <w:tcBorders>
              <w:tl2br w:val="nil"/>
              <w:tr2bl w:val="nil"/>
            </w:tcBorders>
            <w:vAlign w:val="center"/>
          </w:tcPr>
          <w:p w14:paraId="671ED615">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f</w:t>
            </w:r>
          </w:p>
        </w:tc>
        <w:tc>
          <w:tcPr>
            <w:tcW w:w="3577" w:type="dxa"/>
            <w:tcBorders>
              <w:tl2br w:val="nil"/>
              <w:tr2bl w:val="nil"/>
            </w:tcBorders>
            <w:vAlign w:val="center"/>
          </w:tcPr>
          <w:p w14:paraId="37CA6446">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当工程占地规模大于20km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时（包括永久和临时占用陆域和水域），评价等级不低于二级；改扩建项目的占地范围以新增占地（包括陆域和水域）确定；</w:t>
            </w:r>
          </w:p>
        </w:tc>
        <w:tc>
          <w:tcPr>
            <w:tcW w:w="4193" w:type="dxa"/>
            <w:tcBorders>
              <w:tl2br w:val="nil"/>
              <w:tr2bl w:val="nil"/>
            </w:tcBorders>
            <w:vAlign w:val="center"/>
          </w:tcPr>
          <w:p w14:paraId="22BFB52F">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本工程总占地面积为</w:t>
            </w:r>
            <w:r>
              <w:rPr>
                <w:rFonts w:hint="default" w:ascii="Times New Roman" w:hAnsi="Times New Roman" w:cs="Times New Roman"/>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143894</w:t>
            </w:r>
            <w:r>
              <w:rPr>
                <w:rFonts w:hint="default" w:ascii="Times New Roman" w:hAnsi="Times New Roman" w:cs="Times New Roman"/>
                <w:color w:val="000000" w:themeColor="text1"/>
                <w:sz w:val="21"/>
                <w:szCs w:val="21"/>
                <w:lang w:val="en-US" w:eastAsia="zh-CN"/>
                <w14:textFill>
                  <w14:solidFill>
                    <w14:schemeClr w14:val="tx1"/>
                  </w14:solidFill>
                </w14:textFill>
              </w:rPr>
              <w:t>k</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占地规模小于20k</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，故不符合本条判定原则</w:t>
            </w:r>
          </w:p>
        </w:tc>
      </w:tr>
      <w:tr w14:paraId="556101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8" w:type="dxa"/>
            <w:tcBorders>
              <w:tl2br w:val="nil"/>
              <w:tr2bl w:val="nil"/>
            </w:tcBorders>
            <w:vAlign w:val="center"/>
          </w:tcPr>
          <w:p w14:paraId="34A16B41">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g</w:t>
            </w:r>
          </w:p>
        </w:tc>
        <w:tc>
          <w:tcPr>
            <w:tcW w:w="3577" w:type="dxa"/>
            <w:tcBorders>
              <w:tl2br w:val="nil"/>
              <w:tr2bl w:val="nil"/>
            </w:tcBorders>
            <w:vAlign w:val="center"/>
          </w:tcPr>
          <w:p w14:paraId="4E1B3286">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除本条a）、b）、c）、d）、e）、f）以外的情况，评价等级为三级；</w:t>
            </w:r>
          </w:p>
        </w:tc>
        <w:tc>
          <w:tcPr>
            <w:tcW w:w="4193" w:type="dxa"/>
            <w:tcBorders>
              <w:tl2br w:val="nil"/>
              <w:tr2bl w:val="nil"/>
            </w:tcBorders>
            <w:vAlign w:val="center"/>
          </w:tcPr>
          <w:p w14:paraId="3BC6C6F8">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本项目占地规模为0.143894km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，故评价等级为三级</w:t>
            </w:r>
          </w:p>
        </w:tc>
      </w:tr>
      <w:tr w14:paraId="272F6E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8" w:type="dxa"/>
            <w:tcBorders>
              <w:tl2br w:val="nil"/>
              <w:tr2bl w:val="nil"/>
            </w:tcBorders>
            <w:vAlign w:val="center"/>
          </w:tcPr>
          <w:p w14:paraId="1F9743A6">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h</w:t>
            </w:r>
          </w:p>
        </w:tc>
        <w:tc>
          <w:tcPr>
            <w:tcW w:w="3577" w:type="dxa"/>
            <w:tcBorders>
              <w:tl2br w:val="nil"/>
              <w:tr2bl w:val="nil"/>
            </w:tcBorders>
            <w:vAlign w:val="center"/>
          </w:tcPr>
          <w:p w14:paraId="70190813">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当评价等级判定同时符合上述多种情况时，应采用其中最高的评价的等级。</w:t>
            </w:r>
          </w:p>
        </w:tc>
        <w:tc>
          <w:tcPr>
            <w:tcW w:w="4193" w:type="dxa"/>
            <w:tcBorders>
              <w:tl2br w:val="nil"/>
              <w:tr2bl w:val="nil"/>
            </w:tcBorders>
            <w:vAlign w:val="center"/>
          </w:tcPr>
          <w:p w14:paraId="4A02F997">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本工程同时符合a、f、g判定原则</w:t>
            </w:r>
          </w:p>
        </w:tc>
      </w:tr>
    </w:tbl>
    <w:p w14:paraId="31DC8ED2">
      <w:pPr>
        <w:ind w:firstLine="480"/>
        <w:jc w:val="left"/>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由上表可知，本次评价判定本项目生态影响评价等级为三级。</w:t>
      </w:r>
    </w:p>
    <w:p w14:paraId="0D9755A7">
      <w:pPr>
        <w:pStyle w:val="15"/>
        <w:numPr>
          <w:ilvl w:val="0"/>
          <w:numId w:val="0"/>
        </w:numPr>
        <w:spacing w:line="360" w:lineRule="auto"/>
        <w:ind w:firstLine="482" w:firstLineChars="200"/>
        <w:rPr>
          <w:rFonts w:hint="default" w:ascii="Times New Roman" w:hAnsi="Times New Roman" w:cs="Times New Roman"/>
          <w:b/>
          <w:bCs/>
          <w:color w:val="000000" w:themeColor="text1"/>
          <w:sz w:val="24"/>
          <w:lang w:val="en-US" w:eastAsia="zh-CN"/>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3.2 评价范围</w:t>
      </w:r>
    </w:p>
    <w:p w14:paraId="17B6FB7D">
      <w:pPr>
        <w:ind w:firstLine="48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根据《环境影响评价技术导则 生态影响》（HJ19-2022）评价范围的确定原则：生态影响评价应能充分体现生态完整性和生物多样性保护要求，涵盖评价项目全部活动的直接影响区域和间接影响区域。</w:t>
      </w:r>
    </w:p>
    <w:p w14:paraId="106C5948">
      <w:pPr>
        <w:ind w:firstLine="480"/>
        <w:jc w:val="left"/>
        <w:rPr>
          <w:rFonts w:hint="default" w:ascii="Times New Roman" w:hAnsi="Times New Roman" w:cs="Times New Roman"/>
          <w:color w:val="000000" w:themeColor="text1"/>
          <w:highlight w:val="yellow"/>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本项目建设地点</w:t>
      </w:r>
      <w:r>
        <w:rPr>
          <w:rFonts w:hint="eastAsia" w:cs="Times New Roman"/>
          <w:color w:val="000000" w:themeColor="text1"/>
          <w:highlight w:val="none"/>
          <w:lang w:val="en-US" w:eastAsia="zh-CN"/>
          <w14:textFill>
            <w14:solidFill>
              <w14:schemeClr w14:val="tx1"/>
            </w14:solidFill>
          </w14:textFill>
        </w:rPr>
        <w:t>紧邻</w:t>
      </w:r>
      <w:r>
        <w:rPr>
          <w:rFonts w:hint="default" w:ascii="Times New Roman" w:hAnsi="Times New Roman" w:cs="Times New Roman"/>
          <w:color w:val="000000" w:themeColor="text1"/>
          <w:highlight w:val="none"/>
          <w:lang w:val="en-US" w:eastAsia="zh-CN"/>
          <w14:textFill>
            <w14:solidFill>
              <w14:schemeClr w14:val="tx1"/>
            </w14:solidFill>
          </w14:textFill>
        </w:rPr>
        <w:t>六盘山自治区级自然保护区，距保护区最近距离</w:t>
      </w:r>
      <w:r>
        <w:rPr>
          <w:rFonts w:hint="eastAsia" w:cs="Times New Roman"/>
          <w:color w:val="000000" w:themeColor="text1"/>
          <w:highlight w:val="none"/>
          <w:lang w:val="en-US" w:eastAsia="zh-CN"/>
          <w14:textFill>
            <w14:solidFill>
              <w14:schemeClr w14:val="tx1"/>
            </w14:solidFill>
          </w14:textFill>
        </w:rPr>
        <w:t>不到1</w:t>
      </w:r>
      <w:r>
        <w:rPr>
          <w:rFonts w:hint="default" w:ascii="Times New Roman" w:hAnsi="Times New Roman" w:cs="Times New Roman"/>
          <w:color w:val="000000" w:themeColor="text1"/>
          <w:highlight w:val="none"/>
          <w:lang w:val="en-US" w:eastAsia="zh-CN"/>
          <w14:textFill>
            <w14:solidFill>
              <w14:schemeClr w14:val="tx1"/>
            </w14:solidFill>
          </w14:textFill>
        </w:rPr>
        <w:t>m，结合本项目特点，确定本次生态影响评价范围为项目区边界外500m。</w:t>
      </w:r>
    </w:p>
    <w:p w14:paraId="22E393D0">
      <w:pPr>
        <w:pStyle w:val="15"/>
        <w:numPr>
          <w:ilvl w:val="0"/>
          <w:numId w:val="0"/>
        </w:numPr>
        <w:spacing w:line="360" w:lineRule="auto"/>
        <w:ind w:firstLine="482" w:firstLineChars="200"/>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3.3 生态环境保护目标</w:t>
      </w:r>
    </w:p>
    <w:p w14:paraId="79D94F0F">
      <w:pPr>
        <w:pStyle w:val="15"/>
        <w:numPr>
          <w:ilvl w:val="0"/>
          <w:numId w:val="0"/>
        </w:numPr>
        <w:spacing w:line="360" w:lineRule="auto"/>
        <w:ind w:firstLine="480" w:firstLineChars="20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本工程</w:t>
      </w:r>
      <w:r>
        <w:rPr>
          <w:rFonts w:hint="eastAsia" w:cs="Times New Roman"/>
          <w:color w:val="000000" w:themeColor="text1"/>
          <w:kern w:val="2"/>
          <w:sz w:val="24"/>
          <w:szCs w:val="24"/>
          <w:lang w:val="en-US" w:eastAsia="zh-CN" w:bidi="ar-SA"/>
          <w14:textFill>
            <w14:solidFill>
              <w14:schemeClr w14:val="tx1"/>
            </w14:solidFill>
          </w14:textFill>
        </w:rPr>
        <w:t>建设</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地点</w:t>
      </w:r>
      <w:r>
        <w:rPr>
          <w:rFonts w:hint="eastAsia" w:cs="Times New Roman"/>
          <w:color w:val="000000" w:themeColor="text1"/>
          <w:kern w:val="2"/>
          <w:sz w:val="24"/>
          <w:szCs w:val="24"/>
          <w:lang w:val="en-US" w:eastAsia="zh-CN" w:bidi="ar-SA"/>
          <w14:textFill>
            <w14:solidFill>
              <w14:schemeClr w14:val="tx1"/>
            </w14:solidFill>
          </w14:textFill>
        </w:rPr>
        <w:t>紧邻</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六盘山</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自治区</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级自然保护区，</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离保护区最近距离</w:t>
      </w:r>
      <w:r>
        <w:rPr>
          <w:rFonts w:hint="eastAsia" w:cs="Times New Roman"/>
          <w:color w:val="000000" w:themeColor="text1"/>
          <w:kern w:val="2"/>
          <w:sz w:val="24"/>
          <w:szCs w:val="24"/>
          <w:lang w:val="en-US" w:eastAsia="zh-CN" w:bidi="ar-SA"/>
          <w14:textFill>
            <w14:solidFill>
              <w14:schemeClr w14:val="tx1"/>
            </w14:solidFill>
          </w14:textFill>
        </w:rPr>
        <w:t>不到1</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m，项目区边界500m范围内</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生态</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环境</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保护目标主要为六盘山</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自治区</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级自然保护区。</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生态环境</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保护目标见表2</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p>
    <w:p w14:paraId="1F93B661">
      <w:pPr>
        <w:adjustRightInd w:val="0"/>
        <w:snapToGrid w:val="0"/>
        <w:spacing w:line="240" w:lineRule="auto"/>
        <w:jc w:val="center"/>
        <w:rPr>
          <w:rFonts w:hint="default" w:ascii="Times New Roman" w:hAnsi="Times New Roman" w:eastAsia="宋体" w:cs="Times New Roman"/>
          <w:b/>
          <w:bCs/>
          <w:color w:val="000000" w:themeColor="text1"/>
          <w:sz w:val="24"/>
          <w:szCs w:val="24"/>
          <w:highlight w:val="none"/>
          <w:lang w:val="en-US" w:eastAsia="zh-CN" w:bidi="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bidi="zh-CN"/>
          <w14:textFill>
            <w14:solidFill>
              <w14:schemeClr w14:val="tx1"/>
            </w14:solidFill>
          </w14:textFill>
        </w:rPr>
        <w:t>表2  生态环境保护目标一览表</w:t>
      </w:r>
    </w:p>
    <w:tbl>
      <w:tblPr>
        <w:tblStyle w:val="27"/>
        <w:tblW w:w="8436"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054"/>
        <w:gridCol w:w="1664"/>
        <w:gridCol w:w="2454"/>
        <w:gridCol w:w="3264"/>
      </w:tblGrid>
      <w:tr w14:paraId="73857E6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82" w:hRule="atLeast"/>
          <w:jc w:val="center"/>
        </w:trPr>
        <w:tc>
          <w:tcPr>
            <w:tcW w:w="1054" w:type="dxa"/>
            <w:tcBorders>
              <w:tl2br w:val="nil"/>
              <w:tr2bl w:val="nil"/>
            </w:tcBorders>
            <w:noWrap w:val="0"/>
            <w:vAlign w:val="center"/>
          </w:tcPr>
          <w:p w14:paraId="0B1009BD">
            <w:pPr>
              <w:pStyle w:val="72"/>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spacing w:val="-11"/>
                <w:sz w:val="21"/>
                <w:highlight w:val="none"/>
                <w14:textFill>
                  <w14:solidFill>
                    <w14:schemeClr w14:val="tx1"/>
                  </w14:solidFill>
                </w14:textFill>
              </w:rPr>
              <w:t>环境要素</w:t>
            </w:r>
          </w:p>
        </w:tc>
        <w:tc>
          <w:tcPr>
            <w:tcW w:w="1664" w:type="dxa"/>
            <w:tcBorders>
              <w:tl2br w:val="nil"/>
              <w:tr2bl w:val="nil"/>
            </w:tcBorders>
            <w:noWrap w:val="0"/>
            <w:vAlign w:val="center"/>
          </w:tcPr>
          <w:p w14:paraId="480D0741">
            <w:pPr>
              <w:pStyle w:val="72"/>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保护目标</w:t>
            </w:r>
          </w:p>
        </w:tc>
        <w:tc>
          <w:tcPr>
            <w:tcW w:w="2454" w:type="dxa"/>
            <w:tcBorders>
              <w:tl2br w:val="nil"/>
              <w:tr2bl w:val="nil"/>
            </w:tcBorders>
            <w:noWrap w:val="0"/>
            <w:vAlign w:val="center"/>
          </w:tcPr>
          <w:p w14:paraId="0E2ED9BF">
            <w:pPr>
              <w:pStyle w:val="72"/>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位置关系</w:t>
            </w:r>
          </w:p>
        </w:tc>
        <w:tc>
          <w:tcPr>
            <w:tcW w:w="3264" w:type="dxa"/>
            <w:tcBorders>
              <w:tl2br w:val="nil"/>
              <w:tr2bl w:val="nil"/>
            </w:tcBorders>
            <w:noWrap w:val="0"/>
            <w:vAlign w:val="center"/>
          </w:tcPr>
          <w:p w14:paraId="2BC719B7">
            <w:pPr>
              <w:pStyle w:val="72"/>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保护</w:t>
            </w:r>
            <w:r>
              <w:rPr>
                <w:rFonts w:hint="default" w:ascii="Times New Roman" w:hAnsi="Times New Roman" w:cs="Times New Roman"/>
                <w:b/>
                <w:bCs/>
                <w:color w:val="000000" w:themeColor="text1"/>
                <w:highlight w:val="none"/>
                <w:lang w:val="en-US" w:eastAsia="zh-CN"/>
                <w14:textFill>
                  <w14:solidFill>
                    <w14:schemeClr w14:val="tx1"/>
                  </w14:solidFill>
                </w14:textFill>
              </w:rPr>
              <w:t>要求</w:t>
            </w:r>
          </w:p>
        </w:tc>
      </w:tr>
      <w:tr w14:paraId="34695CE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236" w:hRule="atLeast"/>
          <w:jc w:val="center"/>
        </w:trPr>
        <w:tc>
          <w:tcPr>
            <w:tcW w:w="1054" w:type="dxa"/>
            <w:tcBorders>
              <w:tl2br w:val="nil"/>
              <w:tr2bl w:val="nil"/>
            </w:tcBorders>
            <w:noWrap w:val="0"/>
            <w:vAlign w:val="center"/>
          </w:tcPr>
          <w:p w14:paraId="76A50BA6">
            <w:pPr>
              <w:pStyle w:val="72"/>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cs="Times New Roman"/>
                <w:b/>
                <w:bCs/>
                <w:color w:val="000000" w:themeColor="text1"/>
                <w:highlight w:val="none"/>
                <w:lang w:eastAsia="zh-CN"/>
                <w14:textFill>
                  <w14:solidFill>
                    <w14:schemeClr w14:val="tx1"/>
                  </w14:solidFill>
                </w14:textFill>
              </w:rPr>
              <w:t>生态</w:t>
            </w:r>
          </w:p>
        </w:tc>
        <w:tc>
          <w:tcPr>
            <w:tcW w:w="1664" w:type="dxa"/>
            <w:tcBorders>
              <w:tl2br w:val="nil"/>
              <w:tr2bl w:val="nil"/>
            </w:tcBorders>
            <w:noWrap w:val="0"/>
            <w:vAlign w:val="center"/>
          </w:tcPr>
          <w:p w14:paraId="370B8E05">
            <w:pPr>
              <w:pStyle w:val="72"/>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kern w:val="2"/>
                <w:sz w:val="21"/>
                <w:szCs w:val="21"/>
                <w:highlight w:val="none"/>
                <w:lang w:val="en-US" w:eastAsia="zh-CN" w:bidi="ar-SA"/>
                <w14:textFill>
                  <w14:solidFill>
                    <w14:schemeClr w14:val="tx1"/>
                  </w14:solidFill>
                </w14:textFill>
              </w:rPr>
              <w:t>六盘山国家级自然保护区</w:t>
            </w:r>
          </w:p>
        </w:tc>
        <w:tc>
          <w:tcPr>
            <w:tcW w:w="2454" w:type="dxa"/>
            <w:tcBorders>
              <w:tl2br w:val="nil"/>
              <w:tr2bl w:val="nil"/>
            </w:tcBorders>
            <w:noWrap w:val="0"/>
            <w:vAlign w:val="center"/>
          </w:tcPr>
          <w:p w14:paraId="5F13DD57">
            <w:pPr>
              <w:pStyle w:val="72"/>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kern w:val="2"/>
                <w:sz w:val="21"/>
                <w:szCs w:val="21"/>
                <w:highlight w:val="none"/>
                <w:lang w:val="en-US" w:eastAsia="zh-CN" w:bidi="ar-SA"/>
                <w14:textFill>
                  <w14:solidFill>
                    <w14:schemeClr w14:val="tx1"/>
                  </w14:solidFill>
                </w14:textFill>
              </w:rPr>
              <w:t>工程地点</w:t>
            </w:r>
            <w:r>
              <w:rPr>
                <w:rFonts w:hint="eastAsia" w:cs="Times New Roman"/>
                <w:color w:val="000000" w:themeColor="text1"/>
                <w:spacing w:val="0"/>
                <w:kern w:val="2"/>
                <w:sz w:val="21"/>
                <w:szCs w:val="21"/>
                <w:highlight w:val="none"/>
                <w:lang w:val="en-US" w:eastAsia="zh-CN" w:bidi="ar-SA"/>
                <w14:textFill>
                  <w14:solidFill>
                    <w14:schemeClr w14:val="tx1"/>
                  </w14:solidFill>
                </w14:textFill>
              </w:rPr>
              <w:t>紧邻</w:t>
            </w:r>
            <w:r>
              <w:rPr>
                <w:rFonts w:hint="default" w:ascii="Times New Roman" w:hAnsi="Times New Roman" w:cs="Times New Roman"/>
                <w:color w:val="000000" w:themeColor="text1"/>
                <w:spacing w:val="0"/>
                <w:kern w:val="2"/>
                <w:sz w:val="21"/>
                <w:szCs w:val="21"/>
                <w:highlight w:val="none"/>
                <w:lang w:val="en-US" w:eastAsia="zh-CN" w:bidi="ar-SA"/>
                <w14:textFill>
                  <w14:solidFill>
                    <w14:schemeClr w14:val="tx1"/>
                  </w14:solidFill>
                </w14:textFill>
              </w:rPr>
              <w:t>六盘山自治区级自然保护区，</w:t>
            </w:r>
            <w:r>
              <w:rPr>
                <w:rFonts w:hint="eastAsia" w:cs="Times New Roman"/>
                <w:color w:val="000000" w:themeColor="text1"/>
                <w:spacing w:val="0"/>
                <w:kern w:val="2"/>
                <w:sz w:val="21"/>
                <w:szCs w:val="21"/>
                <w:highlight w:val="none"/>
                <w:lang w:val="en-US" w:eastAsia="zh-CN" w:bidi="ar-SA"/>
                <w14:textFill>
                  <w14:solidFill>
                    <w14:schemeClr w14:val="tx1"/>
                  </w14:solidFill>
                </w14:textFill>
              </w:rPr>
              <w:t>距保护区最近距离不到1</w:t>
            </w:r>
            <w:r>
              <w:rPr>
                <w:rFonts w:hint="default" w:ascii="Times New Roman" w:hAnsi="Times New Roman" w:cs="Times New Roman"/>
                <w:color w:val="000000" w:themeColor="text1"/>
                <w:spacing w:val="0"/>
                <w:kern w:val="2"/>
                <w:sz w:val="21"/>
                <w:szCs w:val="21"/>
                <w:highlight w:val="none"/>
                <w:lang w:val="en-US" w:eastAsia="zh-CN" w:bidi="ar-SA"/>
                <w14:textFill>
                  <w14:solidFill>
                    <w14:schemeClr w14:val="tx1"/>
                  </w14:solidFill>
                </w14:textFill>
              </w:rPr>
              <w:t>m</w:t>
            </w:r>
          </w:p>
        </w:tc>
        <w:tc>
          <w:tcPr>
            <w:tcW w:w="3264" w:type="dxa"/>
            <w:tcBorders>
              <w:tl2br w:val="nil"/>
              <w:tr2bl w:val="nil"/>
            </w:tcBorders>
            <w:noWrap w:val="0"/>
            <w:vAlign w:val="center"/>
          </w:tcPr>
          <w:p w14:paraId="7C4A0F35">
            <w:pPr>
              <w:pStyle w:val="72"/>
              <w:keepNext w:val="0"/>
              <w:keepLines w:val="0"/>
              <w:pageBreakBefore w:val="0"/>
              <w:widowControl w:val="0"/>
              <w:numPr>
                <w:ilvl w:val="0"/>
                <w:numId w:val="0"/>
              </w:numPr>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rPr>
                <w:rFonts w:hint="default" w:ascii="Times New Roman" w:hAnsi="Times New Roman" w:cs="Times New Roman"/>
                <w:color w:val="000000" w:themeColor="text1"/>
                <w:spacing w:val="0"/>
                <w:sz w:val="21"/>
                <w:highlight w:val="none"/>
                <w:lang w:val="en-US" w:eastAsia="zh-CN"/>
                <w14:textFill>
                  <w14:solidFill>
                    <w14:schemeClr w14:val="tx1"/>
                  </w14:solidFill>
                </w14:textFill>
              </w:rPr>
            </w:pPr>
            <w:r>
              <w:rPr>
                <w:rFonts w:hint="default" w:ascii="Times New Roman" w:hAnsi="Times New Roman" w:cs="Times New Roman"/>
                <w:color w:val="000000" w:themeColor="text1"/>
                <w:spacing w:val="0"/>
                <w:kern w:val="2"/>
                <w:sz w:val="21"/>
                <w:szCs w:val="21"/>
                <w:highlight w:val="none"/>
                <w:lang w:val="en-US" w:eastAsia="zh-CN" w:bidi="ar-SA"/>
                <w14:textFill>
                  <w14:solidFill>
                    <w14:schemeClr w14:val="tx1"/>
                  </w14:solidFill>
                </w14:textFill>
              </w:rPr>
              <w:t>1.禁</w:t>
            </w:r>
            <w:r>
              <w:rPr>
                <w:rFonts w:hint="default" w:ascii="Times New Roman" w:hAnsi="Times New Roman" w:cs="Times New Roman"/>
                <w:color w:val="000000" w:themeColor="text1"/>
                <w:spacing w:val="0"/>
                <w:sz w:val="21"/>
                <w:highlight w:val="none"/>
                <w:lang w:val="en-US" w:eastAsia="zh-CN"/>
                <w14:textFill>
                  <w14:solidFill>
                    <w14:schemeClr w14:val="tx1"/>
                  </w14:solidFill>
                </w14:textFill>
              </w:rPr>
              <w:t>止在自然保护区内设置施工营地、取弃土场；</w:t>
            </w:r>
          </w:p>
          <w:p w14:paraId="626E2D0C">
            <w:pPr>
              <w:pStyle w:val="72"/>
              <w:keepNext w:val="0"/>
              <w:keepLines w:val="0"/>
              <w:pageBreakBefore w:val="0"/>
              <w:widowControl w:val="0"/>
              <w:kinsoku/>
              <w:wordWrap/>
              <w:overflowPunct/>
              <w:topLinePunct w:val="0"/>
              <w:autoSpaceDE w:val="0"/>
              <w:autoSpaceDN w:val="0"/>
              <w:bidi w:val="0"/>
              <w:adjustRightInd w:val="0"/>
              <w:snapToGrid w:val="0"/>
              <w:spacing w:after="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spacing w:val="0"/>
                <w:kern w:val="2"/>
                <w:sz w:val="21"/>
                <w:szCs w:val="21"/>
                <w:highlight w:val="none"/>
                <w:lang w:val="en-US" w:eastAsia="zh-CN" w:bidi="ar-SA"/>
                <w14:textFill>
                  <w14:solidFill>
                    <w14:schemeClr w14:val="tx1"/>
                  </w14:solidFill>
                </w14:textFill>
              </w:rPr>
              <w:t>2.主要保护对象为野生动物及水源涵养林</w:t>
            </w:r>
          </w:p>
        </w:tc>
      </w:tr>
    </w:tbl>
    <w:p w14:paraId="21AC5411">
      <w:pPr>
        <w:pStyle w:val="15"/>
        <w:numPr>
          <w:ilvl w:val="0"/>
          <w:numId w:val="0"/>
        </w:numPr>
        <w:spacing w:line="360" w:lineRule="auto"/>
        <w:ind w:firstLine="480" w:firstLineChars="20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本项目生态环境影响评价范围和生态环境保护目标见附图1</w:t>
      </w:r>
      <w:r>
        <w:rPr>
          <w:rFonts w:hint="eastAsia" w:cs="Times New Roman"/>
          <w:color w:val="000000" w:themeColor="text1"/>
          <w:kern w:val="2"/>
          <w:sz w:val="24"/>
          <w:szCs w:val="24"/>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p>
    <w:p w14:paraId="14CC0537">
      <w:pPr>
        <w:pStyle w:val="15"/>
        <w:numPr>
          <w:ilvl w:val="0"/>
          <w:numId w:val="0"/>
        </w:numPr>
        <w:spacing w:line="360" w:lineRule="auto"/>
        <w:ind w:firstLine="482" w:firstLineChars="200"/>
        <w:rPr>
          <w:rFonts w:hint="default" w:ascii="Times New Roman" w:hAnsi="Times New Roman" w:cs="Times New Roman"/>
          <w:b/>
          <w:bCs/>
          <w:color w:val="000000" w:themeColor="text1"/>
          <w:sz w:val="24"/>
          <w:lang w:val="en-US" w:eastAsia="zh-CN"/>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4 生态现状调查与评价</w:t>
      </w:r>
    </w:p>
    <w:p w14:paraId="781DFE6F">
      <w:pPr>
        <w:pStyle w:val="15"/>
        <w:numPr>
          <w:ilvl w:val="0"/>
          <w:numId w:val="0"/>
        </w:numPr>
        <w:spacing w:line="360" w:lineRule="auto"/>
        <w:ind w:firstLine="482" w:firstLineChars="200"/>
        <w:rPr>
          <w:rFonts w:hint="default" w:ascii="Times New Roman" w:hAnsi="Times New Roman" w:cs="Times New Roman"/>
          <w:b/>
          <w:bCs/>
          <w:color w:val="000000" w:themeColor="text1"/>
          <w:sz w:val="24"/>
          <w:lang w:val="en-US" w:eastAsia="zh-CN"/>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4.1 调查方法</w:t>
      </w:r>
    </w:p>
    <w:p w14:paraId="09B90A7C">
      <w:pPr>
        <w:pStyle w:val="15"/>
        <w:numPr>
          <w:ilvl w:val="0"/>
          <w:numId w:val="0"/>
        </w:numPr>
        <w:spacing w:line="360" w:lineRule="auto"/>
        <w:ind w:firstLine="480" w:firstLineChars="200"/>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本次调查主要采用资料收集法</w:t>
      </w:r>
      <w:r>
        <w:rPr>
          <w:rFonts w:hint="eastAsia"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收集现有的可以反映生态现状或生态背景的资料，分为现状资料和历史资料，包括相关文字、图件等。</w:t>
      </w:r>
    </w:p>
    <w:p w14:paraId="1B04512A">
      <w:pPr>
        <w:autoSpaceDE w:val="0"/>
        <w:autoSpaceDN w:val="0"/>
        <w:adjustRightInd w:val="0"/>
        <w:ind w:firstLine="482"/>
        <w:rPr>
          <w:rFonts w:hint="default" w:ascii="Times New Roman" w:hAnsi="Times New Roman" w:cs="Times New Roman"/>
          <w:b/>
          <w:color w:val="000000" w:themeColor="text1"/>
          <w:kern w:val="0"/>
          <w:lang w:val="en-US" w:eastAsia="zh-CN"/>
          <w14:textFill>
            <w14:solidFill>
              <w14:schemeClr w14:val="tx1"/>
            </w14:solidFill>
          </w14:textFill>
        </w:rPr>
      </w:pPr>
      <w:r>
        <w:rPr>
          <w:rFonts w:hint="default" w:ascii="Times New Roman" w:hAnsi="Times New Roman" w:cs="Times New Roman"/>
          <w:b/>
          <w:color w:val="000000" w:themeColor="text1"/>
          <w:kern w:val="0"/>
          <w:lang w:val="en-US" w:eastAsia="zh-CN"/>
          <w14:textFill>
            <w14:solidFill>
              <w14:schemeClr w14:val="tx1"/>
            </w14:solidFill>
          </w14:textFill>
        </w:rPr>
        <w:t>4.2 自然环境</w:t>
      </w:r>
    </w:p>
    <w:p w14:paraId="7E730E24">
      <w:pPr>
        <w:autoSpaceDE w:val="0"/>
        <w:autoSpaceDN w:val="0"/>
        <w:adjustRightInd w:val="0"/>
        <w:ind w:firstLine="482"/>
        <w:rPr>
          <w:rFonts w:hint="default" w:ascii="Times New Roman" w:hAnsi="Times New Roman" w:cs="Times New Roman"/>
          <w:b/>
          <w:color w:val="000000" w:themeColor="text1"/>
          <w:kern w:val="0"/>
          <w:lang w:val="en-US" w:eastAsia="zh-CN"/>
          <w14:textFill>
            <w14:solidFill>
              <w14:schemeClr w14:val="tx1"/>
            </w14:solidFill>
          </w14:textFill>
        </w:rPr>
      </w:pPr>
      <w:r>
        <w:rPr>
          <w:rFonts w:hint="default" w:ascii="Times New Roman" w:hAnsi="Times New Roman" w:cs="Times New Roman"/>
          <w:b/>
          <w:color w:val="000000" w:themeColor="text1"/>
          <w:kern w:val="0"/>
          <w:lang w:val="en-US" w:eastAsia="zh-CN"/>
          <w14:textFill>
            <w14:solidFill>
              <w14:schemeClr w14:val="tx1"/>
            </w14:solidFill>
          </w14:textFill>
        </w:rPr>
        <w:t>4.2.1 地理位置</w:t>
      </w:r>
    </w:p>
    <w:p w14:paraId="3B2B5DD7">
      <w:pPr>
        <w:autoSpaceDE w:val="0"/>
        <w:autoSpaceDN w:val="0"/>
        <w:adjustRightInd w:val="0"/>
        <w:ind w:firstLine="482"/>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泾源县位于宁夏回族自治区最南端</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因泾河发源于此而得名。县域南北长41.5km，东西宽27.3km，东与甘肃省平凉市崆峒区相连，南与甘肃省华亭县、庄浪县接壤，西与隆德县毗邻</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北与原州区、彭阳县交界，素有</w:t>
      </w:r>
      <w:r>
        <w:rPr>
          <w:rFonts w:hint="eastAsia"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秦风咽喉，关陇要地</w:t>
      </w:r>
      <w:r>
        <w:rPr>
          <w:rFonts w:hint="eastAsia"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之称。</w:t>
      </w:r>
    </w:p>
    <w:p w14:paraId="17672863">
      <w:pPr>
        <w:autoSpaceDE w:val="0"/>
        <w:autoSpaceDN w:val="0"/>
        <w:adjustRightInd w:val="0"/>
        <w:ind w:firstLine="482"/>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泾源县地处国家级六盘山自然保护区腹地，山翠水碧，风光旖旎，气候宜人，自然景观独特，旅游资源丰富，作为古丝绸之路必经之地，这里蕴藏着极其丰富的古代文化遗存和浓郁的地方民俗文化。县境内国家级六盘山自然保护区拥有众多的珍稀动、植物和昆虫</w:t>
      </w:r>
      <w:r>
        <w:rPr>
          <w:rFonts w:hint="eastAsia"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是人们从事科研、考察的理想天地。</w:t>
      </w:r>
    </w:p>
    <w:p w14:paraId="58BE1552">
      <w:pPr>
        <w:autoSpaceDE w:val="0"/>
        <w:autoSpaceDN w:val="0"/>
        <w:adjustRightInd w:val="0"/>
        <w:ind w:firstLine="482"/>
        <w:rPr>
          <w:rFonts w:hint="default" w:ascii="Times New Roman" w:hAnsi="Times New Roman" w:cs="Times New Roman"/>
          <w:b/>
          <w:color w:val="000000" w:themeColor="text1"/>
          <w:kern w:val="0"/>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本项目建设地点位于泾源县黄花乡，</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位于六盘山自治区级自然保护区南侧，</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项目中心位置坐标：106°24′45.319″，35°32′50.634″。</w:t>
      </w:r>
    </w:p>
    <w:p w14:paraId="0483CFDB">
      <w:pPr>
        <w:autoSpaceDE w:val="0"/>
        <w:autoSpaceDN w:val="0"/>
        <w:adjustRightInd w:val="0"/>
        <w:ind w:firstLine="482"/>
        <w:rPr>
          <w:rFonts w:hint="default" w:ascii="Times New Roman" w:hAnsi="Times New Roman" w:cs="Times New Roman"/>
          <w:b/>
          <w:color w:val="000000" w:themeColor="text1"/>
          <w:kern w:val="0"/>
          <w:lang w:val="en-US" w:eastAsia="zh-CN"/>
          <w14:textFill>
            <w14:solidFill>
              <w14:schemeClr w14:val="tx1"/>
            </w14:solidFill>
          </w14:textFill>
        </w:rPr>
      </w:pPr>
      <w:r>
        <w:rPr>
          <w:rFonts w:hint="default" w:ascii="Times New Roman" w:hAnsi="Times New Roman" w:cs="Times New Roman"/>
          <w:b/>
          <w:color w:val="000000" w:themeColor="text1"/>
          <w:kern w:val="0"/>
          <w:lang w:val="en-US" w:eastAsia="zh-CN"/>
          <w14:textFill>
            <w14:solidFill>
              <w14:schemeClr w14:val="tx1"/>
            </w14:solidFill>
          </w14:textFill>
        </w:rPr>
        <w:t>4.2.</w:t>
      </w:r>
      <w:r>
        <w:rPr>
          <w:rFonts w:hint="eastAsia" w:cs="Times New Roman"/>
          <w:b/>
          <w:color w:val="000000" w:themeColor="text1"/>
          <w:kern w:val="0"/>
          <w:lang w:val="en-US" w:eastAsia="zh-CN"/>
          <w14:textFill>
            <w14:solidFill>
              <w14:schemeClr w14:val="tx1"/>
            </w14:solidFill>
          </w14:textFill>
        </w:rPr>
        <w:t>2</w:t>
      </w:r>
      <w:r>
        <w:rPr>
          <w:rFonts w:hint="default" w:ascii="Times New Roman" w:hAnsi="Times New Roman" w:cs="Times New Roman"/>
          <w:b/>
          <w:color w:val="000000" w:themeColor="text1"/>
          <w:kern w:val="0"/>
          <w:lang w:val="en-US" w:eastAsia="zh-CN"/>
          <w14:textFill>
            <w14:solidFill>
              <w14:schemeClr w14:val="tx1"/>
            </w14:solidFill>
          </w14:textFill>
        </w:rPr>
        <w:t xml:space="preserve"> 地形地貌</w:t>
      </w:r>
    </w:p>
    <w:p w14:paraId="1C849C6B">
      <w:pPr>
        <w:autoSpaceDE w:val="0"/>
        <w:autoSpaceDN w:val="0"/>
        <w:adjustRightInd w:val="0"/>
        <w:ind w:firstLine="482"/>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泾源县地处六盘山东麓腹地</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地势西北高，东南低，海拔高度1608-2942m。有以</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六盘山为主脉的大小山峰41座</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最高峰米岗山海拔2942m，最低处柳家河坝1608m。地形以低山丘陵为主，西东部多山，沟壑交错，山塬相间，河流密布，按照地貌形态和成因，可分为侵蚀构造石山区，剥蚀构造丘陵区和侵蚀堆积河谷平川区三种类型，分别占总面积的36%、24%和40%。阶地地面较平坦，多为耕地，由南西向东北展布</w:t>
      </w:r>
      <w:r>
        <w:rPr>
          <w:rFonts w:hint="eastAsia"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总体地势由南西向东北倾斜。泾河河谷在此处呈</w:t>
      </w:r>
      <w:r>
        <w:rPr>
          <w:rFonts w:hint="eastAsia"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U型</w:t>
      </w:r>
      <w:r>
        <w:rPr>
          <w:rFonts w:hint="eastAsia"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，沟中有地表水。两岸岸坡多陡立，多进行了砌护，沟底宽11~81m。左岸岸坡高约2m，右岸岸坡高约2~31m，级阶地临河床处较高。两岸发育有I、级阶地</w:t>
      </w:r>
      <w:r>
        <w:rPr>
          <w:rFonts w:hint="eastAsia"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左岸级阶地发育较稳定，上游较宽，延伸较长，前缘陡坎高2m。</w:t>
      </w:r>
    </w:p>
    <w:p w14:paraId="2C51C4D7">
      <w:pPr>
        <w:autoSpaceDE w:val="0"/>
        <w:autoSpaceDN w:val="0"/>
        <w:adjustRightInd w:val="0"/>
        <w:ind w:firstLine="482"/>
        <w:rPr>
          <w:rFonts w:hint="default" w:ascii="Times New Roman" w:hAnsi="Times New Roman" w:cs="Times New Roman"/>
          <w:b/>
          <w:color w:val="000000" w:themeColor="text1"/>
          <w:kern w:val="0"/>
          <w:lang w:val="en-US" w:eastAsia="zh-CN"/>
          <w14:textFill>
            <w14:solidFill>
              <w14:schemeClr w14:val="tx1"/>
            </w14:solidFill>
          </w14:textFill>
        </w:rPr>
      </w:pPr>
      <w:r>
        <w:rPr>
          <w:rFonts w:hint="default" w:ascii="Times New Roman" w:hAnsi="Times New Roman" w:cs="Times New Roman"/>
          <w:b/>
          <w:color w:val="000000" w:themeColor="text1"/>
          <w:kern w:val="0"/>
          <w:lang w:val="en-US" w:eastAsia="zh-CN"/>
          <w14:textFill>
            <w14:solidFill>
              <w14:schemeClr w14:val="tx1"/>
            </w14:solidFill>
          </w14:textFill>
        </w:rPr>
        <w:t>4.2.</w:t>
      </w:r>
      <w:r>
        <w:rPr>
          <w:rFonts w:hint="eastAsia" w:cs="Times New Roman"/>
          <w:b/>
          <w:color w:val="000000" w:themeColor="text1"/>
          <w:kern w:val="0"/>
          <w:lang w:val="en-US" w:eastAsia="zh-CN"/>
          <w14:textFill>
            <w14:solidFill>
              <w14:schemeClr w14:val="tx1"/>
            </w14:solidFill>
          </w14:textFill>
        </w:rPr>
        <w:t>3</w:t>
      </w:r>
      <w:r>
        <w:rPr>
          <w:rFonts w:hint="default" w:ascii="Times New Roman" w:hAnsi="Times New Roman" w:cs="Times New Roman"/>
          <w:b/>
          <w:color w:val="000000" w:themeColor="text1"/>
          <w:kern w:val="0"/>
          <w:lang w:val="en-US" w:eastAsia="zh-CN"/>
          <w14:textFill>
            <w14:solidFill>
              <w14:schemeClr w14:val="tx1"/>
            </w14:solidFill>
          </w14:textFill>
        </w:rPr>
        <w:t xml:space="preserve"> 气候条件</w:t>
      </w:r>
    </w:p>
    <w:p w14:paraId="2F0B89DE">
      <w:pPr>
        <w:autoSpaceDE w:val="0"/>
        <w:autoSpaceDN w:val="0"/>
        <w:adjustRightInd w:val="0"/>
        <w:ind w:firstLine="482"/>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泾源县所在流域属中温带半湿润气候</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形成四季分明</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年温差和日温差较大的大陆性季风气候特征。由于地势和湿度较高</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成显著高寒山区气候</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夏季短暂温湿多雨</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冬季漫长寒冷干燥</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春季来得迟</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秋季降温快。日照适应</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降水充足</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温度偏低。据气象资料统计</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年平均气温5.8℃</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7月最热</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平均气温17.2~18.7℃</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极端最高气温316~346℃</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1月份最冷</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平均气温-70~-8.4℃</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极端最低气温-263~-281℃。年平均日照时数2300小时。年平均风速3.6m/s</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年最大风速15.0m/s</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最大冻土层深度为1.4m。</w:t>
      </w:r>
    </w:p>
    <w:p w14:paraId="59E7B80D">
      <w:pPr>
        <w:autoSpaceDE w:val="0"/>
        <w:autoSpaceDN w:val="0"/>
        <w:adjustRightInd w:val="0"/>
        <w:ind w:firstLine="482"/>
        <w:rPr>
          <w:rFonts w:hint="default" w:ascii="Times New Roman" w:hAnsi="Times New Roman" w:cs="Times New Roman"/>
          <w:b/>
          <w:color w:val="000000" w:themeColor="text1"/>
          <w:kern w:val="0"/>
          <w:lang w:val="en-US" w:eastAsia="zh-CN"/>
          <w14:textFill>
            <w14:solidFill>
              <w14:schemeClr w14:val="tx1"/>
            </w14:solidFill>
          </w14:textFill>
        </w:rPr>
      </w:pPr>
      <w:r>
        <w:rPr>
          <w:rFonts w:hint="default" w:ascii="Times New Roman" w:hAnsi="Times New Roman" w:cs="Times New Roman"/>
          <w:b/>
          <w:color w:val="000000" w:themeColor="text1"/>
          <w:kern w:val="0"/>
          <w:lang w:val="en-US" w:eastAsia="zh-CN"/>
          <w14:textFill>
            <w14:solidFill>
              <w14:schemeClr w14:val="tx1"/>
            </w14:solidFill>
          </w14:textFill>
        </w:rPr>
        <w:t>4.2.</w:t>
      </w:r>
      <w:r>
        <w:rPr>
          <w:rFonts w:hint="eastAsia" w:cs="Times New Roman"/>
          <w:b/>
          <w:color w:val="000000" w:themeColor="text1"/>
          <w:kern w:val="0"/>
          <w:lang w:val="en-US" w:eastAsia="zh-CN"/>
          <w14:textFill>
            <w14:solidFill>
              <w14:schemeClr w14:val="tx1"/>
            </w14:solidFill>
          </w14:textFill>
        </w:rPr>
        <w:t>4</w:t>
      </w:r>
      <w:r>
        <w:rPr>
          <w:rFonts w:hint="default" w:ascii="Times New Roman" w:hAnsi="Times New Roman" w:cs="Times New Roman"/>
          <w:b/>
          <w:color w:val="000000" w:themeColor="text1"/>
          <w:kern w:val="0"/>
          <w:lang w:val="en-US" w:eastAsia="zh-CN"/>
          <w14:textFill>
            <w14:solidFill>
              <w14:schemeClr w14:val="tx1"/>
            </w14:solidFill>
          </w14:textFill>
        </w:rPr>
        <w:t xml:space="preserve"> 生态环境现状</w:t>
      </w:r>
    </w:p>
    <w:p w14:paraId="12E877E3">
      <w:pPr>
        <w:ind w:firstLine="48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（1）植被</w:t>
      </w:r>
    </w:p>
    <w:p w14:paraId="02C2F34A">
      <w:pPr>
        <w:ind w:firstLine="48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本项目位于泾源县黄花乡，地处六盘山东麓</w:t>
      </w:r>
      <w:r>
        <w:rPr>
          <w:rFonts w:hint="default" w:ascii="Times New Roman" w:hAnsi="Times New Roman" w:eastAsia="宋体" w:cs="Times New Roman"/>
          <w:color w:val="000000" w:themeColor="text1"/>
          <w:highlight w:val="none"/>
          <w:lang w:val="en-US" w:eastAsia="zh-CN"/>
          <w14:textFill>
            <w14:solidFill>
              <w14:schemeClr w14:val="tx1"/>
            </w14:solidFill>
          </w14:textFill>
        </w:rPr>
        <w:t>，生态功能区属于六盘山山地河谷人工林草生态功能区，根据现状调查，本项目评价</w:t>
      </w:r>
      <w:r>
        <w:rPr>
          <w:rFonts w:hint="default" w:ascii="Times New Roman" w:hAnsi="Times New Roman" w:eastAsia="宋体" w:cs="Times New Roman"/>
          <w:color w:val="000000" w:themeColor="text1"/>
          <w:lang w:val="en-US" w:eastAsia="zh-CN"/>
          <w14:textFill>
            <w14:solidFill>
              <w14:schemeClr w14:val="tx1"/>
            </w14:solidFill>
          </w14:textFill>
        </w:rPr>
        <w:t>范围内主要的植被类型为山地植被和森林植被。项目评价范围内自然植被多为山地灌木林地以及荒山荒坡灌草地，灌木以柠条、胡枝子为主，草本以禾本科、菊科草类为主，乔木林以人工绿化植被为主，沿线植被类型基本属陇山山地向黄土塬过度的地带过度类型。</w:t>
      </w:r>
    </w:p>
    <w:p w14:paraId="6F816F7B">
      <w:pPr>
        <w:ind w:firstLine="48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根据实地现状调查，项目区两侧500m范围内主要为针叶林，主要植被类型为人工种植的云杉、油松、樟子松、华山松桃等不同规格的针叶绿化树。其次为草地和灌木，主要为柠条群系、草群系、胡枝子群系、沙蒿群系、糙隐子草群系。</w:t>
      </w:r>
    </w:p>
    <w:p w14:paraId="12AEF70D">
      <w:pPr>
        <w:ind w:firstLine="48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综上所述，评价范围内自然植被主要为山地灌木林地以及荒山荒坡灌草地，灌木以柠条、胡枝子为主，草本以禾本科、菊科草类为主，乔木林以云杉、油松、樟子松、华山松桃等不同规格的针叶绿化树为主。</w:t>
      </w:r>
      <w:r>
        <w:rPr>
          <w:rFonts w:hint="default" w:ascii="Times New Roman" w:hAnsi="Times New Roman" w:cs="Times New Roman"/>
          <w:color w:val="000000" w:themeColor="text1"/>
          <w:lang w:val="en-US" w:eastAsia="zh-CN"/>
          <w14:textFill>
            <w14:solidFill>
              <w14:schemeClr w14:val="tx1"/>
            </w14:solidFill>
          </w14:textFill>
        </w:rPr>
        <w:t>本项目植被类型分布图见附图1</w:t>
      </w:r>
      <w:r>
        <w:rPr>
          <w:rFonts w:hint="eastAsia"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w:t>
      </w:r>
    </w:p>
    <w:p w14:paraId="3A0D12C9">
      <w:pPr>
        <w:ind w:firstLine="48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①针茅群系</w:t>
      </w:r>
    </w:p>
    <w:p w14:paraId="69B9F0EA">
      <w:pPr>
        <w:ind w:firstLine="48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针茅是多年生密丛旱生未草。多生于山间谷地、准平原面或石质性的向阳山坡。一般在海拔500-2300米，在甘肃生态幅广，常以建群种或优势种与沟羊茅、超旱生小半灌木蒿、灌木锦鸡儿等形成干草原、荒漠草原和灌木草原。主要伴生种有羊草Leymuschinensis）、糙隐子草（Cleistogenessquarrosa）、冷蒿（Artemisia羊茅（FestucoOvina）等，草群总盖度一般为30～60%。随着放牧利用强度的增强和人为活动的加剧，针茅常被克氏针茅所取代。</w:t>
      </w:r>
    </w:p>
    <w:p w14:paraId="39587E61">
      <w:pPr>
        <w:ind w:firstLine="48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②草群系（Form.Achnatherumspslendens）</w:t>
      </w:r>
    </w:p>
    <w:p w14:paraId="01F2032C">
      <w:pPr>
        <w:ind w:firstLine="48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草是未本科、草属植株具粗而坚韧外被砂套的须根。秆直立，坚硬，内具白色的髓，形成大的密丛，节多聚于基部，具2至3节，平滑无毛，基部宿存枯萎的黄褐色叶鞘。叶鞘无毛，具膜质边缘；叶舌三角形或尖披针形，叶片纵卷，质坚韧，上面脉纹凸起，微粗糙，下面光滑无毛。草属旱中生植物，也能耐盐碱，多生于微碱性的草滩及海拔900-4500米砂土山坡上。草群落盖度较大，可达70%-80%，草层高一般为50cm上下。伴生植物随环境的改变，而出现不同的植物种类，在土壤水分较少的环境中有赖草、苦豆子、芦苇，在草甸盐土上有黑果枸杞、骆驼刺、白刺等。</w:t>
      </w:r>
    </w:p>
    <w:p w14:paraId="254E90DB">
      <w:pPr>
        <w:ind w:firstLine="48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③沙蒿群系（Fom.Artemisiaarenaria）</w:t>
      </w:r>
    </w:p>
    <w:p w14:paraId="09F658A7">
      <w:pPr>
        <w:ind w:firstLine="48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沙嵩为多年生草本，</w:t>
      </w:r>
      <w:r>
        <w:rPr>
          <w:rFonts w:hint="eastAsia" w:ascii="Times New Roman" w:hAnsi="Times New Roman" w:cs="Times New Roman"/>
          <w:color w:val="000000" w:themeColor="text1"/>
          <w:lang w:val="en-US" w:eastAsia="zh-CN"/>
          <w14:textFill>
            <w14:solidFill>
              <w14:schemeClr w14:val="tx1"/>
            </w14:solidFill>
          </w14:textFill>
        </w:rPr>
        <w:t>主</w:t>
      </w:r>
      <w:r>
        <w:rPr>
          <w:rFonts w:hint="default" w:ascii="Times New Roman" w:hAnsi="Times New Roman" w:eastAsia="宋体" w:cs="Times New Roman"/>
          <w:color w:val="000000" w:themeColor="text1"/>
          <w:lang w:val="en-US" w:eastAsia="zh-CN"/>
          <w14:textFill>
            <w14:solidFill>
              <w14:schemeClr w14:val="tx1"/>
            </w14:solidFill>
          </w14:textFill>
        </w:rPr>
        <w:t>根明显木质或半木质，侧根少数；根状茎稍粗，短，半木质直径4-10mm，有短的营养枝。茎单生或少数，高30-70cm，具细纵棱；多生于草原、草甸、森林草原、高山草原、荒坡、砾质坡地、十河谷、河岸边、林缘及路旁等，局部地区成片生长，是草原小半灌木的</w:t>
      </w:r>
      <w:r>
        <w:rPr>
          <w:rFonts w:hint="eastAsia" w:ascii="Times New Roman" w:hAnsi="Times New Roman" w:cs="Times New Roman"/>
          <w:color w:val="000000" w:themeColor="text1"/>
          <w:lang w:val="en-US" w:eastAsia="zh-CN"/>
          <w14:textFill>
            <w14:solidFill>
              <w14:schemeClr w14:val="tx1"/>
            </w14:solidFill>
          </w14:textFill>
        </w:rPr>
        <w:t>主</w:t>
      </w:r>
      <w:r>
        <w:rPr>
          <w:rFonts w:hint="default" w:ascii="Times New Roman" w:hAnsi="Times New Roman" w:eastAsia="宋体" w:cs="Times New Roman"/>
          <w:color w:val="000000" w:themeColor="text1"/>
          <w:lang w:val="en-US" w:eastAsia="zh-CN"/>
          <w14:textFill>
            <w14:solidFill>
              <w14:schemeClr w14:val="tx1"/>
            </w14:solidFill>
          </w14:textFill>
        </w:rPr>
        <w:t>要组成部分，也是其他草原群落的伴生植物，为生态幅度很广的旱生植物。既可以形成纯群落，也可以是其他植物群落的伴生种，其伴生植物主要为针茅（Stipacapillata）、赖草（Leymus secalinus）等。</w:t>
      </w:r>
    </w:p>
    <w:p w14:paraId="5822C0B6">
      <w:pPr>
        <w:ind w:firstLine="48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④糙隐子草群系（Form.Cleistogenes squarrosa）</w:t>
      </w:r>
    </w:p>
    <w:p w14:paraId="77DB590A">
      <w:pPr>
        <w:ind w:firstLine="48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糙隐子草是一种旱生密丛未草，植株通常绿色，秋后常呈红褐色，杆密具多节，直立或散纤细，高10～40cm，干后常成婉蜓状或螺旋状弯曲。叶鞘长于节间，无毛，层层包裹直达花序的基部，叶舌有一圈很短的纤毛，叶片质较薄狭条形，扁平内卷粗糙。在甘肃中部多见于黄土高原沟壑区，糙隐子草分布较广，但多为其他群落的伴生成份在过度放牧区会形成优势种。</w:t>
      </w:r>
    </w:p>
    <w:p w14:paraId="3DC3A50A">
      <w:pPr>
        <w:ind w:firstLine="48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⑤柠条群系（Form.Caraganakorshinskii）</w:t>
      </w:r>
    </w:p>
    <w:p w14:paraId="2C4E4E87">
      <w:pPr>
        <w:ind w:firstLine="48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为豆科锦鸡儿属落叶大灌木饲用植物，根系极为发达，</w:t>
      </w:r>
      <w:r>
        <w:rPr>
          <w:rFonts w:hint="eastAsia" w:ascii="Times New Roman" w:hAnsi="Times New Roman" w:cs="Times New Roman"/>
          <w:color w:val="000000" w:themeColor="text1"/>
          <w:lang w:val="en-US" w:eastAsia="zh-CN"/>
          <w14:textFill>
            <w14:solidFill>
              <w14:schemeClr w14:val="tx1"/>
            </w14:solidFill>
          </w14:textFill>
        </w:rPr>
        <w:t>主</w:t>
      </w:r>
      <w:r>
        <w:rPr>
          <w:rFonts w:hint="default" w:ascii="Times New Roman" w:hAnsi="Times New Roman" w:eastAsia="宋体" w:cs="Times New Roman"/>
          <w:color w:val="000000" w:themeColor="text1"/>
          <w:lang w:val="en-US" w:eastAsia="zh-CN"/>
          <w14:textFill>
            <w14:solidFill>
              <w14:schemeClr w14:val="tx1"/>
            </w14:solidFill>
          </w14:textFill>
        </w:rPr>
        <w:t>根人土深，株高为40~70cm，最高可达2m左右。适生长于海拔900~1300m的阳坡、半阳坡。耐旱、耐寒、耐高温，是干旱草原、荒漠草原地带的旱生灌丛。目前，柠条是中国西北、华北、东北西部水土保持和固沙造林的重要树种之一，属于优良固沙和绿化荒山植物。</w:t>
      </w:r>
    </w:p>
    <w:p w14:paraId="540EB7F5">
      <w:pPr>
        <w:ind w:firstLine="48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⑥胡枝子群系（Form.Lespedeza bicolor）</w:t>
      </w:r>
    </w:p>
    <w:p w14:paraId="4392FD1D">
      <w:pPr>
        <w:ind w:firstLine="48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胡枝子属蔷薇目，豆科胡枝子属直立灌木，分枝多、卵状叶片，花冠为红紫色。胡枝子</w:t>
      </w:r>
      <w:r>
        <w:rPr>
          <w:rFonts w:hint="eastAsia" w:ascii="Times New Roman" w:hAnsi="Times New Roman" w:cs="Times New Roman"/>
          <w:color w:val="000000" w:themeColor="text1"/>
          <w:lang w:val="en-US" w:eastAsia="zh-CN"/>
          <w14:textFill>
            <w14:solidFill>
              <w14:schemeClr w14:val="tx1"/>
            </w14:solidFill>
          </w14:textFill>
        </w:rPr>
        <w:t>主</w:t>
      </w:r>
      <w:r>
        <w:rPr>
          <w:rFonts w:hint="default" w:ascii="Times New Roman" w:hAnsi="Times New Roman" w:eastAsia="宋体" w:cs="Times New Roman"/>
          <w:color w:val="000000" w:themeColor="text1"/>
          <w:lang w:val="en-US" w:eastAsia="zh-CN"/>
          <w14:textFill>
            <w14:solidFill>
              <w14:schemeClr w14:val="tx1"/>
            </w14:solidFill>
          </w14:textFill>
        </w:rPr>
        <w:t>要分布在华北温暖带落叶阔叶林地区的山地和丘陵的空旷地带，胡枝子耐旱、耐瘠薄、耐酸性、耐盐碱、耐刘割，对土壤适应性强，在薄的新升垦地上可以生长，覆盖度40%-50%，多为建群种，伴生的灌木植物多有绣线菊（Spiraeaspp）、榛（Corylusheterophylla）等。草本层主要有柴胡、地榆、蒿等。胡技子由于枝叶茂盛和根系发达，可有效地保持水土，减少地表径流和改善地壤结构。在坡耕地种植胡枝子3至5年后使土壤的理化性状得到显著的改善。</w:t>
      </w:r>
    </w:p>
    <w:p w14:paraId="24151281">
      <w:pPr>
        <w:ind w:firstLine="48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⑦云杉（PiceaasperataMast.）</w:t>
      </w:r>
    </w:p>
    <w:p w14:paraId="02200A05">
      <w:pPr>
        <w:ind w:firstLine="48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云杉别名茂县云杉、茂县杉等。为乔木。高达45米，胸径达1米；树皮淡灰褐色或淡褐灰色，裂成不规则鳞片或稍厚的块片脱落。云杉为中国特有树种，产于陕西西南部（凤县）、甘肃东部（两当）及白龙江流域等地，稍耐荫，能耐干燥及寒冷的环境条件，生长在海拔2400-3600米地带。云杉耐阴、耐寒、喜欢凉爽湿润的气候和肥沃深厚、排水良好的微酸性沙质土壤，生长缓慢，属浅根性树种。海拔2400-3600米地带，常与紫果云杉、眠江冷杉、紫果冷杉混生，或成纯林。</w:t>
      </w:r>
    </w:p>
    <w:p w14:paraId="721D812A">
      <w:pPr>
        <w:ind w:firstLine="48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⑧油松</w:t>
      </w:r>
    </w:p>
    <w:p w14:paraId="50AA42BB">
      <w:pPr>
        <w:ind w:firstLine="48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油松（学名：PinustabuliformisCamiere）为松科针叶常绿乔木，高达30米，胸径可达1米。树皮下部灰褐色，裂成不规则鳞块。大枝平展或斜向上，老树平顶；小枝粗壮，雄球花柱形，长1.2-1.8厘米，聚生于新枝下部呈穗状；球果卵形或卵圆形，长4-7厘米。种子长6-8毫米，连翅长1.5-2.0厘米、翅为种子长的2-3倍。花期5月，球果第二年10月上、中旬成熟。油松为喜光、深根性树种，喜十冷气候，在土层深厚、排水良好的酸性、中性或钙质黄土上均能生长良好。</w:t>
      </w:r>
    </w:p>
    <w:p w14:paraId="2E7B98EA">
      <w:pPr>
        <w:ind w:firstLine="48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⑨樟子松（Pinus sylvestrisvar.mongolicaLitv.）</w:t>
      </w:r>
    </w:p>
    <w:p w14:paraId="2B1D6FB1">
      <w:pPr>
        <w:ind w:firstLine="48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常绿乔木，高15-25米，最高达30米，树冠椭圆形或圆锥形。树干挺直，3-4米以下的树皮黑褐色，鳞状深裂，叶2针一束，刚硬，常稍扭曲，先端尖。雌雄同株，雄球花卵圆形，黄色，聚生在当年生枝的下部；雌球花球形或卵圆形，紫褐色。球果长卵形。鳞盾呈斜方形，具纵脊横脊，鳞脐呈瘤状突起。种子小，具黄色、棕色、黑褐色不一，种翅膜质。产于中国黑龙江大兴安岭海拔400-900米山地及海拉尔以西、以南一带砂丘地区。可作庭园观赏及绿化树种。林木生长较快，材质好，适应性强，可作东北大兴安岭山区及西部砂丘地区的造林树种。</w:t>
      </w:r>
    </w:p>
    <w:p w14:paraId="3D7009F2">
      <w:pPr>
        <w:ind w:firstLine="48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（2）动物</w:t>
      </w:r>
    </w:p>
    <w:p w14:paraId="464D496F">
      <w:pPr>
        <w:ind w:firstLine="48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根据现场调查，项目区域植被种类较为简单，</w:t>
      </w:r>
      <w:r>
        <w:rPr>
          <w:rFonts w:hint="eastAsia" w:ascii="Times New Roman" w:hAnsi="Times New Roman" w:cs="Times New Roman"/>
          <w:color w:val="000000" w:themeColor="text1"/>
          <w:lang w:val="en-US" w:eastAsia="zh-CN"/>
          <w14:textFill>
            <w14:solidFill>
              <w14:schemeClr w14:val="tx1"/>
            </w14:solidFill>
          </w14:textFill>
        </w:rPr>
        <w:t>主</w:t>
      </w:r>
      <w:r>
        <w:rPr>
          <w:rFonts w:hint="default" w:ascii="Times New Roman" w:hAnsi="Times New Roman" w:eastAsia="宋体" w:cs="Times New Roman"/>
          <w:color w:val="000000" w:themeColor="text1"/>
          <w:lang w:val="en-US" w:eastAsia="zh-CN"/>
          <w14:textFill>
            <w14:solidFill>
              <w14:schemeClr w14:val="tx1"/>
            </w14:solidFill>
          </w14:textFill>
        </w:rPr>
        <w:t>要为河谷灌丛植被，植被盖度较低，不是大型野生动物理想的的栖息场所，由于项目区临近</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S313省道</w:t>
      </w:r>
      <w:r>
        <w:rPr>
          <w:rFonts w:hint="default" w:ascii="Times New Roman" w:hAnsi="Times New Roman" w:eastAsia="宋体" w:cs="Times New Roman"/>
          <w:color w:val="000000" w:themeColor="text1"/>
          <w:lang w:val="en-US" w:eastAsia="zh-CN"/>
          <w14:textFill>
            <w14:solidFill>
              <w14:schemeClr w14:val="tx1"/>
            </w14:solidFill>
          </w14:textFill>
        </w:rPr>
        <w:t>，附近区域人类活动频繁，许多野生动物为避开人类，大型动物早已离开本项目区域，因此难以见到珍稀野生动物，它们的栖息和繁殖</w:t>
      </w:r>
      <w:r>
        <w:rPr>
          <w:rFonts w:hint="eastAsia" w:ascii="Times New Roman" w:hAnsi="Times New Roman" w:cs="Times New Roman"/>
          <w:color w:val="000000" w:themeColor="text1"/>
          <w:lang w:val="en-US" w:eastAsia="zh-CN"/>
          <w14:textFill>
            <w14:solidFill>
              <w14:schemeClr w14:val="tx1"/>
            </w14:solidFill>
          </w14:textFill>
        </w:rPr>
        <w:t>主</w:t>
      </w:r>
      <w:r>
        <w:rPr>
          <w:rFonts w:hint="default" w:ascii="Times New Roman" w:hAnsi="Times New Roman" w:eastAsia="宋体" w:cs="Times New Roman"/>
          <w:color w:val="000000" w:themeColor="text1"/>
          <w:lang w:val="en-US" w:eastAsia="zh-CN"/>
          <w14:textFill>
            <w14:solidFill>
              <w14:schemeClr w14:val="tx1"/>
            </w14:solidFill>
          </w14:textFill>
        </w:rPr>
        <w:t>要在保护区的核心区、缓冲区地带。评价范围内常见的野生动物中，哺乳类动物主要有小家鼠甘肃亚种（Musmusulusgansuensis）、褐家鼠（Rattusnorvegicus）、灰仓鼠（Cricertulusmigratorius）草兔（Lepuscapensis）、岩松鼠（Sciurotamiasdavidianus）等；鸟类主要有喜（Picapica）大山雀（Parusmajor）、山麻雀（Passerrutilans）、家燕（Hirundorustica）、沙百灵（Eremophilaalpestris）；爬行类主要有白条锦蛇、中介等。</w:t>
      </w:r>
    </w:p>
    <w:p w14:paraId="46243FCD">
      <w:pPr>
        <w:ind w:firstLine="48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（3）土地利用调查</w:t>
      </w:r>
    </w:p>
    <w:p w14:paraId="79858EF9">
      <w:pPr>
        <w:ind w:firstLine="48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①土地利用现状</w:t>
      </w:r>
    </w:p>
    <w:p w14:paraId="38744DA9">
      <w:pPr>
        <w:ind w:firstLine="480"/>
        <w:jc w:val="left"/>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本项目位于</w:t>
      </w:r>
      <w:r>
        <w:rPr>
          <w:rFonts w:hint="default" w:ascii="Times New Roman" w:hAnsi="Times New Roman" w:cs="Times New Roman"/>
          <w:color w:val="000000" w:themeColor="text1"/>
          <w:highlight w:val="none"/>
          <w:lang w:val="en-US" w:eastAsia="zh-CN"/>
          <w14:textFill>
            <w14:solidFill>
              <w14:schemeClr w14:val="tx1"/>
            </w14:solidFill>
          </w14:textFill>
        </w:rPr>
        <w:t>泾源县</w:t>
      </w:r>
      <w:r>
        <w:rPr>
          <w:rFonts w:hint="default" w:ascii="Times New Roman" w:hAnsi="Times New Roman" w:eastAsia="宋体" w:cs="Times New Roman"/>
          <w:color w:val="000000" w:themeColor="text1"/>
          <w:highlight w:val="none"/>
          <w:lang w:val="en-US" w:eastAsia="zh-CN"/>
          <w14:textFill>
            <w14:solidFill>
              <w14:schemeClr w14:val="tx1"/>
            </w14:solidFill>
          </w14:textFill>
        </w:rPr>
        <w:t>黄花乡，</w:t>
      </w:r>
      <w:r>
        <w:rPr>
          <w:rFonts w:hint="default" w:ascii="Times New Roman" w:hAnsi="Times New Roman" w:cs="Times New Roman"/>
          <w:color w:val="000000" w:themeColor="text1"/>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highlight w:val="none"/>
          <w:lang w:val="en-US" w:eastAsia="zh-CN"/>
          <w14:textFill>
            <w14:solidFill>
              <w14:schemeClr w14:val="tx1"/>
            </w14:solidFill>
          </w14:textFill>
        </w:rPr>
        <w:t>土地</w:t>
      </w:r>
      <w:r>
        <w:rPr>
          <w:rFonts w:hint="default" w:ascii="Times New Roman" w:hAnsi="Times New Roman" w:cs="Times New Roman"/>
          <w:color w:val="000000" w:themeColor="text1"/>
          <w:highlight w:val="none"/>
          <w:lang w:val="en-US" w:eastAsia="zh-CN"/>
          <w14:textFill>
            <w14:solidFill>
              <w14:schemeClr w14:val="tx1"/>
            </w14:solidFill>
          </w14:textFill>
        </w:rPr>
        <w:t>利用</w:t>
      </w:r>
      <w:r>
        <w:rPr>
          <w:rFonts w:hint="default" w:ascii="Times New Roman" w:hAnsi="Times New Roman" w:eastAsia="宋体" w:cs="Times New Roman"/>
          <w:color w:val="000000" w:themeColor="text1"/>
          <w:highlight w:val="none"/>
          <w:lang w:val="en-US" w:eastAsia="zh-CN"/>
          <w14:textFill>
            <w14:solidFill>
              <w14:schemeClr w14:val="tx1"/>
            </w14:solidFill>
          </w14:textFill>
        </w:rPr>
        <w:t>类型</w:t>
      </w:r>
      <w:r>
        <w:rPr>
          <w:rFonts w:hint="default" w:ascii="Times New Roman" w:hAnsi="Times New Roman" w:cs="Times New Roman"/>
          <w:color w:val="000000" w:themeColor="text1"/>
          <w:highlight w:val="none"/>
          <w:lang w:val="en-US" w:eastAsia="zh-CN"/>
          <w14:textFill>
            <w14:solidFill>
              <w14:schemeClr w14:val="tx1"/>
            </w14:solidFill>
          </w14:textFill>
        </w:rPr>
        <w:t>主要为商服用地</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14:paraId="6586A89F">
      <w:pPr>
        <w:ind w:firstLine="48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②土壤类型</w:t>
      </w:r>
    </w:p>
    <w:p w14:paraId="29309B7C">
      <w:pPr>
        <w:ind w:firstLine="48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评价区域土壤类型主要以新积土为主，不存在黄绵土及灰钙土。</w:t>
      </w:r>
    </w:p>
    <w:p w14:paraId="37CB7FD0">
      <w:pPr>
        <w:ind w:firstLine="48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新积土是因河流涨水泥沙积石或因人工治河造田垫的新土而形成的土壤。多分布于河滩地。为幼龄星土壤，有机质含量降低。河流沉积的土壤剖面上下均匀，人工堆垫的土壤层次混乱。新积土地多处于海拔较低的河谷地带，水热条件较好，可作为造林地或农田，但要防止洪水冲刷。</w:t>
      </w:r>
    </w:p>
    <w:p w14:paraId="03A572D0">
      <w:pPr>
        <w:ind w:firstLine="48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③土壤侵蚀强度</w:t>
      </w:r>
    </w:p>
    <w:p w14:paraId="53E48BE3">
      <w:pPr>
        <w:ind w:firstLine="48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固原市泾源县位于宁夏南部山区，地貌类型属黄土丘陵沟壑地貌，水土流失类型区属黄土丘陵沟壑区第二副区。项目区的水土流失形式为水力侵蚀与风力侵蚀并存，以水力侵蚀为主（项目区降雨少而集中，降雨量集中在6-9月，占年降雨量的63%，且多以暴雨形式出现，是引起该区域产生水力侵蚀的主要原因）。评价区以水力侵蚀为主的西北黄土高原区，土壤侵蚀模数允许值为1000t/km</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lang w:val="en-US" w:eastAsia="zh-CN"/>
          <w14:textFill>
            <w14:solidFill>
              <w14:schemeClr w14:val="tx1"/>
            </w14:solidFill>
          </w14:textFill>
        </w:rPr>
        <w:t>•a。</w:t>
      </w:r>
    </w:p>
    <w:p w14:paraId="1D302796">
      <w:pPr>
        <w:ind w:firstLine="48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查阅宁夏土壤侵蚀图和《土壤侵蚀分类分级标准》（SL190-2007），并结合项目区地形、地貌、土壤及植被覆盖度等情况综合分析，确定项目区的土壤侵蚀以水力侵蚀为主，侵蚀强度为中度，平均土壤侵蚀模数为1200t/km</w:t>
      </w:r>
      <w:r>
        <w:rPr>
          <w:rFonts w:hint="default" w:ascii="Times New Roman" w:hAnsi="Times New Roman" w:eastAsia="宋体" w:cs="Times New Roman"/>
          <w:color w:val="000000" w:themeColor="text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lang w:val="en-US" w:eastAsia="zh-CN"/>
          <w14:textFill>
            <w14:solidFill>
              <w14:schemeClr w14:val="tx1"/>
            </w14:solidFill>
          </w14:textFill>
        </w:rPr>
        <w:t>•a。</w:t>
      </w:r>
    </w:p>
    <w:p w14:paraId="3F953741">
      <w:pPr>
        <w:autoSpaceDE w:val="0"/>
        <w:autoSpaceDN w:val="0"/>
        <w:adjustRightInd w:val="0"/>
        <w:ind w:firstLine="482"/>
        <w:rPr>
          <w:rFonts w:hint="default" w:ascii="Times New Roman" w:hAnsi="Times New Roman" w:eastAsia="宋体" w:cs="Times New Roman"/>
          <w:b/>
          <w:color w:val="000000" w:themeColor="text1"/>
          <w:kern w:val="0"/>
          <w:lang w:val="en-US" w:eastAsia="zh-CN"/>
          <w14:textFill>
            <w14:solidFill>
              <w14:schemeClr w14:val="tx1"/>
            </w14:solidFill>
          </w14:textFill>
        </w:rPr>
      </w:pPr>
      <w:r>
        <w:rPr>
          <w:rFonts w:hint="default" w:ascii="Times New Roman" w:hAnsi="Times New Roman" w:eastAsia="宋体" w:cs="Times New Roman"/>
          <w:b/>
          <w:color w:val="000000" w:themeColor="text1"/>
          <w:kern w:val="0"/>
          <w:lang w:val="en-US" w:eastAsia="zh-CN"/>
          <w14:textFill>
            <w14:solidFill>
              <w14:schemeClr w14:val="tx1"/>
            </w14:solidFill>
          </w14:textFill>
        </w:rPr>
        <w:t>4.3 六盘山自然保护区</w:t>
      </w:r>
    </w:p>
    <w:p w14:paraId="2E4BF5D0">
      <w:pPr>
        <w:autoSpaceDE w:val="0"/>
        <w:autoSpaceDN w:val="0"/>
        <w:adjustRightInd w:val="0"/>
        <w:ind w:firstLine="482"/>
        <w:rPr>
          <w:rFonts w:hint="default" w:ascii="Times New Roman" w:hAnsi="Times New Roman" w:eastAsia="宋体" w:cs="Times New Roman"/>
          <w:b/>
          <w:color w:val="000000" w:themeColor="text1"/>
          <w:kern w:val="0"/>
          <w:lang w:val="en-US" w:eastAsia="zh-CN"/>
          <w14:textFill>
            <w14:solidFill>
              <w14:schemeClr w14:val="tx1"/>
            </w14:solidFill>
          </w14:textFill>
        </w:rPr>
      </w:pPr>
      <w:r>
        <w:rPr>
          <w:rFonts w:hint="default" w:ascii="Times New Roman" w:hAnsi="Times New Roman" w:eastAsia="宋体" w:cs="Times New Roman"/>
          <w:b/>
          <w:color w:val="000000" w:themeColor="text1"/>
          <w:kern w:val="0"/>
          <w:lang w:val="en-US" w:eastAsia="zh-CN"/>
          <w14:textFill>
            <w14:solidFill>
              <w14:schemeClr w14:val="tx1"/>
            </w14:solidFill>
          </w14:textFill>
        </w:rPr>
        <w:t>4.3.1 保护区地理位置</w:t>
      </w:r>
    </w:p>
    <w:p w14:paraId="60A28DDF">
      <w:pPr>
        <w:ind w:firstLine="48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六盘山国家级自然保护区位于我国西北东部</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黄土高原的西部、宁夏回族自治区的南部</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总面积为90071hm²。主峰位于宁夏泾源、隆德两县交界处的米山</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海拔最高峰达2942m</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一般分布于海拔2300~2600m</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地理位置处于东经10609~10630</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北纬35°15'～3541'。它是我国西部半干旱区重要的生态屏障</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对调节周边的天然降水、改善区域生态环境具有重要的意义。</w:t>
      </w:r>
    </w:p>
    <w:p w14:paraId="27252DF5">
      <w:pPr>
        <w:autoSpaceDE w:val="0"/>
        <w:autoSpaceDN w:val="0"/>
        <w:adjustRightInd w:val="0"/>
        <w:ind w:firstLine="482"/>
        <w:rPr>
          <w:rFonts w:hint="default" w:ascii="Times New Roman" w:hAnsi="Times New Roman" w:eastAsia="宋体" w:cs="Times New Roman"/>
          <w:b/>
          <w:color w:val="000000" w:themeColor="text1"/>
          <w:kern w:val="0"/>
          <w:lang w:val="en-US" w:eastAsia="zh-CN"/>
          <w14:textFill>
            <w14:solidFill>
              <w14:schemeClr w14:val="tx1"/>
            </w14:solidFill>
          </w14:textFill>
        </w:rPr>
      </w:pPr>
      <w:r>
        <w:rPr>
          <w:rFonts w:hint="default" w:ascii="Times New Roman" w:hAnsi="Times New Roman" w:eastAsia="宋体" w:cs="Times New Roman"/>
          <w:b/>
          <w:color w:val="000000" w:themeColor="text1"/>
          <w:kern w:val="0"/>
          <w:lang w:val="en-US" w:eastAsia="zh-CN"/>
          <w14:textFill>
            <w14:solidFill>
              <w14:schemeClr w14:val="tx1"/>
            </w14:solidFill>
          </w14:textFill>
        </w:rPr>
        <w:t>4.3.2本项目与保护区位置关系</w:t>
      </w:r>
    </w:p>
    <w:p w14:paraId="455C705F">
      <w:pPr>
        <w:ind w:firstLine="480"/>
        <w:jc w:val="left"/>
        <w:rPr>
          <w:rFonts w:hint="default" w:ascii="Times New Roman" w:hAnsi="Times New Roman" w:eastAsia="宋体" w:cs="Times New Roman"/>
          <w:color w:val="000000" w:themeColor="text1"/>
          <w:highlight w:val="red"/>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本项目工程地点</w:t>
      </w:r>
      <w:r>
        <w:rPr>
          <w:rFonts w:hint="eastAsia" w:cs="Times New Roman"/>
          <w:color w:val="000000" w:themeColor="text1"/>
          <w:lang w:val="en-US" w:eastAsia="zh-CN"/>
          <w14:textFill>
            <w14:solidFill>
              <w14:schemeClr w14:val="tx1"/>
            </w14:solidFill>
          </w14:textFill>
        </w:rPr>
        <w:t>紧邻</w:t>
      </w:r>
      <w:r>
        <w:rPr>
          <w:rFonts w:hint="default" w:ascii="Times New Roman" w:hAnsi="Times New Roman" w:eastAsia="宋体" w:cs="Times New Roman"/>
          <w:color w:val="000000" w:themeColor="text1"/>
          <w:lang w:val="en-US" w:eastAsia="zh-CN"/>
          <w14:textFill>
            <w14:solidFill>
              <w14:schemeClr w14:val="tx1"/>
            </w14:solidFill>
          </w14:textFill>
        </w:rPr>
        <w:t>六</w:t>
      </w:r>
      <w:r>
        <w:rPr>
          <w:rFonts w:hint="default" w:ascii="Times New Roman" w:hAnsi="Times New Roman" w:eastAsia="宋体" w:cs="Times New Roman"/>
          <w:color w:val="000000" w:themeColor="text1"/>
          <w:highlight w:val="none"/>
          <w:lang w:val="en-US" w:eastAsia="zh-CN"/>
          <w14:textFill>
            <w14:solidFill>
              <w14:schemeClr w14:val="tx1"/>
            </w14:solidFill>
          </w14:textFill>
        </w:rPr>
        <w:t>盘山</w:t>
      </w:r>
      <w:r>
        <w:rPr>
          <w:rFonts w:hint="default" w:ascii="Times New Roman" w:hAnsi="Times New Roman" w:cs="Times New Roman"/>
          <w:color w:val="000000" w:themeColor="text1"/>
          <w:highlight w:val="none"/>
          <w:lang w:val="en-US" w:eastAsia="zh-CN"/>
          <w14:textFill>
            <w14:solidFill>
              <w14:schemeClr w14:val="tx1"/>
            </w14:solidFill>
          </w14:textFill>
        </w:rPr>
        <w:t>自治区</w:t>
      </w:r>
      <w:r>
        <w:rPr>
          <w:rFonts w:hint="default" w:ascii="Times New Roman" w:hAnsi="Times New Roman" w:eastAsia="宋体" w:cs="Times New Roman"/>
          <w:color w:val="000000" w:themeColor="text1"/>
          <w:highlight w:val="none"/>
          <w:lang w:val="en-US" w:eastAsia="zh-CN"/>
          <w14:textFill>
            <w14:solidFill>
              <w14:schemeClr w14:val="tx1"/>
            </w14:solidFill>
          </w14:textFill>
        </w:rPr>
        <w:t>级自然保护区</w:t>
      </w:r>
      <w:r>
        <w:rPr>
          <w:rFonts w:hint="eastAsia"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项目边界距保护区最近距离</w:t>
      </w:r>
      <w:r>
        <w:rPr>
          <w:rFonts w:hint="eastAsia" w:cs="Times New Roman"/>
          <w:color w:val="000000" w:themeColor="text1"/>
          <w:highlight w:val="none"/>
          <w:lang w:val="en-US" w:eastAsia="zh-CN"/>
          <w14:textFill>
            <w14:solidFill>
              <w14:schemeClr w14:val="tx1"/>
            </w14:solidFill>
          </w14:textFill>
        </w:rPr>
        <w:t>不到1</w:t>
      </w:r>
      <w:r>
        <w:rPr>
          <w:rFonts w:hint="default" w:ascii="Times New Roman" w:hAnsi="Times New Roman" w:cs="Times New Roman"/>
          <w:color w:val="000000" w:themeColor="text1"/>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highlight w:val="none"/>
          <w:lang w:val="en-US" w:eastAsia="zh-CN"/>
          <w14:textFill>
            <w14:solidFill>
              <w14:schemeClr w14:val="tx1"/>
            </w14:solidFill>
          </w14:textFill>
        </w:rPr>
        <w:t>项目与六盘山自然保护区位置关系见附图</w:t>
      </w:r>
      <w:r>
        <w:rPr>
          <w:rFonts w:hint="default" w:ascii="Times New Roman" w:hAnsi="Times New Roman" w:cs="Times New Roman"/>
          <w:color w:val="000000" w:themeColor="text1"/>
          <w:highlight w:val="none"/>
          <w:lang w:val="en-US" w:eastAsia="zh-CN"/>
          <w14:textFill>
            <w14:solidFill>
              <w14:schemeClr w14:val="tx1"/>
            </w14:solidFill>
          </w14:textFill>
        </w:rPr>
        <w:t>1</w:t>
      </w:r>
      <w:r>
        <w:rPr>
          <w:rFonts w:hint="eastAsia" w:cs="Times New Roman"/>
          <w:color w:val="000000" w:themeColor="text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p w14:paraId="6D1B6EB0">
      <w:pPr>
        <w:autoSpaceDE w:val="0"/>
        <w:autoSpaceDN w:val="0"/>
        <w:adjustRightInd w:val="0"/>
        <w:ind w:firstLine="482"/>
        <w:rPr>
          <w:rFonts w:hint="default" w:ascii="Times New Roman" w:hAnsi="Times New Roman" w:eastAsia="宋体" w:cs="Times New Roman"/>
          <w:b/>
          <w:color w:val="000000" w:themeColor="text1"/>
          <w:kern w:val="0"/>
          <w:lang w:val="en-US" w:eastAsia="zh-CN"/>
          <w14:textFill>
            <w14:solidFill>
              <w14:schemeClr w14:val="tx1"/>
            </w14:solidFill>
          </w14:textFill>
        </w:rPr>
      </w:pPr>
      <w:r>
        <w:rPr>
          <w:rFonts w:hint="default" w:ascii="Times New Roman" w:hAnsi="Times New Roman" w:eastAsia="宋体" w:cs="Times New Roman"/>
          <w:b/>
          <w:color w:val="000000" w:themeColor="text1"/>
          <w:kern w:val="0"/>
          <w:lang w:val="en-US" w:eastAsia="zh-CN"/>
          <w14:textFill>
            <w14:solidFill>
              <w14:schemeClr w14:val="tx1"/>
            </w14:solidFill>
          </w14:textFill>
        </w:rPr>
        <w:t>4.3.3 保护区概况及性质</w:t>
      </w:r>
    </w:p>
    <w:p w14:paraId="64D4EEEC">
      <w:pPr>
        <w:ind w:firstLine="48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六盘山国家级自然保护区始建于1982年</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自1988年晋升为国家级水源涵养林自然保护区。行政隶属宁夏固原市人民政府</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土地属国家所有。</w:t>
      </w:r>
    </w:p>
    <w:p w14:paraId="22CFC412">
      <w:pPr>
        <w:ind w:firstLine="48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六盘山国家级自然保护区是一个以森林为主体</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有着特殊保护价值的生态系统。保护区的建立对区内的森林资源</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及野生动物资源起到了积极的作用。无论从生态效益、经济效益、社会效益来说</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对宁夏南部山区的环境改善</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都具有十分重要意义。</w:t>
      </w:r>
    </w:p>
    <w:p w14:paraId="20823C9B">
      <w:pPr>
        <w:autoSpaceDE w:val="0"/>
        <w:autoSpaceDN w:val="0"/>
        <w:adjustRightInd w:val="0"/>
        <w:ind w:firstLine="482"/>
        <w:rPr>
          <w:rFonts w:hint="default" w:ascii="Times New Roman" w:hAnsi="Times New Roman" w:eastAsia="宋体" w:cs="Times New Roman"/>
          <w:b/>
          <w:color w:val="000000" w:themeColor="text1"/>
          <w:kern w:val="0"/>
          <w:lang w:val="en-US" w:eastAsia="zh-CN"/>
          <w14:textFill>
            <w14:solidFill>
              <w14:schemeClr w14:val="tx1"/>
            </w14:solidFill>
          </w14:textFill>
        </w:rPr>
      </w:pPr>
      <w:r>
        <w:rPr>
          <w:rFonts w:hint="default" w:ascii="Times New Roman" w:hAnsi="Times New Roman" w:eastAsia="宋体" w:cs="Times New Roman"/>
          <w:b/>
          <w:color w:val="000000" w:themeColor="text1"/>
          <w:kern w:val="0"/>
          <w:lang w:val="en-US" w:eastAsia="zh-CN"/>
          <w14:textFill>
            <w14:solidFill>
              <w14:schemeClr w14:val="tx1"/>
            </w14:solidFill>
          </w14:textFill>
        </w:rPr>
        <w:t>4.3.4 保护区类型及保护对象</w:t>
      </w:r>
    </w:p>
    <w:p w14:paraId="53AC9EB7">
      <w:pPr>
        <w:ind w:firstLine="48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根据六盘山自然保护区建设与发展的总体目标</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依据《国家自然保护区类型与级别划分原则》</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该保护区属</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森林生态系统</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中的水源涵养林生态系统类型。在我国西部半干旱区具有代表性。</w:t>
      </w:r>
    </w:p>
    <w:p w14:paraId="032E323D">
      <w:pPr>
        <w:ind w:firstLine="48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六盘山是华北台地与祁连山地地槽之间的一个过渡带</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是一座南北走向的狭长石质山地</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受蒙古高原干旱气候和秦岭湿润气候的影响</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形成了我国典型的暖温带半湿润区</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山体起伏较大</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森林群落类型多样</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植物物种丰富</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山间溪流众多</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河网密集</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常有流水河谷近百余条,是泾河的发源地</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同时还有部分水源流入清水河与渭河</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是黄土高原水源最为丰富的地区</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也是影响我国西部半干旱区天然降水的重要区域。根据六盘山的自然特点和区位优势</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该区保护对象是水源涵养林生态系统与珍稀物种。</w:t>
      </w:r>
    </w:p>
    <w:p w14:paraId="2FCCE6F1">
      <w:pPr>
        <w:autoSpaceDE w:val="0"/>
        <w:autoSpaceDN w:val="0"/>
        <w:adjustRightInd w:val="0"/>
        <w:ind w:firstLine="482"/>
        <w:rPr>
          <w:rFonts w:hint="default" w:ascii="Times New Roman" w:hAnsi="Times New Roman" w:eastAsia="宋体" w:cs="Times New Roman"/>
          <w:b/>
          <w:color w:val="000000" w:themeColor="text1"/>
          <w:kern w:val="0"/>
          <w:lang w:val="en-US" w:eastAsia="zh-CN"/>
          <w14:textFill>
            <w14:solidFill>
              <w14:schemeClr w14:val="tx1"/>
            </w14:solidFill>
          </w14:textFill>
        </w:rPr>
      </w:pPr>
      <w:r>
        <w:rPr>
          <w:rFonts w:hint="default" w:ascii="Times New Roman" w:hAnsi="Times New Roman" w:eastAsia="宋体" w:cs="Times New Roman"/>
          <w:b/>
          <w:color w:val="000000" w:themeColor="text1"/>
          <w:kern w:val="0"/>
          <w:lang w:val="en-US" w:eastAsia="zh-CN"/>
          <w14:textFill>
            <w14:solidFill>
              <w14:schemeClr w14:val="tx1"/>
            </w14:solidFill>
          </w14:textFill>
        </w:rPr>
        <w:t>5 生态环境影响分析</w:t>
      </w:r>
    </w:p>
    <w:p w14:paraId="44AA0E19">
      <w:pPr>
        <w:autoSpaceDE w:val="0"/>
        <w:autoSpaceDN w:val="0"/>
        <w:adjustRightInd w:val="0"/>
        <w:ind w:firstLine="482"/>
        <w:rPr>
          <w:rFonts w:hint="default" w:ascii="Times New Roman" w:hAnsi="Times New Roman" w:eastAsia="宋体" w:cs="Times New Roman"/>
          <w:b/>
          <w:color w:val="000000" w:themeColor="text1"/>
          <w:kern w:val="0"/>
          <w:lang w:val="en-US" w:eastAsia="zh-CN"/>
          <w14:textFill>
            <w14:solidFill>
              <w14:schemeClr w14:val="tx1"/>
            </w14:solidFill>
          </w14:textFill>
        </w:rPr>
      </w:pPr>
      <w:r>
        <w:rPr>
          <w:rFonts w:hint="default" w:ascii="Times New Roman" w:hAnsi="Times New Roman" w:eastAsia="宋体" w:cs="Times New Roman"/>
          <w:b/>
          <w:color w:val="000000" w:themeColor="text1"/>
          <w:kern w:val="0"/>
          <w:lang w:val="en-US" w:eastAsia="zh-CN"/>
          <w14:textFill>
            <w14:solidFill>
              <w14:schemeClr w14:val="tx1"/>
            </w14:solidFill>
          </w14:textFill>
        </w:rPr>
        <w:t>5.1 施工期生态环境影响分析</w:t>
      </w:r>
    </w:p>
    <w:p w14:paraId="3A7211DC">
      <w:pPr>
        <w:ind w:firstLine="480"/>
        <w:jc w:val="left"/>
        <w:rPr>
          <w:rFonts w:hint="default" w:ascii="Times New Roman" w:hAnsi="Times New Roman"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本项目为宁夏泾源县龙房宫片区生态环境修复与农林文旅康融合开发EOD项目，属于房地产开发，在整个工程施工过程中，会产生扬尘、废水、噪声、固废、占地等影响陆生生态的环境因素。</w:t>
      </w:r>
    </w:p>
    <w:p w14:paraId="33BC6DBC">
      <w:pPr>
        <w:autoSpaceDE w:val="0"/>
        <w:autoSpaceDN w:val="0"/>
        <w:adjustRightInd w:val="0"/>
        <w:ind w:firstLine="482"/>
        <w:rPr>
          <w:rFonts w:hint="default" w:ascii="Times New Roman" w:hAnsi="Times New Roman" w:eastAsia="宋体" w:cs="Times New Roman"/>
          <w:b/>
          <w:color w:val="000000" w:themeColor="text1"/>
          <w:kern w:val="0"/>
          <w:lang w:val="en-US" w:eastAsia="zh-CN"/>
          <w14:textFill>
            <w14:solidFill>
              <w14:schemeClr w14:val="tx1"/>
            </w14:solidFill>
          </w14:textFill>
        </w:rPr>
      </w:pPr>
      <w:r>
        <w:rPr>
          <w:rFonts w:hint="default" w:ascii="Times New Roman" w:hAnsi="Times New Roman" w:eastAsia="宋体" w:cs="Times New Roman"/>
          <w:b/>
          <w:color w:val="000000" w:themeColor="text1"/>
          <w:kern w:val="0"/>
          <w:lang w:val="en-US" w:eastAsia="zh-CN"/>
          <w14:textFill>
            <w14:solidFill>
              <w14:schemeClr w14:val="tx1"/>
            </w14:solidFill>
          </w14:textFill>
        </w:rPr>
        <w:t>5.1.1 对植物的影响分析</w:t>
      </w:r>
    </w:p>
    <w:p w14:paraId="0940BFF8">
      <w:pPr>
        <w:ind w:firstLine="48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占地影响的陆生植物主要为农作物、天然灌丛及少量高等乔木。根据现状调查，项目评价范围内植被主要为人工种植的各类树苗，如云杉、油松、樟子松、华山松桃等不司规格的针叶绿化树：暴马丁香、天目琼花、珍珠梅、建德山梅花、甘肃山楂等六盘山地区特有的观叶、观花、观果、观色树种</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垂柳、红花槐、刺玫、丁香、紫叶李等适宜西北地区栽植的阔叶造林绿化树种等。自然植被</w:t>
      </w:r>
      <w:r>
        <w:rPr>
          <w:rFonts w:hint="eastAsia" w:ascii="Times New Roman" w:hAnsi="Times New Roman" w:cs="Times New Roman"/>
          <w:color w:val="000000" w:themeColor="text1"/>
          <w:lang w:val="en-US" w:eastAsia="zh-CN"/>
          <w14:textFill>
            <w14:solidFill>
              <w14:schemeClr w14:val="tx1"/>
            </w14:solidFill>
          </w14:textFill>
        </w:rPr>
        <w:t>主</w:t>
      </w:r>
      <w:r>
        <w:rPr>
          <w:rFonts w:hint="default" w:ascii="Times New Roman" w:hAnsi="Times New Roman" w:eastAsia="宋体" w:cs="Times New Roman"/>
          <w:color w:val="000000" w:themeColor="text1"/>
          <w:lang w:val="en-US" w:eastAsia="zh-CN"/>
          <w14:textFill>
            <w14:solidFill>
              <w14:schemeClr w14:val="tx1"/>
            </w14:solidFill>
          </w14:textFill>
        </w:rPr>
        <w:t>要为柠条群系、草群系、胡枝子群系、沙高群系、糙隐子草群系等，项目评价范围内不存在珍稀濒危植被，无国家或地区保护种类别。</w:t>
      </w:r>
    </w:p>
    <w:p w14:paraId="74251DF5">
      <w:pPr>
        <w:ind w:firstLine="48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施工期由于场地平整、各种建构筑物基础开挖，原有农作物、植被将被破坏；施工运输、临时建构筑物占地也会将施工区植被破坏，造成生物量减少。上述植物种类均为评价区广泛分布类型，工程建设活动对其造成的影响及破坏有限，工程施工结束后进行水土保持生态修复工作，施工建设活动不会对该区域植被及陆生植物多样性造成较大影响。</w:t>
      </w:r>
    </w:p>
    <w:p w14:paraId="42B2D34F">
      <w:pPr>
        <w:ind w:firstLine="480"/>
        <w:rPr>
          <w:rFonts w:hint="default" w:ascii="Times New Roman" w:hAnsi="Times New Roman" w:eastAsia="宋体" w:cs="Times New Roman"/>
          <w:b/>
          <w:color w:val="000000" w:themeColor="text1"/>
          <w:kern w:val="0"/>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另外，工程施工期间，由于开挖土石方及各种施工机械，其中以扬尘影响更大，部分粉尘沉降在植物叶片表面，降低植物的光合与呼吸作用，进而对植物生长发育产生一定的影响，如果在花期，扬尘影响植物结果，影响植物特别是农作物的产量和品质。尽管植物对其生长环境中的条件恶化具有某种程度的适应能力，但超过一定限度就会受到伤害。</w:t>
      </w:r>
      <w:r>
        <w:rPr>
          <w:rFonts w:hint="default" w:ascii="Times New Roman" w:hAnsi="Times New Roman" w:eastAsia="宋体" w:cs="Times New Roman"/>
          <w:color w:val="000000" w:themeColor="text1"/>
          <w14:textFill>
            <w14:solidFill>
              <w14:schemeClr w14:val="tx1"/>
            </w14:solidFill>
          </w14:textFill>
        </w:rPr>
        <w:t>工程施工中应采取一系列有利于土地及植被恢复的措施，做好占地补偿以及施工后的恢复，</w:t>
      </w:r>
      <w:r>
        <w:rPr>
          <w:rFonts w:hint="default" w:ascii="Times New Roman" w:hAnsi="Times New Roman" w:eastAsia="宋体" w:cs="Times New Roman"/>
          <w:color w:val="000000" w:themeColor="text1"/>
          <w:lang w:val="en-US" w:eastAsia="zh-CN"/>
          <w14:textFill>
            <w14:solidFill>
              <w14:schemeClr w14:val="tx1"/>
            </w14:solidFill>
          </w14:textFill>
        </w:rPr>
        <w:t>随着施工期结束及项目区植物群落系统的恢复，本项目对其造成的影响将逐步减弱。</w:t>
      </w:r>
    </w:p>
    <w:p w14:paraId="5C2973E3">
      <w:pPr>
        <w:autoSpaceDE w:val="0"/>
        <w:autoSpaceDN w:val="0"/>
        <w:adjustRightInd w:val="0"/>
        <w:ind w:firstLine="482"/>
        <w:rPr>
          <w:rFonts w:hint="default" w:ascii="Times New Roman" w:hAnsi="Times New Roman" w:eastAsia="宋体" w:cs="Times New Roman"/>
          <w:b/>
          <w:color w:val="000000" w:themeColor="text1"/>
          <w:kern w:val="0"/>
          <w:lang w:val="en-US" w:eastAsia="zh-CN"/>
          <w14:textFill>
            <w14:solidFill>
              <w14:schemeClr w14:val="tx1"/>
            </w14:solidFill>
          </w14:textFill>
        </w:rPr>
      </w:pPr>
      <w:r>
        <w:rPr>
          <w:rFonts w:hint="default" w:ascii="Times New Roman" w:hAnsi="Times New Roman" w:eastAsia="宋体" w:cs="Times New Roman"/>
          <w:b/>
          <w:color w:val="000000" w:themeColor="text1"/>
          <w:kern w:val="0"/>
          <w:lang w:val="en-US" w:eastAsia="zh-CN"/>
          <w14:textFill>
            <w14:solidFill>
              <w14:schemeClr w14:val="tx1"/>
            </w14:solidFill>
          </w14:textFill>
        </w:rPr>
        <w:t>5.1.2 对动物的影响分析</w:t>
      </w:r>
    </w:p>
    <w:p w14:paraId="7E175250">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工程施工对动物的影响</w:t>
      </w:r>
      <w:r>
        <w:rPr>
          <w:rFonts w:hint="default" w:ascii="Times New Roman" w:hAnsi="Times New Roman" w:cs="Times New Roman"/>
          <w:color w:val="000000" w:themeColor="text1"/>
          <w:lang w:val="en-US" w:eastAsia="zh-CN"/>
          <w14:textFill>
            <w14:solidFill>
              <w14:schemeClr w14:val="tx1"/>
            </w14:solidFill>
          </w14:textFill>
        </w:rPr>
        <w:t>主</w:t>
      </w:r>
      <w:r>
        <w:rPr>
          <w:rFonts w:hint="default" w:ascii="Times New Roman" w:hAnsi="Times New Roman" w:eastAsia="宋体" w:cs="Times New Roman"/>
          <w:color w:val="000000" w:themeColor="text1"/>
          <w:lang w:val="en-US" w:eastAsia="zh-CN"/>
          <w14:textFill>
            <w14:solidFill>
              <w14:schemeClr w14:val="tx1"/>
            </w14:solidFill>
          </w14:textFill>
        </w:rPr>
        <w:t>要是项目占地会侵占部分动物栖息地</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破坏部分动物觅食区，干扰其正常的生命活动，但由于项目建设地点临近</w:t>
      </w:r>
      <w:r>
        <w:rPr>
          <w:rFonts w:hint="default" w:ascii="Times New Roman" w:hAnsi="Times New Roman" w:cs="Times New Roman"/>
          <w:color w:val="000000" w:themeColor="text1"/>
          <w:lang w:val="en-US" w:eastAsia="zh-CN"/>
          <w14:textFill>
            <w14:solidFill>
              <w14:schemeClr w14:val="tx1"/>
            </w14:solidFill>
          </w14:textFill>
        </w:rPr>
        <w:t>S</w:t>
      </w:r>
      <w:r>
        <w:rPr>
          <w:rFonts w:hint="default" w:ascii="Times New Roman" w:hAnsi="Times New Roman" w:cs="Times New Roman"/>
          <w:color w:val="000000" w:themeColor="text1"/>
          <w:highlight w:val="none"/>
          <w:lang w:val="en-US" w:eastAsia="zh-CN"/>
          <w14:textFill>
            <w14:solidFill>
              <w14:schemeClr w14:val="tx1"/>
            </w14:solidFill>
          </w14:textFill>
        </w:rPr>
        <w:t>313</w:t>
      </w:r>
      <w:r>
        <w:rPr>
          <w:rFonts w:hint="default" w:ascii="Times New Roman" w:hAnsi="Times New Roman" w:eastAsia="宋体" w:cs="Times New Roman"/>
          <w:color w:val="000000" w:themeColor="text1"/>
          <w:highlight w:val="none"/>
          <w:lang w:val="en-US" w:eastAsia="zh-CN"/>
          <w14:textFill>
            <w14:solidFill>
              <w14:schemeClr w14:val="tx1"/>
            </w14:solidFill>
          </w14:textFill>
        </w:rPr>
        <w:t>省道，人</w:t>
      </w:r>
      <w:r>
        <w:rPr>
          <w:rFonts w:hint="default" w:ascii="Times New Roman" w:hAnsi="Times New Roman" w:eastAsia="宋体" w:cs="Times New Roman"/>
          <w:color w:val="000000" w:themeColor="text1"/>
          <w:lang w:val="en-US" w:eastAsia="zh-CN"/>
          <w14:textFill>
            <w14:solidFill>
              <w14:schemeClr w14:val="tx1"/>
            </w14:solidFill>
          </w14:textFill>
        </w:rPr>
        <w:t>类活动频繁，野生动物的生存环境基本上已经遭到破坏</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野生动物物种、数量均不多，根据现场调查，项目区主要分布动物有青蛙、野兔、田鼠、蝙蝠、蛇、喜鹊等，暂未发现珍稀濒危保护野生动物。</w:t>
      </w:r>
    </w:p>
    <w:p w14:paraId="076402C6">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工程永久占地主要影响区内分布的两栖、爬行类动物，且种类较常见，它们可以迁移至非施工区，工程占地对其影响较小。本项目施工主要影响涉禽、陆禽及兽类，包括直接占用其生境和施工噪声惊扰影响，在短期内使得该区域鸟类数量减少，部分兽类将远离原来的栖息地。</w:t>
      </w:r>
    </w:p>
    <w:p w14:paraId="1806F8AD">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项目运营</w:t>
      </w:r>
      <w:r>
        <w:rPr>
          <w:rFonts w:hint="default" w:ascii="Times New Roman" w:hAnsi="Times New Roman" w:eastAsia="宋体" w:cs="Times New Roman"/>
          <w:color w:val="000000" w:themeColor="text1"/>
          <w:lang w:val="en-US" w:eastAsia="zh-CN"/>
          <w14:textFill>
            <w14:solidFill>
              <w14:schemeClr w14:val="tx1"/>
            </w14:solidFill>
          </w14:textFill>
        </w:rPr>
        <w:t>后，随着项目区植物群落系统的恢复和生态环境的改善，鸟类、两栖爬行类野生动物活动范围增加，有利于这些动物的栖息和觅食，对种群的繁衍起到促进作用。</w:t>
      </w:r>
    </w:p>
    <w:p w14:paraId="21C57CFA">
      <w:pPr>
        <w:ind w:firstLine="480"/>
        <w:rPr>
          <w:rFonts w:hint="default" w:ascii="Times New Roman" w:hAnsi="Times New Roman" w:eastAsia="宋体" w:cs="Times New Roman"/>
          <w:b/>
          <w:color w:val="000000" w:themeColor="text1"/>
          <w:kern w:val="0"/>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因此，项目的建设对评价范围内野生动物的影响较小。</w:t>
      </w:r>
    </w:p>
    <w:p w14:paraId="0FED23F0">
      <w:pPr>
        <w:autoSpaceDE w:val="0"/>
        <w:autoSpaceDN w:val="0"/>
        <w:adjustRightInd w:val="0"/>
        <w:ind w:firstLine="482"/>
        <w:rPr>
          <w:rFonts w:hint="default" w:ascii="Times New Roman" w:hAnsi="Times New Roman" w:cs="Times New Roman"/>
          <w:b/>
          <w:color w:val="000000" w:themeColor="text1"/>
          <w:kern w:val="0"/>
          <w14:textFill>
            <w14:solidFill>
              <w14:schemeClr w14:val="tx1"/>
            </w14:solidFill>
          </w14:textFill>
        </w:rPr>
      </w:pPr>
      <w:r>
        <w:rPr>
          <w:rFonts w:hint="default" w:ascii="Times New Roman" w:hAnsi="Times New Roman" w:eastAsia="宋体" w:cs="Times New Roman"/>
          <w:b/>
          <w:color w:val="000000" w:themeColor="text1"/>
          <w:kern w:val="0"/>
          <w:lang w:val="en-US" w:eastAsia="zh-CN"/>
          <w14:textFill>
            <w14:solidFill>
              <w14:schemeClr w14:val="tx1"/>
            </w14:solidFill>
          </w14:textFill>
        </w:rPr>
        <w:t>5.1.3 对</w:t>
      </w:r>
      <w:r>
        <w:rPr>
          <w:rFonts w:hint="default" w:ascii="Times New Roman" w:hAnsi="Times New Roman" w:cs="Times New Roman"/>
          <w:b/>
          <w:color w:val="000000" w:themeColor="text1"/>
          <w:kern w:val="0"/>
          <w14:textFill>
            <w14:solidFill>
              <w14:schemeClr w14:val="tx1"/>
            </w14:solidFill>
          </w14:textFill>
        </w:rPr>
        <w:t>土地利用的影响</w:t>
      </w:r>
    </w:p>
    <w:p w14:paraId="087A9107">
      <w:pPr>
        <w:ind w:firstLine="48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本项目总占地</w:t>
      </w:r>
      <w:r>
        <w:rPr>
          <w:rFonts w:hint="default" w:ascii="Times New Roman" w:hAnsi="Times New Roman" w:cs="Times New Roman"/>
          <w:color w:val="000000" w:themeColor="text1"/>
          <w:highlight w:val="none"/>
          <w:lang w:val="en-US" w:eastAsia="zh-CN"/>
          <w14:textFill>
            <w14:solidFill>
              <w14:schemeClr w14:val="tx1"/>
            </w14:solidFill>
          </w14:textFill>
        </w:rPr>
        <w:t>面积148111.10m</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占地主要包括永久占地和施工临时占地，永久占地为各建构筑物的占地，临时占地主要是施工区占地。</w:t>
      </w:r>
    </w:p>
    <w:p w14:paraId="730F90CD">
      <w:pPr>
        <w:ind w:firstLine="48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本项目</w:t>
      </w:r>
      <w:r>
        <w:rPr>
          <w:rFonts w:hint="eastAsia" w:cs="Times New Roman"/>
          <w:color w:val="000000" w:themeColor="text1"/>
          <w:highlight w:val="none"/>
          <w:lang w:val="en-US" w:eastAsia="zh-CN"/>
          <w14:textFill>
            <w14:solidFill>
              <w14:schemeClr w14:val="tx1"/>
            </w14:solidFill>
          </w14:textFill>
        </w:rPr>
        <w:t>施工期设置施</w:t>
      </w:r>
      <w:r>
        <w:rPr>
          <w:rFonts w:hint="default" w:ascii="Times New Roman" w:hAnsi="Times New Roman" w:cs="Times New Roman"/>
          <w:color w:val="000000" w:themeColor="text1"/>
          <w:highlight w:val="none"/>
          <w:lang w:val="en-US" w:eastAsia="zh-CN"/>
          <w14:textFill>
            <w14:solidFill>
              <w14:schemeClr w14:val="tx1"/>
            </w14:solidFill>
          </w14:textFill>
        </w:rPr>
        <w:t>工营地</w:t>
      </w:r>
      <w:r>
        <w:rPr>
          <w:rFonts w:hint="eastAsia" w:cs="Times New Roman"/>
          <w:color w:val="000000" w:themeColor="text1"/>
          <w:highlight w:val="none"/>
          <w:lang w:val="en-US" w:eastAsia="zh-CN"/>
          <w14:textFill>
            <w14:solidFill>
              <w14:schemeClr w14:val="tx1"/>
            </w14:solidFill>
          </w14:textFill>
        </w:rPr>
        <w:t>和施工便道，</w:t>
      </w:r>
      <w:r>
        <w:rPr>
          <w:rFonts w:hint="default" w:ascii="Times New Roman" w:hAnsi="Times New Roman" w:cs="Times New Roman"/>
          <w:color w:val="000000" w:themeColor="text1"/>
          <w:highlight w:val="none"/>
          <w:lang w:val="en-US" w:eastAsia="zh-CN"/>
          <w14:textFill>
            <w14:solidFill>
              <w14:schemeClr w14:val="tx1"/>
            </w14:solidFill>
          </w14:textFill>
        </w:rPr>
        <w:t>施工材料、土方运输</w:t>
      </w:r>
      <w:r>
        <w:rPr>
          <w:rFonts w:hint="eastAsia" w:cs="Times New Roman"/>
          <w:color w:val="000000" w:themeColor="text1"/>
          <w:highlight w:val="none"/>
          <w:lang w:val="en-US" w:eastAsia="zh-CN"/>
          <w14:textFill>
            <w14:solidFill>
              <w14:schemeClr w14:val="tx1"/>
            </w14:solidFill>
          </w14:textFill>
        </w:rPr>
        <w:t>利用新设施工道路和依托</w:t>
      </w:r>
      <w:r>
        <w:rPr>
          <w:rFonts w:hint="default" w:ascii="Times New Roman" w:hAnsi="Times New Roman" w:cs="Times New Roman"/>
          <w:color w:val="000000" w:themeColor="text1"/>
          <w:highlight w:val="none"/>
          <w:lang w:val="en-US" w:eastAsia="zh-CN"/>
          <w14:textFill>
            <w14:solidFill>
              <w14:schemeClr w14:val="tx1"/>
            </w14:solidFill>
          </w14:textFill>
        </w:rPr>
        <w:t>现有道路；工程产生的土方在内部进行调运平衡，不产生弃方，因此，不设弃土场。</w:t>
      </w:r>
    </w:p>
    <w:p w14:paraId="58E274E0">
      <w:pPr>
        <w:ind w:firstLine="48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根据调查，工程建设永久性占地以商服用地为主，</w:t>
      </w:r>
      <w:r>
        <w:rPr>
          <w:rFonts w:hint="default" w:ascii="Times New Roman" w:hAnsi="Times New Roman" w:cs="Times New Roman"/>
          <w:color w:val="000000" w:themeColor="text1"/>
          <w:highlight w:val="none"/>
          <w14:textFill>
            <w14:solidFill>
              <w14:schemeClr w14:val="tx1"/>
            </w14:solidFill>
          </w14:textFill>
        </w:rPr>
        <w:t>工程</w:t>
      </w:r>
      <w:r>
        <w:rPr>
          <w:rFonts w:hint="default" w:ascii="Times New Roman" w:hAnsi="Times New Roman" w:cs="Times New Roman"/>
          <w:color w:val="000000" w:themeColor="text1"/>
          <w14:textFill>
            <w14:solidFill>
              <w14:schemeClr w14:val="tx1"/>
            </w14:solidFill>
          </w14:textFill>
        </w:rPr>
        <w:t>占用的土地将会永远失去原有的功能，对生态产生一定影响。施工期临时性占地</w:t>
      </w:r>
      <w:r>
        <w:rPr>
          <w:rFonts w:hint="default" w:ascii="Times New Roman" w:hAnsi="Times New Roman" w:cs="Times New Roman"/>
          <w:color w:val="000000" w:themeColor="text1"/>
          <w:lang w:val="en-US" w:eastAsia="zh-CN"/>
          <w14:textFill>
            <w14:solidFill>
              <w14:schemeClr w14:val="tx1"/>
            </w14:solidFill>
          </w14:textFill>
        </w:rPr>
        <w:t>也</w:t>
      </w:r>
      <w:r>
        <w:rPr>
          <w:rFonts w:hint="default" w:ascii="Times New Roman" w:hAnsi="Times New Roman" w:cs="Times New Roman"/>
          <w:color w:val="000000" w:themeColor="text1"/>
          <w14:textFill>
            <w14:solidFill>
              <w14:schemeClr w14:val="tx1"/>
            </w14:solidFill>
          </w14:textFill>
        </w:rPr>
        <w:t>将破坏占用土地上的植被，</w:t>
      </w:r>
      <w:r>
        <w:rPr>
          <w:rFonts w:hint="default" w:ascii="Times New Roman" w:hAnsi="Times New Roman" w:cs="Times New Roman"/>
          <w:color w:val="000000" w:themeColor="text1"/>
          <w:lang w:val="en-US" w:eastAsia="zh-CN"/>
          <w14:textFill>
            <w14:solidFill>
              <w14:schemeClr w14:val="tx1"/>
            </w14:solidFill>
          </w14:textFill>
        </w:rPr>
        <w:t>但</w:t>
      </w:r>
      <w:r>
        <w:rPr>
          <w:rFonts w:hint="default" w:ascii="Times New Roman" w:hAnsi="Times New Roman" w:cs="Times New Roman"/>
          <w:color w:val="000000" w:themeColor="text1"/>
          <w14:textFill>
            <w14:solidFill>
              <w14:schemeClr w14:val="tx1"/>
            </w14:solidFill>
          </w14:textFill>
        </w:rPr>
        <w:t>施工结束后，可通过覆土回填</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平整恢复等措施恢复</w:t>
      </w:r>
      <w:r>
        <w:rPr>
          <w:rFonts w:hint="default" w:ascii="Times New Roman" w:hAnsi="Times New Roman" w:cs="Times New Roman"/>
          <w:color w:val="000000" w:themeColor="text1"/>
          <w:lang w:val="en-US" w:eastAsia="zh-CN"/>
          <w14:textFill>
            <w14:solidFill>
              <w14:schemeClr w14:val="tx1"/>
            </w14:solidFill>
          </w14:textFill>
        </w:rPr>
        <w:t>部分</w:t>
      </w:r>
      <w:r>
        <w:rPr>
          <w:rFonts w:hint="default" w:ascii="Times New Roman" w:hAnsi="Times New Roman" w:cs="Times New Roman"/>
          <w:color w:val="000000" w:themeColor="text1"/>
          <w14:textFill>
            <w14:solidFill>
              <w14:schemeClr w14:val="tx1"/>
            </w14:solidFill>
          </w14:textFill>
        </w:rPr>
        <w:t>原有土地功能。因此</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项目施工对区域土地利用影响较小。</w:t>
      </w:r>
    </w:p>
    <w:p w14:paraId="5EB2032C">
      <w:pPr>
        <w:bidi w:val="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5.1.4 水土流失影响分析</w:t>
      </w:r>
    </w:p>
    <w:p w14:paraId="2ADEC8C4">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本项目建设过程中，地表植被遭到破坏，形成裸露地表，使区域内的水土保持功能降低，加剧了水土流失。在施工期间，若遇到强度较大的降雨，易产生严重的水土流失。</w:t>
      </w:r>
    </w:p>
    <w:p w14:paraId="4C01E3F0">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本项目对水土流失的影响主要是基础施工开挖，地表植被损失，土壤裸露而造成的侵蚀，采取水保措施后，水土流失治理程度达95%以上。</w:t>
      </w:r>
    </w:p>
    <w:p w14:paraId="57849C62">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本项目可采取合理施工，严格控制施工范围，设置雨截排水沟，暴天时对施工场地进行遮盖，施工后及时恢复植被等生态防护措施，控制水土流失。采取水保措施后，工程建设对评价区水土流失影响较小。</w:t>
      </w:r>
    </w:p>
    <w:p w14:paraId="2C638EA1">
      <w:pPr>
        <w:bidi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5.1.5 对景观影响分析</w:t>
      </w:r>
    </w:p>
    <w:p w14:paraId="45CFE0F3">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施工期工程取土、植被破坏、临时搭建施工设施、临时建筑设施及材料、施工机械摆放、施工现场的零乱等均对景观有不利影响，施工现场的零乱对景观空间有分隔作用，增加了景观的破碎度，不利于景观的连通性与协调性，可能对游人造成视觉污染，破坏了自然的和谐性。</w:t>
      </w:r>
      <w:r>
        <w:rPr>
          <w:rFonts w:hint="default" w:ascii="Times New Roman" w:hAnsi="Times New Roman" w:cs="Times New Roman"/>
          <w:color w:val="000000" w:themeColor="text1"/>
          <w:lang w:val="en-US" w:eastAsia="zh-CN"/>
          <w14:textFill>
            <w14:solidFill>
              <w14:schemeClr w14:val="tx1"/>
            </w14:solidFill>
          </w14:textFill>
        </w:rPr>
        <w:t>但</w:t>
      </w:r>
      <w:r>
        <w:rPr>
          <w:rFonts w:hint="default" w:ascii="Times New Roman" w:hAnsi="Times New Roman" w:eastAsia="宋体" w:cs="Times New Roman"/>
          <w:color w:val="000000" w:themeColor="text1"/>
          <w:lang w:val="en-US" w:eastAsia="zh-CN"/>
          <w14:textFill>
            <w14:solidFill>
              <w14:schemeClr w14:val="tx1"/>
            </w14:solidFill>
          </w14:textFill>
        </w:rPr>
        <w:t>随着本项目的建成以及投用，将逐步改善景观。因此，施工期对景观的影响较小。</w:t>
      </w:r>
    </w:p>
    <w:p w14:paraId="253C34AA">
      <w:pPr>
        <w:bidi w:val="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5.1.6 对六盘山国家级自然保护区的影响分析</w:t>
      </w:r>
    </w:p>
    <w:p w14:paraId="3362352D">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（1）对植物多样性的分析</w:t>
      </w:r>
    </w:p>
    <w:p w14:paraId="3F4D9E92">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本项目与六盘山</w:t>
      </w:r>
      <w:r>
        <w:rPr>
          <w:rFonts w:hint="default" w:ascii="Times New Roman" w:hAnsi="Times New Roman" w:cs="Times New Roman"/>
          <w:color w:val="000000" w:themeColor="text1"/>
          <w:lang w:val="en-US" w:eastAsia="zh-CN"/>
          <w14:textFill>
            <w14:solidFill>
              <w14:schemeClr w14:val="tx1"/>
            </w14:solidFill>
          </w14:textFill>
        </w:rPr>
        <w:t>自治区</w:t>
      </w:r>
      <w:r>
        <w:rPr>
          <w:rFonts w:hint="default" w:ascii="Times New Roman" w:hAnsi="Times New Roman" w:eastAsia="宋体" w:cs="Times New Roman"/>
          <w:color w:val="000000" w:themeColor="text1"/>
          <w:lang w:val="en-US" w:eastAsia="zh-CN"/>
          <w14:textFill>
            <w14:solidFill>
              <w14:schemeClr w14:val="tx1"/>
            </w14:solidFill>
          </w14:textFill>
        </w:rPr>
        <w:t>级自然保护区相邻，</w:t>
      </w:r>
      <w:r>
        <w:rPr>
          <w:rFonts w:hint="default" w:ascii="Times New Roman" w:hAnsi="Times New Roman" w:cs="Times New Roman"/>
          <w:color w:val="000000" w:themeColor="text1"/>
          <w:lang w:val="en-US" w:eastAsia="zh-CN"/>
          <w14:textFill>
            <w14:solidFill>
              <w14:schemeClr w14:val="tx1"/>
            </w14:solidFill>
          </w14:textFill>
        </w:rPr>
        <w:t>距保护区最近距离</w:t>
      </w:r>
      <w:r>
        <w:rPr>
          <w:rFonts w:hint="eastAsia" w:cs="Times New Roman"/>
          <w:color w:val="000000" w:themeColor="text1"/>
          <w:lang w:val="en-US" w:eastAsia="zh-CN"/>
          <w14:textFill>
            <w14:solidFill>
              <w14:schemeClr w14:val="tx1"/>
            </w14:solidFill>
          </w14:textFill>
        </w:rPr>
        <w:t>不到1</w:t>
      </w:r>
      <w:r>
        <w:rPr>
          <w:rFonts w:hint="default" w:ascii="Times New Roman" w:hAnsi="Times New Roman" w:cs="Times New Roman"/>
          <w:color w:val="000000" w:themeColor="text1"/>
          <w:lang w:val="en-US" w:eastAsia="zh-CN"/>
          <w14:textFill>
            <w14:solidFill>
              <w14:schemeClr w14:val="tx1"/>
            </w14:solidFill>
          </w14:textFill>
        </w:rPr>
        <w:t>m，</w:t>
      </w:r>
      <w:r>
        <w:rPr>
          <w:rFonts w:hint="default" w:ascii="Times New Roman" w:hAnsi="Times New Roman" w:eastAsia="宋体" w:cs="Times New Roman"/>
          <w:color w:val="000000" w:themeColor="text1"/>
          <w:lang w:val="en-US" w:eastAsia="zh-CN"/>
          <w14:textFill>
            <w14:solidFill>
              <w14:schemeClr w14:val="tx1"/>
            </w14:solidFill>
          </w14:textFill>
        </w:rPr>
        <w:t>根据现场调查，项目边界500m范围内无国家重点保护的野生植物分布，主要为一些杂草，项目的建设不会导致区域植物种群灭绝，仅在实施过程中使区域植被遭到一定的破坏，且影响范围较小，随着项目的建成，将会大面积恢复植被种植，增加植被物种数量、覆盖度及面积，对改善区域植物多样性有积极作用。</w:t>
      </w:r>
    </w:p>
    <w:p w14:paraId="4737A499">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（2）对动物多样性的分析</w:t>
      </w:r>
    </w:p>
    <w:p w14:paraId="5F8AD381">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六盘山国家级自然保护区内野生动物主要分布于核心区内，且动物活动范围较固定，野生保护动物以、兽类鸟类为主。本项目与六盘山</w:t>
      </w:r>
      <w:r>
        <w:rPr>
          <w:rFonts w:hint="default" w:ascii="Times New Roman" w:hAnsi="Times New Roman" w:cs="Times New Roman"/>
          <w:color w:val="000000" w:themeColor="text1"/>
          <w:lang w:val="en-US" w:eastAsia="zh-CN"/>
          <w14:textFill>
            <w14:solidFill>
              <w14:schemeClr w14:val="tx1"/>
            </w14:solidFill>
          </w14:textFill>
        </w:rPr>
        <w:t>自治区</w:t>
      </w:r>
      <w:r>
        <w:rPr>
          <w:rFonts w:hint="default" w:ascii="Times New Roman" w:hAnsi="Times New Roman" w:eastAsia="宋体" w:cs="Times New Roman"/>
          <w:color w:val="000000" w:themeColor="text1"/>
          <w:lang w:val="en-US" w:eastAsia="zh-CN"/>
          <w14:textFill>
            <w14:solidFill>
              <w14:schemeClr w14:val="tx1"/>
            </w14:solidFill>
          </w14:textFill>
        </w:rPr>
        <w:t>级自然保护区相邻，</w:t>
      </w:r>
      <w:r>
        <w:rPr>
          <w:rFonts w:hint="default" w:ascii="Times New Roman" w:hAnsi="Times New Roman" w:cs="Times New Roman"/>
          <w:color w:val="000000" w:themeColor="text1"/>
          <w:lang w:val="en-US" w:eastAsia="zh-CN"/>
          <w14:textFill>
            <w14:solidFill>
              <w14:schemeClr w14:val="tx1"/>
            </w14:solidFill>
          </w14:textFill>
        </w:rPr>
        <w:t>较核心区较远，</w:t>
      </w:r>
      <w:r>
        <w:rPr>
          <w:rFonts w:hint="default" w:ascii="Times New Roman" w:hAnsi="Times New Roman" w:eastAsia="宋体" w:cs="Times New Roman"/>
          <w:color w:val="000000" w:themeColor="text1"/>
          <w:lang w:val="en-US" w:eastAsia="zh-CN"/>
          <w14:textFill>
            <w14:solidFill>
              <w14:schemeClr w14:val="tx1"/>
            </w14:solidFill>
          </w14:textFill>
        </w:rPr>
        <w:t>区域人工活动较为频繁，已少有野生动物在此栖息，动物虽偶有出没，但也多为常见鸟类及小型动物，因此本项目的建设对保护区内野生动物多样性的影响较小。</w:t>
      </w:r>
    </w:p>
    <w:p w14:paraId="059009CE">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（3）保护区生态系统的影响分析</w:t>
      </w:r>
    </w:p>
    <w:p w14:paraId="7D4E43EE">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六盘山国家级自然保护区是以保护水源涵养林和珍稀灏危野生动物为主要保护对象的国家级自然保护区。</w:t>
      </w:r>
      <w:r>
        <w:rPr>
          <w:rFonts w:hint="default" w:ascii="Times New Roman" w:hAnsi="Times New Roman" w:cs="Times New Roman"/>
          <w:color w:val="000000" w:themeColor="text1"/>
          <w:lang w:val="en-US" w:eastAsia="zh-CN"/>
          <w14:textFill>
            <w14:solidFill>
              <w14:schemeClr w14:val="tx1"/>
            </w14:solidFill>
          </w14:textFill>
        </w:rPr>
        <w:t>本</w:t>
      </w:r>
      <w:r>
        <w:rPr>
          <w:rFonts w:hint="default" w:ascii="Times New Roman" w:hAnsi="Times New Roman" w:eastAsia="宋体" w:cs="Times New Roman"/>
          <w:color w:val="000000" w:themeColor="text1"/>
          <w:lang w:val="en-US" w:eastAsia="zh-CN"/>
          <w14:textFill>
            <w14:solidFill>
              <w14:schemeClr w14:val="tx1"/>
            </w14:solidFill>
          </w14:textFill>
        </w:rPr>
        <w:t>项目在保护区内不进行施工活动，施工过程中，严格控制施工、运输等作业范围。本项目实施过程中会破坏局部区域的现有植被，但施工期较短，只是短暂的，随施工期的结束而结束，所以，不会破坏保护区生态系统。</w:t>
      </w:r>
    </w:p>
    <w:p w14:paraId="3B4F9BFD">
      <w:pPr>
        <w:autoSpaceDE w:val="0"/>
        <w:autoSpaceDN w:val="0"/>
        <w:adjustRightInd w:val="0"/>
        <w:ind w:firstLine="482"/>
        <w:rPr>
          <w:rFonts w:hint="default" w:ascii="Times New Roman" w:hAnsi="Times New Roman" w:eastAsia="宋体" w:cs="Times New Roman"/>
          <w:b/>
          <w:color w:val="000000" w:themeColor="text1"/>
          <w:kern w:val="0"/>
          <w:lang w:val="en-US" w:eastAsia="zh-CN"/>
          <w14:textFill>
            <w14:solidFill>
              <w14:schemeClr w14:val="tx1"/>
            </w14:solidFill>
          </w14:textFill>
        </w:rPr>
      </w:pPr>
      <w:r>
        <w:rPr>
          <w:rFonts w:hint="default" w:ascii="Times New Roman" w:hAnsi="Times New Roman" w:eastAsia="宋体" w:cs="Times New Roman"/>
          <w:b/>
          <w:color w:val="000000" w:themeColor="text1"/>
          <w:kern w:val="0"/>
          <w:lang w:val="en-US" w:eastAsia="zh-CN"/>
          <w14:textFill>
            <w14:solidFill>
              <w14:schemeClr w14:val="tx1"/>
            </w14:solidFill>
          </w14:textFill>
        </w:rPr>
        <w:t>5.2 运营期生态环境影响分析</w:t>
      </w:r>
    </w:p>
    <w:p w14:paraId="27A5B654">
      <w:pPr>
        <w:autoSpaceDE w:val="0"/>
        <w:autoSpaceDN w:val="0"/>
        <w:adjustRightInd w:val="0"/>
        <w:ind w:firstLine="482"/>
        <w:rPr>
          <w:rFonts w:hint="default" w:ascii="Times New Roman" w:hAnsi="Times New Roman" w:eastAsia="宋体" w:cs="Times New Roman"/>
          <w:b/>
          <w:color w:val="000000" w:themeColor="text1"/>
          <w:kern w:val="0"/>
          <w:lang w:val="en-US" w:eastAsia="zh-CN"/>
          <w14:textFill>
            <w14:solidFill>
              <w14:schemeClr w14:val="tx1"/>
            </w14:solidFill>
          </w14:textFill>
        </w:rPr>
      </w:pPr>
      <w:r>
        <w:rPr>
          <w:rFonts w:hint="default" w:ascii="Times New Roman" w:hAnsi="Times New Roman" w:eastAsia="宋体" w:cs="Times New Roman"/>
          <w:b/>
          <w:color w:val="000000" w:themeColor="text1"/>
          <w:kern w:val="0"/>
          <w:lang w:val="en-US" w:eastAsia="zh-CN"/>
          <w14:textFill>
            <w14:solidFill>
              <w14:schemeClr w14:val="tx1"/>
            </w14:solidFill>
          </w14:textFill>
        </w:rPr>
        <w:t>5.2.1 对植物影响分析</w:t>
      </w:r>
    </w:p>
    <w:p w14:paraId="645251BA">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区域内主要种植华山松、油松、垂柳、黄杨球、侧柏球、灰枸子、辽东栋、落叶松、忍冬、沙棘、山桃等乔灌木，同时种植牧草、狼尾草、宿根天人菊、宿根鼠尾草、蓝香芥、柳叶马鞭草等地被作物。项目建成后，将进一步丰富植物物种，增加区域绿地面积，有利于植物现状的改善。</w:t>
      </w:r>
    </w:p>
    <w:p w14:paraId="5851905F">
      <w:pPr>
        <w:autoSpaceDE w:val="0"/>
        <w:autoSpaceDN w:val="0"/>
        <w:adjustRightInd w:val="0"/>
        <w:ind w:firstLine="482"/>
        <w:rPr>
          <w:rFonts w:hint="default" w:ascii="Times New Roman" w:hAnsi="Times New Roman" w:eastAsia="宋体" w:cs="Times New Roman"/>
          <w:b/>
          <w:color w:val="000000" w:themeColor="text1"/>
          <w:kern w:val="0"/>
          <w:lang w:val="en-US" w:eastAsia="zh-CN"/>
          <w14:textFill>
            <w14:solidFill>
              <w14:schemeClr w14:val="tx1"/>
            </w14:solidFill>
          </w14:textFill>
        </w:rPr>
      </w:pPr>
      <w:r>
        <w:rPr>
          <w:rFonts w:hint="default" w:ascii="Times New Roman" w:hAnsi="Times New Roman" w:eastAsia="宋体" w:cs="Times New Roman"/>
          <w:b/>
          <w:color w:val="000000" w:themeColor="text1"/>
          <w:kern w:val="0"/>
          <w:lang w:val="en-US" w:eastAsia="zh-CN"/>
          <w14:textFill>
            <w14:solidFill>
              <w14:schemeClr w14:val="tx1"/>
            </w14:solidFill>
          </w14:textFill>
        </w:rPr>
        <w:t>5.2.2 对动物影响分析</w:t>
      </w:r>
    </w:p>
    <w:p w14:paraId="25467DCB">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本项目建设地点不涉及野生动物主要分布的六盘山国家级自然保护区核心区，与六盘山</w:t>
      </w:r>
      <w:r>
        <w:rPr>
          <w:rFonts w:hint="default" w:ascii="Times New Roman" w:hAnsi="Times New Roman" w:cs="Times New Roman"/>
          <w:color w:val="000000" w:themeColor="text1"/>
          <w:lang w:val="en-US" w:eastAsia="zh-CN"/>
          <w14:textFill>
            <w14:solidFill>
              <w14:schemeClr w14:val="tx1"/>
            </w14:solidFill>
          </w14:textFill>
        </w:rPr>
        <w:t>自治区</w:t>
      </w:r>
      <w:r>
        <w:rPr>
          <w:rFonts w:hint="default" w:ascii="Times New Roman" w:hAnsi="Times New Roman" w:eastAsia="宋体" w:cs="Times New Roman"/>
          <w:color w:val="000000" w:themeColor="text1"/>
          <w:lang w:val="en-US" w:eastAsia="zh-CN"/>
          <w14:textFill>
            <w14:solidFill>
              <w14:schemeClr w14:val="tx1"/>
            </w14:solidFill>
          </w14:textFill>
        </w:rPr>
        <w:t>级自然保护区相邻，此区域人工活动较为频繁，已少有野生动物在此栖息，多为常见鸟类及小型动物</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因此本项目的运营对区域野生动物多样性影响较小。</w:t>
      </w:r>
    </w:p>
    <w:p w14:paraId="10107116">
      <w:pPr>
        <w:autoSpaceDE w:val="0"/>
        <w:autoSpaceDN w:val="0"/>
        <w:adjustRightInd w:val="0"/>
        <w:ind w:firstLine="482"/>
        <w:rPr>
          <w:rFonts w:hint="default" w:ascii="Times New Roman" w:hAnsi="Times New Roman" w:eastAsia="宋体" w:cs="Times New Roman"/>
          <w:b/>
          <w:color w:val="000000" w:themeColor="text1"/>
          <w:kern w:val="0"/>
          <w:lang w:val="en-US" w:eastAsia="zh-CN"/>
          <w14:textFill>
            <w14:solidFill>
              <w14:schemeClr w14:val="tx1"/>
            </w14:solidFill>
          </w14:textFill>
        </w:rPr>
      </w:pPr>
      <w:r>
        <w:rPr>
          <w:rFonts w:hint="default" w:ascii="Times New Roman" w:hAnsi="Times New Roman" w:eastAsia="宋体" w:cs="Times New Roman"/>
          <w:b/>
          <w:color w:val="000000" w:themeColor="text1"/>
          <w:kern w:val="0"/>
          <w:lang w:val="en-US" w:eastAsia="zh-CN"/>
          <w14:textFill>
            <w14:solidFill>
              <w14:schemeClr w14:val="tx1"/>
            </w14:solidFill>
          </w14:textFill>
        </w:rPr>
        <w:t>5.2.3 对区域景观环境的影响</w:t>
      </w:r>
    </w:p>
    <w:p w14:paraId="1C73723D">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本项目在设计阶段对各建筑物的设计统筹考虑了视觉、生态、人文、功能等多方因素，建筑风格注重与生态环境的协调性，项目建成后将提升景观的游憩功能，确保项目与景观的和谐共存。</w:t>
      </w:r>
    </w:p>
    <w:p w14:paraId="71D7E151">
      <w:pPr>
        <w:autoSpaceDE w:val="0"/>
        <w:autoSpaceDN w:val="0"/>
        <w:adjustRightInd w:val="0"/>
        <w:ind w:firstLine="482"/>
        <w:rPr>
          <w:rFonts w:hint="default" w:ascii="Times New Roman" w:hAnsi="Times New Roman" w:eastAsia="宋体" w:cs="Times New Roman"/>
          <w:b/>
          <w:color w:val="000000" w:themeColor="text1"/>
          <w:kern w:val="0"/>
          <w:lang w:val="en-US" w:eastAsia="zh-CN"/>
          <w14:textFill>
            <w14:solidFill>
              <w14:schemeClr w14:val="tx1"/>
            </w14:solidFill>
          </w14:textFill>
        </w:rPr>
      </w:pPr>
      <w:r>
        <w:rPr>
          <w:rFonts w:hint="default" w:ascii="Times New Roman" w:hAnsi="Times New Roman" w:eastAsia="宋体" w:cs="Times New Roman"/>
          <w:b/>
          <w:color w:val="000000" w:themeColor="text1"/>
          <w:kern w:val="0"/>
          <w:lang w:val="en-US" w:eastAsia="zh-CN"/>
          <w14:textFill>
            <w14:solidFill>
              <w14:schemeClr w14:val="tx1"/>
            </w14:solidFill>
          </w14:textFill>
        </w:rPr>
        <w:t>6 生态保护对策措施</w:t>
      </w:r>
    </w:p>
    <w:p w14:paraId="4E9F7C5A">
      <w:pPr>
        <w:autoSpaceDE w:val="0"/>
        <w:autoSpaceDN w:val="0"/>
        <w:adjustRightInd w:val="0"/>
        <w:ind w:firstLine="482"/>
        <w:rPr>
          <w:rFonts w:hint="default" w:ascii="Times New Roman" w:hAnsi="Times New Roman" w:eastAsia="宋体" w:cs="Times New Roman"/>
          <w:b/>
          <w:color w:val="000000" w:themeColor="text1"/>
          <w:kern w:val="0"/>
          <w:lang w:val="en-US" w:eastAsia="zh-CN"/>
          <w14:textFill>
            <w14:solidFill>
              <w14:schemeClr w14:val="tx1"/>
            </w14:solidFill>
          </w14:textFill>
        </w:rPr>
      </w:pPr>
      <w:r>
        <w:rPr>
          <w:rFonts w:hint="default" w:ascii="Times New Roman" w:hAnsi="Times New Roman" w:eastAsia="宋体" w:cs="Times New Roman"/>
          <w:b/>
          <w:color w:val="000000" w:themeColor="text1"/>
          <w:kern w:val="0"/>
          <w:lang w:val="en-US" w:eastAsia="zh-CN"/>
          <w14:textFill>
            <w14:solidFill>
              <w14:schemeClr w14:val="tx1"/>
            </w14:solidFill>
          </w14:textFill>
        </w:rPr>
        <w:t>6.1 植物保护措施</w:t>
      </w:r>
    </w:p>
    <w:p w14:paraId="0461C404">
      <w:pPr>
        <w:autoSpaceDE w:val="0"/>
        <w:autoSpaceDN w:val="0"/>
        <w:adjustRightInd w:val="0"/>
        <w:ind w:firstLine="482"/>
        <w:rPr>
          <w:rFonts w:hint="default" w:ascii="Times New Roman" w:hAnsi="Times New Roman" w:eastAsia="宋体" w:cs="Times New Roman"/>
          <w:b w:val="0"/>
          <w:bCs/>
          <w:color w:val="000000" w:themeColor="text1"/>
          <w:kern w:val="0"/>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lang w:val="en-US" w:eastAsia="zh-CN"/>
          <w14:textFill>
            <w14:solidFill>
              <w14:schemeClr w14:val="tx1"/>
            </w14:solidFill>
          </w14:textFill>
        </w:rPr>
        <w:t>（1）生态环境避免措施</w:t>
      </w:r>
    </w:p>
    <w:p w14:paraId="17058975">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①施工过程遇高大乔木应尽量采取避让措施，不可避让的，采取移植保护措施。</w:t>
      </w:r>
    </w:p>
    <w:p w14:paraId="606CA45D">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②施工过程中，尽量减少对周边表土及植被的破坏，临时堆料应采取拦挡，做到不占耕地，不阻碍交通。临时堆料按水保方案要求合理堆放并采取拦护措施，禁止产生阻水、堵路、堵沟、破坏原有景观及产生次生水土流失危害等现象。</w:t>
      </w:r>
    </w:p>
    <w:p w14:paraId="5F2E81FB">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（2）生态环境恢复措施</w:t>
      </w:r>
    </w:p>
    <w:p w14:paraId="6ABE3172">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w:t>
      </w:r>
      <w:r>
        <w:rPr>
          <w:rFonts w:hint="eastAsia" w:cs="Times New Roman"/>
          <w:color w:val="000000" w:themeColor="text1"/>
          <w:lang w:val="en-US" w:eastAsia="zh-CN"/>
          <w14:textFill>
            <w14:solidFill>
              <w14:schemeClr w14:val="tx1"/>
            </w14:solidFill>
          </w14:textFill>
        </w:rPr>
        <w:t>施工期设置</w:t>
      </w:r>
      <w:r>
        <w:rPr>
          <w:rFonts w:hint="default" w:ascii="Times New Roman" w:hAnsi="Times New Roman" w:eastAsia="宋体" w:cs="Times New Roman"/>
          <w:color w:val="000000" w:themeColor="text1"/>
          <w:lang w:val="en-US" w:eastAsia="zh-CN"/>
          <w14:textFill>
            <w14:solidFill>
              <w14:schemeClr w14:val="tx1"/>
            </w14:solidFill>
          </w14:textFill>
        </w:rPr>
        <w:t>施工营地</w:t>
      </w:r>
      <w:r>
        <w:rPr>
          <w:rFonts w:hint="eastAsia" w:cs="Times New Roman"/>
          <w:color w:val="000000" w:themeColor="text1"/>
          <w:lang w:val="en-US" w:eastAsia="zh-CN"/>
          <w14:textFill>
            <w14:solidFill>
              <w14:schemeClr w14:val="tx1"/>
            </w14:solidFill>
          </w14:textFill>
        </w:rPr>
        <w:t>和</w:t>
      </w:r>
      <w:r>
        <w:rPr>
          <w:rFonts w:hint="default" w:ascii="Times New Roman" w:hAnsi="Times New Roman" w:eastAsia="宋体" w:cs="Times New Roman"/>
          <w:color w:val="000000" w:themeColor="text1"/>
          <w:lang w:val="en-US" w:eastAsia="zh-CN"/>
          <w14:textFill>
            <w14:solidFill>
              <w14:schemeClr w14:val="tx1"/>
            </w14:solidFill>
          </w14:textFill>
        </w:rPr>
        <w:t>施工便道，不设取、弃土场，施工临时占地主要为施工生产</w:t>
      </w:r>
      <w:r>
        <w:rPr>
          <w:rFonts w:hint="eastAsia" w:cs="Times New Roman"/>
          <w:color w:val="000000" w:themeColor="text1"/>
          <w:lang w:val="en-US" w:eastAsia="zh-CN"/>
          <w14:textFill>
            <w14:solidFill>
              <w14:schemeClr w14:val="tx1"/>
            </w14:solidFill>
          </w14:textFill>
        </w:rPr>
        <w:t>生活</w:t>
      </w:r>
      <w:r>
        <w:rPr>
          <w:rFonts w:hint="default" w:ascii="Times New Roman" w:hAnsi="Times New Roman" w:eastAsia="宋体" w:cs="Times New Roman"/>
          <w:color w:val="000000" w:themeColor="text1"/>
          <w:lang w:val="en-US" w:eastAsia="zh-CN"/>
          <w14:textFill>
            <w14:solidFill>
              <w14:schemeClr w14:val="tx1"/>
            </w14:solidFill>
          </w14:textFill>
        </w:rPr>
        <w:t>区占地。针对施工生产</w:t>
      </w:r>
      <w:r>
        <w:rPr>
          <w:rFonts w:hint="eastAsia" w:cs="Times New Roman"/>
          <w:color w:val="000000" w:themeColor="text1"/>
          <w:lang w:val="en-US" w:eastAsia="zh-CN"/>
          <w14:textFill>
            <w14:solidFill>
              <w14:schemeClr w14:val="tx1"/>
            </w14:solidFill>
          </w14:textFill>
        </w:rPr>
        <w:t>生活</w:t>
      </w:r>
      <w:r>
        <w:rPr>
          <w:rFonts w:hint="default" w:ascii="Times New Roman" w:hAnsi="Times New Roman" w:eastAsia="宋体" w:cs="Times New Roman"/>
          <w:color w:val="000000" w:themeColor="text1"/>
          <w:lang w:val="en-US" w:eastAsia="zh-CN"/>
          <w14:textFill>
            <w14:solidFill>
              <w14:schemeClr w14:val="tx1"/>
            </w14:solidFill>
          </w14:textFill>
        </w:rPr>
        <w:t>区，主要结合水土保持措施，进行植被恢复。主要遵循以下原则：</w:t>
      </w:r>
    </w:p>
    <w:p w14:paraId="72BF13F8">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①保护原有生态系统</w:t>
      </w:r>
    </w:p>
    <w:p w14:paraId="11B992B6">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在植被修复过程中，尽量保护施工占地区域原有生态系统的生态环境。</w:t>
      </w:r>
    </w:p>
    <w:p w14:paraId="5730D634">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②采用乔灌草结合方式进行生态恢复，保护生物多样性</w:t>
      </w:r>
    </w:p>
    <w:p w14:paraId="73EDE6CE">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植被修复措施不仅考虑植被覆盖率，而且需要在利用当地原有物种的情况下，尽量使物种多样化，避免单一。同时，植物的选择应该遵循自然规律，尽量选择土著优势物种，慎重引进外来植物品种，且要选择对氮、磷等污染物去除能力较强、用途广泛、经济价值较高、观赏性强的物种。</w:t>
      </w:r>
    </w:p>
    <w:p w14:paraId="4A9594D7">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本项目外围及项目区内陆域生态系统植被修复采用乔木+灌木+草本、乔木+草本、灌木+草本配置方式，乔木</w:t>
      </w:r>
      <w:r>
        <w:rPr>
          <w:rFonts w:hint="default" w:ascii="Times New Roman" w:hAnsi="Times New Roman" w:cs="Times New Roman"/>
          <w:color w:val="000000" w:themeColor="text1"/>
          <w:lang w:val="en-US" w:eastAsia="zh-CN"/>
          <w14:textFill>
            <w14:solidFill>
              <w14:schemeClr w14:val="tx1"/>
            </w14:solidFill>
          </w14:textFill>
        </w:rPr>
        <w:t>主</w:t>
      </w:r>
      <w:r>
        <w:rPr>
          <w:rFonts w:hint="default" w:ascii="Times New Roman" w:hAnsi="Times New Roman" w:eastAsia="宋体" w:cs="Times New Roman"/>
          <w:color w:val="000000" w:themeColor="text1"/>
          <w:lang w:val="en-US" w:eastAsia="zh-CN"/>
          <w14:textFill>
            <w14:solidFill>
              <w14:schemeClr w14:val="tx1"/>
            </w14:solidFill>
          </w14:textFill>
        </w:rPr>
        <w:t>要选择华山松、樟子松、云杉、油松、桧柏球、垂柳、旱柳、辽东栋、白桦、红桦、五角枫、元宝枫、茶条械、暴马丁香、山桃和山杏等，同时种植黑麦草、高羊茅、早熟禾、射干、耐寒百合、鼠尾草、德国景天、金娃娃萱草等开花地被植物。</w:t>
      </w:r>
    </w:p>
    <w:p w14:paraId="6C49F427">
      <w:pPr>
        <w:autoSpaceDE w:val="0"/>
        <w:autoSpaceDN w:val="0"/>
        <w:adjustRightInd w:val="0"/>
        <w:ind w:firstLine="482"/>
        <w:rPr>
          <w:rFonts w:hint="default" w:ascii="Times New Roman" w:hAnsi="Times New Roman" w:eastAsia="宋体" w:cs="Times New Roman"/>
          <w:b/>
          <w:color w:val="000000" w:themeColor="text1"/>
          <w:kern w:val="0"/>
          <w:lang w:val="en-US" w:eastAsia="zh-CN"/>
          <w14:textFill>
            <w14:solidFill>
              <w14:schemeClr w14:val="tx1"/>
            </w14:solidFill>
          </w14:textFill>
        </w:rPr>
      </w:pPr>
      <w:r>
        <w:rPr>
          <w:rFonts w:hint="default" w:ascii="Times New Roman" w:hAnsi="Times New Roman" w:eastAsia="宋体" w:cs="Times New Roman"/>
          <w:b/>
          <w:color w:val="000000" w:themeColor="text1"/>
          <w:kern w:val="0"/>
          <w:lang w:val="en-US" w:eastAsia="zh-CN"/>
          <w14:textFill>
            <w14:solidFill>
              <w14:schemeClr w14:val="tx1"/>
            </w14:solidFill>
          </w14:textFill>
        </w:rPr>
        <w:t>6.2 动物保护对策措施</w:t>
      </w:r>
    </w:p>
    <w:p w14:paraId="5B48AEB0">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（1）生态避免措施</w:t>
      </w:r>
    </w:p>
    <w:p w14:paraId="2FB0497D">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①必须妥善安排各施工区域的施工时间、范围与施工进度，避开野生动物的敏感期严禁在野生动物繁殖期开展施工活动。</w:t>
      </w:r>
    </w:p>
    <w:p w14:paraId="45563A75">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②野生鸟类和兽类大多是晨昏外出觅食，为了减少工程施工噪声及光线对野生动物的惊扰，应做好施工方式和时间的计划，避免在夜间施工。</w:t>
      </w:r>
    </w:p>
    <w:p w14:paraId="3B8859CA">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（2）生态影响减缓措施</w:t>
      </w:r>
    </w:p>
    <w:p w14:paraId="7D16C5E9">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①施工过程中遇到的幼兽、幼鸟、卵等未发育、未成熟个体，在保护区、林业局或其他保护部的专业人员指导妥善安置。</w:t>
      </w:r>
    </w:p>
    <w:p w14:paraId="479D5DEE">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②控制施工运输过程中交通噪声对野生动物的影响，在保护区内，禁止车辆大声鸣笛。</w:t>
      </w:r>
    </w:p>
    <w:p w14:paraId="4C8184C6">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（3）生态环境恢复措施</w:t>
      </w:r>
    </w:p>
    <w:p w14:paraId="71C6BC07">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保护野生动物的栖息地，施工临时占地结束后及时清理场地，恢复土层，对临时占地、裸地进行平整绿化，尽可能增加野生动物的栖息地。</w:t>
      </w:r>
    </w:p>
    <w:p w14:paraId="08A945C3">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（4）生态管理措施</w:t>
      </w:r>
    </w:p>
    <w:p w14:paraId="4568E3AA">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加强施工人员</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野生动物保护法</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的宣传教育，严禁猎杀捕食野生动物。制定相应的制度，通过制度化严禁猎杀捕食野生动物，禁止施工人员食用施工区的鸟类和蛇类，以减轻对当地陆生动物的影响。</w:t>
      </w:r>
    </w:p>
    <w:p w14:paraId="4733A752">
      <w:pPr>
        <w:autoSpaceDE w:val="0"/>
        <w:autoSpaceDN w:val="0"/>
        <w:adjustRightInd w:val="0"/>
        <w:ind w:firstLine="482"/>
        <w:rPr>
          <w:rFonts w:hint="default" w:ascii="Times New Roman" w:hAnsi="Times New Roman" w:eastAsia="宋体" w:cs="Times New Roman"/>
          <w:b/>
          <w:color w:val="000000" w:themeColor="text1"/>
          <w:kern w:val="0"/>
          <w:lang w:val="en-US" w:eastAsia="zh-CN"/>
          <w14:textFill>
            <w14:solidFill>
              <w14:schemeClr w14:val="tx1"/>
            </w14:solidFill>
          </w14:textFill>
        </w:rPr>
      </w:pPr>
      <w:r>
        <w:rPr>
          <w:rFonts w:hint="default" w:ascii="Times New Roman" w:hAnsi="Times New Roman" w:eastAsia="宋体" w:cs="Times New Roman"/>
          <w:b/>
          <w:color w:val="000000" w:themeColor="text1"/>
          <w:kern w:val="0"/>
          <w:lang w:val="en-US" w:eastAsia="zh-CN"/>
          <w14:textFill>
            <w14:solidFill>
              <w14:schemeClr w14:val="tx1"/>
            </w14:solidFill>
          </w14:textFill>
        </w:rPr>
        <w:t>6.3 对六盘山国家级自然保护区的生态保护措施</w:t>
      </w:r>
    </w:p>
    <w:p w14:paraId="005AF525">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（1）施工人员要爱护保护区植被和鸟类等野生动物，不得随便破坏植被、不得随意抓捕野生动物；</w:t>
      </w:r>
    </w:p>
    <w:p w14:paraId="048DAAD2">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（2）保护区内工程施工范围不得设堆料场、临时取弃土场、渣场，临时施工区设在保护区外的河滩地；</w:t>
      </w:r>
    </w:p>
    <w:p w14:paraId="7AE73504">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（3）施工生活区租用农户已有房间，禁止在保护区内设置生活营地，避免新建施工营地带来的环境问题；</w:t>
      </w:r>
    </w:p>
    <w:p w14:paraId="009CC9EA">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（4）施工中凡是涉及到保护区的任何临时用地的行为，均需得到保护区管理部的批准。未经保护区管理部门许可，不得在保护区内有任何施工行为；</w:t>
      </w:r>
    </w:p>
    <w:p w14:paraId="4B7453B3">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（5）建设单位有责任对施工人员进行</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环境保护法</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野生动物保护法</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野生植物</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野生植物保护条例</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等相关法律法规的宣传教育。教育施工人员要爱护鸟类等野生动物，尽最大可能保护其生境，不得进行猎杀；</w:t>
      </w:r>
    </w:p>
    <w:p w14:paraId="1CDF0052">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（6）施工中需要严格施工管理，控制高若干噪声机械同时作业，尽可能使用低噪声设备，以便减少对外围动物的惊扰等噪声影响；</w:t>
      </w:r>
    </w:p>
    <w:p w14:paraId="73F78E37">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（7）在保护区内设置符合要求的安全警示标志，禁止擅自移动或者破坏保护区标志及其保护设施的行为；</w:t>
      </w:r>
    </w:p>
    <w:p w14:paraId="7B92AF3C">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（8）运营期在植被恢复实施过程中，要加强管理，严禁破坏保护区内已有设施、植被、林木，禁止管护、经营人员及游客捕猎野生动物；</w:t>
      </w:r>
    </w:p>
    <w:p w14:paraId="5592F4D3">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（9）当地生态环境局、自然保护区管理局依法有权对项目建设单位进行环境监督管理。项目建设单位在施工中要接受当地监督管理部门的监督管理。</w:t>
      </w:r>
    </w:p>
    <w:p w14:paraId="5E1DB8D3">
      <w:pPr>
        <w:autoSpaceDE w:val="0"/>
        <w:autoSpaceDN w:val="0"/>
        <w:adjustRightInd w:val="0"/>
        <w:ind w:firstLine="482"/>
        <w:rPr>
          <w:rFonts w:hint="default" w:ascii="Times New Roman" w:hAnsi="Times New Roman" w:eastAsia="宋体" w:cs="Times New Roman"/>
          <w:b/>
          <w:color w:val="000000" w:themeColor="text1"/>
          <w:kern w:val="0"/>
          <w:lang w:val="en-US" w:eastAsia="zh-CN"/>
          <w14:textFill>
            <w14:solidFill>
              <w14:schemeClr w14:val="tx1"/>
            </w14:solidFill>
          </w14:textFill>
        </w:rPr>
      </w:pPr>
      <w:r>
        <w:rPr>
          <w:rFonts w:hint="default" w:ascii="Times New Roman" w:hAnsi="Times New Roman" w:eastAsia="宋体" w:cs="Times New Roman"/>
          <w:b/>
          <w:color w:val="000000" w:themeColor="text1"/>
          <w:kern w:val="0"/>
          <w:lang w:val="en-US" w:eastAsia="zh-CN"/>
          <w14:textFill>
            <w14:solidFill>
              <w14:schemeClr w14:val="tx1"/>
            </w14:solidFill>
          </w14:textFill>
        </w:rPr>
        <w:t>7 生态监测和环境管理</w:t>
      </w:r>
    </w:p>
    <w:p w14:paraId="10001AFD">
      <w:pPr>
        <w:autoSpaceDE w:val="0"/>
        <w:autoSpaceDN w:val="0"/>
        <w:adjustRightInd w:val="0"/>
        <w:ind w:firstLine="482"/>
        <w:rPr>
          <w:rFonts w:hint="default" w:ascii="Times New Roman" w:hAnsi="Times New Roman" w:eastAsia="宋体" w:cs="Times New Roman"/>
          <w:b/>
          <w:color w:val="000000" w:themeColor="text1"/>
          <w:kern w:val="0"/>
          <w:lang w:val="en-US" w:eastAsia="zh-CN"/>
          <w14:textFill>
            <w14:solidFill>
              <w14:schemeClr w14:val="tx1"/>
            </w14:solidFill>
          </w14:textFill>
        </w:rPr>
      </w:pPr>
      <w:r>
        <w:rPr>
          <w:rFonts w:hint="default" w:ascii="Times New Roman" w:hAnsi="Times New Roman" w:eastAsia="宋体" w:cs="Times New Roman"/>
          <w:b/>
          <w:color w:val="000000" w:themeColor="text1"/>
          <w:kern w:val="0"/>
          <w:lang w:val="en-US" w:eastAsia="zh-CN"/>
          <w14:textFill>
            <w14:solidFill>
              <w14:schemeClr w14:val="tx1"/>
            </w14:solidFill>
          </w14:textFill>
        </w:rPr>
        <w:t>7.1 生态监测</w:t>
      </w:r>
    </w:p>
    <w:p w14:paraId="6AE1963C">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制定环境监测计划的目的是为了监督各项措施的落实，以便根据监测结果适时调整环境行动计划，为环保措施的实施时间和实施方案提供依据。制定的原则是根据预期的、各个时期（施工期或营运期）的主要环境影响。</w:t>
      </w:r>
    </w:p>
    <w:p w14:paraId="6F3A573C">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建设单位应委托有资质的环境监测单位进行施工期及营运期的环境监测工作，制定并执行监测计划。本项目生态监测计划详见表3。</w:t>
      </w:r>
    </w:p>
    <w:p w14:paraId="43368165">
      <w:pPr>
        <w:adjustRightInd w:val="0"/>
        <w:snapToGrid w:val="0"/>
        <w:spacing w:line="240" w:lineRule="auto"/>
        <w:jc w:val="center"/>
        <w:rPr>
          <w:rFonts w:hint="default" w:ascii="Times New Roman" w:hAnsi="Times New Roman" w:eastAsia="宋体" w:cs="Times New Roman"/>
          <w:b/>
          <w:bCs/>
          <w:color w:val="000000" w:themeColor="text1"/>
          <w:sz w:val="24"/>
          <w:szCs w:val="24"/>
          <w:highlight w:val="none"/>
          <w:lang w:val="en-US" w:eastAsia="zh-CN" w:bidi="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bidi="zh-CN"/>
          <w14:textFill>
            <w14:solidFill>
              <w14:schemeClr w14:val="tx1"/>
            </w14:solidFill>
          </w14:textFill>
        </w:rPr>
        <w:t>表3  生态环境监测计划表</w:t>
      </w:r>
    </w:p>
    <w:tbl>
      <w:tblPr>
        <w:tblStyle w:val="28"/>
        <w:tblW w:w="83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92"/>
        <w:gridCol w:w="654"/>
        <w:gridCol w:w="2427"/>
        <w:gridCol w:w="2660"/>
        <w:gridCol w:w="1724"/>
      </w:tblGrid>
      <w:tr w14:paraId="66DF95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92" w:type="dxa"/>
            <w:tcBorders>
              <w:tl2br w:val="nil"/>
              <w:tr2bl w:val="nil"/>
            </w:tcBorders>
            <w:vAlign w:val="center"/>
          </w:tcPr>
          <w:p w14:paraId="3D730806">
            <w:pPr>
              <w:ind w:left="0" w:leftChars="0" w:right="0" w:rightChars="0" w:firstLine="0" w:firstLineChars="0"/>
              <w:jc w:val="cente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时期</w:t>
            </w:r>
          </w:p>
        </w:tc>
        <w:tc>
          <w:tcPr>
            <w:tcW w:w="654" w:type="dxa"/>
            <w:tcBorders>
              <w:tl2br w:val="nil"/>
              <w:tr2bl w:val="nil"/>
            </w:tcBorders>
            <w:vAlign w:val="center"/>
          </w:tcPr>
          <w:p w14:paraId="469E7F30">
            <w:pPr>
              <w:ind w:left="0" w:leftChars="0" w:right="0" w:rightChars="0" w:firstLine="0" w:firstLineChars="0"/>
              <w:jc w:val="cente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类别</w:t>
            </w:r>
          </w:p>
        </w:tc>
        <w:tc>
          <w:tcPr>
            <w:tcW w:w="2427" w:type="dxa"/>
            <w:tcBorders>
              <w:tl2br w:val="nil"/>
              <w:tr2bl w:val="nil"/>
            </w:tcBorders>
            <w:vAlign w:val="center"/>
          </w:tcPr>
          <w:p w14:paraId="2D200151">
            <w:pPr>
              <w:ind w:left="0" w:leftChars="0" w:right="0" w:rightChars="0" w:firstLine="0" w:firstLineChars="0"/>
              <w:jc w:val="cente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val="0"/>
                <w:color w:val="000000" w:themeColor="text1"/>
                <w:sz w:val="21"/>
                <w:szCs w:val="21"/>
                <w:highlight w:val="none"/>
                <w:lang w:val="en-US" w:eastAsia="zh-CN"/>
                <w14:textFill>
                  <w14:solidFill>
                    <w14:schemeClr w14:val="tx1"/>
                  </w14:solidFill>
                </w14:textFill>
              </w:rPr>
              <w:t>监测点位</w:t>
            </w:r>
          </w:p>
        </w:tc>
        <w:tc>
          <w:tcPr>
            <w:tcW w:w="2660" w:type="dxa"/>
            <w:tcBorders>
              <w:tl2br w:val="nil"/>
              <w:tr2bl w:val="nil"/>
            </w:tcBorders>
            <w:vAlign w:val="center"/>
          </w:tcPr>
          <w:p w14:paraId="721CCA06">
            <w:pPr>
              <w:ind w:left="0" w:leftChars="0" w:right="0" w:rightChars="0" w:firstLine="0" w:firstLineChars="0"/>
              <w:jc w:val="cente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val="0"/>
                <w:color w:val="000000" w:themeColor="text1"/>
                <w:sz w:val="21"/>
                <w:szCs w:val="21"/>
                <w:highlight w:val="none"/>
                <w:lang w:val="en-US" w:eastAsia="zh-CN"/>
                <w14:textFill>
                  <w14:solidFill>
                    <w14:schemeClr w14:val="tx1"/>
                  </w14:solidFill>
                </w14:textFill>
              </w:rPr>
              <w:t>监测因子</w:t>
            </w:r>
          </w:p>
        </w:tc>
        <w:tc>
          <w:tcPr>
            <w:tcW w:w="1724" w:type="dxa"/>
            <w:tcBorders>
              <w:tl2br w:val="nil"/>
              <w:tr2bl w:val="nil"/>
            </w:tcBorders>
            <w:vAlign w:val="center"/>
          </w:tcPr>
          <w:p w14:paraId="3891327F">
            <w:pPr>
              <w:ind w:left="0" w:leftChars="0" w:right="0" w:rightChars="0" w:firstLine="0" w:firstLineChars="0"/>
              <w:jc w:val="cente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监测频次</w:t>
            </w:r>
          </w:p>
        </w:tc>
      </w:tr>
      <w:tr w14:paraId="5C242E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892" w:type="dxa"/>
            <w:tcBorders>
              <w:tl2br w:val="nil"/>
              <w:tr2bl w:val="nil"/>
            </w:tcBorders>
            <w:vAlign w:val="center"/>
          </w:tcPr>
          <w:p w14:paraId="752D092C">
            <w:pPr>
              <w:ind w:left="0" w:leftChars="0" w:right="0" w:rightChars="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施工期</w:t>
            </w:r>
          </w:p>
        </w:tc>
        <w:tc>
          <w:tcPr>
            <w:tcW w:w="654" w:type="dxa"/>
            <w:tcBorders>
              <w:tl2br w:val="nil"/>
              <w:tr2bl w:val="nil"/>
            </w:tcBorders>
            <w:vAlign w:val="center"/>
          </w:tcPr>
          <w:p w14:paraId="7D60BC48">
            <w:pPr>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生态</w:t>
            </w:r>
          </w:p>
        </w:tc>
        <w:tc>
          <w:tcPr>
            <w:tcW w:w="2427" w:type="dxa"/>
            <w:tcBorders>
              <w:tl2br w:val="nil"/>
              <w:tr2bl w:val="nil"/>
            </w:tcBorders>
            <w:vAlign w:val="center"/>
          </w:tcPr>
          <w:p w14:paraId="35D39094">
            <w:pPr>
              <w:ind w:left="0" w:leftChars="0" w:right="0" w:rightChars="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施工场地中心位置</w:t>
            </w:r>
          </w:p>
        </w:tc>
        <w:tc>
          <w:tcPr>
            <w:tcW w:w="2660" w:type="dxa"/>
            <w:tcBorders>
              <w:tl2br w:val="nil"/>
              <w:tr2bl w:val="nil"/>
            </w:tcBorders>
            <w:vAlign w:val="center"/>
          </w:tcPr>
          <w:p w14:paraId="5D4BFC43">
            <w:pPr>
              <w:ind w:left="0" w:leftChars="0" w:right="0" w:rightChars="0" w:firstLine="0" w:firstLineChars="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调查植被覆盖情况、绿化面积、植物种类等</w:t>
            </w:r>
          </w:p>
        </w:tc>
        <w:tc>
          <w:tcPr>
            <w:tcW w:w="1724" w:type="dxa"/>
            <w:tcBorders>
              <w:tl2br w:val="nil"/>
              <w:tr2bl w:val="nil"/>
            </w:tcBorders>
            <w:vAlign w:val="center"/>
          </w:tcPr>
          <w:p w14:paraId="06C53F8B">
            <w:pPr>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施工期监测一次</w:t>
            </w:r>
          </w:p>
        </w:tc>
      </w:tr>
      <w:tr w14:paraId="19BC40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892" w:type="dxa"/>
            <w:tcBorders>
              <w:tl2br w:val="nil"/>
              <w:tr2bl w:val="nil"/>
            </w:tcBorders>
            <w:vAlign w:val="center"/>
          </w:tcPr>
          <w:p w14:paraId="075C89CB">
            <w:pPr>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运营期</w:t>
            </w:r>
          </w:p>
        </w:tc>
        <w:tc>
          <w:tcPr>
            <w:tcW w:w="654" w:type="dxa"/>
            <w:tcBorders>
              <w:tl2br w:val="nil"/>
              <w:tr2bl w:val="nil"/>
            </w:tcBorders>
            <w:vAlign w:val="center"/>
          </w:tcPr>
          <w:p w14:paraId="05B8C9AB">
            <w:pPr>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生态</w:t>
            </w:r>
          </w:p>
        </w:tc>
        <w:tc>
          <w:tcPr>
            <w:tcW w:w="2427" w:type="dxa"/>
            <w:tcBorders>
              <w:tl2br w:val="nil"/>
              <w:tr2bl w:val="nil"/>
            </w:tcBorders>
            <w:vAlign w:val="center"/>
          </w:tcPr>
          <w:p w14:paraId="5453A758">
            <w:pPr>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与施工期监测点位相同</w:t>
            </w:r>
          </w:p>
        </w:tc>
        <w:tc>
          <w:tcPr>
            <w:tcW w:w="2660" w:type="dxa"/>
            <w:tcBorders>
              <w:tl2br w:val="nil"/>
              <w:tr2bl w:val="nil"/>
            </w:tcBorders>
            <w:vAlign w:val="center"/>
          </w:tcPr>
          <w:p w14:paraId="4CF4D649">
            <w:pPr>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植被恢复状况、恢复植被的生长状况</w:t>
            </w:r>
          </w:p>
        </w:tc>
        <w:tc>
          <w:tcPr>
            <w:tcW w:w="1724" w:type="dxa"/>
            <w:tcBorders>
              <w:tl2br w:val="nil"/>
              <w:tr2bl w:val="nil"/>
            </w:tcBorders>
            <w:vAlign w:val="center"/>
          </w:tcPr>
          <w:p w14:paraId="08C61582">
            <w:pPr>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隔年1次</w:t>
            </w:r>
          </w:p>
        </w:tc>
      </w:tr>
    </w:tbl>
    <w:p w14:paraId="3DCE5A53">
      <w:pPr>
        <w:autoSpaceDE w:val="0"/>
        <w:autoSpaceDN w:val="0"/>
        <w:adjustRightInd w:val="0"/>
        <w:ind w:firstLine="482"/>
        <w:rPr>
          <w:rFonts w:hint="default" w:ascii="Times New Roman" w:hAnsi="Times New Roman" w:eastAsia="宋体" w:cs="Times New Roman"/>
          <w:b/>
          <w:color w:val="000000" w:themeColor="text1"/>
          <w:kern w:val="0"/>
          <w:lang w:val="en-US" w:eastAsia="zh-CN"/>
          <w14:textFill>
            <w14:solidFill>
              <w14:schemeClr w14:val="tx1"/>
            </w14:solidFill>
          </w14:textFill>
        </w:rPr>
      </w:pPr>
      <w:r>
        <w:rPr>
          <w:rFonts w:hint="default" w:ascii="Times New Roman" w:hAnsi="Times New Roman" w:eastAsia="宋体" w:cs="Times New Roman"/>
          <w:b/>
          <w:color w:val="000000" w:themeColor="text1"/>
          <w:kern w:val="0"/>
          <w:lang w:val="en-US" w:eastAsia="zh-CN"/>
          <w14:textFill>
            <w14:solidFill>
              <w14:schemeClr w14:val="tx1"/>
            </w14:solidFill>
          </w14:textFill>
        </w:rPr>
        <w:t>7.2 生态环境管理</w:t>
      </w:r>
    </w:p>
    <w:p w14:paraId="5D289C19">
      <w:pPr>
        <w:autoSpaceDE w:val="0"/>
        <w:autoSpaceDN w:val="0"/>
        <w:adjustRightInd w:val="0"/>
        <w:ind w:firstLine="482"/>
        <w:rPr>
          <w:rFonts w:hint="default" w:ascii="Times New Roman" w:hAnsi="Times New Roman" w:eastAsia="宋体" w:cs="Times New Roman"/>
          <w:b/>
          <w:color w:val="000000" w:themeColor="text1"/>
          <w:kern w:val="0"/>
          <w:lang w:val="en-US" w:eastAsia="zh-CN"/>
          <w14:textFill>
            <w14:solidFill>
              <w14:schemeClr w14:val="tx1"/>
            </w14:solidFill>
          </w14:textFill>
        </w:rPr>
      </w:pPr>
      <w:r>
        <w:rPr>
          <w:rFonts w:hint="default" w:ascii="Times New Roman" w:hAnsi="Times New Roman" w:eastAsia="宋体" w:cs="Times New Roman"/>
          <w:b/>
          <w:color w:val="000000" w:themeColor="text1"/>
          <w:kern w:val="0"/>
          <w:lang w:val="en-US" w:eastAsia="zh-CN"/>
          <w14:textFill>
            <w14:solidFill>
              <w14:schemeClr w14:val="tx1"/>
            </w14:solidFill>
          </w14:textFill>
        </w:rPr>
        <w:t>7.2.1 施工期生态环境管理</w:t>
      </w:r>
    </w:p>
    <w:p w14:paraId="642E872D">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本项目在施工期间应设立相关的环境管理部门，并委托当地环境监测机构进行监测。负责环境管理的部门有专人负责日常的环境管理工作，包括国家有关环境保护法律、法规贯彻和执行、</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三废</w:t>
      </w:r>
      <w:r>
        <w:rPr>
          <w:rFonts w:hint="eastAsia"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处理的管理、环境保护的宣传和教育、环保管理档案的建立等。除了日常的环境管理工作外，根据本项目的特点，应特别注意如下</w:t>
      </w:r>
      <w:r>
        <w:rPr>
          <w:rFonts w:hint="eastAsia" w:cs="Times New Roman"/>
          <w:color w:val="000000" w:themeColor="text1"/>
          <w:lang w:val="en-US" w:eastAsia="zh-CN"/>
          <w14:textFill>
            <w14:solidFill>
              <w14:schemeClr w14:val="tx1"/>
            </w14:solidFill>
          </w14:textFill>
        </w:rPr>
        <w:t>几</w:t>
      </w:r>
      <w:r>
        <w:rPr>
          <w:rFonts w:hint="default" w:ascii="Times New Roman" w:hAnsi="Times New Roman" w:eastAsia="宋体" w:cs="Times New Roman"/>
          <w:color w:val="000000" w:themeColor="text1"/>
          <w:lang w:val="en-US" w:eastAsia="zh-CN"/>
          <w14:textFill>
            <w14:solidFill>
              <w14:schemeClr w14:val="tx1"/>
            </w14:solidFill>
          </w14:textFill>
        </w:rPr>
        <w:t>点：</w:t>
      </w:r>
    </w:p>
    <w:p w14:paraId="39837F63">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（1）编制施工期环境保护管理制度并组织实施，制定培训计划；</w:t>
      </w:r>
    </w:p>
    <w:p w14:paraId="0A6F58AF">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（2）建设单位在签订施工承包合同时，应将有关环境保护的条款列入合同，其中应包括施工中在环境污染预防和整治方面对承包方的具体要求；</w:t>
      </w:r>
    </w:p>
    <w:p w14:paraId="2460C377">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（3）委托有资质的监测单位按照本项目的环境管理计划进行施工期生态环境监测。并建立监测档案，对监测单位提供的数据要复查并送交生态环境局；</w:t>
      </w:r>
    </w:p>
    <w:p w14:paraId="6CF6548C">
      <w:pPr>
        <w:ind w:firstLine="480"/>
        <w:rPr>
          <w:rFonts w:hint="default" w:ascii="Times New Roman" w:hAnsi="Times New Roman" w:eastAsia="宋体" w:cs="Times New Roman"/>
          <w:b/>
          <w:color w:val="000000" w:themeColor="text1"/>
          <w:kern w:val="0"/>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（4）制定合理的运输路线。在选择施工场地时，避免对六盘山</w:t>
      </w:r>
      <w:r>
        <w:rPr>
          <w:rFonts w:hint="eastAsia" w:cs="Times New Roman"/>
          <w:color w:val="000000" w:themeColor="text1"/>
          <w:lang w:val="en-US" w:eastAsia="zh-CN"/>
          <w14:textFill>
            <w14:solidFill>
              <w14:schemeClr w14:val="tx1"/>
            </w14:solidFill>
          </w14:textFill>
        </w:rPr>
        <w:t>自治区</w:t>
      </w:r>
      <w:r>
        <w:rPr>
          <w:rFonts w:hint="default" w:ascii="Times New Roman" w:hAnsi="Times New Roman" w:eastAsia="宋体" w:cs="Times New Roman"/>
          <w:color w:val="000000" w:themeColor="text1"/>
          <w:lang w:val="en-US" w:eastAsia="zh-CN"/>
          <w14:textFill>
            <w14:solidFill>
              <w14:schemeClr w14:val="tx1"/>
            </w14:solidFill>
          </w14:textFill>
        </w:rPr>
        <w:t>级自然保护区的影响。</w:t>
      </w:r>
    </w:p>
    <w:p w14:paraId="66830439">
      <w:pPr>
        <w:ind w:firstLine="480"/>
        <w:rPr>
          <w:rFonts w:hint="default" w:ascii="Times New Roman" w:hAnsi="Times New Roman" w:eastAsia="宋体" w:cs="Times New Roman"/>
          <w:b/>
          <w:color w:val="000000" w:themeColor="text1"/>
          <w:kern w:val="0"/>
          <w:lang w:val="en-US" w:eastAsia="zh-CN"/>
          <w14:textFill>
            <w14:solidFill>
              <w14:schemeClr w14:val="tx1"/>
            </w14:solidFill>
          </w14:textFill>
        </w:rPr>
      </w:pPr>
      <w:r>
        <w:rPr>
          <w:rFonts w:hint="default" w:ascii="Times New Roman" w:hAnsi="Times New Roman" w:eastAsia="宋体" w:cs="Times New Roman"/>
          <w:b/>
          <w:color w:val="000000" w:themeColor="text1"/>
          <w:kern w:val="0"/>
          <w:lang w:val="en-US" w:eastAsia="zh-CN"/>
          <w14:textFill>
            <w14:solidFill>
              <w14:schemeClr w14:val="tx1"/>
            </w14:solidFill>
          </w14:textFill>
        </w:rPr>
        <w:t>7.2.2 运营期生态环境管理</w:t>
      </w:r>
    </w:p>
    <w:p w14:paraId="3DAA6496">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（1）建立营运期生态环境管理制度，在管理中每个环节都注重环境保护；</w:t>
      </w:r>
    </w:p>
    <w:p w14:paraId="06462178">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（2）生态环境的保护，水土保持工作的开展及植被的养护；</w:t>
      </w:r>
    </w:p>
    <w:p w14:paraId="5297D9EC">
      <w:pPr>
        <w:ind w:firstLine="480"/>
        <w:rPr>
          <w:rFonts w:hint="default" w:ascii="Times New Roman" w:hAnsi="Times New Roman" w:eastAsia="宋体" w:cs="Times New Roman"/>
          <w:b/>
          <w:color w:val="000000" w:themeColor="text1"/>
          <w:kern w:val="0"/>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（3）领导和组织工程的环境监测工作，建立监测档案。</w:t>
      </w:r>
    </w:p>
    <w:p w14:paraId="53733C64">
      <w:pPr>
        <w:ind w:firstLine="480"/>
        <w:rPr>
          <w:rFonts w:hint="default" w:ascii="Times New Roman" w:hAnsi="Times New Roman" w:eastAsia="宋体" w:cs="Times New Roman"/>
          <w:b/>
          <w:color w:val="000000" w:themeColor="text1"/>
          <w:kern w:val="0"/>
          <w:lang w:val="en-US" w:eastAsia="zh-CN"/>
          <w14:textFill>
            <w14:solidFill>
              <w14:schemeClr w14:val="tx1"/>
            </w14:solidFill>
          </w14:textFill>
        </w:rPr>
      </w:pPr>
      <w:r>
        <w:rPr>
          <w:rFonts w:hint="default" w:ascii="Times New Roman" w:hAnsi="Times New Roman" w:eastAsia="宋体" w:cs="Times New Roman"/>
          <w:b/>
          <w:color w:val="000000" w:themeColor="text1"/>
          <w:kern w:val="0"/>
          <w:lang w:val="en-US" w:eastAsia="zh-CN"/>
          <w14:textFill>
            <w14:solidFill>
              <w14:schemeClr w14:val="tx1"/>
            </w14:solidFill>
          </w14:textFill>
        </w:rPr>
        <w:t>8 生态影响评价结论</w:t>
      </w:r>
    </w:p>
    <w:p w14:paraId="4DABFF88">
      <w:pPr>
        <w:ind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本项目位于泾源县黄花乡，与六盘山国家级自然保护区实验区相邻，</w:t>
      </w:r>
      <w:r>
        <w:rPr>
          <w:rFonts w:hint="default" w:ascii="Times New Roman" w:hAnsi="Times New Roman" w:cs="Times New Roman"/>
          <w:color w:val="000000" w:themeColor="text1"/>
          <w:lang w:val="en-US" w:eastAsia="zh-CN"/>
          <w14:textFill>
            <w14:solidFill>
              <w14:schemeClr w14:val="tx1"/>
            </w14:solidFill>
          </w14:textFill>
        </w:rPr>
        <w:t>距保护区最近距离仅</w:t>
      </w:r>
      <w:r>
        <w:rPr>
          <w:rFonts w:hint="eastAsia" w:cs="Times New Roman"/>
          <w:color w:val="000000" w:themeColor="text1"/>
          <w:lang w:val="en-US" w:eastAsia="zh-CN"/>
          <w14:textFill>
            <w14:solidFill>
              <w14:schemeClr w14:val="tx1"/>
            </w14:solidFill>
          </w14:textFill>
        </w:rPr>
        <w:t>不到1</w:t>
      </w:r>
      <w:r>
        <w:rPr>
          <w:rFonts w:hint="default" w:ascii="Times New Roman" w:hAnsi="Times New Roman" w:cs="Times New Roman"/>
          <w:color w:val="000000" w:themeColor="text1"/>
          <w:lang w:val="en-US" w:eastAsia="zh-CN"/>
          <w14:textFill>
            <w14:solidFill>
              <w14:schemeClr w14:val="tx1"/>
            </w14:solidFill>
          </w14:textFill>
        </w:rPr>
        <w:t>m，</w:t>
      </w:r>
      <w:r>
        <w:rPr>
          <w:rFonts w:hint="default" w:ascii="Times New Roman" w:hAnsi="Times New Roman" w:eastAsia="宋体" w:cs="Times New Roman"/>
          <w:color w:val="000000" w:themeColor="text1"/>
          <w:lang w:val="en-US" w:eastAsia="zh-CN"/>
          <w14:textFill>
            <w14:solidFill>
              <w14:schemeClr w14:val="tx1"/>
            </w14:solidFill>
          </w14:textFill>
        </w:rPr>
        <w:t>项目建设可能对局部生态系统造成一定影响。通过采取有效的生态保护措施，可以最大限度地减少项目建设对生态环境的影响，促进项目区的生态恢复和可持续发展。建议项目建设单位严格按照生态保护要求，落实各项生态保护措施，确保项目区的生态环境得到有效保护。</w:t>
      </w:r>
    </w:p>
    <w:p w14:paraId="0EDD3357">
      <w:pPr>
        <w:ind w:firstLine="480"/>
        <w:rPr>
          <w:rFonts w:hint="default" w:ascii="Times New Roman" w:hAnsi="Times New Roman" w:eastAsia="宋体" w:cs="Times New Roman"/>
          <w:color w:val="000000" w:themeColor="text1"/>
          <w:lang w:val="en-US" w:eastAsia="zh-CN"/>
          <w14:textFill>
            <w14:solidFill>
              <w14:schemeClr w14:val="tx1"/>
            </w14:solidFill>
          </w14:textFill>
        </w:rPr>
        <w:sectPr>
          <w:footerReference r:id="rId11" w:type="default"/>
          <w:pgSz w:w="11906" w:h="16838"/>
          <w:pgMar w:top="1440" w:right="1800" w:bottom="1440" w:left="1800" w:header="851" w:footer="1077" w:gutter="0"/>
          <w:pgBorders>
            <w:top w:val="none" w:sz="0" w:space="0"/>
            <w:left w:val="none" w:sz="0" w:space="0"/>
            <w:bottom w:val="none" w:sz="0" w:space="0"/>
            <w:right w:val="none" w:sz="0" w:space="0"/>
          </w:pgBorders>
          <w:pgNumType w:fmt="decimal" w:start="1"/>
          <w:cols w:space="720" w:num="1"/>
          <w:docGrid w:linePitch="312" w:charSpace="0"/>
        </w:sectPr>
      </w:pPr>
      <w:r>
        <w:rPr>
          <w:rFonts w:hint="default" w:ascii="Times New Roman" w:hAnsi="Times New Roman" w:cs="Times New Roman"/>
          <w:color w:val="000000" w:themeColor="text1"/>
          <w:lang w:val="en-US" w:eastAsia="zh-CN"/>
          <w14:textFill>
            <w14:solidFill>
              <w14:schemeClr w14:val="tx1"/>
            </w14:solidFill>
          </w14:textFill>
        </w:rPr>
        <w:t>本项目生态影响评价自查表如下。</w:t>
      </w:r>
    </w:p>
    <w:p w14:paraId="5644682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生态影响评价自查表</w:t>
      </w:r>
    </w:p>
    <w:tbl>
      <w:tblPr>
        <w:tblStyle w:val="65"/>
        <w:tblW w:w="935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8"/>
        <w:gridCol w:w="1405"/>
        <w:gridCol w:w="6938"/>
      </w:tblGrid>
      <w:tr w14:paraId="5F6631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2413" w:type="dxa"/>
            <w:gridSpan w:val="2"/>
            <w:tcBorders>
              <w:top w:val="single" w:color="000000" w:sz="10" w:space="0"/>
              <w:left w:val="single" w:color="000000" w:sz="10" w:space="0"/>
              <w:bottom w:val="single" w:color="000000" w:sz="10" w:space="0"/>
            </w:tcBorders>
            <w:vAlign w:val="center"/>
          </w:tcPr>
          <w:p w14:paraId="4DA64C7A">
            <w:pPr>
              <w:spacing w:before="62" w:line="220" w:lineRule="auto"/>
              <w:ind w:left="0" w:leftChars="0" w:right="0" w:rightChars="0" w:firstLine="0" w:firstLineChars="0"/>
              <w:jc w:val="center"/>
              <w:rPr>
                <w:rFonts w:hint="default" w:ascii="Times New Roman" w:hAnsi="Times New Roman" w:eastAsia="宋体" w:cs="Times New Roman"/>
                <w:b/>
                <w:bCs/>
                <w:color w:val="000000" w:themeColor="text1"/>
                <w:sz w:val="18"/>
                <w:szCs w:val="18"/>
                <w14:textFill>
                  <w14:solidFill>
                    <w14:schemeClr w14:val="tx1"/>
                  </w14:solidFill>
                </w14:textFill>
              </w:rPr>
            </w:pPr>
            <w:r>
              <w:rPr>
                <w:rFonts w:hint="default" w:ascii="Times New Roman" w:hAnsi="Times New Roman" w:eastAsia="宋体" w:cs="Times New Roman"/>
                <w:b/>
                <w:bCs/>
                <w:color w:val="000000" w:themeColor="text1"/>
                <w:spacing w:val="-2"/>
                <w:sz w:val="18"/>
                <w:szCs w:val="18"/>
                <w14:textFill>
                  <w14:solidFill>
                    <w14:schemeClr w14:val="tx1"/>
                  </w14:solidFill>
                </w14:textFill>
              </w:rPr>
              <w:t>工作内容</w:t>
            </w:r>
          </w:p>
        </w:tc>
        <w:tc>
          <w:tcPr>
            <w:tcW w:w="6938" w:type="dxa"/>
            <w:tcBorders>
              <w:top w:val="single" w:color="000000" w:sz="10" w:space="0"/>
              <w:bottom w:val="single" w:color="000000" w:sz="10" w:space="0"/>
              <w:right w:val="single" w:color="000000" w:sz="10" w:space="0"/>
            </w:tcBorders>
            <w:vAlign w:val="center"/>
          </w:tcPr>
          <w:p w14:paraId="4DBA5153">
            <w:pPr>
              <w:spacing w:before="63" w:line="220" w:lineRule="auto"/>
              <w:ind w:left="0" w:leftChars="0" w:right="0" w:rightChars="0" w:firstLine="0" w:firstLineChars="0"/>
              <w:jc w:val="center"/>
              <w:rPr>
                <w:rFonts w:hint="default" w:ascii="Times New Roman" w:hAnsi="Times New Roman" w:eastAsia="宋体" w:cs="Times New Roman"/>
                <w:b/>
                <w:bCs/>
                <w:color w:val="000000" w:themeColor="text1"/>
                <w:sz w:val="18"/>
                <w:szCs w:val="18"/>
                <w14:textFill>
                  <w14:solidFill>
                    <w14:schemeClr w14:val="tx1"/>
                  </w14:solidFill>
                </w14:textFill>
              </w:rPr>
            </w:pPr>
            <w:r>
              <w:rPr>
                <w:rFonts w:hint="default" w:ascii="Times New Roman" w:hAnsi="Times New Roman" w:eastAsia="宋体" w:cs="Times New Roman"/>
                <w:b/>
                <w:bCs/>
                <w:color w:val="000000" w:themeColor="text1"/>
                <w:spacing w:val="-10"/>
                <w:sz w:val="18"/>
                <w:szCs w:val="18"/>
                <w14:textFill>
                  <w14:solidFill>
                    <w14:schemeClr w14:val="tx1"/>
                  </w14:solidFill>
                </w14:textFill>
              </w:rPr>
              <w:t>自查项目</w:t>
            </w:r>
          </w:p>
        </w:tc>
      </w:tr>
      <w:tr w14:paraId="5F64B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5" w:hRule="atLeast"/>
          <w:jc w:val="center"/>
        </w:trPr>
        <w:tc>
          <w:tcPr>
            <w:tcW w:w="1008" w:type="dxa"/>
            <w:vMerge w:val="restart"/>
            <w:tcBorders>
              <w:top w:val="single" w:color="000000" w:sz="10" w:space="0"/>
              <w:left w:val="single" w:color="000000" w:sz="10" w:space="0"/>
              <w:bottom w:val="nil"/>
            </w:tcBorders>
            <w:vAlign w:val="center"/>
          </w:tcPr>
          <w:p w14:paraId="49CC626A">
            <w:pPr>
              <w:spacing w:before="58" w:line="230" w:lineRule="auto"/>
              <w:ind w:left="0" w:leftChars="0" w:right="0" w:rightChars="0" w:firstLine="0" w:firstLineChars="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3"/>
                <w:sz w:val="18"/>
                <w:szCs w:val="18"/>
                <w14:textFill>
                  <w14:solidFill>
                    <w14:schemeClr w14:val="tx1"/>
                  </w14:solidFill>
                </w14:textFill>
              </w:rPr>
              <w:t>生态影响识别</w:t>
            </w:r>
          </w:p>
        </w:tc>
        <w:tc>
          <w:tcPr>
            <w:tcW w:w="1405" w:type="dxa"/>
            <w:tcBorders>
              <w:top w:val="single" w:color="000000" w:sz="10" w:space="0"/>
            </w:tcBorders>
            <w:vAlign w:val="center"/>
          </w:tcPr>
          <w:p w14:paraId="7D275E21">
            <w:pPr>
              <w:spacing w:before="279" w:line="220" w:lineRule="auto"/>
              <w:ind w:left="0" w:leftChars="0" w:right="0" w:rightChars="0" w:firstLine="0" w:firstLineChars="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生态保护目标</w:t>
            </w:r>
          </w:p>
        </w:tc>
        <w:tc>
          <w:tcPr>
            <w:tcW w:w="6938" w:type="dxa"/>
            <w:tcBorders>
              <w:top w:val="single" w:color="000000" w:sz="10" w:space="0"/>
              <w:right w:val="single" w:color="000000" w:sz="10" w:space="0"/>
            </w:tcBorders>
            <w:vAlign w:val="center"/>
          </w:tcPr>
          <w:p w14:paraId="0B87963B">
            <w:pPr>
              <w:spacing w:before="47" w:line="233" w:lineRule="auto"/>
              <w:ind w:left="0" w:leftChars="0" w:right="0" w:rightChars="0" w:firstLine="0" w:firstLineChars="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1"/>
                <w:sz w:val="18"/>
                <w:szCs w:val="18"/>
                <w14:textFill>
                  <w14:solidFill>
                    <w14:schemeClr w14:val="tx1"/>
                  </w14:solidFill>
                </w14:textFill>
              </w:rPr>
              <w:t>重要物种□；国家公园□；</w:t>
            </w:r>
            <w:r>
              <w:rPr>
                <w:rFonts w:hint="default" w:ascii="Times New Roman" w:hAnsi="Times New Roman" w:eastAsia="宋体" w:cs="Times New Roman"/>
                <w:color w:val="000000" w:themeColor="text1"/>
                <w:spacing w:val="-38"/>
                <w:sz w:val="18"/>
                <w:szCs w:val="18"/>
                <w14:textFill>
                  <w14:solidFill>
                    <w14:schemeClr w14:val="tx1"/>
                  </w14:solidFill>
                </w14:textFill>
              </w:rPr>
              <w:t xml:space="preserve"> </w:t>
            </w:r>
            <w:r>
              <w:rPr>
                <w:rFonts w:hint="default" w:ascii="Times New Roman" w:hAnsi="Times New Roman" w:eastAsia="宋体" w:cs="Times New Roman"/>
                <w:color w:val="000000" w:themeColor="text1"/>
                <w:spacing w:val="-1"/>
                <w:sz w:val="18"/>
                <w:szCs w:val="18"/>
                <w14:textFill>
                  <w14:solidFill>
                    <w14:schemeClr w14:val="tx1"/>
                  </w14:solidFill>
                </w14:textFill>
              </w:rPr>
              <w:t>自然保护区□；</w:t>
            </w:r>
            <w:r>
              <w:rPr>
                <w:rFonts w:hint="default" w:ascii="Times New Roman" w:hAnsi="Times New Roman" w:eastAsia="宋体" w:cs="Times New Roman"/>
                <w:color w:val="000000" w:themeColor="text1"/>
                <w:spacing w:val="-51"/>
                <w:sz w:val="18"/>
                <w:szCs w:val="18"/>
                <w14:textFill>
                  <w14:solidFill>
                    <w14:schemeClr w14:val="tx1"/>
                  </w14:solidFill>
                </w14:textFill>
              </w:rPr>
              <w:t xml:space="preserve"> </w:t>
            </w:r>
            <w:r>
              <w:rPr>
                <w:rFonts w:hint="default" w:ascii="Times New Roman" w:hAnsi="Times New Roman" w:eastAsia="宋体" w:cs="Times New Roman"/>
                <w:color w:val="000000" w:themeColor="text1"/>
                <w:spacing w:val="-1"/>
                <w:sz w:val="18"/>
                <w:szCs w:val="18"/>
                <w14:textFill>
                  <w14:solidFill>
                    <w14:schemeClr w14:val="tx1"/>
                  </w14:solidFill>
                </w14:textFill>
              </w:rPr>
              <w:t>自然公园□；世界自然遗产□；生态保护</w:t>
            </w:r>
            <w:r>
              <w:rPr>
                <w:rFonts w:hint="default" w:ascii="Times New Roman" w:hAnsi="Times New Roman" w:eastAsia="宋体" w:cs="Times New Roman"/>
                <w:color w:val="000000" w:themeColor="text1"/>
                <w:spacing w:val="1"/>
                <w:sz w:val="18"/>
                <w:szCs w:val="18"/>
                <w14:textFill>
                  <w14:solidFill>
                    <w14:schemeClr w14:val="tx1"/>
                  </w14:solidFill>
                </w14:textFill>
              </w:rPr>
              <w:t>红线□；重要生境□；其他具有重要生态功能、对保护生物多样性具有重要意义的区</w:t>
            </w:r>
            <w:r>
              <w:rPr>
                <w:rFonts w:hint="default" w:ascii="Times New Roman" w:hAnsi="Times New Roman" w:eastAsia="宋体" w:cs="Times New Roman"/>
                <w:color w:val="000000" w:themeColor="text1"/>
                <w:spacing w:val="-2"/>
                <w:sz w:val="18"/>
                <w:szCs w:val="18"/>
                <w14:textFill>
                  <w14:solidFill>
                    <w14:schemeClr w14:val="tx1"/>
                  </w14:solidFill>
                </w14:textFill>
              </w:rPr>
              <w:t>域□；其他□</w:t>
            </w:r>
          </w:p>
        </w:tc>
      </w:tr>
      <w:tr w14:paraId="3C6AC3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jc w:val="center"/>
        </w:trPr>
        <w:tc>
          <w:tcPr>
            <w:tcW w:w="1008" w:type="dxa"/>
            <w:vMerge w:val="continue"/>
            <w:tcBorders>
              <w:top w:val="nil"/>
              <w:left w:val="single" w:color="000000" w:sz="10" w:space="0"/>
              <w:bottom w:val="nil"/>
            </w:tcBorders>
            <w:vAlign w:val="center"/>
          </w:tcPr>
          <w:p w14:paraId="45F37FE9">
            <w:pPr>
              <w:ind w:left="0" w:leftChars="0" w:right="0" w:rightChars="0" w:firstLine="0" w:firstLineChars="0"/>
              <w:jc w:val="center"/>
              <w:rPr>
                <w:rFonts w:hint="default" w:ascii="Times New Roman" w:hAnsi="Times New Roman" w:cs="Times New Roman"/>
                <w:color w:val="000000" w:themeColor="text1"/>
                <w:sz w:val="21"/>
                <w14:textFill>
                  <w14:solidFill>
                    <w14:schemeClr w14:val="tx1"/>
                  </w14:solidFill>
                </w14:textFill>
              </w:rPr>
            </w:pPr>
          </w:p>
        </w:tc>
        <w:tc>
          <w:tcPr>
            <w:tcW w:w="1405" w:type="dxa"/>
            <w:vAlign w:val="center"/>
          </w:tcPr>
          <w:p w14:paraId="37CC8C5B">
            <w:pPr>
              <w:spacing w:before="59" w:line="221" w:lineRule="auto"/>
              <w:ind w:left="0" w:leftChars="0" w:right="0" w:rightChars="0" w:firstLine="0" w:firstLineChars="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影响方式</w:t>
            </w:r>
          </w:p>
        </w:tc>
        <w:tc>
          <w:tcPr>
            <w:tcW w:w="6938" w:type="dxa"/>
            <w:tcBorders>
              <w:right w:val="single" w:color="000000" w:sz="10" w:space="0"/>
            </w:tcBorders>
            <w:vAlign w:val="center"/>
          </w:tcPr>
          <w:p w14:paraId="46B1FEE9">
            <w:pPr>
              <w:spacing w:before="59" w:line="219" w:lineRule="auto"/>
              <w:ind w:left="0" w:leftChars="0" w:right="0" w:rightChars="0" w:firstLine="0" w:firstLineChars="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1"/>
                <w:sz w:val="18"/>
                <w:szCs w:val="18"/>
                <w14:textFill>
                  <w14:solidFill>
                    <w14:schemeClr w14:val="tx1"/>
                  </w14:solidFill>
                </w14:textFill>
              </w:rPr>
              <w:t>工程占用</w:t>
            </w:r>
            <w:r>
              <w:rPr>
                <w:rFonts w:hint="eastAsia" w:cs="Times New Roman"/>
                <w:color w:val="000000" w:themeColor="text1"/>
                <w:spacing w:val="-1"/>
                <w:sz w:val="18"/>
                <w:szCs w:val="18"/>
                <w:lang w:eastAsia="zh-CN"/>
                <w14:textFill>
                  <w14:solidFill>
                    <w14:schemeClr w14:val="tx1"/>
                  </w14:solidFill>
                </w14:textFill>
              </w:rPr>
              <w:t>□</w:t>
            </w:r>
            <w:r>
              <w:rPr>
                <w:rFonts w:hint="default" w:ascii="Times New Roman" w:hAnsi="Times New Roman" w:eastAsia="宋体" w:cs="Times New Roman"/>
                <w:color w:val="000000" w:themeColor="text1"/>
                <w:spacing w:val="-1"/>
                <w:sz w:val="18"/>
                <w:szCs w:val="18"/>
                <w14:textFill>
                  <w14:solidFill>
                    <w14:schemeClr w14:val="tx1"/>
                  </w14:solidFill>
                </w14:textFill>
              </w:rPr>
              <w:t>；施工活动干扰</w:t>
            </w:r>
            <w:r>
              <w:rPr>
                <w:rFonts w:hint="default" w:ascii="Times New Roman" w:hAnsi="Times New Roman" w:eastAsia="宋体" w:cs="Times New Roman"/>
                <w:color w:val="000000" w:themeColor="text1"/>
                <w:spacing w:val="-1"/>
                <w:sz w:val="18"/>
                <w:szCs w:val="18"/>
                <w:lang w:eastAsia="zh-CN"/>
                <w14:textFill>
                  <w14:solidFill>
                    <w14:schemeClr w14:val="tx1"/>
                  </w14:solidFill>
                </w14:textFill>
              </w:rPr>
              <w:t>☑</w:t>
            </w:r>
            <w:r>
              <w:rPr>
                <w:rFonts w:hint="default" w:ascii="Times New Roman" w:hAnsi="Times New Roman" w:eastAsia="宋体" w:cs="Times New Roman"/>
                <w:color w:val="000000" w:themeColor="text1"/>
                <w:spacing w:val="-1"/>
                <w:sz w:val="18"/>
                <w:szCs w:val="18"/>
                <w14:textFill>
                  <w14:solidFill>
                    <w14:schemeClr w14:val="tx1"/>
                  </w14:solidFill>
                </w14:textFill>
              </w:rPr>
              <w:t>；改变环境条件□；其他□</w:t>
            </w:r>
          </w:p>
        </w:tc>
      </w:tr>
      <w:tr w14:paraId="573F3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1" w:hRule="atLeast"/>
          <w:jc w:val="center"/>
        </w:trPr>
        <w:tc>
          <w:tcPr>
            <w:tcW w:w="1008" w:type="dxa"/>
            <w:vMerge w:val="continue"/>
            <w:tcBorders>
              <w:top w:val="nil"/>
              <w:left w:val="single" w:color="000000" w:sz="10" w:space="0"/>
            </w:tcBorders>
            <w:vAlign w:val="center"/>
          </w:tcPr>
          <w:p w14:paraId="7E70F237">
            <w:pPr>
              <w:ind w:left="0" w:leftChars="0" w:right="0" w:rightChars="0" w:firstLine="0" w:firstLineChars="0"/>
              <w:jc w:val="center"/>
              <w:rPr>
                <w:rFonts w:hint="default" w:ascii="Times New Roman" w:hAnsi="Times New Roman" w:cs="Times New Roman"/>
                <w:color w:val="000000" w:themeColor="text1"/>
                <w:sz w:val="21"/>
                <w14:textFill>
                  <w14:solidFill>
                    <w14:schemeClr w14:val="tx1"/>
                  </w14:solidFill>
                </w14:textFill>
              </w:rPr>
            </w:pPr>
          </w:p>
        </w:tc>
        <w:tc>
          <w:tcPr>
            <w:tcW w:w="1405" w:type="dxa"/>
            <w:vAlign w:val="center"/>
          </w:tcPr>
          <w:p w14:paraId="592C5F40">
            <w:pPr>
              <w:spacing w:before="58" w:line="218" w:lineRule="auto"/>
              <w:ind w:left="0" w:leftChars="0" w:right="0" w:rightChars="0" w:firstLine="0" w:firstLineChars="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评价因子</w:t>
            </w:r>
          </w:p>
        </w:tc>
        <w:tc>
          <w:tcPr>
            <w:tcW w:w="6938" w:type="dxa"/>
            <w:tcBorders>
              <w:right w:val="single" w:color="000000" w:sz="10" w:space="0"/>
            </w:tcBorders>
            <w:vAlign w:val="center"/>
          </w:tcPr>
          <w:p w14:paraId="0EFE0745">
            <w:pPr>
              <w:spacing w:before="60" w:line="220" w:lineRule="auto"/>
              <w:ind w:left="0" w:leftChars="0" w:right="0" w:rightChars="0" w:firstLine="0" w:firstLineChars="0"/>
              <w:jc w:val="left"/>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3"/>
                <w:sz w:val="18"/>
                <w:szCs w:val="18"/>
                <w14:textFill>
                  <w14:solidFill>
                    <w14:schemeClr w14:val="tx1"/>
                  </w14:solidFill>
                </w14:textFill>
              </w:rPr>
              <w:t>物种□</w:t>
            </w:r>
            <w:r>
              <w:rPr>
                <w:rFonts w:hint="default" w:ascii="Times New Roman" w:hAnsi="Times New Roman" w:eastAsia="宋体" w:cs="Times New Roman"/>
                <w:color w:val="000000" w:themeColor="text1"/>
                <w:spacing w:val="-3"/>
                <w:sz w:val="18"/>
                <w:szCs w:val="18"/>
                <w:lang w:eastAsia="zh-CN"/>
                <w14:textFill>
                  <w14:solidFill>
                    <w14:schemeClr w14:val="tx1"/>
                  </w14:solidFill>
                </w14:textFill>
              </w:rPr>
              <w:t>（）</w:t>
            </w:r>
          </w:p>
          <w:p w14:paraId="750DC844">
            <w:pPr>
              <w:spacing w:before="49" w:line="220" w:lineRule="auto"/>
              <w:ind w:left="0" w:leftChars="0" w:right="0" w:rightChars="0" w:firstLine="0" w:firstLineChars="0"/>
              <w:jc w:val="left"/>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3"/>
                <w:sz w:val="18"/>
                <w:szCs w:val="18"/>
                <w14:textFill>
                  <w14:solidFill>
                    <w14:schemeClr w14:val="tx1"/>
                  </w14:solidFill>
                </w14:textFill>
              </w:rPr>
              <w:t>生境□</w:t>
            </w:r>
            <w:r>
              <w:rPr>
                <w:rFonts w:hint="default" w:ascii="Times New Roman" w:hAnsi="Times New Roman" w:eastAsia="宋体" w:cs="Times New Roman"/>
                <w:color w:val="000000" w:themeColor="text1"/>
                <w:spacing w:val="-3"/>
                <w:sz w:val="18"/>
                <w:szCs w:val="18"/>
                <w:lang w:eastAsia="zh-CN"/>
                <w14:textFill>
                  <w14:solidFill>
                    <w14:schemeClr w14:val="tx1"/>
                  </w14:solidFill>
                </w14:textFill>
              </w:rPr>
              <w:t>（）</w:t>
            </w:r>
          </w:p>
          <w:p w14:paraId="0DA0BB25">
            <w:pPr>
              <w:spacing w:before="51" w:line="220" w:lineRule="auto"/>
              <w:ind w:left="0" w:leftChars="0" w:right="0" w:rightChars="0" w:firstLine="0" w:firstLineChars="0"/>
              <w:jc w:val="left"/>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生物群落□</w:t>
            </w:r>
            <w:r>
              <w:rPr>
                <w:rFonts w:hint="default" w:ascii="Times New Roman" w:hAnsi="Times New Roman" w:eastAsia="宋体" w:cs="Times New Roman"/>
                <w:color w:val="000000" w:themeColor="text1"/>
                <w:spacing w:val="-3"/>
                <w:sz w:val="18"/>
                <w:szCs w:val="18"/>
                <w:lang w:eastAsia="zh-CN"/>
                <w14:textFill>
                  <w14:solidFill>
                    <w14:schemeClr w14:val="tx1"/>
                  </w14:solidFill>
                </w14:textFill>
              </w:rPr>
              <w:t>（）</w:t>
            </w:r>
          </w:p>
          <w:p w14:paraId="6567A916">
            <w:pPr>
              <w:spacing w:before="49" w:line="221" w:lineRule="auto"/>
              <w:ind w:left="0" w:leftChars="0" w:right="0" w:rightChars="0" w:firstLine="0" w:firstLineChars="0"/>
              <w:jc w:val="left"/>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生态系统□</w:t>
            </w:r>
            <w:r>
              <w:rPr>
                <w:rFonts w:hint="default" w:ascii="Times New Roman" w:hAnsi="Times New Roman" w:eastAsia="宋体" w:cs="Times New Roman"/>
                <w:color w:val="000000" w:themeColor="text1"/>
                <w:spacing w:val="-3"/>
                <w:sz w:val="18"/>
                <w:szCs w:val="18"/>
                <w:lang w:eastAsia="zh-CN"/>
                <w14:textFill>
                  <w14:solidFill>
                    <w14:schemeClr w14:val="tx1"/>
                  </w14:solidFill>
                </w14:textFill>
              </w:rPr>
              <w:t>（）</w:t>
            </w:r>
          </w:p>
          <w:p w14:paraId="3FD81BA6">
            <w:pPr>
              <w:spacing w:before="48" w:line="220" w:lineRule="auto"/>
              <w:ind w:left="0" w:leftChars="0" w:right="0" w:rightChars="0" w:firstLine="0" w:firstLineChars="0"/>
              <w:jc w:val="left"/>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生物多样性□</w:t>
            </w:r>
            <w:r>
              <w:rPr>
                <w:rFonts w:hint="default" w:ascii="Times New Roman" w:hAnsi="Times New Roman" w:eastAsia="宋体" w:cs="Times New Roman"/>
                <w:color w:val="000000" w:themeColor="text1"/>
                <w:spacing w:val="-3"/>
                <w:sz w:val="18"/>
                <w:szCs w:val="18"/>
                <w:lang w:eastAsia="zh-CN"/>
                <w14:textFill>
                  <w14:solidFill>
                    <w14:schemeClr w14:val="tx1"/>
                  </w14:solidFill>
                </w14:textFill>
              </w:rPr>
              <w:t>（）</w:t>
            </w:r>
          </w:p>
          <w:p w14:paraId="56027F98">
            <w:pPr>
              <w:spacing w:before="50" w:line="220" w:lineRule="auto"/>
              <w:ind w:left="0" w:leftChars="0" w:right="0" w:rightChars="0" w:firstLine="0" w:firstLineChars="0"/>
              <w:jc w:val="left"/>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生态敏感区</w:t>
            </w:r>
            <w:r>
              <w:rPr>
                <w:rFonts w:hint="default" w:ascii="Times New Roman" w:hAnsi="Times New Roman" w:eastAsia="宋体" w:cs="Times New Roman"/>
                <w:color w:val="000000" w:themeColor="text1"/>
                <w:spacing w:val="-2"/>
                <w:sz w:val="18"/>
                <w:szCs w:val="18"/>
                <w:lang w:eastAsia="zh-CN"/>
                <w14:textFill>
                  <w14:solidFill>
                    <w14:schemeClr w14:val="tx1"/>
                  </w14:solidFill>
                </w14:textFill>
              </w:rPr>
              <w:t>☑</w:t>
            </w:r>
            <w:r>
              <w:rPr>
                <w:rFonts w:hint="default" w:ascii="Times New Roman" w:hAnsi="Times New Roman" w:eastAsia="宋体" w:cs="Times New Roman"/>
                <w:color w:val="000000" w:themeColor="text1"/>
                <w:spacing w:val="-3"/>
                <w:sz w:val="18"/>
                <w:szCs w:val="18"/>
                <w:lang w:eastAsia="zh-CN"/>
                <w14:textFill>
                  <w14:solidFill>
                    <w14:schemeClr w14:val="tx1"/>
                  </w14:solidFill>
                </w14:textFill>
              </w:rPr>
              <w:t>（</w:t>
            </w:r>
            <w:r>
              <w:rPr>
                <w:rFonts w:hint="default" w:ascii="Times New Roman" w:hAnsi="Times New Roman" w:eastAsia="宋体" w:cs="Times New Roman"/>
                <w:color w:val="000000" w:themeColor="text1"/>
                <w:spacing w:val="1"/>
                <w:sz w:val="18"/>
                <w:szCs w:val="18"/>
                <w:lang w:val="en-US" w:eastAsia="zh-CN"/>
                <w14:textFill>
                  <w14:solidFill>
                    <w14:schemeClr w14:val="tx1"/>
                  </w14:solidFill>
                </w14:textFill>
              </w:rPr>
              <w:t>六盘山自治区级自然保护区</w:t>
            </w:r>
            <w:r>
              <w:rPr>
                <w:rFonts w:hint="default" w:ascii="Times New Roman" w:hAnsi="Times New Roman" w:eastAsia="宋体" w:cs="Times New Roman"/>
                <w:color w:val="000000" w:themeColor="text1"/>
                <w:spacing w:val="-3"/>
                <w:sz w:val="18"/>
                <w:szCs w:val="18"/>
                <w:lang w:eastAsia="zh-CN"/>
                <w14:textFill>
                  <w14:solidFill>
                    <w14:schemeClr w14:val="tx1"/>
                  </w14:solidFill>
                </w14:textFill>
              </w:rPr>
              <w:t>）</w:t>
            </w:r>
          </w:p>
          <w:p w14:paraId="24B5E641">
            <w:pPr>
              <w:spacing w:before="49" w:line="220" w:lineRule="auto"/>
              <w:ind w:left="0" w:leftChars="0" w:right="0" w:rightChars="0" w:firstLine="0" w:firstLineChars="0"/>
              <w:jc w:val="left"/>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8"/>
                <w:sz w:val="18"/>
                <w:szCs w:val="18"/>
                <w14:textFill>
                  <w14:solidFill>
                    <w14:schemeClr w14:val="tx1"/>
                  </w14:solidFill>
                </w14:textFill>
              </w:rPr>
              <w:t>自然景观□</w:t>
            </w:r>
            <w:r>
              <w:rPr>
                <w:rFonts w:hint="default" w:ascii="Times New Roman" w:hAnsi="Times New Roman" w:eastAsia="宋体" w:cs="Times New Roman"/>
                <w:color w:val="000000" w:themeColor="text1"/>
                <w:spacing w:val="-3"/>
                <w:sz w:val="18"/>
                <w:szCs w:val="18"/>
                <w:lang w:eastAsia="zh-CN"/>
                <w14:textFill>
                  <w14:solidFill>
                    <w14:schemeClr w14:val="tx1"/>
                  </w14:solidFill>
                </w14:textFill>
              </w:rPr>
              <w:t>（）</w:t>
            </w:r>
          </w:p>
          <w:p w14:paraId="22732B5A">
            <w:pPr>
              <w:spacing w:before="50" w:line="220" w:lineRule="auto"/>
              <w:ind w:left="0" w:leftChars="0" w:right="0" w:rightChars="0" w:firstLine="0" w:firstLineChars="0"/>
              <w:jc w:val="left"/>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8"/>
                <w:sz w:val="18"/>
                <w:szCs w:val="18"/>
                <w14:textFill>
                  <w14:solidFill>
                    <w14:schemeClr w14:val="tx1"/>
                  </w14:solidFill>
                </w14:textFill>
              </w:rPr>
              <w:t>自然遗迹□</w:t>
            </w:r>
            <w:r>
              <w:rPr>
                <w:rFonts w:hint="default" w:ascii="Times New Roman" w:hAnsi="Times New Roman" w:eastAsia="宋体" w:cs="Times New Roman"/>
                <w:color w:val="000000" w:themeColor="text1"/>
                <w:spacing w:val="-3"/>
                <w:sz w:val="18"/>
                <w:szCs w:val="18"/>
                <w:lang w:eastAsia="zh-CN"/>
                <w14:textFill>
                  <w14:solidFill>
                    <w14:schemeClr w14:val="tx1"/>
                  </w14:solidFill>
                </w14:textFill>
              </w:rPr>
              <w:t>（）</w:t>
            </w:r>
          </w:p>
          <w:p w14:paraId="3AC749FA">
            <w:pPr>
              <w:spacing w:before="52" w:line="220" w:lineRule="auto"/>
              <w:ind w:left="0" w:leftChars="0" w:right="0" w:rightChars="0" w:firstLine="0" w:firstLineChars="0"/>
              <w:jc w:val="left"/>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3"/>
                <w:sz w:val="18"/>
                <w:szCs w:val="18"/>
                <w14:textFill>
                  <w14:solidFill>
                    <w14:schemeClr w14:val="tx1"/>
                  </w14:solidFill>
                </w14:textFill>
              </w:rPr>
              <w:t>其他□</w:t>
            </w:r>
            <w:r>
              <w:rPr>
                <w:rFonts w:hint="default" w:ascii="Times New Roman" w:hAnsi="Times New Roman" w:eastAsia="宋体" w:cs="Times New Roman"/>
                <w:color w:val="000000" w:themeColor="text1"/>
                <w:spacing w:val="-3"/>
                <w:sz w:val="18"/>
                <w:szCs w:val="18"/>
                <w:lang w:eastAsia="zh-CN"/>
                <w14:textFill>
                  <w14:solidFill>
                    <w14:schemeClr w14:val="tx1"/>
                  </w14:solidFill>
                </w14:textFill>
              </w:rPr>
              <w:t>（）</w:t>
            </w:r>
          </w:p>
        </w:tc>
      </w:tr>
      <w:tr w14:paraId="600035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jc w:val="center"/>
        </w:trPr>
        <w:tc>
          <w:tcPr>
            <w:tcW w:w="2413" w:type="dxa"/>
            <w:gridSpan w:val="2"/>
            <w:tcBorders>
              <w:left w:val="single" w:color="000000" w:sz="10" w:space="0"/>
            </w:tcBorders>
            <w:vAlign w:val="center"/>
          </w:tcPr>
          <w:p w14:paraId="6D05A549">
            <w:pPr>
              <w:spacing w:before="66" w:line="218" w:lineRule="auto"/>
              <w:ind w:left="0" w:leftChars="0" w:right="0" w:rightChars="0" w:firstLine="0" w:firstLineChars="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评价等级</w:t>
            </w:r>
          </w:p>
        </w:tc>
        <w:tc>
          <w:tcPr>
            <w:tcW w:w="6938" w:type="dxa"/>
            <w:tcBorders>
              <w:right w:val="single" w:color="000000" w:sz="10" w:space="0"/>
            </w:tcBorders>
            <w:vAlign w:val="center"/>
          </w:tcPr>
          <w:p w14:paraId="6C9D43C3">
            <w:pPr>
              <w:spacing w:before="66" w:line="219" w:lineRule="auto"/>
              <w:ind w:left="0" w:leftChars="0" w:right="0" w:rightChars="0" w:firstLine="0" w:firstLineChars="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 xml:space="preserve">一级□         二级□     </w:t>
            </w:r>
            <w:r>
              <w:rPr>
                <w:rFonts w:hint="default" w:ascii="Times New Roman" w:hAnsi="Times New Roman" w:eastAsia="宋体" w:cs="Times New Roman"/>
                <w:color w:val="000000" w:themeColor="text1"/>
                <w:spacing w:val="-1"/>
                <w:sz w:val="18"/>
                <w:szCs w:val="18"/>
                <w14:textFill>
                  <w14:solidFill>
                    <w14:schemeClr w14:val="tx1"/>
                  </w14:solidFill>
                </w14:textFill>
              </w:rPr>
              <w:t xml:space="preserve">    三级</w:t>
            </w:r>
            <w:r>
              <w:rPr>
                <w:rFonts w:hint="default" w:ascii="Times New Roman" w:hAnsi="Times New Roman" w:eastAsia="宋体" w:cs="Times New Roman"/>
                <w:color w:val="000000" w:themeColor="text1"/>
                <w:spacing w:val="-1"/>
                <w:sz w:val="18"/>
                <w:szCs w:val="18"/>
                <w:lang w:eastAsia="zh-CN"/>
                <w14:textFill>
                  <w14:solidFill>
                    <w14:schemeClr w14:val="tx1"/>
                  </w14:solidFill>
                </w14:textFill>
              </w:rPr>
              <w:t>☑</w:t>
            </w:r>
            <w:r>
              <w:rPr>
                <w:rFonts w:hint="default" w:ascii="Times New Roman" w:hAnsi="Times New Roman" w:eastAsia="宋体" w:cs="Times New Roman"/>
                <w:color w:val="000000" w:themeColor="text1"/>
                <w:sz w:val="18"/>
                <w:szCs w:val="18"/>
                <w14:textFill>
                  <w14:solidFill>
                    <w14:schemeClr w14:val="tx1"/>
                  </w14:solidFill>
                </w14:textFill>
              </w:rPr>
              <w:t xml:space="preserve">         </w:t>
            </w:r>
            <w:r>
              <w:rPr>
                <w:rFonts w:hint="default" w:ascii="Times New Roman" w:hAnsi="Times New Roman" w:eastAsia="宋体" w:cs="Times New Roman"/>
                <w:color w:val="000000" w:themeColor="text1"/>
                <w:spacing w:val="-1"/>
                <w:sz w:val="18"/>
                <w:szCs w:val="18"/>
                <w14:textFill>
                  <w14:solidFill>
                    <w14:schemeClr w14:val="tx1"/>
                  </w14:solidFill>
                </w14:textFill>
              </w:rPr>
              <w:t>生态影响简单分析□</w:t>
            </w:r>
          </w:p>
        </w:tc>
      </w:tr>
      <w:tr w14:paraId="756782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jc w:val="center"/>
        </w:trPr>
        <w:tc>
          <w:tcPr>
            <w:tcW w:w="2413" w:type="dxa"/>
            <w:gridSpan w:val="2"/>
            <w:tcBorders>
              <w:left w:val="single" w:color="000000" w:sz="10" w:space="0"/>
            </w:tcBorders>
            <w:vAlign w:val="center"/>
          </w:tcPr>
          <w:p w14:paraId="1DD3786F">
            <w:pPr>
              <w:spacing w:before="67" w:line="218" w:lineRule="auto"/>
              <w:ind w:left="0" w:leftChars="0" w:right="0" w:rightChars="0" w:firstLine="0" w:firstLineChars="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评价范围</w:t>
            </w:r>
          </w:p>
        </w:tc>
        <w:tc>
          <w:tcPr>
            <w:tcW w:w="6938" w:type="dxa"/>
            <w:tcBorders>
              <w:right w:val="single" w:color="000000" w:sz="10" w:space="0"/>
            </w:tcBorders>
            <w:vAlign w:val="center"/>
          </w:tcPr>
          <w:p w14:paraId="7115045C">
            <w:pPr>
              <w:pStyle w:val="66"/>
              <w:spacing w:before="61" w:line="233" w:lineRule="auto"/>
              <w:ind w:left="0" w:leftChars="0" w:right="0" w:rightChars="0" w:firstLine="0" w:firstLineChars="0"/>
              <w:jc w:val="center"/>
              <w:rPr>
                <w:rFonts w:hint="default" w:ascii="Times New Roman" w:hAnsi="Times New Roman" w:cs="Times New Roman"/>
                <w:color w:val="000000" w:themeColor="text1"/>
                <w:sz w:val="12"/>
                <w:szCs w:val="12"/>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陆域面积</w:t>
            </w:r>
            <w:r>
              <w:rPr>
                <w:rFonts w:hint="default" w:ascii="Times New Roman" w:hAnsi="Times New Roman" w:eastAsia="宋体" w:cs="Times New Roman"/>
                <w:color w:val="000000" w:themeColor="text1"/>
                <w:spacing w:val="-38"/>
                <w:sz w:val="18"/>
                <w:szCs w:val="18"/>
                <w14:textFill>
                  <w14:solidFill>
                    <w14:schemeClr w14:val="tx1"/>
                  </w14:solidFill>
                </w14:textFill>
              </w:rPr>
              <w:t>：</w:t>
            </w:r>
            <w:r>
              <w:rPr>
                <w:rFonts w:hint="default" w:ascii="Times New Roman" w:hAnsi="Times New Roman" w:eastAsia="宋体" w:cs="Times New Roman"/>
                <w:color w:val="000000" w:themeColor="text1"/>
                <w:spacing w:val="-2"/>
                <w:sz w:val="18"/>
                <w:szCs w:val="18"/>
                <w14:textFill>
                  <w14:solidFill>
                    <w14:schemeClr w14:val="tx1"/>
                  </w14:solidFill>
                </w14:textFill>
              </w:rPr>
              <w:t>（</w:t>
            </w:r>
            <w:r>
              <w:rPr>
                <w:rFonts w:hint="default" w:ascii="Times New Roman" w:hAnsi="Times New Roman" w:eastAsia="宋体" w:cs="Times New Roman"/>
                <w:color w:val="000000" w:themeColor="text1"/>
                <w:spacing w:val="-2"/>
                <w:sz w:val="18"/>
                <w:szCs w:val="18"/>
                <w:lang w:val="en-US" w:eastAsia="zh-CN"/>
                <w14:textFill>
                  <w14:solidFill>
                    <w14:schemeClr w14:val="tx1"/>
                  </w14:solidFill>
                </w14:textFill>
              </w:rPr>
              <w:t>0.143894</w:t>
            </w:r>
            <w:r>
              <w:rPr>
                <w:rFonts w:hint="default" w:ascii="Times New Roman" w:hAnsi="Times New Roman" w:eastAsia="宋体" w:cs="Times New Roman"/>
                <w:color w:val="000000" w:themeColor="text1"/>
                <w:spacing w:val="-2"/>
                <w:sz w:val="18"/>
                <w:szCs w:val="18"/>
                <w14:textFill>
                  <w14:solidFill>
                    <w14:schemeClr w14:val="tx1"/>
                  </w14:solidFill>
                </w14:textFill>
              </w:rPr>
              <w:t>）</w:t>
            </w:r>
            <w:r>
              <w:rPr>
                <w:rFonts w:hint="default" w:ascii="Times New Roman" w:hAnsi="Times New Roman" w:cs="Times New Roman"/>
                <w:color w:val="000000" w:themeColor="text1"/>
                <w:spacing w:val="-2"/>
                <w:sz w:val="18"/>
                <w:szCs w:val="18"/>
                <w14:textFill>
                  <w14:solidFill>
                    <w14:schemeClr w14:val="tx1"/>
                  </w14:solidFill>
                </w14:textFill>
              </w:rPr>
              <w:t>km</w:t>
            </w:r>
            <w:r>
              <w:rPr>
                <w:rFonts w:hint="default" w:ascii="Times New Roman" w:hAnsi="Times New Roman" w:cs="Times New Roman"/>
                <w:color w:val="000000" w:themeColor="text1"/>
                <w:spacing w:val="-2"/>
                <w:position w:val="7"/>
                <w:sz w:val="12"/>
                <w:szCs w:val="12"/>
                <w14:textFill>
                  <w14:solidFill>
                    <w14:schemeClr w14:val="tx1"/>
                  </w14:solidFill>
                </w14:textFill>
              </w:rPr>
              <w:t>2</w:t>
            </w:r>
            <w:r>
              <w:rPr>
                <w:rFonts w:hint="default" w:ascii="Times New Roman" w:hAnsi="Times New Roman" w:eastAsia="宋体" w:cs="Times New Roman"/>
                <w:color w:val="000000" w:themeColor="text1"/>
                <w:spacing w:val="-2"/>
                <w:sz w:val="18"/>
                <w:szCs w:val="18"/>
                <w14:textFill>
                  <w14:solidFill>
                    <w14:schemeClr w14:val="tx1"/>
                  </w14:solidFill>
                </w14:textFill>
              </w:rPr>
              <w:t>；水域面积</w:t>
            </w:r>
            <w:r>
              <w:rPr>
                <w:rFonts w:hint="default" w:ascii="Times New Roman" w:hAnsi="Times New Roman" w:eastAsia="宋体" w:cs="Times New Roman"/>
                <w:color w:val="000000" w:themeColor="text1"/>
                <w:spacing w:val="-38"/>
                <w:sz w:val="18"/>
                <w:szCs w:val="18"/>
                <w14:textFill>
                  <w14:solidFill>
                    <w14:schemeClr w14:val="tx1"/>
                  </w14:solidFill>
                </w14:textFill>
              </w:rPr>
              <w:t>：（</w:t>
            </w:r>
            <w:r>
              <w:rPr>
                <w:rFonts w:hint="default" w:ascii="Times New Roman" w:hAnsi="Times New Roman" w:eastAsia="宋体" w:cs="Times New Roman"/>
                <w:color w:val="000000" w:themeColor="text1"/>
                <w:spacing w:val="6"/>
                <w:sz w:val="18"/>
                <w:szCs w:val="18"/>
                <w14:textFill>
                  <w14:solidFill>
                    <w14:schemeClr w14:val="tx1"/>
                  </w14:solidFill>
                </w14:textFill>
              </w:rPr>
              <w:t xml:space="preserve">     </w:t>
            </w:r>
            <w:r>
              <w:rPr>
                <w:rFonts w:hint="default" w:ascii="Times New Roman" w:hAnsi="Times New Roman" w:eastAsia="宋体" w:cs="Times New Roman"/>
                <w:color w:val="000000" w:themeColor="text1"/>
                <w:spacing w:val="-38"/>
                <w:sz w:val="18"/>
                <w:szCs w:val="18"/>
                <w14:textFill>
                  <w14:solidFill>
                    <w14:schemeClr w14:val="tx1"/>
                  </w14:solidFill>
                </w14:textFill>
              </w:rPr>
              <w:t>）</w:t>
            </w:r>
            <w:r>
              <w:rPr>
                <w:rFonts w:hint="default" w:ascii="Times New Roman" w:hAnsi="Times New Roman" w:cs="Times New Roman"/>
                <w:color w:val="000000" w:themeColor="text1"/>
                <w:spacing w:val="-2"/>
                <w:sz w:val="18"/>
                <w:szCs w:val="18"/>
                <w14:textFill>
                  <w14:solidFill>
                    <w14:schemeClr w14:val="tx1"/>
                  </w14:solidFill>
                </w14:textFill>
              </w:rPr>
              <w:t>km</w:t>
            </w:r>
            <w:r>
              <w:rPr>
                <w:rFonts w:hint="default" w:ascii="Times New Roman" w:hAnsi="Times New Roman" w:cs="Times New Roman"/>
                <w:color w:val="000000" w:themeColor="text1"/>
                <w:spacing w:val="-2"/>
                <w:position w:val="7"/>
                <w:sz w:val="12"/>
                <w:szCs w:val="12"/>
                <w14:textFill>
                  <w14:solidFill>
                    <w14:schemeClr w14:val="tx1"/>
                  </w14:solidFill>
                </w14:textFill>
              </w:rPr>
              <w:t>2</w:t>
            </w:r>
          </w:p>
        </w:tc>
      </w:tr>
      <w:tr w14:paraId="3DA903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jc w:val="center"/>
        </w:trPr>
        <w:tc>
          <w:tcPr>
            <w:tcW w:w="1008" w:type="dxa"/>
            <w:vMerge w:val="restart"/>
            <w:tcBorders>
              <w:left w:val="single" w:color="000000" w:sz="10" w:space="0"/>
              <w:bottom w:val="nil"/>
            </w:tcBorders>
            <w:vAlign w:val="center"/>
          </w:tcPr>
          <w:p w14:paraId="068C89F5">
            <w:pPr>
              <w:ind w:left="0" w:leftChars="0" w:right="0" w:rightChars="0" w:firstLine="0" w:firstLineChars="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生态现状调查与评价</w:t>
            </w:r>
          </w:p>
        </w:tc>
        <w:tc>
          <w:tcPr>
            <w:tcW w:w="1405" w:type="dxa"/>
            <w:vAlign w:val="center"/>
          </w:tcPr>
          <w:p w14:paraId="01050909">
            <w:pPr>
              <w:spacing w:before="185" w:line="221" w:lineRule="auto"/>
              <w:ind w:left="0" w:leftChars="0" w:right="0" w:rightChars="0" w:firstLine="0" w:firstLineChars="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调查方法</w:t>
            </w:r>
          </w:p>
        </w:tc>
        <w:tc>
          <w:tcPr>
            <w:tcW w:w="6938" w:type="dxa"/>
            <w:tcBorders>
              <w:right w:val="single" w:color="000000" w:sz="10" w:space="0"/>
            </w:tcBorders>
            <w:vAlign w:val="center"/>
          </w:tcPr>
          <w:p w14:paraId="7A79C1CF">
            <w:pPr>
              <w:spacing w:before="69" w:line="230" w:lineRule="auto"/>
              <w:ind w:left="0" w:leftChars="0" w:right="0" w:rightChars="0" w:firstLine="0" w:firstLineChars="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1"/>
                <w:sz w:val="18"/>
                <w:szCs w:val="18"/>
                <w14:textFill>
                  <w14:solidFill>
                    <w14:schemeClr w14:val="tx1"/>
                  </w14:solidFill>
                </w14:textFill>
              </w:rPr>
              <w:t>资料收集</w:t>
            </w:r>
            <w:r>
              <w:rPr>
                <w:rFonts w:hint="default" w:ascii="Times New Roman" w:hAnsi="Times New Roman" w:eastAsia="宋体" w:cs="Times New Roman"/>
                <w:color w:val="000000" w:themeColor="text1"/>
                <w:spacing w:val="1"/>
                <w:sz w:val="18"/>
                <w:szCs w:val="18"/>
                <w:lang w:eastAsia="zh-CN"/>
                <w14:textFill>
                  <w14:solidFill>
                    <w14:schemeClr w14:val="tx1"/>
                  </w14:solidFill>
                </w14:textFill>
              </w:rPr>
              <w:t>☑</w:t>
            </w:r>
            <w:r>
              <w:rPr>
                <w:rFonts w:hint="default" w:ascii="Times New Roman" w:hAnsi="Times New Roman" w:eastAsia="宋体" w:cs="Times New Roman"/>
                <w:color w:val="000000" w:themeColor="text1"/>
                <w:spacing w:val="1"/>
                <w:sz w:val="18"/>
                <w:szCs w:val="18"/>
                <w14:textFill>
                  <w14:solidFill>
                    <w14:schemeClr w14:val="tx1"/>
                  </w14:solidFill>
                </w14:textFill>
              </w:rPr>
              <w:t>；遥感调查□；调查样方、样线□；调查点位、断面□；专家和公众咨询</w:t>
            </w:r>
            <w:r>
              <w:rPr>
                <w:rFonts w:hint="default" w:ascii="Times New Roman" w:hAnsi="Times New Roman" w:eastAsia="宋体" w:cs="Times New Roman"/>
                <w:color w:val="000000" w:themeColor="text1"/>
                <w:spacing w:val="-2"/>
                <w:sz w:val="18"/>
                <w:szCs w:val="18"/>
                <w14:textFill>
                  <w14:solidFill>
                    <w14:schemeClr w14:val="tx1"/>
                  </w14:solidFill>
                </w14:textFill>
              </w:rPr>
              <w:t>法□；其他□</w:t>
            </w:r>
          </w:p>
        </w:tc>
      </w:tr>
      <w:tr w14:paraId="578750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jc w:val="center"/>
        </w:trPr>
        <w:tc>
          <w:tcPr>
            <w:tcW w:w="1008" w:type="dxa"/>
            <w:vMerge w:val="continue"/>
            <w:tcBorders>
              <w:top w:val="nil"/>
              <w:left w:val="single" w:color="000000" w:sz="10" w:space="0"/>
              <w:bottom w:val="nil"/>
            </w:tcBorders>
            <w:vAlign w:val="center"/>
          </w:tcPr>
          <w:p w14:paraId="57BAA497">
            <w:pPr>
              <w:ind w:left="0" w:leftChars="0" w:right="0" w:rightChars="0" w:firstLine="0" w:firstLineChars="0"/>
              <w:jc w:val="center"/>
              <w:rPr>
                <w:rFonts w:hint="default" w:ascii="Times New Roman" w:hAnsi="Times New Roman" w:cs="Times New Roman"/>
                <w:color w:val="000000" w:themeColor="text1"/>
                <w:sz w:val="18"/>
                <w:szCs w:val="18"/>
                <w14:textFill>
                  <w14:solidFill>
                    <w14:schemeClr w14:val="tx1"/>
                  </w14:solidFill>
                </w14:textFill>
              </w:rPr>
            </w:pPr>
          </w:p>
        </w:tc>
        <w:tc>
          <w:tcPr>
            <w:tcW w:w="1405" w:type="dxa"/>
            <w:vAlign w:val="center"/>
          </w:tcPr>
          <w:p w14:paraId="45323661">
            <w:pPr>
              <w:spacing w:before="200" w:line="222" w:lineRule="auto"/>
              <w:ind w:left="0" w:leftChars="0" w:right="0" w:rightChars="0" w:firstLine="0" w:firstLineChars="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调查时间</w:t>
            </w:r>
          </w:p>
        </w:tc>
        <w:tc>
          <w:tcPr>
            <w:tcW w:w="6938" w:type="dxa"/>
            <w:tcBorders>
              <w:right w:val="single" w:color="000000" w:sz="10" w:space="0"/>
            </w:tcBorders>
            <w:vAlign w:val="center"/>
          </w:tcPr>
          <w:p w14:paraId="3BCB0C7A">
            <w:pPr>
              <w:spacing w:before="68" w:line="248" w:lineRule="auto"/>
              <w:ind w:left="0" w:leftChars="0" w:right="0" w:rightChars="0" w:firstLine="0" w:firstLineChars="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1"/>
                <w:sz w:val="18"/>
                <w:szCs w:val="18"/>
                <w14:textFill>
                  <w14:solidFill>
                    <w14:schemeClr w14:val="tx1"/>
                  </w14:solidFill>
                </w14:textFill>
              </w:rPr>
              <w:t>春季□；夏季□；秋季□；冬季</w:t>
            </w:r>
            <w:r>
              <w:rPr>
                <w:rFonts w:hint="default" w:ascii="Times New Roman" w:hAnsi="Times New Roman" w:eastAsia="宋体" w:cs="Times New Roman"/>
                <w:color w:val="000000" w:themeColor="text1"/>
                <w:spacing w:val="-1"/>
                <w:sz w:val="18"/>
                <w:szCs w:val="18"/>
                <w:lang w:eastAsia="zh-CN"/>
                <w14:textFill>
                  <w14:solidFill>
                    <w14:schemeClr w14:val="tx1"/>
                  </w14:solidFill>
                </w14:textFill>
              </w:rPr>
              <w:t>☑</w:t>
            </w:r>
            <w:r>
              <w:rPr>
                <w:rFonts w:hint="default" w:ascii="Times New Roman" w:hAnsi="Times New Roman" w:eastAsia="宋体" w:cs="Times New Roman"/>
                <w:color w:val="000000" w:themeColor="text1"/>
                <w:spacing w:val="8"/>
                <w:sz w:val="18"/>
                <w:szCs w:val="18"/>
                <w14:textFill>
                  <w14:solidFill>
                    <w14:schemeClr w14:val="tx1"/>
                  </w14:solidFill>
                </w14:textFill>
              </w:rPr>
              <w:t xml:space="preserve"> </w:t>
            </w:r>
            <w:r>
              <w:rPr>
                <w:rFonts w:hint="default" w:ascii="Times New Roman" w:hAnsi="Times New Roman" w:eastAsia="宋体" w:cs="Times New Roman"/>
                <w:color w:val="000000" w:themeColor="text1"/>
                <w:spacing w:val="-1"/>
                <w:sz w:val="18"/>
                <w:szCs w:val="18"/>
                <w14:textFill>
                  <w14:solidFill>
                    <w14:schemeClr w14:val="tx1"/>
                  </w14:solidFill>
                </w14:textFill>
              </w:rPr>
              <w:t>丰水期□；枯水期□；平水期□</w:t>
            </w:r>
          </w:p>
        </w:tc>
      </w:tr>
      <w:tr w14:paraId="5AF2CF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jc w:val="center"/>
        </w:trPr>
        <w:tc>
          <w:tcPr>
            <w:tcW w:w="1008" w:type="dxa"/>
            <w:vMerge w:val="continue"/>
            <w:tcBorders>
              <w:top w:val="nil"/>
              <w:left w:val="single" w:color="000000" w:sz="10" w:space="0"/>
              <w:bottom w:val="nil"/>
            </w:tcBorders>
            <w:vAlign w:val="center"/>
          </w:tcPr>
          <w:p w14:paraId="5CFE1B84">
            <w:pPr>
              <w:ind w:left="0" w:leftChars="0" w:right="0" w:rightChars="0" w:firstLine="0" w:firstLineChars="0"/>
              <w:jc w:val="center"/>
              <w:rPr>
                <w:rFonts w:hint="default" w:ascii="Times New Roman" w:hAnsi="Times New Roman" w:cs="Times New Roman"/>
                <w:color w:val="000000" w:themeColor="text1"/>
                <w:sz w:val="18"/>
                <w:szCs w:val="18"/>
                <w14:textFill>
                  <w14:solidFill>
                    <w14:schemeClr w14:val="tx1"/>
                  </w14:solidFill>
                </w14:textFill>
              </w:rPr>
            </w:pPr>
          </w:p>
        </w:tc>
        <w:tc>
          <w:tcPr>
            <w:tcW w:w="1405" w:type="dxa"/>
            <w:vAlign w:val="center"/>
          </w:tcPr>
          <w:p w14:paraId="05FAD17C">
            <w:pPr>
              <w:spacing w:before="71" w:line="248" w:lineRule="auto"/>
              <w:ind w:left="0" w:leftChars="0" w:right="0" w:rightChars="0" w:firstLine="0" w:firstLineChars="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所在区域的生态问题</w:t>
            </w:r>
          </w:p>
        </w:tc>
        <w:tc>
          <w:tcPr>
            <w:tcW w:w="6938" w:type="dxa"/>
            <w:tcBorders>
              <w:right w:val="single" w:color="000000" w:sz="10" w:space="0"/>
            </w:tcBorders>
            <w:vAlign w:val="center"/>
          </w:tcPr>
          <w:p w14:paraId="4E397EDA">
            <w:pPr>
              <w:spacing w:before="204" w:line="220" w:lineRule="auto"/>
              <w:ind w:left="0" w:leftChars="0" w:right="0" w:rightChars="0" w:firstLine="0" w:firstLineChars="0"/>
              <w:jc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水土流失□；沙漠化□；石漠化□；盐渍化□；生物入侵□；</w:t>
            </w:r>
            <w:r>
              <w:rPr>
                <w:rFonts w:hint="default" w:ascii="Times New Roman" w:hAnsi="Times New Roman" w:eastAsia="宋体" w:cs="Times New Roman"/>
                <w:color w:val="000000" w:themeColor="text1"/>
                <w:spacing w:val="-1"/>
                <w:sz w:val="18"/>
                <w:szCs w:val="18"/>
                <w14:textFill>
                  <w14:solidFill>
                    <w14:schemeClr w14:val="tx1"/>
                  </w14:solidFill>
                </w14:textFill>
              </w:rPr>
              <w:t>污染危害□；其他</w:t>
            </w:r>
            <w:r>
              <w:rPr>
                <w:rFonts w:hint="default" w:ascii="Times New Roman" w:hAnsi="Times New Roman" w:eastAsia="宋体" w:cs="Times New Roman"/>
                <w:color w:val="000000" w:themeColor="text1"/>
                <w:spacing w:val="-1"/>
                <w:sz w:val="18"/>
                <w:szCs w:val="18"/>
                <w:lang w:eastAsia="zh-CN"/>
                <w14:textFill>
                  <w14:solidFill>
                    <w14:schemeClr w14:val="tx1"/>
                  </w14:solidFill>
                </w14:textFill>
              </w:rPr>
              <w:t>☑</w:t>
            </w:r>
          </w:p>
        </w:tc>
      </w:tr>
      <w:tr w14:paraId="5A6EA6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jc w:val="center"/>
        </w:trPr>
        <w:tc>
          <w:tcPr>
            <w:tcW w:w="1008" w:type="dxa"/>
            <w:vMerge w:val="continue"/>
            <w:tcBorders>
              <w:top w:val="nil"/>
              <w:left w:val="single" w:color="000000" w:sz="10" w:space="0"/>
            </w:tcBorders>
            <w:vAlign w:val="center"/>
          </w:tcPr>
          <w:p w14:paraId="7238EB71">
            <w:pPr>
              <w:ind w:left="0" w:leftChars="0" w:right="0" w:rightChars="0" w:firstLine="0" w:firstLineChars="0"/>
              <w:jc w:val="center"/>
              <w:rPr>
                <w:rFonts w:hint="default" w:ascii="Times New Roman" w:hAnsi="Times New Roman" w:cs="Times New Roman"/>
                <w:color w:val="000000" w:themeColor="text1"/>
                <w:sz w:val="18"/>
                <w:szCs w:val="18"/>
                <w14:textFill>
                  <w14:solidFill>
                    <w14:schemeClr w14:val="tx1"/>
                  </w14:solidFill>
                </w14:textFill>
              </w:rPr>
            </w:pPr>
          </w:p>
        </w:tc>
        <w:tc>
          <w:tcPr>
            <w:tcW w:w="1405" w:type="dxa"/>
            <w:vAlign w:val="center"/>
          </w:tcPr>
          <w:p w14:paraId="1DE1F3BA">
            <w:pPr>
              <w:spacing w:before="190" w:line="218" w:lineRule="auto"/>
              <w:ind w:left="0" w:leftChars="0" w:right="0" w:rightChars="0" w:firstLine="0" w:firstLineChars="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评价内容</w:t>
            </w:r>
          </w:p>
        </w:tc>
        <w:tc>
          <w:tcPr>
            <w:tcW w:w="6938" w:type="dxa"/>
            <w:tcBorders>
              <w:right w:val="single" w:color="000000" w:sz="10" w:space="0"/>
            </w:tcBorders>
            <w:vAlign w:val="center"/>
          </w:tcPr>
          <w:p w14:paraId="30FACC30">
            <w:pPr>
              <w:pStyle w:val="66"/>
              <w:spacing w:before="71" w:line="230" w:lineRule="auto"/>
              <w:ind w:left="0" w:leftChars="0" w:right="0" w:rightChars="0" w:firstLine="0" w:firstLineChars="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植被</w:t>
            </w:r>
            <w:r>
              <w:rPr>
                <w:rFonts w:hint="default" w:ascii="Times New Roman" w:hAnsi="Times New Roman" w:cs="Times New Roman"/>
                <w:color w:val="000000" w:themeColor="text1"/>
                <w:sz w:val="18"/>
                <w:szCs w:val="18"/>
                <w14:textFill>
                  <w14:solidFill>
                    <w14:schemeClr w14:val="tx1"/>
                  </w14:solidFill>
                </w14:textFill>
              </w:rPr>
              <w:t>/</w:t>
            </w:r>
            <w:r>
              <w:rPr>
                <w:rFonts w:hint="default" w:ascii="Times New Roman" w:hAnsi="Times New Roman" w:eastAsia="宋体" w:cs="Times New Roman"/>
                <w:color w:val="000000" w:themeColor="text1"/>
                <w:sz w:val="18"/>
                <w:szCs w:val="18"/>
                <w14:textFill>
                  <w14:solidFill>
                    <w14:schemeClr w14:val="tx1"/>
                  </w14:solidFill>
                </w14:textFill>
              </w:rPr>
              <w:t>植物群落</w:t>
            </w:r>
            <w:r>
              <w:rPr>
                <w:rFonts w:hint="default" w:ascii="Times New Roman" w:hAnsi="Times New Roman" w:eastAsia="宋体" w:cs="Times New Roman"/>
                <w:color w:val="000000" w:themeColor="text1"/>
                <w:sz w:val="18"/>
                <w:szCs w:val="18"/>
                <w:lang w:eastAsia="zh-CN"/>
                <w14:textFill>
                  <w14:solidFill>
                    <w14:schemeClr w14:val="tx1"/>
                  </w14:solidFill>
                </w14:textFill>
              </w:rPr>
              <w:t>☑</w:t>
            </w:r>
            <w:r>
              <w:rPr>
                <w:rFonts w:hint="default" w:ascii="Times New Roman" w:hAnsi="Times New Roman" w:eastAsia="宋体" w:cs="Times New Roman"/>
                <w:color w:val="000000" w:themeColor="text1"/>
                <w:sz w:val="18"/>
                <w:szCs w:val="18"/>
                <w14:textFill>
                  <w14:solidFill>
                    <w14:schemeClr w14:val="tx1"/>
                  </w14:solidFill>
                </w14:textFill>
              </w:rPr>
              <w:t>；土地利用</w:t>
            </w:r>
            <w:r>
              <w:rPr>
                <w:rFonts w:hint="default" w:ascii="Times New Roman" w:hAnsi="Times New Roman" w:eastAsia="宋体" w:cs="Times New Roman"/>
                <w:color w:val="000000" w:themeColor="text1"/>
                <w:sz w:val="18"/>
                <w:szCs w:val="18"/>
                <w:lang w:eastAsia="zh-CN"/>
                <w14:textFill>
                  <w14:solidFill>
                    <w14:schemeClr w14:val="tx1"/>
                  </w14:solidFill>
                </w14:textFill>
              </w:rPr>
              <w:t>☑</w:t>
            </w:r>
            <w:r>
              <w:rPr>
                <w:rFonts w:hint="default" w:ascii="Times New Roman" w:hAnsi="Times New Roman" w:eastAsia="宋体" w:cs="Times New Roman"/>
                <w:color w:val="000000" w:themeColor="text1"/>
                <w:sz w:val="18"/>
                <w:szCs w:val="18"/>
                <w14:textFill>
                  <w14:solidFill>
                    <w14:schemeClr w14:val="tx1"/>
                  </w14:solidFill>
                </w14:textFill>
              </w:rPr>
              <w:t>；生态系统□；生物多样性□；重要物种□；</w:t>
            </w:r>
            <w:r>
              <w:rPr>
                <w:rFonts w:hint="default" w:ascii="Times New Roman" w:hAnsi="Times New Roman" w:eastAsia="宋体" w:cs="Times New Roman"/>
                <w:color w:val="000000" w:themeColor="text1"/>
                <w:spacing w:val="-1"/>
                <w:sz w:val="18"/>
                <w:szCs w:val="18"/>
                <w14:textFill>
                  <w14:solidFill>
                    <w14:schemeClr w14:val="tx1"/>
                  </w14:solidFill>
                </w14:textFill>
              </w:rPr>
              <w:t>生态敏感</w:t>
            </w:r>
            <w:r>
              <w:rPr>
                <w:rFonts w:hint="default" w:ascii="Times New Roman" w:hAnsi="Times New Roman" w:eastAsia="宋体" w:cs="Times New Roman"/>
                <w:color w:val="000000" w:themeColor="text1"/>
                <w:spacing w:val="-4"/>
                <w:sz w:val="18"/>
                <w:szCs w:val="18"/>
                <w14:textFill>
                  <w14:solidFill>
                    <w14:schemeClr w14:val="tx1"/>
                  </w14:solidFill>
                </w14:textFill>
              </w:rPr>
              <w:t>区</w:t>
            </w:r>
            <w:r>
              <w:rPr>
                <w:rFonts w:hint="default" w:ascii="Times New Roman" w:hAnsi="Times New Roman" w:eastAsia="宋体" w:cs="Times New Roman"/>
                <w:color w:val="000000" w:themeColor="text1"/>
                <w:spacing w:val="-4"/>
                <w:sz w:val="18"/>
                <w:szCs w:val="18"/>
                <w:lang w:eastAsia="zh-CN"/>
                <w14:textFill>
                  <w14:solidFill>
                    <w14:schemeClr w14:val="tx1"/>
                  </w14:solidFill>
                </w14:textFill>
              </w:rPr>
              <w:t>☑</w:t>
            </w:r>
            <w:r>
              <w:rPr>
                <w:rFonts w:hint="default" w:ascii="Times New Roman" w:hAnsi="Times New Roman" w:eastAsia="宋体" w:cs="Times New Roman"/>
                <w:color w:val="000000" w:themeColor="text1"/>
                <w:spacing w:val="-4"/>
                <w:sz w:val="18"/>
                <w:szCs w:val="18"/>
                <w14:textFill>
                  <w14:solidFill>
                    <w14:schemeClr w14:val="tx1"/>
                  </w14:solidFill>
                </w14:textFill>
              </w:rPr>
              <w:t>；其他□</w:t>
            </w:r>
          </w:p>
        </w:tc>
      </w:tr>
      <w:tr w14:paraId="2CC164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jc w:val="center"/>
        </w:trPr>
        <w:tc>
          <w:tcPr>
            <w:tcW w:w="1008" w:type="dxa"/>
            <w:vMerge w:val="restart"/>
            <w:tcBorders>
              <w:left w:val="single" w:color="000000" w:sz="10" w:space="0"/>
              <w:bottom w:val="nil"/>
            </w:tcBorders>
            <w:vAlign w:val="center"/>
          </w:tcPr>
          <w:p w14:paraId="15F26030">
            <w:pPr>
              <w:ind w:left="0" w:leftChars="0" w:right="0" w:rightChars="0" w:firstLine="0" w:firstLineChars="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生态影响预测与评价</w:t>
            </w:r>
          </w:p>
        </w:tc>
        <w:tc>
          <w:tcPr>
            <w:tcW w:w="1405" w:type="dxa"/>
            <w:vAlign w:val="center"/>
          </w:tcPr>
          <w:p w14:paraId="32C0A312">
            <w:pPr>
              <w:spacing w:before="74" w:line="218" w:lineRule="auto"/>
              <w:ind w:left="0" w:leftChars="0" w:right="0" w:rightChars="0" w:firstLine="0" w:firstLineChars="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评价方法</w:t>
            </w:r>
          </w:p>
        </w:tc>
        <w:tc>
          <w:tcPr>
            <w:tcW w:w="6938" w:type="dxa"/>
            <w:tcBorders>
              <w:right w:val="single" w:color="000000" w:sz="10" w:space="0"/>
            </w:tcBorders>
            <w:vAlign w:val="center"/>
          </w:tcPr>
          <w:p w14:paraId="7DB818E0">
            <w:pPr>
              <w:spacing w:before="74" w:line="220" w:lineRule="auto"/>
              <w:ind w:left="0" w:leftChars="0" w:right="0" w:rightChars="0" w:firstLine="0" w:firstLineChars="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定性</w:t>
            </w:r>
            <w:r>
              <w:rPr>
                <w:rFonts w:hint="default" w:ascii="Times New Roman" w:hAnsi="Times New Roman" w:eastAsia="宋体" w:cs="Times New Roman"/>
                <w:color w:val="000000" w:themeColor="text1"/>
                <w:spacing w:val="-2"/>
                <w:sz w:val="18"/>
                <w:szCs w:val="18"/>
                <w:lang w:eastAsia="zh-CN"/>
                <w14:textFill>
                  <w14:solidFill>
                    <w14:schemeClr w14:val="tx1"/>
                  </w14:solidFill>
                </w14:textFill>
              </w:rPr>
              <w:t>☑</w:t>
            </w:r>
            <w:r>
              <w:rPr>
                <w:rFonts w:hint="default" w:ascii="Times New Roman" w:hAnsi="Times New Roman" w:eastAsia="宋体" w:cs="Times New Roman"/>
                <w:color w:val="000000" w:themeColor="text1"/>
                <w:spacing w:val="-2"/>
                <w:sz w:val="18"/>
                <w:szCs w:val="18"/>
                <w14:textFill>
                  <w14:solidFill>
                    <w14:schemeClr w14:val="tx1"/>
                  </w14:solidFill>
                </w14:textFill>
              </w:rPr>
              <w:t>；定性和定量□</w:t>
            </w:r>
          </w:p>
        </w:tc>
      </w:tr>
      <w:tr w14:paraId="6519F6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jc w:val="center"/>
        </w:trPr>
        <w:tc>
          <w:tcPr>
            <w:tcW w:w="1008" w:type="dxa"/>
            <w:vMerge w:val="continue"/>
            <w:tcBorders>
              <w:top w:val="nil"/>
              <w:left w:val="single" w:color="000000" w:sz="10" w:space="0"/>
            </w:tcBorders>
            <w:vAlign w:val="center"/>
          </w:tcPr>
          <w:p w14:paraId="635396B6">
            <w:pPr>
              <w:ind w:left="0" w:leftChars="0" w:right="0" w:rightChars="0" w:firstLine="0" w:firstLineChars="0"/>
              <w:jc w:val="center"/>
              <w:rPr>
                <w:rFonts w:hint="default" w:ascii="Times New Roman" w:hAnsi="Times New Roman" w:cs="Times New Roman"/>
                <w:color w:val="000000" w:themeColor="text1"/>
                <w:sz w:val="21"/>
                <w14:textFill>
                  <w14:solidFill>
                    <w14:schemeClr w14:val="tx1"/>
                  </w14:solidFill>
                </w14:textFill>
              </w:rPr>
            </w:pPr>
          </w:p>
        </w:tc>
        <w:tc>
          <w:tcPr>
            <w:tcW w:w="1405" w:type="dxa"/>
            <w:vAlign w:val="center"/>
          </w:tcPr>
          <w:p w14:paraId="3C3A4ACF">
            <w:pPr>
              <w:spacing w:before="190" w:line="218" w:lineRule="auto"/>
              <w:ind w:left="0" w:leftChars="0" w:right="0" w:rightChars="0" w:firstLine="0" w:firstLineChars="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评价内容</w:t>
            </w:r>
          </w:p>
        </w:tc>
        <w:tc>
          <w:tcPr>
            <w:tcW w:w="6938" w:type="dxa"/>
            <w:tcBorders>
              <w:right w:val="single" w:color="000000" w:sz="10" w:space="0"/>
            </w:tcBorders>
            <w:vAlign w:val="center"/>
          </w:tcPr>
          <w:p w14:paraId="527183E9">
            <w:pPr>
              <w:pStyle w:val="66"/>
              <w:spacing w:before="74" w:line="229" w:lineRule="auto"/>
              <w:ind w:left="0" w:leftChars="0" w:right="0" w:rightChars="0" w:firstLine="0" w:firstLineChars="0"/>
              <w:jc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植被</w:t>
            </w:r>
            <w:r>
              <w:rPr>
                <w:rFonts w:hint="default" w:ascii="Times New Roman" w:hAnsi="Times New Roman" w:cs="Times New Roman"/>
                <w:color w:val="000000" w:themeColor="text1"/>
                <w:sz w:val="18"/>
                <w:szCs w:val="18"/>
                <w14:textFill>
                  <w14:solidFill>
                    <w14:schemeClr w14:val="tx1"/>
                  </w14:solidFill>
                </w14:textFill>
              </w:rPr>
              <w:t>/</w:t>
            </w:r>
            <w:r>
              <w:rPr>
                <w:rFonts w:hint="default" w:ascii="Times New Roman" w:hAnsi="Times New Roman" w:eastAsia="宋体" w:cs="Times New Roman"/>
                <w:color w:val="000000" w:themeColor="text1"/>
                <w:sz w:val="18"/>
                <w:szCs w:val="18"/>
                <w14:textFill>
                  <w14:solidFill>
                    <w14:schemeClr w14:val="tx1"/>
                  </w14:solidFill>
                </w14:textFill>
              </w:rPr>
              <w:t>植物群落</w:t>
            </w:r>
            <w:r>
              <w:rPr>
                <w:rFonts w:hint="default" w:ascii="Times New Roman" w:hAnsi="Times New Roman" w:eastAsia="宋体" w:cs="Times New Roman"/>
                <w:color w:val="000000" w:themeColor="text1"/>
                <w:sz w:val="18"/>
                <w:szCs w:val="18"/>
                <w:lang w:eastAsia="zh-CN"/>
                <w14:textFill>
                  <w14:solidFill>
                    <w14:schemeClr w14:val="tx1"/>
                  </w14:solidFill>
                </w14:textFill>
              </w:rPr>
              <w:t>☑</w:t>
            </w:r>
            <w:r>
              <w:rPr>
                <w:rFonts w:hint="default" w:ascii="Times New Roman" w:hAnsi="Times New Roman" w:eastAsia="宋体" w:cs="Times New Roman"/>
                <w:color w:val="000000" w:themeColor="text1"/>
                <w:sz w:val="18"/>
                <w:szCs w:val="18"/>
                <w14:textFill>
                  <w14:solidFill>
                    <w14:schemeClr w14:val="tx1"/>
                  </w14:solidFill>
                </w14:textFill>
              </w:rPr>
              <w:t>；土地利用</w:t>
            </w:r>
            <w:r>
              <w:rPr>
                <w:rFonts w:hint="default" w:ascii="Times New Roman" w:hAnsi="Times New Roman" w:eastAsia="宋体" w:cs="Times New Roman"/>
                <w:color w:val="000000" w:themeColor="text1"/>
                <w:sz w:val="18"/>
                <w:szCs w:val="18"/>
                <w:lang w:eastAsia="zh-CN"/>
                <w14:textFill>
                  <w14:solidFill>
                    <w14:schemeClr w14:val="tx1"/>
                  </w14:solidFill>
                </w14:textFill>
              </w:rPr>
              <w:t>☑</w:t>
            </w:r>
            <w:r>
              <w:rPr>
                <w:rFonts w:hint="default" w:ascii="Times New Roman" w:hAnsi="Times New Roman" w:eastAsia="宋体" w:cs="Times New Roman"/>
                <w:color w:val="000000" w:themeColor="text1"/>
                <w:sz w:val="18"/>
                <w:szCs w:val="18"/>
                <w14:textFill>
                  <w14:solidFill>
                    <w14:schemeClr w14:val="tx1"/>
                  </w14:solidFill>
                </w14:textFill>
              </w:rPr>
              <w:t>；生态系统□；生</w:t>
            </w:r>
            <w:r>
              <w:rPr>
                <w:rFonts w:hint="default" w:ascii="Times New Roman" w:hAnsi="Times New Roman" w:eastAsia="宋体" w:cs="Times New Roman"/>
                <w:color w:val="000000" w:themeColor="text1"/>
                <w:spacing w:val="-1"/>
                <w:sz w:val="18"/>
                <w:szCs w:val="18"/>
                <w14:textFill>
                  <w14:solidFill>
                    <w14:schemeClr w14:val="tx1"/>
                  </w14:solidFill>
                </w14:textFill>
              </w:rPr>
              <w:t>物多样性□；重要物种□；生态敏感</w:t>
            </w:r>
            <w:r>
              <w:rPr>
                <w:rFonts w:hint="default" w:ascii="Times New Roman" w:hAnsi="Times New Roman" w:eastAsia="宋体" w:cs="Times New Roman"/>
                <w:color w:val="000000" w:themeColor="text1"/>
                <w:spacing w:val="-2"/>
                <w:sz w:val="18"/>
                <w:szCs w:val="18"/>
                <w14:textFill>
                  <w14:solidFill>
                    <w14:schemeClr w14:val="tx1"/>
                  </w14:solidFill>
                </w14:textFill>
              </w:rPr>
              <w:t>区</w:t>
            </w:r>
            <w:r>
              <w:rPr>
                <w:rFonts w:hint="default" w:ascii="Times New Roman" w:hAnsi="Times New Roman" w:eastAsia="宋体" w:cs="Times New Roman"/>
                <w:color w:val="000000" w:themeColor="text1"/>
                <w:spacing w:val="-2"/>
                <w:sz w:val="18"/>
                <w:szCs w:val="18"/>
                <w:lang w:eastAsia="zh-CN"/>
                <w14:textFill>
                  <w14:solidFill>
                    <w14:schemeClr w14:val="tx1"/>
                  </w14:solidFill>
                </w14:textFill>
              </w:rPr>
              <w:t>☑</w:t>
            </w:r>
            <w:r>
              <w:rPr>
                <w:rFonts w:hint="default" w:ascii="Times New Roman" w:hAnsi="Times New Roman" w:eastAsia="宋体" w:cs="Times New Roman"/>
                <w:color w:val="000000" w:themeColor="text1"/>
                <w:spacing w:val="-2"/>
                <w:sz w:val="18"/>
                <w:szCs w:val="18"/>
                <w14:textFill>
                  <w14:solidFill>
                    <w14:schemeClr w14:val="tx1"/>
                  </w14:solidFill>
                </w14:textFill>
              </w:rPr>
              <w:t>；生物入侵风险□；其他</w:t>
            </w:r>
            <w:r>
              <w:rPr>
                <w:rFonts w:hint="default" w:ascii="Times New Roman" w:hAnsi="Times New Roman" w:eastAsia="宋体" w:cs="Times New Roman"/>
                <w:color w:val="000000" w:themeColor="text1"/>
                <w:spacing w:val="-2"/>
                <w:sz w:val="18"/>
                <w:szCs w:val="18"/>
                <w:lang w:eastAsia="zh-CN"/>
                <w14:textFill>
                  <w14:solidFill>
                    <w14:schemeClr w14:val="tx1"/>
                  </w14:solidFill>
                </w14:textFill>
              </w:rPr>
              <w:t>□</w:t>
            </w:r>
          </w:p>
        </w:tc>
      </w:tr>
      <w:tr w14:paraId="0A46D2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jc w:val="center"/>
        </w:trPr>
        <w:tc>
          <w:tcPr>
            <w:tcW w:w="1008" w:type="dxa"/>
            <w:vMerge w:val="restart"/>
            <w:tcBorders>
              <w:left w:val="single" w:color="000000" w:sz="10" w:space="0"/>
              <w:bottom w:val="nil"/>
            </w:tcBorders>
            <w:vAlign w:val="center"/>
          </w:tcPr>
          <w:p w14:paraId="27656876">
            <w:pPr>
              <w:ind w:left="0" w:leftChars="0" w:right="0" w:rightChars="0" w:firstLine="0" w:firstLineChars="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生态保护对策措施</w:t>
            </w:r>
          </w:p>
        </w:tc>
        <w:tc>
          <w:tcPr>
            <w:tcW w:w="1405" w:type="dxa"/>
            <w:vAlign w:val="center"/>
          </w:tcPr>
          <w:p w14:paraId="04021463">
            <w:pPr>
              <w:spacing w:before="77" w:line="217" w:lineRule="auto"/>
              <w:ind w:left="0" w:leftChars="0" w:right="0" w:rightChars="0" w:firstLine="0" w:firstLineChars="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对策措施</w:t>
            </w:r>
          </w:p>
        </w:tc>
        <w:tc>
          <w:tcPr>
            <w:tcW w:w="6938" w:type="dxa"/>
            <w:tcBorders>
              <w:right w:val="single" w:color="000000" w:sz="10" w:space="0"/>
            </w:tcBorders>
            <w:vAlign w:val="center"/>
          </w:tcPr>
          <w:p w14:paraId="4DDF0F8F">
            <w:pPr>
              <w:spacing w:before="77" w:line="217" w:lineRule="auto"/>
              <w:ind w:left="0" w:leftChars="0" w:right="0" w:rightChars="0" w:firstLine="0" w:firstLineChars="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避让</w:t>
            </w:r>
            <w:r>
              <w:rPr>
                <w:rFonts w:hint="default" w:ascii="Times New Roman" w:hAnsi="Times New Roman" w:eastAsia="宋体" w:cs="Times New Roman"/>
                <w:color w:val="000000" w:themeColor="text1"/>
                <w:sz w:val="18"/>
                <w:szCs w:val="18"/>
                <w:lang w:eastAsia="zh-CN"/>
                <w14:textFill>
                  <w14:solidFill>
                    <w14:schemeClr w14:val="tx1"/>
                  </w14:solidFill>
                </w14:textFill>
              </w:rPr>
              <w:t>☑</w:t>
            </w:r>
            <w:r>
              <w:rPr>
                <w:rFonts w:hint="default" w:ascii="Times New Roman" w:hAnsi="Times New Roman" w:eastAsia="宋体" w:cs="Times New Roman"/>
                <w:color w:val="000000" w:themeColor="text1"/>
                <w:sz w:val="18"/>
                <w:szCs w:val="18"/>
                <w14:textFill>
                  <w14:solidFill>
                    <w14:schemeClr w14:val="tx1"/>
                  </w14:solidFill>
                </w14:textFill>
              </w:rPr>
              <w:t>；减缓</w:t>
            </w:r>
            <w:r>
              <w:rPr>
                <w:rFonts w:hint="default" w:ascii="Times New Roman" w:hAnsi="Times New Roman" w:eastAsia="宋体" w:cs="Times New Roman"/>
                <w:color w:val="000000" w:themeColor="text1"/>
                <w:sz w:val="18"/>
                <w:szCs w:val="18"/>
                <w:lang w:eastAsia="zh-CN"/>
                <w14:textFill>
                  <w14:solidFill>
                    <w14:schemeClr w14:val="tx1"/>
                  </w14:solidFill>
                </w14:textFill>
              </w:rPr>
              <w:t>☑</w:t>
            </w:r>
            <w:r>
              <w:rPr>
                <w:rFonts w:hint="default" w:ascii="Times New Roman" w:hAnsi="Times New Roman" w:eastAsia="宋体" w:cs="Times New Roman"/>
                <w:color w:val="000000" w:themeColor="text1"/>
                <w:sz w:val="18"/>
                <w:szCs w:val="18"/>
                <w14:textFill>
                  <w14:solidFill>
                    <w14:schemeClr w14:val="tx1"/>
                  </w14:solidFill>
                </w14:textFill>
              </w:rPr>
              <w:t>；生态修复</w:t>
            </w:r>
            <w:r>
              <w:rPr>
                <w:rFonts w:hint="default" w:ascii="Times New Roman" w:hAnsi="Times New Roman" w:eastAsia="宋体" w:cs="Times New Roman"/>
                <w:color w:val="000000" w:themeColor="text1"/>
                <w:sz w:val="18"/>
                <w:szCs w:val="18"/>
                <w:lang w:eastAsia="zh-CN"/>
                <w14:textFill>
                  <w14:solidFill>
                    <w14:schemeClr w14:val="tx1"/>
                  </w14:solidFill>
                </w14:textFill>
              </w:rPr>
              <w:t>☑</w:t>
            </w:r>
            <w:r>
              <w:rPr>
                <w:rFonts w:hint="default" w:ascii="Times New Roman" w:hAnsi="Times New Roman" w:eastAsia="宋体" w:cs="Times New Roman"/>
                <w:color w:val="000000" w:themeColor="text1"/>
                <w:sz w:val="18"/>
                <w:szCs w:val="18"/>
                <w14:textFill>
                  <w14:solidFill>
                    <w14:schemeClr w14:val="tx1"/>
                  </w14:solidFill>
                </w14:textFill>
              </w:rPr>
              <w:t>；生态补偿□；科</w:t>
            </w:r>
            <w:r>
              <w:rPr>
                <w:rFonts w:hint="default" w:ascii="Times New Roman" w:hAnsi="Times New Roman" w:eastAsia="宋体" w:cs="Times New Roman"/>
                <w:color w:val="000000" w:themeColor="text1"/>
                <w:spacing w:val="-1"/>
                <w:sz w:val="18"/>
                <w:szCs w:val="18"/>
                <w14:textFill>
                  <w14:solidFill>
                    <w14:schemeClr w14:val="tx1"/>
                  </w14:solidFill>
                </w14:textFill>
              </w:rPr>
              <w:t>研□；其他□</w:t>
            </w:r>
          </w:p>
        </w:tc>
      </w:tr>
      <w:tr w14:paraId="253E17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jc w:val="center"/>
        </w:trPr>
        <w:tc>
          <w:tcPr>
            <w:tcW w:w="1008" w:type="dxa"/>
            <w:vMerge w:val="continue"/>
            <w:tcBorders>
              <w:top w:val="nil"/>
              <w:left w:val="single" w:color="000000" w:sz="10" w:space="0"/>
              <w:bottom w:val="nil"/>
            </w:tcBorders>
            <w:vAlign w:val="center"/>
          </w:tcPr>
          <w:p w14:paraId="222F78E5">
            <w:pPr>
              <w:ind w:left="0" w:leftChars="0" w:right="0" w:rightChars="0" w:firstLine="0" w:firstLineChars="0"/>
              <w:jc w:val="center"/>
              <w:rPr>
                <w:rFonts w:hint="default" w:ascii="Times New Roman" w:hAnsi="Times New Roman" w:cs="Times New Roman"/>
                <w:color w:val="000000" w:themeColor="text1"/>
                <w:sz w:val="18"/>
                <w:szCs w:val="18"/>
                <w14:textFill>
                  <w14:solidFill>
                    <w14:schemeClr w14:val="tx1"/>
                  </w14:solidFill>
                </w14:textFill>
              </w:rPr>
            </w:pPr>
          </w:p>
        </w:tc>
        <w:tc>
          <w:tcPr>
            <w:tcW w:w="1405" w:type="dxa"/>
            <w:vAlign w:val="center"/>
          </w:tcPr>
          <w:p w14:paraId="297E57A7">
            <w:pPr>
              <w:spacing w:before="80" w:line="216" w:lineRule="auto"/>
              <w:ind w:left="0" w:leftChars="0" w:right="0" w:rightChars="0" w:firstLine="0" w:firstLineChars="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生态监测计划</w:t>
            </w:r>
          </w:p>
        </w:tc>
        <w:tc>
          <w:tcPr>
            <w:tcW w:w="6938" w:type="dxa"/>
            <w:tcBorders>
              <w:right w:val="single" w:color="000000" w:sz="10" w:space="0"/>
            </w:tcBorders>
            <w:vAlign w:val="center"/>
          </w:tcPr>
          <w:p w14:paraId="2817AD90">
            <w:pPr>
              <w:spacing w:before="80" w:line="216" w:lineRule="auto"/>
              <w:ind w:left="0" w:leftChars="0" w:right="0" w:rightChars="0" w:firstLine="0" w:firstLineChars="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1"/>
                <w:sz w:val="18"/>
                <w:szCs w:val="18"/>
                <w14:textFill>
                  <w14:solidFill>
                    <w14:schemeClr w14:val="tx1"/>
                  </w14:solidFill>
                </w14:textFill>
              </w:rPr>
              <w:t>全生命周期□；长期跟踪□；常规</w:t>
            </w:r>
            <w:r>
              <w:rPr>
                <w:rFonts w:hint="default" w:ascii="Times New Roman" w:hAnsi="Times New Roman" w:eastAsia="宋体" w:cs="Times New Roman"/>
                <w:color w:val="000000" w:themeColor="text1"/>
                <w:spacing w:val="-1"/>
                <w:sz w:val="18"/>
                <w:szCs w:val="18"/>
                <w:lang w:eastAsia="zh-CN"/>
                <w14:textFill>
                  <w14:solidFill>
                    <w14:schemeClr w14:val="tx1"/>
                  </w14:solidFill>
                </w14:textFill>
              </w:rPr>
              <w:t>☑</w:t>
            </w:r>
            <w:r>
              <w:rPr>
                <w:rFonts w:hint="default" w:ascii="Times New Roman" w:hAnsi="Times New Roman" w:eastAsia="宋体" w:cs="Times New Roman"/>
                <w:color w:val="000000" w:themeColor="text1"/>
                <w:spacing w:val="-1"/>
                <w:sz w:val="18"/>
                <w:szCs w:val="18"/>
                <w14:textFill>
                  <w14:solidFill>
                    <w14:schemeClr w14:val="tx1"/>
                  </w14:solidFill>
                </w14:textFill>
              </w:rPr>
              <w:t>；无□</w:t>
            </w:r>
          </w:p>
        </w:tc>
      </w:tr>
      <w:tr w14:paraId="3F3E24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jc w:val="center"/>
        </w:trPr>
        <w:tc>
          <w:tcPr>
            <w:tcW w:w="1008" w:type="dxa"/>
            <w:vMerge w:val="continue"/>
            <w:tcBorders>
              <w:top w:val="nil"/>
              <w:left w:val="single" w:color="000000" w:sz="10" w:space="0"/>
            </w:tcBorders>
            <w:vAlign w:val="center"/>
          </w:tcPr>
          <w:p w14:paraId="6AC10055">
            <w:pPr>
              <w:ind w:left="0" w:leftChars="0" w:right="0" w:rightChars="0" w:firstLine="0" w:firstLineChars="0"/>
              <w:jc w:val="center"/>
              <w:rPr>
                <w:rFonts w:hint="default" w:ascii="Times New Roman" w:hAnsi="Times New Roman" w:cs="Times New Roman"/>
                <w:color w:val="000000" w:themeColor="text1"/>
                <w:sz w:val="18"/>
                <w:szCs w:val="18"/>
                <w14:textFill>
                  <w14:solidFill>
                    <w14:schemeClr w14:val="tx1"/>
                  </w14:solidFill>
                </w14:textFill>
              </w:rPr>
            </w:pPr>
          </w:p>
        </w:tc>
        <w:tc>
          <w:tcPr>
            <w:tcW w:w="1405" w:type="dxa"/>
            <w:vAlign w:val="center"/>
          </w:tcPr>
          <w:p w14:paraId="558010FF">
            <w:pPr>
              <w:spacing w:before="79" w:line="215" w:lineRule="auto"/>
              <w:ind w:left="0" w:leftChars="0" w:right="0" w:rightChars="0" w:firstLine="0" w:firstLineChars="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环境管理</w:t>
            </w:r>
          </w:p>
        </w:tc>
        <w:tc>
          <w:tcPr>
            <w:tcW w:w="6938" w:type="dxa"/>
            <w:tcBorders>
              <w:right w:val="single" w:color="000000" w:sz="10" w:space="0"/>
            </w:tcBorders>
            <w:vAlign w:val="center"/>
          </w:tcPr>
          <w:p w14:paraId="201FA288">
            <w:pPr>
              <w:spacing w:before="79" w:line="215" w:lineRule="auto"/>
              <w:ind w:left="0" w:leftChars="0" w:right="0" w:rightChars="0" w:firstLine="0" w:firstLineChars="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1"/>
                <w:sz w:val="18"/>
                <w:szCs w:val="18"/>
                <w14:textFill>
                  <w14:solidFill>
                    <w14:schemeClr w14:val="tx1"/>
                  </w14:solidFill>
                </w14:textFill>
              </w:rPr>
              <w:t>环境监理</w:t>
            </w:r>
            <w:r>
              <w:rPr>
                <w:rFonts w:hint="default" w:ascii="Times New Roman" w:hAnsi="Times New Roman" w:eastAsia="宋体" w:cs="Times New Roman"/>
                <w:color w:val="000000" w:themeColor="text1"/>
                <w:spacing w:val="-1"/>
                <w:sz w:val="18"/>
                <w:szCs w:val="18"/>
                <w:lang w:eastAsia="zh-CN"/>
                <w14:textFill>
                  <w14:solidFill>
                    <w14:schemeClr w14:val="tx1"/>
                  </w14:solidFill>
                </w14:textFill>
              </w:rPr>
              <w:t>☑</w:t>
            </w:r>
            <w:r>
              <w:rPr>
                <w:rFonts w:hint="default" w:ascii="Times New Roman" w:hAnsi="Times New Roman" w:eastAsia="宋体" w:cs="Times New Roman"/>
                <w:color w:val="000000" w:themeColor="text1"/>
                <w:spacing w:val="-1"/>
                <w:sz w:val="18"/>
                <w:szCs w:val="18"/>
                <w14:textFill>
                  <w14:solidFill>
                    <w14:schemeClr w14:val="tx1"/>
                  </w14:solidFill>
                </w14:textFill>
              </w:rPr>
              <w:t>；环境影响后评价□；其他□</w:t>
            </w:r>
          </w:p>
        </w:tc>
      </w:tr>
      <w:tr w14:paraId="636A15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1008" w:type="dxa"/>
            <w:tcBorders>
              <w:left w:val="single" w:color="000000" w:sz="10" w:space="0"/>
              <w:bottom w:val="single" w:color="000000" w:sz="6" w:space="0"/>
            </w:tcBorders>
            <w:vAlign w:val="center"/>
          </w:tcPr>
          <w:p w14:paraId="44FCF675">
            <w:pPr>
              <w:spacing w:before="79" w:line="218" w:lineRule="auto"/>
              <w:ind w:left="0" w:leftChars="0" w:right="0" w:rightChars="0" w:firstLine="0" w:firstLineChars="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2"/>
                <w:sz w:val="18"/>
                <w:szCs w:val="18"/>
                <w14:textFill>
                  <w14:solidFill>
                    <w14:schemeClr w14:val="tx1"/>
                  </w14:solidFill>
                </w14:textFill>
              </w:rPr>
              <w:t>评价结论</w:t>
            </w:r>
          </w:p>
        </w:tc>
        <w:tc>
          <w:tcPr>
            <w:tcW w:w="1405" w:type="dxa"/>
            <w:tcBorders>
              <w:bottom w:val="single" w:color="000000" w:sz="6" w:space="0"/>
            </w:tcBorders>
            <w:vAlign w:val="center"/>
          </w:tcPr>
          <w:p w14:paraId="4BE72618">
            <w:pPr>
              <w:spacing w:before="79" w:line="220" w:lineRule="auto"/>
              <w:ind w:left="0" w:leftChars="0" w:right="0" w:rightChars="0" w:firstLine="0" w:firstLineChars="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3"/>
                <w:sz w:val="18"/>
                <w:szCs w:val="18"/>
                <w14:textFill>
                  <w14:solidFill>
                    <w14:schemeClr w14:val="tx1"/>
                  </w14:solidFill>
                </w14:textFill>
              </w:rPr>
              <w:t>生态影响</w:t>
            </w:r>
          </w:p>
        </w:tc>
        <w:tc>
          <w:tcPr>
            <w:tcW w:w="6938" w:type="dxa"/>
            <w:tcBorders>
              <w:bottom w:val="single" w:color="000000" w:sz="6" w:space="0"/>
              <w:right w:val="single" w:color="000000" w:sz="10" w:space="0"/>
            </w:tcBorders>
            <w:vAlign w:val="center"/>
          </w:tcPr>
          <w:p w14:paraId="7575986F">
            <w:pPr>
              <w:spacing w:before="79" w:line="220" w:lineRule="auto"/>
              <w:ind w:left="0" w:leftChars="0" w:right="0" w:rightChars="0" w:firstLine="0" w:firstLineChars="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1"/>
                <w:sz w:val="18"/>
                <w:szCs w:val="18"/>
                <w14:textFill>
                  <w14:solidFill>
                    <w14:schemeClr w14:val="tx1"/>
                  </w14:solidFill>
                </w14:textFill>
              </w:rPr>
              <w:t>可行</w:t>
            </w:r>
            <w:r>
              <w:rPr>
                <w:rFonts w:hint="default" w:ascii="Times New Roman" w:hAnsi="Times New Roman" w:eastAsia="宋体" w:cs="Times New Roman"/>
                <w:color w:val="000000" w:themeColor="text1"/>
                <w:spacing w:val="-1"/>
                <w:sz w:val="18"/>
                <w:szCs w:val="18"/>
                <w:lang w:eastAsia="zh-CN"/>
                <w14:textFill>
                  <w14:solidFill>
                    <w14:schemeClr w14:val="tx1"/>
                  </w14:solidFill>
                </w14:textFill>
              </w:rPr>
              <w:t>☑</w:t>
            </w:r>
            <w:r>
              <w:rPr>
                <w:rFonts w:hint="default" w:ascii="Times New Roman" w:hAnsi="Times New Roman" w:eastAsia="宋体" w:cs="Times New Roman"/>
                <w:color w:val="000000" w:themeColor="text1"/>
                <w:spacing w:val="-1"/>
                <w:sz w:val="18"/>
                <w:szCs w:val="18"/>
                <w14:textFill>
                  <w14:solidFill>
                    <w14:schemeClr w14:val="tx1"/>
                  </w14:solidFill>
                </w14:textFill>
              </w:rPr>
              <w:t>；不可行□</w:t>
            </w:r>
          </w:p>
        </w:tc>
      </w:tr>
      <w:tr w14:paraId="03A34A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jc w:val="center"/>
        </w:trPr>
        <w:tc>
          <w:tcPr>
            <w:tcW w:w="9351" w:type="dxa"/>
            <w:gridSpan w:val="3"/>
            <w:tcBorders>
              <w:top w:val="single" w:color="000000" w:sz="6" w:space="0"/>
              <w:left w:val="single" w:color="000000" w:sz="10" w:space="0"/>
              <w:bottom w:val="single" w:color="000000" w:sz="10" w:space="0"/>
              <w:right w:val="single" w:color="000000" w:sz="10" w:space="0"/>
            </w:tcBorders>
            <w:vAlign w:val="center"/>
          </w:tcPr>
          <w:p w14:paraId="3AE0BDE7">
            <w:pPr>
              <w:spacing w:before="74" w:line="220" w:lineRule="auto"/>
              <w:ind w:left="0" w:leftChars="0" w:right="0" w:rightChars="0" w:firstLine="0" w:firstLineChars="0"/>
              <w:jc w:val="cente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pacing w:val="-9"/>
                <w:sz w:val="18"/>
                <w:szCs w:val="18"/>
                <w14:textFill>
                  <w14:solidFill>
                    <w14:schemeClr w14:val="tx1"/>
                  </w14:solidFill>
                </w14:textFill>
              </w:rPr>
              <w:t>注：“□” 为勾选项 ，可</w:t>
            </w:r>
            <w:r>
              <w:rPr>
                <w:rFonts w:hint="default" w:ascii="Times New Roman" w:hAnsi="Times New Roman" w:eastAsia="宋体" w:cs="Times New Roman"/>
                <w:color w:val="000000" w:themeColor="text1"/>
                <w:spacing w:val="-28"/>
                <w:sz w:val="18"/>
                <w:szCs w:val="18"/>
                <w14:textFill>
                  <w14:solidFill>
                    <w14:schemeClr w14:val="tx1"/>
                  </w14:solidFill>
                </w14:textFill>
              </w:rPr>
              <w:t xml:space="preserve"> </w:t>
            </w:r>
            <w:r>
              <w:rPr>
                <w:rFonts w:hint="default" w:ascii="Times New Roman" w:hAnsi="Times New Roman" w:eastAsia="宋体" w:cs="Times New Roman"/>
                <w:color w:val="000000" w:themeColor="text1"/>
                <w:spacing w:val="-9"/>
                <w:sz w:val="18"/>
                <w:szCs w:val="18"/>
                <w14:textFill>
                  <w14:solidFill>
                    <w14:schemeClr w14:val="tx1"/>
                  </w14:solidFill>
                </w14:textFill>
              </w:rPr>
              <w:t>√ ；“</w:t>
            </w:r>
            <w:r>
              <w:rPr>
                <w:rFonts w:hint="default" w:ascii="Times New Roman" w:hAnsi="Times New Roman" w:eastAsia="宋体" w:cs="Times New Roman"/>
                <w:color w:val="000000" w:themeColor="text1"/>
                <w:spacing w:val="-51"/>
                <w:w w:val="98"/>
                <w:sz w:val="18"/>
                <w:szCs w:val="18"/>
                <w14:textFill>
                  <w14:solidFill>
                    <w14:schemeClr w14:val="tx1"/>
                  </w14:solidFill>
                </w14:textFill>
              </w:rPr>
              <w:t>（</w:t>
            </w:r>
            <w:r>
              <w:rPr>
                <w:rFonts w:hint="default" w:ascii="Times New Roman" w:hAnsi="Times New Roman" w:eastAsia="宋体" w:cs="Times New Roman"/>
                <w:color w:val="000000" w:themeColor="text1"/>
                <w:spacing w:val="1"/>
                <w:sz w:val="18"/>
                <w:szCs w:val="18"/>
                <w14:textFill>
                  <w14:solidFill>
                    <w14:schemeClr w14:val="tx1"/>
                  </w14:solidFill>
                </w14:textFill>
              </w:rPr>
              <w:t xml:space="preserve">   </w:t>
            </w:r>
            <w:r>
              <w:rPr>
                <w:rFonts w:hint="default" w:ascii="Times New Roman" w:hAnsi="Times New Roman" w:eastAsia="宋体" w:cs="Times New Roman"/>
                <w:color w:val="000000" w:themeColor="text1"/>
                <w:spacing w:val="-51"/>
                <w:w w:val="98"/>
                <w:sz w:val="18"/>
                <w:szCs w:val="18"/>
                <w14:textFill>
                  <w14:solidFill>
                    <w14:schemeClr w14:val="tx1"/>
                  </w14:solidFill>
                </w14:textFill>
              </w:rPr>
              <w:t>）</w:t>
            </w:r>
            <w:r>
              <w:rPr>
                <w:rFonts w:hint="default" w:ascii="Times New Roman" w:hAnsi="Times New Roman" w:eastAsia="宋体" w:cs="Times New Roman"/>
                <w:color w:val="000000" w:themeColor="text1"/>
                <w:spacing w:val="-9"/>
                <w:sz w:val="18"/>
                <w:szCs w:val="18"/>
                <w14:textFill>
                  <w14:solidFill>
                    <w14:schemeClr w14:val="tx1"/>
                  </w14:solidFill>
                </w14:textFill>
              </w:rPr>
              <w:t>”</w:t>
            </w:r>
            <w:r>
              <w:rPr>
                <w:rFonts w:hint="default" w:ascii="Times New Roman" w:hAnsi="Times New Roman" w:eastAsia="宋体" w:cs="Times New Roman"/>
                <w:color w:val="000000" w:themeColor="text1"/>
                <w:spacing w:val="11"/>
                <w:sz w:val="18"/>
                <w:szCs w:val="18"/>
                <w14:textFill>
                  <w14:solidFill>
                    <w14:schemeClr w14:val="tx1"/>
                  </w14:solidFill>
                </w14:textFill>
              </w:rPr>
              <w:t xml:space="preserve"> </w:t>
            </w:r>
            <w:r>
              <w:rPr>
                <w:rFonts w:hint="default" w:ascii="Times New Roman" w:hAnsi="Times New Roman" w:eastAsia="宋体" w:cs="Times New Roman"/>
                <w:color w:val="000000" w:themeColor="text1"/>
                <w:spacing w:val="-10"/>
                <w:sz w:val="18"/>
                <w:szCs w:val="18"/>
                <w14:textFill>
                  <w14:solidFill>
                    <w14:schemeClr w14:val="tx1"/>
                  </w14:solidFill>
                </w14:textFill>
              </w:rPr>
              <w:t>为内容填写项。</w:t>
            </w:r>
          </w:p>
        </w:tc>
      </w:tr>
    </w:tbl>
    <w:p w14:paraId="5250580A">
      <w:pPr>
        <w:ind w:left="0" w:leftChars="0" w:right="0" w:rightChars="0"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p>
    <w:sectPr>
      <w:pgSz w:w="11906" w:h="16838"/>
      <w:pgMar w:top="1440" w:right="1800" w:bottom="1440" w:left="1800" w:header="851" w:footer="1077" w:gutter="0"/>
      <w:pgBorders>
        <w:top w:val="none" w:sz="0" w:space="0"/>
        <w:left w:val="none" w:sz="0" w:space="0"/>
        <w:bottom w:val="none" w:sz="0" w:space="0"/>
        <w:right w:val="none" w:sz="0" w:space="0"/>
      </w:pgBorders>
      <w:pgNumType w:fmt="decimal"/>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0D"/>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EB36954-7B3D-4BD1-8AA5-1AA378FF64EE}"/>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BA9CEEFB-C54E-46F1-A01F-BE6D91D86B8A}"/>
  </w:font>
  <w:font w:name="Noto Sans CJK JP Regular">
    <w:altName w:val="Segoe Print"/>
    <w:panose1 w:val="00000000000000000000"/>
    <w:charset w:val="00"/>
    <w:family w:val="swiss"/>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方正小标宋_GBK">
    <w:panose1 w:val="02000000000000000000"/>
    <w:charset w:val="86"/>
    <w:family w:val="script"/>
    <w:pitch w:val="default"/>
    <w:sig w:usb0="A00002BF" w:usb1="38CF7CFA" w:usb2="00082016" w:usb3="00000000" w:csb0="00040001" w:csb1="00000000"/>
    <w:embedRegular r:id="rId3" w:fontKey="{563494CA-2F4C-4DEA-BECC-84C827B44F89}"/>
  </w:font>
  <w:font w:name="楷体_GB2312">
    <w:panose1 w:val="02010609030101010101"/>
    <w:charset w:val="86"/>
    <w:family w:val="modern"/>
    <w:pitch w:val="default"/>
    <w:sig w:usb0="00000001" w:usb1="080E0000" w:usb2="00000000" w:usb3="00000000" w:csb0="00040000" w:csb1="00000000"/>
    <w:embedRegular r:id="rId4" w:fontKey="{BA0E9450-652E-49AF-A28F-066008A980C4}"/>
  </w:font>
  <w:font w:name="仿宋">
    <w:panose1 w:val="02010609060101010101"/>
    <w:charset w:val="86"/>
    <w:family w:val="auto"/>
    <w:pitch w:val="default"/>
    <w:sig w:usb0="800002BF" w:usb1="38CF7CFA" w:usb2="00000016" w:usb3="00000000" w:csb0="00040001" w:csb1="00000000"/>
    <w:embedRegular r:id="rId5" w:fontKey="{8584707D-B460-4DC2-8CF5-47797081C38A}"/>
  </w:font>
  <w:font w:name="Wingdings 2">
    <w:panose1 w:val="05020102010507070707"/>
    <w:charset w:val="02"/>
    <w:family w:val="auto"/>
    <w:pitch w:val="default"/>
    <w:sig w:usb0="00000000" w:usb1="00000000" w:usb2="00000000" w:usb3="00000000" w:csb0="80000000" w:csb1="00000000"/>
    <w:embedRegular r:id="rId6" w:fontKey="{6655CD44-B6E3-49A9-97E4-F3A41D436D8C}"/>
  </w:font>
  <w:font w:name="楷体">
    <w:panose1 w:val="02010609060101010101"/>
    <w:charset w:val="86"/>
    <w:family w:val="auto"/>
    <w:pitch w:val="default"/>
    <w:sig w:usb0="800002BF" w:usb1="38CF7CFA" w:usb2="00000016" w:usb3="00000000" w:csb0="00040001" w:csb1="00000000"/>
    <w:embedRegular r:id="rId7" w:fontKey="{1E511306-D6F9-49B8-931A-707D2E015B58}"/>
  </w:font>
  <w:font w:name="微软雅黑">
    <w:panose1 w:val="020B0503020204020204"/>
    <w:charset w:val="86"/>
    <w:family w:val="auto"/>
    <w:pitch w:val="default"/>
    <w:sig w:usb0="80000287" w:usb1="280F3C52" w:usb2="00000016" w:usb3="00000000" w:csb0="0004001F" w:csb1="00000000"/>
    <w:embedRegular r:id="rId8" w:fontKey="{DAB6BB87-C075-4387-9FA3-F9CAEA00211E}"/>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097C8">
    <w:pPr>
      <w:pStyle w:val="1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1629BF">
    <w:pPr>
      <w:pStyle w:val="18"/>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57753BF">
                          <w:pPr>
                            <w:pStyle w:val="18"/>
                            <w:ind w:firstLine="360"/>
                            <w:rPr>
                              <w:rFonts w:hint="eastAsia"/>
                            </w:rPr>
                          </w:pPr>
                          <w:r>
                            <w:rPr>
                              <w:rFonts w:hint="eastAsia"/>
                            </w:rPr>
                            <w:fldChar w:fldCharType="begin"/>
                          </w:r>
                          <w:r>
                            <w:rPr>
                              <w:rFonts w:hint="eastAsia"/>
                            </w:rPr>
                            <w:instrText xml:space="preserve"> PAGE  \* MERGEFORMAT </w:instrText>
                          </w:r>
                          <w:r>
                            <w:rPr>
                              <w:rFonts w:hint="eastAsia"/>
                            </w:rPr>
                            <w:fldChar w:fldCharType="separate"/>
                          </w:r>
                          <w:r>
                            <w:t>- 1 -</w:t>
                          </w:r>
                          <w:r>
                            <w:rPr>
                              <w:rFonts w:hint="eastAsia"/>
                            </w:rPr>
                            <w:fldChar w:fldCharType="end"/>
                          </w:r>
                        </w:p>
                      </w:txbxContent>
                    </wps:txbx>
                    <wps:bodyPr wrap="none" lIns="0" tIns="0" rIns="0" bIns="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VKf/pMoBAACaAwAADgAAAAAAAAABACAAAAAeAQAAZHJzL2Uyb0Rv&#10;Yy54bWxQSwUGAAAAAAYABgBZAQAAWgUAAAAA&#10;">
              <v:fill on="f" focussize="0,0"/>
              <v:stroke on="f"/>
              <v:imagedata o:title=""/>
              <o:lock v:ext="edit" aspectratio="f"/>
              <v:textbox inset="0mm,0mm,0mm,0mm" style="mso-fit-shape-to-text:t;">
                <w:txbxContent>
                  <w:p w14:paraId="457753BF">
                    <w:pPr>
                      <w:pStyle w:val="18"/>
                      <w:ind w:firstLine="360"/>
                      <w:rPr>
                        <w:rFonts w:hint="eastAsia"/>
                      </w:rPr>
                    </w:pPr>
                    <w:r>
                      <w:rPr>
                        <w:rFonts w:hint="eastAsia"/>
                      </w:rPr>
                      <w:fldChar w:fldCharType="begin"/>
                    </w:r>
                    <w:r>
                      <w:rPr>
                        <w:rFonts w:hint="eastAsia"/>
                      </w:rPr>
                      <w:instrText xml:space="preserve"> PAGE  \* MERGEFORMAT </w:instrText>
                    </w:r>
                    <w:r>
                      <w:rPr>
                        <w:rFonts w:hint="eastAsia"/>
                      </w:rPr>
                      <w:fldChar w:fldCharType="separate"/>
                    </w:r>
                    <w:r>
                      <w:t>- 1 -</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9567C">
    <w:pPr>
      <w:pStyle w:val="18"/>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A3BD5ED">
                          <w:pPr>
                            <w:pStyle w:val="18"/>
                            <w:ind w:firstLine="360"/>
                            <w:rPr>
                              <w:rFonts w:hint="eastAsia"/>
                            </w:rPr>
                          </w:pPr>
                        </w:p>
                      </w:txbxContent>
                    </wps:txbx>
                    <wps:bodyPr vert="horz" wrap="none" lIns="0" tIns="0" rIns="0" bIns="0" anchor="t" anchorCtr="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abRkhN8BAAC/AwAADgAAAAAA&#10;AAABACAAAAAeAQAAZHJzL2Uyb0RvYy54bWxQSwUGAAAAAAYABgBZAQAAbwUAAAAA&#10;">
              <v:fill on="f" focussize="0,0"/>
              <v:stroke on="f"/>
              <v:imagedata o:title=""/>
              <o:lock v:ext="edit" aspectratio="f"/>
              <v:textbox inset="0mm,0mm,0mm,0mm" style="mso-fit-shape-to-text:t;">
                <w:txbxContent>
                  <w:p w14:paraId="4A3BD5ED">
                    <w:pPr>
                      <w:pStyle w:val="18"/>
                      <w:ind w:firstLine="360"/>
                      <w:rPr>
                        <w:rFonts w:hint="eastAsia"/>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7E0C2">
    <w:pPr>
      <w:pStyle w:val="18"/>
      <w:ind w:right="360" w:firstLine="36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B6EB231">
                          <w:pPr>
                            <w:pStyle w:val="18"/>
                            <w:ind w:firstLine="360"/>
                            <w:rPr>
                              <w:rFonts w:hint="eastAsia"/>
                            </w:rPr>
                          </w:pPr>
                        </w:p>
                      </w:txbxContent>
                    </wps:txbx>
                    <wps:bodyPr vert="horz" wrap="none" lIns="0" tIns="0" rIns="0" bIns="0" anchor="t" anchorCtr="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BMczqt8BAAC/AwAADgAAAAAA&#10;AAABACAAAAAeAQAAZHJzL2Uyb0RvYy54bWxQSwUGAAAAAAYABgBZAQAAbwUAAAAA&#10;">
              <v:fill on="f" focussize="0,0"/>
              <v:stroke on="f"/>
              <v:imagedata o:title=""/>
              <o:lock v:ext="edit" aspectratio="f"/>
              <v:textbox inset="0mm,0mm,0mm,0mm" style="mso-fit-shape-to-text:t;">
                <w:txbxContent>
                  <w:p w14:paraId="1B6EB231">
                    <w:pPr>
                      <w:pStyle w:val="18"/>
                      <w:ind w:firstLine="360"/>
                      <w:rPr>
                        <w:rFonts w:hint="eastAsia"/>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8EA9A1">
    <w:pPr>
      <w:pStyle w:val="18"/>
      <w:ind w:right="360" w:firstLine="360"/>
      <w:jc w:val="cente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EC5016">
                          <w:pPr>
                            <w:pStyle w:val="18"/>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0AEC5016">
                    <w:pPr>
                      <w:pStyle w:val="18"/>
                    </w:pPr>
                    <w:r>
                      <w:fldChar w:fldCharType="begin"/>
                    </w:r>
                    <w:r>
                      <w:instrText xml:space="preserve"> PAGE  \* MERGEFORMAT </w:instrText>
                    </w:r>
                    <w:r>
                      <w:fldChar w:fldCharType="separate"/>
                    </w:r>
                    <w:r>
                      <w:t>- 1 -</w:t>
                    </w:r>
                    <w:r>
                      <w:fldChar w:fldCharType="end"/>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C4B6C61">
                          <w:pPr>
                            <w:pStyle w:val="18"/>
                            <w:ind w:firstLine="360"/>
                            <w:rPr>
                              <w:rFonts w:hint="eastAsia"/>
                            </w:rPr>
                          </w:pPr>
                        </w:p>
                      </w:txbxContent>
                    </wps:txbx>
                    <wps:bodyPr vert="horz" wrap="none" lIns="0" tIns="0" rIns="0" bIns="0" anchor="t" anchorCtr="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EQoPP3gEAAL8DAAAOAAAAAAAA&#10;AAEAIAAAAB4BAABkcnMvZTJvRG9jLnhtbFBLBQYAAAAABgAGAFkBAABuBQAAAAA=&#10;">
              <v:fill on="f" focussize="0,0"/>
              <v:stroke on="f"/>
              <v:imagedata o:title=""/>
              <o:lock v:ext="edit" aspectratio="f"/>
              <v:textbox inset="0mm,0mm,0mm,0mm" style="mso-fit-shape-to-text:t;">
                <w:txbxContent>
                  <w:p w14:paraId="4C4B6C61">
                    <w:pPr>
                      <w:pStyle w:val="18"/>
                      <w:ind w:firstLine="360"/>
                      <w:rPr>
                        <w:rFonts w:hint="eastAsia"/>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CDC07">
    <w:pPr>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B9B88">
    <w:pPr>
      <w:ind w:left="480" w:firstLine="0" w:firstLineChars="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ACF8267"/>
    <w:multiLevelType w:val="multilevel"/>
    <w:tmpl w:val="FACF8267"/>
    <w:lvl w:ilvl="0" w:tentative="0">
      <w:start w:val="1"/>
      <w:numFmt w:val="decimal"/>
      <w:lvlText w:val="%1."/>
      <w:lvlJc w:val="left"/>
      <w:pPr>
        <w:tabs>
          <w:tab w:val="left" w:pos="312"/>
        </w:tabs>
      </w:p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
    <w:nsid w:val="22B2A8CA"/>
    <w:multiLevelType w:val="singleLevel"/>
    <w:tmpl w:val="22B2A8CA"/>
    <w:lvl w:ilvl="0" w:tentative="0">
      <w:start w:val="6"/>
      <w:numFmt w:val="chineseCounting"/>
      <w:suff w:val="space"/>
      <w:lvlText w:val="第%1章"/>
      <w:lvlJc w:val="left"/>
      <w:rPr>
        <w:rFonts w:hint="eastAsia"/>
      </w:rPr>
    </w:lvl>
  </w:abstractNum>
  <w:abstractNum w:abstractNumId="2">
    <w:nsid w:val="245900B4"/>
    <w:multiLevelType w:val="singleLevel"/>
    <w:tmpl w:val="245900B4"/>
    <w:lvl w:ilvl="0" w:tentative="0">
      <w:start w:val="1"/>
      <w:numFmt w:val="bullet"/>
      <w:pStyle w:val="15"/>
      <w:lvlText w:val=""/>
      <w:lvlJc w:val="left"/>
      <w:pPr>
        <w:tabs>
          <w:tab w:val="left" w:pos="2040"/>
        </w:tabs>
        <w:ind w:left="2040" w:hanging="360"/>
      </w:pPr>
      <w:rPr>
        <w:rFonts w:hint="default" w:ascii="Wingdings" w:hAnsi="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Q0ZGZmOTBjNjI0YmQ5YTE4NjJmODJlMGNmODRlYjkifQ=="/>
  </w:docVars>
  <w:rsids>
    <w:rsidRoot w:val="00172A27"/>
    <w:rsid w:val="00001CED"/>
    <w:rsid w:val="00001E67"/>
    <w:rsid w:val="00003CD8"/>
    <w:rsid w:val="00014965"/>
    <w:rsid w:val="0001523A"/>
    <w:rsid w:val="00016ECB"/>
    <w:rsid w:val="000269F6"/>
    <w:rsid w:val="00031939"/>
    <w:rsid w:val="00032D25"/>
    <w:rsid w:val="0005219D"/>
    <w:rsid w:val="0005568F"/>
    <w:rsid w:val="0006153D"/>
    <w:rsid w:val="00061B1F"/>
    <w:rsid w:val="000664DB"/>
    <w:rsid w:val="0007127D"/>
    <w:rsid w:val="00071AE5"/>
    <w:rsid w:val="00074783"/>
    <w:rsid w:val="000801E0"/>
    <w:rsid w:val="00082A29"/>
    <w:rsid w:val="0008331D"/>
    <w:rsid w:val="00083C18"/>
    <w:rsid w:val="00092899"/>
    <w:rsid w:val="000A178E"/>
    <w:rsid w:val="000A557E"/>
    <w:rsid w:val="000B058F"/>
    <w:rsid w:val="000B693F"/>
    <w:rsid w:val="000C09AC"/>
    <w:rsid w:val="000C0A63"/>
    <w:rsid w:val="000C437E"/>
    <w:rsid w:val="000E5F16"/>
    <w:rsid w:val="000F4452"/>
    <w:rsid w:val="000F6DA1"/>
    <w:rsid w:val="000F701B"/>
    <w:rsid w:val="001056A0"/>
    <w:rsid w:val="00115279"/>
    <w:rsid w:val="00117459"/>
    <w:rsid w:val="0011749A"/>
    <w:rsid w:val="00127A68"/>
    <w:rsid w:val="00140B13"/>
    <w:rsid w:val="00141B68"/>
    <w:rsid w:val="001466DA"/>
    <w:rsid w:val="00154DE1"/>
    <w:rsid w:val="00155B40"/>
    <w:rsid w:val="00157435"/>
    <w:rsid w:val="00163EEA"/>
    <w:rsid w:val="00167A07"/>
    <w:rsid w:val="0017046A"/>
    <w:rsid w:val="001704A3"/>
    <w:rsid w:val="0017504D"/>
    <w:rsid w:val="00177422"/>
    <w:rsid w:val="00184F10"/>
    <w:rsid w:val="00185546"/>
    <w:rsid w:val="0019146B"/>
    <w:rsid w:val="00194398"/>
    <w:rsid w:val="001A7D2A"/>
    <w:rsid w:val="001B574C"/>
    <w:rsid w:val="001C0AF9"/>
    <w:rsid w:val="001C155A"/>
    <w:rsid w:val="001C48C0"/>
    <w:rsid w:val="001D6726"/>
    <w:rsid w:val="001E3DF4"/>
    <w:rsid w:val="001F3347"/>
    <w:rsid w:val="001F4440"/>
    <w:rsid w:val="001F69E4"/>
    <w:rsid w:val="00206A65"/>
    <w:rsid w:val="00212D31"/>
    <w:rsid w:val="002130C7"/>
    <w:rsid w:val="002218A8"/>
    <w:rsid w:val="0022306D"/>
    <w:rsid w:val="00226574"/>
    <w:rsid w:val="002278EC"/>
    <w:rsid w:val="002357C7"/>
    <w:rsid w:val="002367C4"/>
    <w:rsid w:val="0025679E"/>
    <w:rsid w:val="00260C68"/>
    <w:rsid w:val="002648B0"/>
    <w:rsid w:val="00275271"/>
    <w:rsid w:val="0027535E"/>
    <w:rsid w:val="00275AA6"/>
    <w:rsid w:val="002807D5"/>
    <w:rsid w:val="00282CCD"/>
    <w:rsid w:val="002A168C"/>
    <w:rsid w:val="002A2C48"/>
    <w:rsid w:val="002A3EED"/>
    <w:rsid w:val="002A4A39"/>
    <w:rsid w:val="002A5A17"/>
    <w:rsid w:val="002A6425"/>
    <w:rsid w:val="002B49E2"/>
    <w:rsid w:val="002B7592"/>
    <w:rsid w:val="002B7B00"/>
    <w:rsid w:val="002B7C44"/>
    <w:rsid w:val="002C1388"/>
    <w:rsid w:val="002C3C6A"/>
    <w:rsid w:val="002D42DB"/>
    <w:rsid w:val="002E1F3A"/>
    <w:rsid w:val="002E298A"/>
    <w:rsid w:val="002F02A4"/>
    <w:rsid w:val="002F272B"/>
    <w:rsid w:val="002F7C6D"/>
    <w:rsid w:val="003027E4"/>
    <w:rsid w:val="0030332C"/>
    <w:rsid w:val="00312296"/>
    <w:rsid w:val="0031340E"/>
    <w:rsid w:val="00316464"/>
    <w:rsid w:val="0032073A"/>
    <w:rsid w:val="00321D8E"/>
    <w:rsid w:val="00334996"/>
    <w:rsid w:val="00336969"/>
    <w:rsid w:val="00336C52"/>
    <w:rsid w:val="00341B3E"/>
    <w:rsid w:val="00341B42"/>
    <w:rsid w:val="00345154"/>
    <w:rsid w:val="0034560E"/>
    <w:rsid w:val="00350523"/>
    <w:rsid w:val="00352975"/>
    <w:rsid w:val="00356868"/>
    <w:rsid w:val="0036485B"/>
    <w:rsid w:val="00373B0D"/>
    <w:rsid w:val="00376988"/>
    <w:rsid w:val="00381A72"/>
    <w:rsid w:val="003A1948"/>
    <w:rsid w:val="003B152A"/>
    <w:rsid w:val="003B545B"/>
    <w:rsid w:val="003D3EE9"/>
    <w:rsid w:val="003E7681"/>
    <w:rsid w:val="003F0809"/>
    <w:rsid w:val="003F611C"/>
    <w:rsid w:val="003F755C"/>
    <w:rsid w:val="00406F01"/>
    <w:rsid w:val="00411B36"/>
    <w:rsid w:val="004121D7"/>
    <w:rsid w:val="00416D50"/>
    <w:rsid w:val="00417772"/>
    <w:rsid w:val="00420E6A"/>
    <w:rsid w:val="00433CA9"/>
    <w:rsid w:val="0043521D"/>
    <w:rsid w:val="00442024"/>
    <w:rsid w:val="0044254C"/>
    <w:rsid w:val="00443F6A"/>
    <w:rsid w:val="00450A17"/>
    <w:rsid w:val="00466321"/>
    <w:rsid w:val="004672AF"/>
    <w:rsid w:val="004727B0"/>
    <w:rsid w:val="00480247"/>
    <w:rsid w:val="0048081D"/>
    <w:rsid w:val="0048117E"/>
    <w:rsid w:val="004855F6"/>
    <w:rsid w:val="00486F0C"/>
    <w:rsid w:val="00494670"/>
    <w:rsid w:val="004A0EB4"/>
    <w:rsid w:val="004A3823"/>
    <w:rsid w:val="004A59BB"/>
    <w:rsid w:val="004B43A3"/>
    <w:rsid w:val="004B4C49"/>
    <w:rsid w:val="004B58A5"/>
    <w:rsid w:val="004B63D9"/>
    <w:rsid w:val="004C0882"/>
    <w:rsid w:val="004C398A"/>
    <w:rsid w:val="004C42C5"/>
    <w:rsid w:val="004C55BE"/>
    <w:rsid w:val="004E5B30"/>
    <w:rsid w:val="004F0779"/>
    <w:rsid w:val="004F1230"/>
    <w:rsid w:val="004F173F"/>
    <w:rsid w:val="004F177C"/>
    <w:rsid w:val="004F2DCE"/>
    <w:rsid w:val="005039CB"/>
    <w:rsid w:val="0050558F"/>
    <w:rsid w:val="005057E0"/>
    <w:rsid w:val="00506286"/>
    <w:rsid w:val="00510813"/>
    <w:rsid w:val="00511DE0"/>
    <w:rsid w:val="00517F02"/>
    <w:rsid w:val="00524547"/>
    <w:rsid w:val="005258A2"/>
    <w:rsid w:val="00530F7C"/>
    <w:rsid w:val="00534567"/>
    <w:rsid w:val="00534F43"/>
    <w:rsid w:val="00535A84"/>
    <w:rsid w:val="00536889"/>
    <w:rsid w:val="00542E07"/>
    <w:rsid w:val="00554A7B"/>
    <w:rsid w:val="0055572C"/>
    <w:rsid w:val="0056064F"/>
    <w:rsid w:val="005619B1"/>
    <w:rsid w:val="00561B84"/>
    <w:rsid w:val="00571D98"/>
    <w:rsid w:val="005720AE"/>
    <w:rsid w:val="00576EBF"/>
    <w:rsid w:val="0058030D"/>
    <w:rsid w:val="00582045"/>
    <w:rsid w:val="00590AE3"/>
    <w:rsid w:val="005918F1"/>
    <w:rsid w:val="005A06B7"/>
    <w:rsid w:val="005A1759"/>
    <w:rsid w:val="005D0369"/>
    <w:rsid w:val="005D53FE"/>
    <w:rsid w:val="005D7A0F"/>
    <w:rsid w:val="005E0438"/>
    <w:rsid w:val="005E1791"/>
    <w:rsid w:val="005E2CE6"/>
    <w:rsid w:val="005E6324"/>
    <w:rsid w:val="005F228B"/>
    <w:rsid w:val="005F29CD"/>
    <w:rsid w:val="005F4DFB"/>
    <w:rsid w:val="005F6CC0"/>
    <w:rsid w:val="00603E5B"/>
    <w:rsid w:val="00604BC8"/>
    <w:rsid w:val="00615B4C"/>
    <w:rsid w:val="00615B5D"/>
    <w:rsid w:val="0062146F"/>
    <w:rsid w:val="006343AF"/>
    <w:rsid w:val="0063634A"/>
    <w:rsid w:val="0064250D"/>
    <w:rsid w:val="006535EB"/>
    <w:rsid w:val="00663016"/>
    <w:rsid w:val="00674605"/>
    <w:rsid w:val="006748B8"/>
    <w:rsid w:val="0068535B"/>
    <w:rsid w:val="0068736E"/>
    <w:rsid w:val="0069290A"/>
    <w:rsid w:val="00697032"/>
    <w:rsid w:val="006975AC"/>
    <w:rsid w:val="006A15FB"/>
    <w:rsid w:val="006A72BF"/>
    <w:rsid w:val="006B332A"/>
    <w:rsid w:val="006B33BD"/>
    <w:rsid w:val="006C3F75"/>
    <w:rsid w:val="006C7B50"/>
    <w:rsid w:val="006D170E"/>
    <w:rsid w:val="006E06AF"/>
    <w:rsid w:val="006F1789"/>
    <w:rsid w:val="00706C5D"/>
    <w:rsid w:val="007118E6"/>
    <w:rsid w:val="007225C9"/>
    <w:rsid w:val="00735CD7"/>
    <w:rsid w:val="00754034"/>
    <w:rsid w:val="00754BF1"/>
    <w:rsid w:val="00755A30"/>
    <w:rsid w:val="00755E1C"/>
    <w:rsid w:val="00756556"/>
    <w:rsid w:val="0076132B"/>
    <w:rsid w:val="007623AE"/>
    <w:rsid w:val="00770B19"/>
    <w:rsid w:val="00774FA0"/>
    <w:rsid w:val="00776620"/>
    <w:rsid w:val="00777B6D"/>
    <w:rsid w:val="00784855"/>
    <w:rsid w:val="00784F39"/>
    <w:rsid w:val="0078545C"/>
    <w:rsid w:val="007906C4"/>
    <w:rsid w:val="007940EA"/>
    <w:rsid w:val="007967E8"/>
    <w:rsid w:val="007A63F2"/>
    <w:rsid w:val="007B68DE"/>
    <w:rsid w:val="007C1857"/>
    <w:rsid w:val="007C514F"/>
    <w:rsid w:val="007D0F95"/>
    <w:rsid w:val="007D7ECB"/>
    <w:rsid w:val="007E25A1"/>
    <w:rsid w:val="007E4BD2"/>
    <w:rsid w:val="007E7145"/>
    <w:rsid w:val="007F3916"/>
    <w:rsid w:val="00801179"/>
    <w:rsid w:val="00802479"/>
    <w:rsid w:val="00805372"/>
    <w:rsid w:val="00805B7B"/>
    <w:rsid w:val="0081293E"/>
    <w:rsid w:val="00814FFB"/>
    <w:rsid w:val="00820568"/>
    <w:rsid w:val="00831A80"/>
    <w:rsid w:val="008332C8"/>
    <w:rsid w:val="00833743"/>
    <w:rsid w:val="008340A4"/>
    <w:rsid w:val="00836799"/>
    <w:rsid w:val="00837028"/>
    <w:rsid w:val="00837131"/>
    <w:rsid w:val="00845F57"/>
    <w:rsid w:val="008521E0"/>
    <w:rsid w:val="008525B0"/>
    <w:rsid w:val="00867CBC"/>
    <w:rsid w:val="0087068D"/>
    <w:rsid w:val="00876C30"/>
    <w:rsid w:val="00877017"/>
    <w:rsid w:val="008773C0"/>
    <w:rsid w:val="00880364"/>
    <w:rsid w:val="00886C4C"/>
    <w:rsid w:val="0088711C"/>
    <w:rsid w:val="00892ECF"/>
    <w:rsid w:val="00892F06"/>
    <w:rsid w:val="00894285"/>
    <w:rsid w:val="008A40AE"/>
    <w:rsid w:val="008A4E19"/>
    <w:rsid w:val="008A67C5"/>
    <w:rsid w:val="008B22E1"/>
    <w:rsid w:val="008B3C78"/>
    <w:rsid w:val="008B4AE9"/>
    <w:rsid w:val="008C30AD"/>
    <w:rsid w:val="008D068E"/>
    <w:rsid w:val="008D0F7A"/>
    <w:rsid w:val="008D63BE"/>
    <w:rsid w:val="008E0CFF"/>
    <w:rsid w:val="008E5D6B"/>
    <w:rsid w:val="008E689B"/>
    <w:rsid w:val="008E76F0"/>
    <w:rsid w:val="008F15FE"/>
    <w:rsid w:val="008F2A94"/>
    <w:rsid w:val="008F5187"/>
    <w:rsid w:val="008F709C"/>
    <w:rsid w:val="0090312B"/>
    <w:rsid w:val="00904961"/>
    <w:rsid w:val="0091736D"/>
    <w:rsid w:val="00931001"/>
    <w:rsid w:val="00931863"/>
    <w:rsid w:val="00933524"/>
    <w:rsid w:val="0094278D"/>
    <w:rsid w:val="0095308A"/>
    <w:rsid w:val="00955AEE"/>
    <w:rsid w:val="00956F14"/>
    <w:rsid w:val="009620FD"/>
    <w:rsid w:val="0096247A"/>
    <w:rsid w:val="00964F6D"/>
    <w:rsid w:val="00965F4B"/>
    <w:rsid w:val="00970F8A"/>
    <w:rsid w:val="00971FB5"/>
    <w:rsid w:val="00972D2A"/>
    <w:rsid w:val="00975CC5"/>
    <w:rsid w:val="00976328"/>
    <w:rsid w:val="00976B4E"/>
    <w:rsid w:val="00984458"/>
    <w:rsid w:val="00985283"/>
    <w:rsid w:val="00987322"/>
    <w:rsid w:val="009A0F3B"/>
    <w:rsid w:val="009A72C7"/>
    <w:rsid w:val="009B0897"/>
    <w:rsid w:val="009C48C0"/>
    <w:rsid w:val="009D0852"/>
    <w:rsid w:val="009D1FBF"/>
    <w:rsid w:val="009E399C"/>
    <w:rsid w:val="009E43C1"/>
    <w:rsid w:val="009E7E95"/>
    <w:rsid w:val="009F116F"/>
    <w:rsid w:val="009F329E"/>
    <w:rsid w:val="009F7ED3"/>
    <w:rsid w:val="00A03607"/>
    <w:rsid w:val="00A047FF"/>
    <w:rsid w:val="00A04FEF"/>
    <w:rsid w:val="00A122CD"/>
    <w:rsid w:val="00A12A32"/>
    <w:rsid w:val="00A14248"/>
    <w:rsid w:val="00A14947"/>
    <w:rsid w:val="00A23DC5"/>
    <w:rsid w:val="00A34028"/>
    <w:rsid w:val="00A35568"/>
    <w:rsid w:val="00A37056"/>
    <w:rsid w:val="00A4358F"/>
    <w:rsid w:val="00A46F67"/>
    <w:rsid w:val="00A54AA1"/>
    <w:rsid w:val="00A568FF"/>
    <w:rsid w:val="00A61496"/>
    <w:rsid w:val="00A61833"/>
    <w:rsid w:val="00A624C6"/>
    <w:rsid w:val="00A63CEC"/>
    <w:rsid w:val="00A7031E"/>
    <w:rsid w:val="00A728B1"/>
    <w:rsid w:val="00A763DE"/>
    <w:rsid w:val="00A803D6"/>
    <w:rsid w:val="00A81282"/>
    <w:rsid w:val="00A8713F"/>
    <w:rsid w:val="00A91167"/>
    <w:rsid w:val="00A9171C"/>
    <w:rsid w:val="00A92FFD"/>
    <w:rsid w:val="00A95975"/>
    <w:rsid w:val="00A9708D"/>
    <w:rsid w:val="00AA2C17"/>
    <w:rsid w:val="00AA4172"/>
    <w:rsid w:val="00AB1914"/>
    <w:rsid w:val="00AB5330"/>
    <w:rsid w:val="00AB7747"/>
    <w:rsid w:val="00AC2532"/>
    <w:rsid w:val="00AD1507"/>
    <w:rsid w:val="00AD5A70"/>
    <w:rsid w:val="00AD738B"/>
    <w:rsid w:val="00AE1BF4"/>
    <w:rsid w:val="00AE5D97"/>
    <w:rsid w:val="00AE6794"/>
    <w:rsid w:val="00B01110"/>
    <w:rsid w:val="00B02262"/>
    <w:rsid w:val="00B03CEC"/>
    <w:rsid w:val="00B1209F"/>
    <w:rsid w:val="00B12AD0"/>
    <w:rsid w:val="00B24F30"/>
    <w:rsid w:val="00B31ABF"/>
    <w:rsid w:val="00B335AE"/>
    <w:rsid w:val="00B37CE1"/>
    <w:rsid w:val="00B40ACF"/>
    <w:rsid w:val="00B46BAA"/>
    <w:rsid w:val="00B50B5F"/>
    <w:rsid w:val="00B54128"/>
    <w:rsid w:val="00B55826"/>
    <w:rsid w:val="00B60426"/>
    <w:rsid w:val="00B622DD"/>
    <w:rsid w:val="00B63522"/>
    <w:rsid w:val="00B76F1D"/>
    <w:rsid w:val="00B92A19"/>
    <w:rsid w:val="00B9544C"/>
    <w:rsid w:val="00BA29E9"/>
    <w:rsid w:val="00BB3618"/>
    <w:rsid w:val="00BC0C9E"/>
    <w:rsid w:val="00BC32DC"/>
    <w:rsid w:val="00BD1B51"/>
    <w:rsid w:val="00BD47F6"/>
    <w:rsid w:val="00BE312D"/>
    <w:rsid w:val="00BE3FCA"/>
    <w:rsid w:val="00C05719"/>
    <w:rsid w:val="00C10578"/>
    <w:rsid w:val="00C17D62"/>
    <w:rsid w:val="00C21FDC"/>
    <w:rsid w:val="00C24EE7"/>
    <w:rsid w:val="00C2596A"/>
    <w:rsid w:val="00C271BE"/>
    <w:rsid w:val="00C27425"/>
    <w:rsid w:val="00C328FE"/>
    <w:rsid w:val="00C33A05"/>
    <w:rsid w:val="00C42500"/>
    <w:rsid w:val="00C4409D"/>
    <w:rsid w:val="00C455BE"/>
    <w:rsid w:val="00C51E5F"/>
    <w:rsid w:val="00C61E4B"/>
    <w:rsid w:val="00C62E3A"/>
    <w:rsid w:val="00C64503"/>
    <w:rsid w:val="00C64A1F"/>
    <w:rsid w:val="00C64BFF"/>
    <w:rsid w:val="00C763C9"/>
    <w:rsid w:val="00C80057"/>
    <w:rsid w:val="00C82C79"/>
    <w:rsid w:val="00C84753"/>
    <w:rsid w:val="00C91611"/>
    <w:rsid w:val="00CA3585"/>
    <w:rsid w:val="00CA3D5A"/>
    <w:rsid w:val="00CA4C7C"/>
    <w:rsid w:val="00CB0183"/>
    <w:rsid w:val="00CB1EA3"/>
    <w:rsid w:val="00CB552C"/>
    <w:rsid w:val="00CB6A9E"/>
    <w:rsid w:val="00CC6181"/>
    <w:rsid w:val="00CD2BCD"/>
    <w:rsid w:val="00CD36AA"/>
    <w:rsid w:val="00CD3791"/>
    <w:rsid w:val="00CD65B0"/>
    <w:rsid w:val="00CE02CD"/>
    <w:rsid w:val="00CE10E9"/>
    <w:rsid w:val="00D0072E"/>
    <w:rsid w:val="00D15727"/>
    <w:rsid w:val="00D16332"/>
    <w:rsid w:val="00D24972"/>
    <w:rsid w:val="00D2515E"/>
    <w:rsid w:val="00D308ED"/>
    <w:rsid w:val="00D56178"/>
    <w:rsid w:val="00D56CF0"/>
    <w:rsid w:val="00D56F5C"/>
    <w:rsid w:val="00D704B1"/>
    <w:rsid w:val="00D70B63"/>
    <w:rsid w:val="00D72B92"/>
    <w:rsid w:val="00D72ED4"/>
    <w:rsid w:val="00D73F61"/>
    <w:rsid w:val="00D754C0"/>
    <w:rsid w:val="00D776A2"/>
    <w:rsid w:val="00D801C4"/>
    <w:rsid w:val="00D90836"/>
    <w:rsid w:val="00D95896"/>
    <w:rsid w:val="00D95CC6"/>
    <w:rsid w:val="00DA2DA3"/>
    <w:rsid w:val="00DA6615"/>
    <w:rsid w:val="00DA76AE"/>
    <w:rsid w:val="00DB181E"/>
    <w:rsid w:val="00DB1C7A"/>
    <w:rsid w:val="00DB2983"/>
    <w:rsid w:val="00DB343D"/>
    <w:rsid w:val="00DB5579"/>
    <w:rsid w:val="00DB5CFE"/>
    <w:rsid w:val="00DC72A6"/>
    <w:rsid w:val="00DD2113"/>
    <w:rsid w:val="00DD265E"/>
    <w:rsid w:val="00DF1930"/>
    <w:rsid w:val="00DF514A"/>
    <w:rsid w:val="00E0358D"/>
    <w:rsid w:val="00E06327"/>
    <w:rsid w:val="00E2064B"/>
    <w:rsid w:val="00E25239"/>
    <w:rsid w:val="00E265B1"/>
    <w:rsid w:val="00E275B0"/>
    <w:rsid w:val="00E412D0"/>
    <w:rsid w:val="00E47CDB"/>
    <w:rsid w:val="00E566BC"/>
    <w:rsid w:val="00E60982"/>
    <w:rsid w:val="00E60C8D"/>
    <w:rsid w:val="00E6162F"/>
    <w:rsid w:val="00E6311B"/>
    <w:rsid w:val="00E65D97"/>
    <w:rsid w:val="00E67EFD"/>
    <w:rsid w:val="00E702DC"/>
    <w:rsid w:val="00E71FFB"/>
    <w:rsid w:val="00E76D1D"/>
    <w:rsid w:val="00E806F8"/>
    <w:rsid w:val="00E87752"/>
    <w:rsid w:val="00E8793B"/>
    <w:rsid w:val="00E90F81"/>
    <w:rsid w:val="00E91A6D"/>
    <w:rsid w:val="00E9242D"/>
    <w:rsid w:val="00EB041C"/>
    <w:rsid w:val="00EC5874"/>
    <w:rsid w:val="00ED192D"/>
    <w:rsid w:val="00ED30B4"/>
    <w:rsid w:val="00ED31F5"/>
    <w:rsid w:val="00EF2759"/>
    <w:rsid w:val="00EF45EB"/>
    <w:rsid w:val="00EF5099"/>
    <w:rsid w:val="00EF5E33"/>
    <w:rsid w:val="00F00075"/>
    <w:rsid w:val="00F07822"/>
    <w:rsid w:val="00F15C95"/>
    <w:rsid w:val="00F22985"/>
    <w:rsid w:val="00F241AB"/>
    <w:rsid w:val="00F31382"/>
    <w:rsid w:val="00F35829"/>
    <w:rsid w:val="00F42868"/>
    <w:rsid w:val="00F465A7"/>
    <w:rsid w:val="00F50B7C"/>
    <w:rsid w:val="00F5202D"/>
    <w:rsid w:val="00F52CF6"/>
    <w:rsid w:val="00F54496"/>
    <w:rsid w:val="00F61097"/>
    <w:rsid w:val="00F74345"/>
    <w:rsid w:val="00F74441"/>
    <w:rsid w:val="00F77F30"/>
    <w:rsid w:val="00F82589"/>
    <w:rsid w:val="00F82B19"/>
    <w:rsid w:val="00F90AA7"/>
    <w:rsid w:val="00F9212D"/>
    <w:rsid w:val="00FA301A"/>
    <w:rsid w:val="00FA406A"/>
    <w:rsid w:val="00FA5CB6"/>
    <w:rsid w:val="00FC66AC"/>
    <w:rsid w:val="00FD18F4"/>
    <w:rsid w:val="00FD74B4"/>
    <w:rsid w:val="00FF6FCE"/>
    <w:rsid w:val="00FF7518"/>
    <w:rsid w:val="00FF7FD8"/>
    <w:rsid w:val="012E7A5A"/>
    <w:rsid w:val="01995E96"/>
    <w:rsid w:val="01B06616"/>
    <w:rsid w:val="01B27E1C"/>
    <w:rsid w:val="01EE5BA3"/>
    <w:rsid w:val="023041AA"/>
    <w:rsid w:val="02454476"/>
    <w:rsid w:val="02C70C9F"/>
    <w:rsid w:val="035E2A3D"/>
    <w:rsid w:val="037645C3"/>
    <w:rsid w:val="038446E7"/>
    <w:rsid w:val="043A4E93"/>
    <w:rsid w:val="044D230A"/>
    <w:rsid w:val="045B3855"/>
    <w:rsid w:val="047760C8"/>
    <w:rsid w:val="04B95646"/>
    <w:rsid w:val="04BC0A86"/>
    <w:rsid w:val="05135C07"/>
    <w:rsid w:val="05742AC8"/>
    <w:rsid w:val="06352F05"/>
    <w:rsid w:val="063E7D85"/>
    <w:rsid w:val="064402C5"/>
    <w:rsid w:val="06554A6E"/>
    <w:rsid w:val="06601E61"/>
    <w:rsid w:val="06AC0D62"/>
    <w:rsid w:val="06DB364E"/>
    <w:rsid w:val="06EF7982"/>
    <w:rsid w:val="06FF0B79"/>
    <w:rsid w:val="070875E0"/>
    <w:rsid w:val="07293586"/>
    <w:rsid w:val="07295285"/>
    <w:rsid w:val="07770C56"/>
    <w:rsid w:val="07992A75"/>
    <w:rsid w:val="07C1464D"/>
    <w:rsid w:val="07C4333E"/>
    <w:rsid w:val="08B57C9A"/>
    <w:rsid w:val="08D961D2"/>
    <w:rsid w:val="08E81855"/>
    <w:rsid w:val="092217DD"/>
    <w:rsid w:val="09341346"/>
    <w:rsid w:val="093A7294"/>
    <w:rsid w:val="094E0FA5"/>
    <w:rsid w:val="097D78DD"/>
    <w:rsid w:val="09D62561"/>
    <w:rsid w:val="0A2C4C3F"/>
    <w:rsid w:val="0A526C4B"/>
    <w:rsid w:val="0A747118"/>
    <w:rsid w:val="0AA14C4A"/>
    <w:rsid w:val="0AFA08C7"/>
    <w:rsid w:val="0B065976"/>
    <w:rsid w:val="0B6273B7"/>
    <w:rsid w:val="0B9958FB"/>
    <w:rsid w:val="0BA43E62"/>
    <w:rsid w:val="0BAB5116"/>
    <w:rsid w:val="0BD27BF6"/>
    <w:rsid w:val="0BEF00F0"/>
    <w:rsid w:val="0C31227A"/>
    <w:rsid w:val="0C375BC1"/>
    <w:rsid w:val="0C5F0AF5"/>
    <w:rsid w:val="0CE80538"/>
    <w:rsid w:val="0CF73F34"/>
    <w:rsid w:val="0CFD1416"/>
    <w:rsid w:val="0D847672"/>
    <w:rsid w:val="0D8D1231"/>
    <w:rsid w:val="0E110D06"/>
    <w:rsid w:val="0E122ED0"/>
    <w:rsid w:val="0E947591"/>
    <w:rsid w:val="0E961098"/>
    <w:rsid w:val="0ED14B39"/>
    <w:rsid w:val="0F020C4B"/>
    <w:rsid w:val="0F0A7280"/>
    <w:rsid w:val="0F13775A"/>
    <w:rsid w:val="0F5372FC"/>
    <w:rsid w:val="0F9A112B"/>
    <w:rsid w:val="0F9A26B5"/>
    <w:rsid w:val="0FB62202"/>
    <w:rsid w:val="102720BE"/>
    <w:rsid w:val="10421816"/>
    <w:rsid w:val="106A0CDE"/>
    <w:rsid w:val="106D2F64"/>
    <w:rsid w:val="106E4B47"/>
    <w:rsid w:val="10B63710"/>
    <w:rsid w:val="111C2F7A"/>
    <w:rsid w:val="113013DE"/>
    <w:rsid w:val="11BA0B86"/>
    <w:rsid w:val="11C24EB7"/>
    <w:rsid w:val="11F27B01"/>
    <w:rsid w:val="122B06C2"/>
    <w:rsid w:val="123E0DFD"/>
    <w:rsid w:val="1265591B"/>
    <w:rsid w:val="1276311E"/>
    <w:rsid w:val="12A42D01"/>
    <w:rsid w:val="12B26CCE"/>
    <w:rsid w:val="12FA7DA4"/>
    <w:rsid w:val="131B4DA3"/>
    <w:rsid w:val="13743CE5"/>
    <w:rsid w:val="13951726"/>
    <w:rsid w:val="14396509"/>
    <w:rsid w:val="1447165C"/>
    <w:rsid w:val="1475496C"/>
    <w:rsid w:val="14CB44CC"/>
    <w:rsid w:val="14ED0F43"/>
    <w:rsid w:val="151C0ECE"/>
    <w:rsid w:val="15602773"/>
    <w:rsid w:val="16D315E5"/>
    <w:rsid w:val="16E3540A"/>
    <w:rsid w:val="17631B03"/>
    <w:rsid w:val="17735226"/>
    <w:rsid w:val="17846C41"/>
    <w:rsid w:val="179E7CC2"/>
    <w:rsid w:val="18104A8B"/>
    <w:rsid w:val="184571ED"/>
    <w:rsid w:val="18903644"/>
    <w:rsid w:val="189522B7"/>
    <w:rsid w:val="18972950"/>
    <w:rsid w:val="18D465B4"/>
    <w:rsid w:val="19630BC9"/>
    <w:rsid w:val="19A6626B"/>
    <w:rsid w:val="1A0F5E9E"/>
    <w:rsid w:val="1A1C66C0"/>
    <w:rsid w:val="1A42393B"/>
    <w:rsid w:val="1A6A5B64"/>
    <w:rsid w:val="1A884BDE"/>
    <w:rsid w:val="1ABF39A0"/>
    <w:rsid w:val="1AD35087"/>
    <w:rsid w:val="1B046F80"/>
    <w:rsid w:val="1B173F2E"/>
    <w:rsid w:val="1B3267B5"/>
    <w:rsid w:val="1B5C5536"/>
    <w:rsid w:val="1B7B3684"/>
    <w:rsid w:val="1BC25DC8"/>
    <w:rsid w:val="1BDB3D3C"/>
    <w:rsid w:val="1C270A11"/>
    <w:rsid w:val="1C5E7925"/>
    <w:rsid w:val="1C867C44"/>
    <w:rsid w:val="1C887FC8"/>
    <w:rsid w:val="1C892A76"/>
    <w:rsid w:val="1D1C05CD"/>
    <w:rsid w:val="1D4622ED"/>
    <w:rsid w:val="1D4D0795"/>
    <w:rsid w:val="1D507671"/>
    <w:rsid w:val="1D5F6196"/>
    <w:rsid w:val="1D6132A5"/>
    <w:rsid w:val="1D8E56D5"/>
    <w:rsid w:val="1DAA310F"/>
    <w:rsid w:val="1DFD252A"/>
    <w:rsid w:val="1E284C92"/>
    <w:rsid w:val="1E635D13"/>
    <w:rsid w:val="1E70484C"/>
    <w:rsid w:val="1E7A43DA"/>
    <w:rsid w:val="1EB277FE"/>
    <w:rsid w:val="1F176FA9"/>
    <w:rsid w:val="1F222167"/>
    <w:rsid w:val="1F7D608C"/>
    <w:rsid w:val="1FAD0919"/>
    <w:rsid w:val="1FD567CC"/>
    <w:rsid w:val="1FE7539E"/>
    <w:rsid w:val="201D00EC"/>
    <w:rsid w:val="20963CB8"/>
    <w:rsid w:val="20AB3DEF"/>
    <w:rsid w:val="20B07FB6"/>
    <w:rsid w:val="20CE770E"/>
    <w:rsid w:val="211F4C74"/>
    <w:rsid w:val="213139BA"/>
    <w:rsid w:val="213B74B1"/>
    <w:rsid w:val="215A2310"/>
    <w:rsid w:val="217A696B"/>
    <w:rsid w:val="21DB19BE"/>
    <w:rsid w:val="21DE318A"/>
    <w:rsid w:val="21EF5B80"/>
    <w:rsid w:val="224622AB"/>
    <w:rsid w:val="22576990"/>
    <w:rsid w:val="229C4EAB"/>
    <w:rsid w:val="231A0DE5"/>
    <w:rsid w:val="232C2EDC"/>
    <w:rsid w:val="241D4736"/>
    <w:rsid w:val="24624987"/>
    <w:rsid w:val="24776970"/>
    <w:rsid w:val="24E53415"/>
    <w:rsid w:val="24EF61D4"/>
    <w:rsid w:val="252D53FE"/>
    <w:rsid w:val="25861D82"/>
    <w:rsid w:val="258D2201"/>
    <w:rsid w:val="25BD7798"/>
    <w:rsid w:val="25DB16A4"/>
    <w:rsid w:val="25EC2D81"/>
    <w:rsid w:val="263F3152"/>
    <w:rsid w:val="264528BD"/>
    <w:rsid w:val="266E013D"/>
    <w:rsid w:val="277F76C7"/>
    <w:rsid w:val="27D15DD1"/>
    <w:rsid w:val="28106ABA"/>
    <w:rsid w:val="28213D2E"/>
    <w:rsid w:val="285A1ADB"/>
    <w:rsid w:val="28A76295"/>
    <w:rsid w:val="29206EB8"/>
    <w:rsid w:val="29E325E0"/>
    <w:rsid w:val="2A236B92"/>
    <w:rsid w:val="2A353D77"/>
    <w:rsid w:val="2A452503"/>
    <w:rsid w:val="2AD32E3E"/>
    <w:rsid w:val="2AFB7D5D"/>
    <w:rsid w:val="2BA45526"/>
    <w:rsid w:val="2BA936A8"/>
    <w:rsid w:val="2BBC1502"/>
    <w:rsid w:val="2BC61BA0"/>
    <w:rsid w:val="2C0E67A0"/>
    <w:rsid w:val="2C315A5A"/>
    <w:rsid w:val="2C60772F"/>
    <w:rsid w:val="2CD444D5"/>
    <w:rsid w:val="2CD535EF"/>
    <w:rsid w:val="2CEC284B"/>
    <w:rsid w:val="2CF25559"/>
    <w:rsid w:val="2D0655E0"/>
    <w:rsid w:val="2D6A1634"/>
    <w:rsid w:val="2D9E56F5"/>
    <w:rsid w:val="2DDB30C8"/>
    <w:rsid w:val="2DE7598F"/>
    <w:rsid w:val="2E5032C3"/>
    <w:rsid w:val="2E580B78"/>
    <w:rsid w:val="2E667F96"/>
    <w:rsid w:val="2E8226AB"/>
    <w:rsid w:val="2E824B5A"/>
    <w:rsid w:val="2EC7618F"/>
    <w:rsid w:val="2ED55104"/>
    <w:rsid w:val="2F23014F"/>
    <w:rsid w:val="2F273046"/>
    <w:rsid w:val="2F832C79"/>
    <w:rsid w:val="2F9E5A89"/>
    <w:rsid w:val="2FAF688D"/>
    <w:rsid w:val="2FE257BF"/>
    <w:rsid w:val="2FEF2D58"/>
    <w:rsid w:val="301C73FD"/>
    <w:rsid w:val="30561C1B"/>
    <w:rsid w:val="30580BC9"/>
    <w:rsid w:val="30707A57"/>
    <w:rsid w:val="30C83002"/>
    <w:rsid w:val="30D316E4"/>
    <w:rsid w:val="310A7B4F"/>
    <w:rsid w:val="311E2ED7"/>
    <w:rsid w:val="31334268"/>
    <w:rsid w:val="3135093F"/>
    <w:rsid w:val="313A22B7"/>
    <w:rsid w:val="315C449C"/>
    <w:rsid w:val="317934F8"/>
    <w:rsid w:val="31B82709"/>
    <w:rsid w:val="31CE7B45"/>
    <w:rsid w:val="31DB7836"/>
    <w:rsid w:val="31FA31A1"/>
    <w:rsid w:val="323E795E"/>
    <w:rsid w:val="32400B34"/>
    <w:rsid w:val="329E6876"/>
    <w:rsid w:val="32B93569"/>
    <w:rsid w:val="32DA0040"/>
    <w:rsid w:val="33086120"/>
    <w:rsid w:val="33382D02"/>
    <w:rsid w:val="338C105C"/>
    <w:rsid w:val="33BD30EE"/>
    <w:rsid w:val="33C10E64"/>
    <w:rsid w:val="33D934D4"/>
    <w:rsid w:val="33FE2F6A"/>
    <w:rsid w:val="34A4761C"/>
    <w:rsid w:val="34AF3167"/>
    <w:rsid w:val="34D932A5"/>
    <w:rsid w:val="35647C06"/>
    <w:rsid w:val="35A46781"/>
    <w:rsid w:val="35B14407"/>
    <w:rsid w:val="36074A7F"/>
    <w:rsid w:val="36577821"/>
    <w:rsid w:val="365D2A96"/>
    <w:rsid w:val="369064A9"/>
    <w:rsid w:val="36923549"/>
    <w:rsid w:val="36935478"/>
    <w:rsid w:val="36B75FBF"/>
    <w:rsid w:val="36FB4891"/>
    <w:rsid w:val="37272C99"/>
    <w:rsid w:val="376D7F55"/>
    <w:rsid w:val="37DE6A71"/>
    <w:rsid w:val="37E017A3"/>
    <w:rsid w:val="37F55348"/>
    <w:rsid w:val="38383EDA"/>
    <w:rsid w:val="385B502A"/>
    <w:rsid w:val="387B329C"/>
    <w:rsid w:val="388569F5"/>
    <w:rsid w:val="38CB0C57"/>
    <w:rsid w:val="38DA238F"/>
    <w:rsid w:val="38E369E7"/>
    <w:rsid w:val="38F12CD3"/>
    <w:rsid w:val="38F94775"/>
    <w:rsid w:val="390034D4"/>
    <w:rsid w:val="3902576C"/>
    <w:rsid w:val="392971ED"/>
    <w:rsid w:val="39311BAD"/>
    <w:rsid w:val="39611167"/>
    <w:rsid w:val="39FD0FC3"/>
    <w:rsid w:val="3A172DE9"/>
    <w:rsid w:val="3A59086B"/>
    <w:rsid w:val="3A972061"/>
    <w:rsid w:val="3ABC1F4A"/>
    <w:rsid w:val="3AFB1724"/>
    <w:rsid w:val="3B1D0582"/>
    <w:rsid w:val="3B2C6AD0"/>
    <w:rsid w:val="3B3763D1"/>
    <w:rsid w:val="3B711C6D"/>
    <w:rsid w:val="3C6E0DF1"/>
    <w:rsid w:val="3CA6502E"/>
    <w:rsid w:val="3CC574DA"/>
    <w:rsid w:val="3CDA245A"/>
    <w:rsid w:val="3CDD71FD"/>
    <w:rsid w:val="3CEE0A37"/>
    <w:rsid w:val="3CFD546E"/>
    <w:rsid w:val="3D0A1093"/>
    <w:rsid w:val="3D2E6CD7"/>
    <w:rsid w:val="3E1558C1"/>
    <w:rsid w:val="3EE82102"/>
    <w:rsid w:val="3F192B57"/>
    <w:rsid w:val="3F660E74"/>
    <w:rsid w:val="3F6E6260"/>
    <w:rsid w:val="402D70CB"/>
    <w:rsid w:val="40721FF5"/>
    <w:rsid w:val="407A6407"/>
    <w:rsid w:val="40C33A32"/>
    <w:rsid w:val="41454506"/>
    <w:rsid w:val="414D0911"/>
    <w:rsid w:val="415127DD"/>
    <w:rsid w:val="415257AD"/>
    <w:rsid w:val="41740288"/>
    <w:rsid w:val="418C72E5"/>
    <w:rsid w:val="423A3BCC"/>
    <w:rsid w:val="42CC640E"/>
    <w:rsid w:val="433A6FE6"/>
    <w:rsid w:val="4350713C"/>
    <w:rsid w:val="43576AC0"/>
    <w:rsid w:val="436653E0"/>
    <w:rsid w:val="436832A5"/>
    <w:rsid w:val="43835D9F"/>
    <w:rsid w:val="439B26E7"/>
    <w:rsid w:val="43B10FDD"/>
    <w:rsid w:val="43B64C46"/>
    <w:rsid w:val="4457641C"/>
    <w:rsid w:val="448E4357"/>
    <w:rsid w:val="44CD14E0"/>
    <w:rsid w:val="453D41DF"/>
    <w:rsid w:val="454B0EBC"/>
    <w:rsid w:val="457441E9"/>
    <w:rsid w:val="458946E9"/>
    <w:rsid w:val="45BD7870"/>
    <w:rsid w:val="46111EC7"/>
    <w:rsid w:val="46247D5B"/>
    <w:rsid w:val="4687796D"/>
    <w:rsid w:val="469B4316"/>
    <w:rsid w:val="46D955A7"/>
    <w:rsid w:val="46F11FEB"/>
    <w:rsid w:val="47133957"/>
    <w:rsid w:val="4763575B"/>
    <w:rsid w:val="4779329E"/>
    <w:rsid w:val="47A07E0C"/>
    <w:rsid w:val="47B42CEF"/>
    <w:rsid w:val="481B1A98"/>
    <w:rsid w:val="4870272E"/>
    <w:rsid w:val="489C6602"/>
    <w:rsid w:val="48AC78BD"/>
    <w:rsid w:val="48F567A6"/>
    <w:rsid w:val="49630D30"/>
    <w:rsid w:val="49DC7715"/>
    <w:rsid w:val="4A023139"/>
    <w:rsid w:val="4A064E6C"/>
    <w:rsid w:val="4A6D27D3"/>
    <w:rsid w:val="4A785944"/>
    <w:rsid w:val="4A7B576F"/>
    <w:rsid w:val="4AD020F6"/>
    <w:rsid w:val="4ADA13EC"/>
    <w:rsid w:val="4B620480"/>
    <w:rsid w:val="4B7D68CB"/>
    <w:rsid w:val="4BCB5E91"/>
    <w:rsid w:val="4BF973C2"/>
    <w:rsid w:val="4C0A7CE7"/>
    <w:rsid w:val="4C0F5C68"/>
    <w:rsid w:val="4C4A0649"/>
    <w:rsid w:val="4CD63E9B"/>
    <w:rsid w:val="4CE470D3"/>
    <w:rsid w:val="4D733653"/>
    <w:rsid w:val="4D833FEA"/>
    <w:rsid w:val="4DEC4FB0"/>
    <w:rsid w:val="4E075D8A"/>
    <w:rsid w:val="4E151645"/>
    <w:rsid w:val="4E3046D1"/>
    <w:rsid w:val="4E3F6136"/>
    <w:rsid w:val="4EAE331B"/>
    <w:rsid w:val="4EB1361F"/>
    <w:rsid w:val="4ECA675F"/>
    <w:rsid w:val="4ED20572"/>
    <w:rsid w:val="4EE364A3"/>
    <w:rsid w:val="4EFD11B4"/>
    <w:rsid w:val="4F4B6746"/>
    <w:rsid w:val="4FC62A8C"/>
    <w:rsid w:val="4FE20F0D"/>
    <w:rsid w:val="502D62EF"/>
    <w:rsid w:val="503717EC"/>
    <w:rsid w:val="504E0765"/>
    <w:rsid w:val="50504C4B"/>
    <w:rsid w:val="506322D1"/>
    <w:rsid w:val="50823641"/>
    <w:rsid w:val="508657A6"/>
    <w:rsid w:val="509C6BD8"/>
    <w:rsid w:val="509C6E7C"/>
    <w:rsid w:val="50F61380"/>
    <w:rsid w:val="51165E00"/>
    <w:rsid w:val="513864D1"/>
    <w:rsid w:val="5162104E"/>
    <w:rsid w:val="525E62C7"/>
    <w:rsid w:val="52683B5E"/>
    <w:rsid w:val="52A215AB"/>
    <w:rsid w:val="52D74DF5"/>
    <w:rsid w:val="53142B5A"/>
    <w:rsid w:val="53A039CC"/>
    <w:rsid w:val="53A1505A"/>
    <w:rsid w:val="53DE2950"/>
    <w:rsid w:val="53E4140C"/>
    <w:rsid w:val="53F11800"/>
    <w:rsid w:val="54063E08"/>
    <w:rsid w:val="5406709B"/>
    <w:rsid w:val="542A1708"/>
    <w:rsid w:val="543437E8"/>
    <w:rsid w:val="54BE53C7"/>
    <w:rsid w:val="54C81203"/>
    <w:rsid w:val="54E47F51"/>
    <w:rsid w:val="55717AA9"/>
    <w:rsid w:val="559B174B"/>
    <w:rsid w:val="55CE0CF4"/>
    <w:rsid w:val="55E1114E"/>
    <w:rsid w:val="55F12998"/>
    <w:rsid w:val="560D52D0"/>
    <w:rsid w:val="564E541D"/>
    <w:rsid w:val="56B22A9C"/>
    <w:rsid w:val="56E85B49"/>
    <w:rsid w:val="57016C0B"/>
    <w:rsid w:val="57306D1B"/>
    <w:rsid w:val="577A4F05"/>
    <w:rsid w:val="57B72A76"/>
    <w:rsid w:val="57DA7413"/>
    <w:rsid w:val="587959DB"/>
    <w:rsid w:val="58834F47"/>
    <w:rsid w:val="58C421FA"/>
    <w:rsid w:val="591951C9"/>
    <w:rsid w:val="59271254"/>
    <w:rsid w:val="595B06C8"/>
    <w:rsid w:val="59F064C8"/>
    <w:rsid w:val="5A0B5D89"/>
    <w:rsid w:val="5A3C747D"/>
    <w:rsid w:val="5A633265"/>
    <w:rsid w:val="5A9A2EA4"/>
    <w:rsid w:val="5ABE2233"/>
    <w:rsid w:val="5ACA3D5C"/>
    <w:rsid w:val="5AF32DB1"/>
    <w:rsid w:val="5B276D18"/>
    <w:rsid w:val="5B341976"/>
    <w:rsid w:val="5B384442"/>
    <w:rsid w:val="5B6D4823"/>
    <w:rsid w:val="5BBB273E"/>
    <w:rsid w:val="5BDB5C7C"/>
    <w:rsid w:val="5BDF5D95"/>
    <w:rsid w:val="5C2F1233"/>
    <w:rsid w:val="5C596F28"/>
    <w:rsid w:val="5CA93512"/>
    <w:rsid w:val="5CEC20E2"/>
    <w:rsid w:val="5D2822A9"/>
    <w:rsid w:val="5D686504"/>
    <w:rsid w:val="5DB22C5D"/>
    <w:rsid w:val="5DB924C9"/>
    <w:rsid w:val="5DC778BA"/>
    <w:rsid w:val="5DD95C61"/>
    <w:rsid w:val="5DE53774"/>
    <w:rsid w:val="5DF87A0F"/>
    <w:rsid w:val="5E262E7B"/>
    <w:rsid w:val="5E9235E3"/>
    <w:rsid w:val="5EA97FD6"/>
    <w:rsid w:val="5F1A2B43"/>
    <w:rsid w:val="5F845F11"/>
    <w:rsid w:val="5F9014F9"/>
    <w:rsid w:val="5FB837BB"/>
    <w:rsid w:val="60841151"/>
    <w:rsid w:val="60956669"/>
    <w:rsid w:val="61073604"/>
    <w:rsid w:val="612025F3"/>
    <w:rsid w:val="622006DF"/>
    <w:rsid w:val="62364782"/>
    <w:rsid w:val="623B6F92"/>
    <w:rsid w:val="62715EB0"/>
    <w:rsid w:val="629D1CB9"/>
    <w:rsid w:val="633D5AF8"/>
    <w:rsid w:val="636709C7"/>
    <w:rsid w:val="63C0151E"/>
    <w:rsid w:val="63D40BE9"/>
    <w:rsid w:val="63E0211F"/>
    <w:rsid w:val="640A0DE3"/>
    <w:rsid w:val="649C5DCD"/>
    <w:rsid w:val="64B178FF"/>
    <w:rsid w:val="64D01D9B"/>
    <w:rsid w:val="64D13766"/>
    <w:rsid w:val="64D43534"/>
    <w:rsid w:val="65373578"/>
    <w:rsid w:val="65E3683A"/>
    <w:rsid w:val="65E56493"/>
    <w:rsid w:val="66172B36"/>
    <w:rsid w:val="664A4642"/>
    <w:rsid w:val="66AD4258"/>
    <w:rsid w:val="66BE307B"/>
    <w:rsid w:val="67302D72"/>
    <w:rsid w:val="673C0C09"/>
    <w:rsid w:val="673F2C7A"/>
    <w:rsid w:val="67FB051D"/>
    <w:rsid w:val="681F6961"/>
    <w:rsid w:val="6833452D"/>
    <w:rsid w:val="684D1CB0"/>
    <w:rsid w:val="68610A2F"/>
    <w:rsid w:val="68722CD6"/>
    <w:rsid w:val="68805514"/>
    <w:rsid w:val="688C1E02"/>
    <w:rsid w:val="692451E8"/>
    <w:rsid w:val="693A5876"/>
    <w:rsid w:val="694E2071"/>
    <w:rsid w:val="69516539"/>
    <w:rsid w:val="697A3B33"/>
    <w:rsid w:val="699E2456"/>
    <w:rsid w:val="69A605C5"/>
    <w:rsid w:val="69EB57C5"/>
    <w:rsid w:val="69FC5B2A"/>
    <w:rsid w:val="6A166418"/>
    <w:rsid w:val="6A695931"/>
    <w:rsid w:val="6A861715"/>
    <w:rsid w:val="6A934215"/>
    <w:rsid w:val="6AA73A62"/>
    <w:rsid w:val="6AE14F81"/>
    <w:rsid w:val="6B290FDE"/>
    <w:rsid w:val="6B2C02A3"/>
    <w:rsid w:val="6B322639"/>
    <w:rsid w:val="6B501349"/>
    <w:rsid w:val="6BB32085"/>
    <w:rsid w:val="6C116A60"/>
    <w:rsid w:val="6C5B1F99"/>
    <w:rsid w:val="6C5E51B5"/>
    <w:rsid w:val="6C636C38"/>
    <w:rsid w:val="6CBA578D"/>
    <w:rsid w:val="6DB34098"/>
    <w:rsid w:val="6DB545B6"/>
    <w:rsid w:val="6DB77BCC"/>
    <w:rsid w:val="6DD924AF"/>
    <w:rsid w:val="6E023218"/>
    <w:rsid w:val="6E1F2C1A"/>
    <w:rsid w:val="6E205D6D"/>
    <w:rsid w:val="6E3C2CC1"/>
    <w:rsid w:val="6E4375A0"/>
    <w:rsid w:val="6E514CED"/>
    <w:rsid w:val="6E79491A"/>
    <w:rsid w:val="6EB563D5"/>
    <w:rsid w:val="6F225983"/>
    <w:rsid w:val="6F453BD4"/>
    <w:rsid w:val="6FF249B5"/>
    <w:rsid w:val="6FFC5590"/>
    <w:rsid w:val="70301DA3"/>
    <w:rsid w:val="706D1DD0"/>
    <w:rsid w:val="706F6F3A"/>
    <w:rsid w:val="70710A2B"/>
    <w:rsid w:val="70856B87"/>
    <w:rsid w:val="70866243"/>
    <w:rsid w:val="70D527EE"/>
    <w:rsid w:val="70D8013F"/>
    <w:rsid w:val="70EC288B"/>
    <w:rsid w:val="70F353BF"/>
    <w:rsid w:val="715B5300"/>
    <w:rsid w:val="715F4BD7"/>
    <w:rsid w:val="718615A4"/>
    <w:rsid w:val="71D27F8A"/>
    <w:rsid w:val="71F744C6"/>
    <w:rsid w:val="71F960CF"/>
    <w:rsid w:val="725D5338"/>
    <w:rsid w:val="7294580D"/>
    <w:rsid w:val="731678E9"/>
    <w:rsid w:val="731F5D5E"/>
    <w:rsid w:val="733A5B36"/>
    <w:rsid w:val="73777E85"/>
    <w:rsid w:val="73811D6B"/>
    <w:rsid w:val="73C13279"/>
    <w:rsid w:val="73E27E23"/>
    <w:rsid w:val="73F409B5"/>
    <w:rsid w:val="741E793C"/>
    <w:rsid w:val="743F5AAD"/>
    <w:rsid w:val="74446C2B"/>
    <w:rsid w:val="74A778EF"/>
    <w:rsid w:val="75046B5E"/>
    <w:rsid w:val="758D75E2"/>
    <w:rsid w:val="75DC2BD7"/>
    <w:rsid w:val="76280E80"/>
    <w:rsid w:val="765417DC"/>
    <w:rsid w:val="76791E50"/>
    <w:rsid w:val="76C7618C"/>
    <w:rsid w:val="775957D9"/>
    <w:rsid w:val="775A5F60"/>
    <w:rsid w:val="775D6EE5"/>
    <w:rsid w:val="775E6789"/>
    <w:rsid w:val="77762421"/>
    <w:rsid w:val="780D7D09"/>
    <w:rsid w:val="780F09F4"/>
    <w:rsid w:val="783173C2"/>
    <w:rsid w:val="788C75D7"/>
    <w:rsid w:val="789C4F47"/>
    <w:rsid w:val="78A90480"/>
    <w:rsid w:val="79811327"/>
    <w:rsid w:val="79E323CC"/>
    <w:rsid w:val="7A2665A7"/>
    <w:rsid w:val="7A2747F5"/>
    <w:rsid w:val="7A2F3C1B"/>
    <w:rsid w:val="7A364017"/>
    <w:rsid w:val="7A7339E1"/>
    <w:rsid w:val="7A8265E1"/>
    <w:rsid w:val="7AC3613A"/>
    <w:rsid w:val="7AFE3581"/>
    <w:rsid w:val="7B0F2365"/>
    <w:rsid w:val="7B4739D8"/>
    <w:rsid w:val="7B65029C"/>
    <w:rsid w:val="7B686D42"/>
    <w:rsid w:val="7B827F32"/>
    <w:rsid w:val="7B841746"/>
    <w:rsid w:val="7C19355C"/>
    <w:rsid w:val="7C43482E"/>
    <w:rsid w:val="7CA971DB"/>
    <w:rsid w:val="7CE55C52"/>
    <w:rsid w:val="7D0239FF"/>
    <w:rsid w:val="7D155934"/>
    <w:rsid w:val="7D5E40CD"/>
    <w:rsid w:val="7D693BED"/>
    <w:rsid w:val="7E0D392C"/>
    <w:rsid w:val="7EA77089"/>
    <w:rsid w:val="7EC47786"/>
    <w:rsid w:val="7EC72246"/>
    <w:rsid w:val="7ED0151E"/>
    <w:rsid w:val="7ED44A81"/>
    <w:rsid w:val="7EDC5C9F"/>
    <w:rsid w:val="7EFA1A09"/>
    <w:rsid w:val="7EFA1DEB"/>
    <w:rsid w:val="7F892777"/>
    <w:rsid w:val="7F911347"/>
    <w:rsid w:val="7FDD1714"/>
    <w:rsid w:val="7FE47E50"/>
    <w:rsid w:val="7FE92A2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ocked="1"/>
    <w:lsdException w:qFormat="1" w:unhideWhenUsed="0" w:uiPriority="1"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99"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qFormat="1" w:unhideWhenUsed="0" w:uiPriority="99" w:semiHidden="0" w:name="index heading"/>
    <w:lsdException w:qFormat="1" w:uiPriority="0" w:semiHidden="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semiHidden="0" w:name="Date"/>
    <w:lsdException w:qFormat="1" w:uiPriority="0" w:semiHidden="0" w:name="Body Text First Indent"/>
    <w:lsdException w:qFormat="1"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ocked="1"/>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35"/>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locked/>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qFormat/>
    <w:locked/>
    <w:uiPriority w:val="1"/>
    <w:pPr>
      <w:ind w:left="1080" w:hanging="840"/>
      <w:outlineLvl w:val="2"/>
    </w:pPr>
    <w:rPr>
      <w:rFonts w:ascii="宋体" w:hAnsi="宋体" w:eastAsia="宋体" w:cs="宋体"/>
      <w:b/>
      <w:bCs/>
      <w:sz w:val="28"/>
      <w:szCs w:val="28"/>
      <w:lang w:val="zh-CN" w:eastAsia="zh-CN" w:bidi="zh-CN"/>
    </w:rPr>
  </w:style>
  <w:style w:type="paragraph" w:styleId="5">
    <w:name w:val="heading 4"/>
    <w:basedOn w:val="1"/>
    <w:next w:val="1"/>
    <w:qFormat/>
    <w:locked/>
    <w:uiPriority w:val="0"/>
    <w:pPr>
      <w:keepNext/>
      <w:keepLines/>
      <w:spacing w:before="280" w:after="290" w:line="376" w:lineRule="auto"/>
      <w:outlineLvl w:val="3"/>
    </w:pPr>
    <w:rPr>
      <w:rFonts w:ascii="Cambria" w:hAnsi="Cambria"/>
      <w:b/>
      <w:bCs/>
      <w:sz w:val="28"/>
      <w:szCs w:val="28"/>
    </w:rPr>
  </w:style>
  <w:style w:type="paragraph" w:styleId="6">
    <w:name w:val="heading 5"/>
    <w:basedOn w:val="1"/>
    <w:next w:val="1"/>
    <w:semiHidden/>
    <w:unhideWhenUsed/>
    <w:qFormat/>
    <w:locked/>
    <w:uiPriority w:val="0"/>
    <w:pPr>
      <w:spacing w:before="0" w:beforeAutospacing="1" w:after="0" w:afterAutospacing="1"/>
      <w:jc w:val="left"/>
    </w:pPr>
    <w:rPr>
      <w:rFonts w:hint="eastAsia" w:ascii="宋体" w:hAnsi="宋体" w:eastAsia="宋体" w:cs="宋体"/>
      <w:b/>
      <w:bCs/>
      <w:kern w:val="0"/>
      <w:sz w:val="20"/>
      <w:szCs w:val="20"/>
      <w:lang w:val="en-US" w:eastAsia="zh-CN" w:bidi="ar"/>
    </w:rPr>
  </w:style>
  <w:style w:type="character" w:default="1" w:styleId="29">
    <w:name w:val="Default Paragraph Font"/>
    <w:semiHidden/>
    <w:qFormat/>
    <w:uiPriority w:val="0"/>
  </w:style>
  <w:style w:type="table" w:default="1" w:styleId="27">
    <w:name w:val="Normal Table"/>
    <w:semiHidden/>
    <w:qFormat/>
    <w:uiPriority w:val="0"/>
    <w:tblPr>
      <w:tblCellMar>
        <w:top w:w="0" w:type="dxa"/>
        <w:left w:w="108" w:type="dxa"/>
        <w:bottom w:w="0" w:type="dxa"/>
        <w:right w:w="108" w:type="dxa"/>
      </w:tblCellMar>
    </w:tblPr>
  </w:style>
  <w:style w:type="paragraph" w:styleId="7">
    <w:name w:val="Normal Indent"/>
    <w:basedOn w:val="1"/>
    <w:next w:val="8"/>
    <w:qFormat/>
    <w:uiPriority w:val="0"/>
    <w:pPr>
      <w:ind w:firstLine="420"/>
    </w:pPr>
    <w:rPr>
      <w:rFonts w:eastAsia="宋体"/>
      <w:kern w:val="2"/>
      <w:sz w:val="21"/>
      <w:lang w:val="en-US" w:eastAsia="zh-CN"/>
    </w:rPr>
  </w:style>
  <w:style w:type="paragraph" w:styleId="8">
    <w:name w:val="Body Text First Indent 2"/>
    <w:basedOn w:val="9"/>
    <w:next w:val="1"/>
    <w:unhideWhenUsed/>
    <w:qFormat/>
    <w:uiPriority w:val="0"/>
    <w:pPr>
      <w:autoSpaceDE/>
      <w:autoSpaceDN/>
      <w:adjustRightInd/>
      <w:snapToGrid/>
      <w:spacing w:after="120" w:line="240" w:lineRule="auto"/>
      <w:ind w:left="420" w:leftChars="200" w:firstLine="420" w:firstLineChars="200"/>
      <w:jc w:val="both"/>
      <w:textAlignment w:val="auto"/>
    </w:pPr>
    <w:rPr>
      <w:kern w:val="2"/>
      <w:sz w:val="21"/>
      <w:szCs w:val="22"/>
    </w:rPr>
  </w:style>
  <w:style w:type="paragraph" w:styleId="9">
    <w:name w:val="Body Text Indent"/>
    <w:basedOn w:val="1"/>
    <w:next w:val="1"/>
    <w:link w:val="34"/>
    <w:semiHidden/>
    <w:qFormat/>
    <w:uiPriority w:val="0"/>
    <w:pPr>
      <w:spacing w:after="120"/>
      <w:ind w:left="420" w:leftChars="200"/>
    </w:pPr>
  </w:style>
  <w:style w:type="paragraph" w:styleId="10">
    <w:name w:val="caption"/>
    <w:basedOn w:val="1"/>
    <w:next w:val="1"/>
    <w:unhideWhenUsed/>
    <w:qFormat/>
    <w:locked/>
    <w:uiPriority w:val="0"/>
    <w:rPr>
      <w:rFonts w:ascii="Arial" w:hAnsi="Arial" w:eastAsia="黑体"/>
      <w:sz w:val="20"/>
    </w:rPr>
  </w:style>
  <w:style w:type="paragraph" w:styleId="11">
    <w:name w:val="annotation text"/>
    <w:basedOn w:val="1"/>
    <w:link w:val="36"/>
    <w:semiHidden/>
    <w:qFormat/>
    <w:uiPriority w:val="0"/>
    <w:pPr>
      <w:jc w:val="left"/>
    </w:pPr>
    <w:rPr>
      <w:kern w:val="0"/>
      <w:sz w:val="20"/>
    </w:rPr>
  </w:style>
  <w:style w:type="paragraph" w:styleId="12">
    <w:name w:val="Body Text"/>
    <w:basedOn w:val="1"/>
    <w:next w:val="13"/>
    <w:link w:val="37"/>
    <w:qFormat/>
    <w:uiPriority w:val="0"/>
    <w:pPr>
      <w:widowControl/>
      <w:snapToGrid w:val="0"/>
      <w:spacing w:before="60" w:after="160" w:line="259" w:lineRule="auto"/>
      <w:ind w:right="113"/>
    </w:pPr>
    <w:rPr>
      <w:kern w:val="0"/>
      <w:sz w:val="18"/>
      <w:szCs w:val="18"/>
    </w:rPr>
  </w:style>
  <w:style w:type="paragraph" w:customStyle="1" w:styleId="13">
    <w:name w:val="Date1"/>
    <w:basedOn w:val="1"/>
    <w:next w:val="1"/>
    <w:qFormat/>
    <w:uiPriority w:val="0"/>
    <w:rPr>
      <w:sz w:val="21"/>
      <w:szCs w:val="20"/>
    </w:rPr>
  </w:style>
  <w:style w:type="paragraph" w:styleId="14">
    <w:name w:val="Plain Text"/>
    <w:basedOn w:val="1"/>
    <w:qFormat/>
    <w:uiPriority w:val="0"/>
    <w:rPr>
      <w:rFonts w:ascii="宋体" w:hAnsi="Courier New" w:eastAsia="宋体" w:cs="Courier New"/>
      <w:szCs w:val="21"/>
    </w:rPr>
  </w:style>
  <w:style w:type="paragraph" w:styleId="15">
    <w:name w:val="List Bullet 5"/>
    <w:basedOn w:val="1"/>
    <w:qFormat/>
    <w:uiPriority w:val="0"/>
    <w:pPr>
      <w:numPr>
        <w:ilvl w:val="0"/>
        <w:numId w:val="1"/>
      </w:numPr>
    </w:pPr>
  </w:style>
  <w:style w:type="paragraph" w:styleId="16">
    <w:name w:val="Date"/>
    <w:basedOn w:val="1"/>
    <w:next w:val="1"/>
    <w:link w:val="38"/>
    <w:qFormat/>
    <w:uiPriority w:val="0"/>
    <w:pPr>
      <w:ind w:left="100" w:leftChars="2500"/>
    </w:pPr>
    <w:rPr>
      <w:kern w:val="0"/>
      <w:sz w:val="20"/>
    </w:rPr>
  </w:style>
  <w:style w:type="paragraph" w:styleId="17">
    <w:name w:val="Balloon Text"/>
    <w:basedOn w:val="1"/>
    <w:link w:val="39"/>
    <w:semiHidden/>
    <w:qFormat/>
    <w:uiPriority w:val="0"/>
    <w:rPr>
      <w:sz w:val="18"/>
      <w:szCs w:val="18"/>
    </w:rPr>
  </w:style>
  <w:style w:type="paragraph" w:styleId="18">
    <w:name w:val="footer"/>
    <w:basedOn w:val="1"/>
    <w:next w:val="1"/>
    <w:link w:val="40"/>
    <w:qFormat/>
    <w:uiPriority w:val="0"/>
    <w:pPr>
      <w:tabs>
        <w:tab w:val="center" w:pos="4153"/>
        <w:tab w:val="right" w:pos="8306"/>
      </w:tabs>
      <w:snapToGrid w:val="0"/>
      <w:jc w:val="left"/>
    </w:pPr>
    <w:rPr>
      <w:sz w:val="18"/>
      <w:szCs w:val="18"/>
    </w:rPr>
  </w:style>
  <w:style w:type="paragraph" w:styleId="19">
    <w:name w:val="header"/>
    <w:basedOn w:val="1"/>
    <w:link w:val="4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semiHidden/>
    <w:qFormat/>
    <w:locked/>
    <w:uiPriority w:val="0"/>
  </w:style>
  <w:style w:type="paragraph" w:styleId="21">
    <w:name w:val="index heading"/>
    <w:basedOn w:val="1"/>
    <w:next w:val="22"/>
    <w:qFormat/>
    <w:uiPriority w:val="99"/>
    <w:pPr>
      <w:spacing w:line="360" w:lineRule="auto"/>
    </w:pPr>
    <w:rPr>
      <w:rFonts w:ascii="Arial" w:hAnsi="Arial"/>
      <w:b/>
      <w:sz w:val="24"/>
    </w:rPr>
  </w:style>
  <w:style w:type="paragraph" w:styleId="22">
    <w:name w:val="index 1"/>
    <w:basedOn w:val="1"/>
    <w:next w:val="1"/>
    <w:semiHidden/>
    <w:qFormat/>
    <w:uiPriority w:val="99"/>
    <w:pPr>
      <w:jc w:val="center"/>
    </w:pPr>
    <w:rPr>
      <w:sz w:val="24"/>
      <w:szCs w:val="20"/>
    </w:rPr>
  </w:style>
  <w:style w:type="paragraph" w:styleId="23">
    <w:name w:val="Body Text 2"/>
    <w:basedOn w:val="1"/>
    <w:qFormat/>
    <w:uiPriority w:val="0"/>
    <w:pPr>
      <w:snapToGrid w:val="0"/>
      <w:jc w:val="center"/>
    </w:pPr>
    <w:rPr>
      <w:sz w:val="28"/>
      <w:szCs w:val="20"/>
    </w:rPr>
  </w:style>
  <w:style w:type="paragraph" w:styleId="24">
    <w:name w:val="Normal (Web)"/>
    <w:basedOn w:val="1"/>
    <w:link w:val="42"/>
    <w:qFormat/>
    <w:uiPriority w:val="0"/>
    <w:pPr>
      <w:widowControl/>
      <w:spacing w:before="100" w:beforeAutospacing="1" w:after="100" w:afterAutospacing="1"/>
      <w:jc w:val="left"/>
    </w:pPr>
    <w:rPr>
      <w:rFonts w:ascii="宋体" w:hAnsi="宋体"/>
      <w:kern w:val="0"/>
      <w:sz w:val="24"/>
    </w:rPr>
  </w:style>
  <w:style w:type="paragraph" w:styleId="25">
    <w:name w:val="annotation subject"/>
    <w:basedOn w:val="11"/>
    <w:next w:val="11"/>
    <w:link w:val="43"/>
    <w:semiHidden/>
    <w:qFormat/>
    <w:uiPriority w:val="0"/>
    <w:rPr>
      <w:b/>
      <w:bCs/>
    </w:rPr>
  </w:style>
  <w:style w:type="paragraph" w:styleId="26">
    <w:name w:val="Body Text First Indent"/>
    <w:basedOn w:val="12"/>
    <w:next w:val="1"/>
    <w:unhideWhenUsed/>
    <w:qFormat/>
    <w:uiPriority w:val="0"/>
    <w:pPr>
      <w:ind w:firstLine="420" w:firstLineChars="100"/>
    </w:pPr>
    <w:rPr>
      <w:szCs w:val="22"/>
    </w:rPr>
  </w:style>
  <w:style w:type="table" w:styleId="28">
    <w:name w:val="Table Grid"/>
    <w:basedOn w:val="27"/>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locked/>
    <w:uiPriority w:val="0"/>
    <w:rPr>
      <w:b/>
    </w:rPr>
  </w:style>
  <w:style w:type="character" w:styleId="31">
    <w:name w:val="page number"/>
    <w:qFormat/>
    <w:uiPriority w:val="0"/>
  </w:style>
  <w:style w:type="character" w:styleId="32">
    <w:name w:val="Hyperlink"/>
    <w:basedOn w:val="29"/>
    <w:qFormat/>
    <w:uiPriority w:val="0"/>
    <w:rPr>
      <w:color w:val="0000FF"/>
      <w:u w:val="single"/>
    </w:rPr>
  </w:style>
  <w:style w:type="character" w:styleId="33">
    <w:name w:val="annotation reference"/>
    <w:semiHidden/>
    <w:qFormat/>
    <w:uiPriority w:val="0"/>
    <w:rPr>
      <w:sz w:val="21"/>
    </w:rPr>
  </w:style>
  <w:style w:type="character" w:customStyle="1" w:styleId="34">
    <w:name w:val="正文文本缩进 Char"/>
    <w:link w:val="9"/>
    <w:semiHidden/>
    <w:qFormat/>
    <w:locked/>
    <w:uiPriority w:val="0"/>
    <w:rPr>
      <w:rFonts w:ascii="Times New Roman" w:hAnsi="Times New Roman" w:eastAsia="宋体" w:cs="Times New Roman"/>
      <w:sz w:val="24"/>
      <w:szCs w:val="24"/>
    </w:rPr>
  </w:style>
  <w:style w:type="character" w:customStyle="1" w:styleId="35">
    <w:name w:val="标题 1 Char"/>
    <w:link w:val="2"/>
    <w:qFormat/>
    <w:uiPriority w:val="0"/>
    <w:rPr>
      <w:rFonts w:eastAsia="黑体"/>
      <w:b/>
      <w:bCs/>
      <w:color w:val="000000"/>
      <w:kern w:val="44"/>
      <w:sz w:val="30"/>
      <w:szCs w:val="30"/>
    </w:rPr>
  </w:style>
  <w:style w:type="character" w:customStyle="1" w:styleId="36">
    <w:name w:val="批注文字 Char"/>
    <w:link w:val="11"/>
    <w:qFormat/>
    <w:locked/>
    <w:uiPriority w:val="0"/>
    <w:rPr>
      <w:rFonts w:ascii="Times New Roman" w:hAnsi="Times New Roman" w:eastAsia="宋体"/>
      <w:sz w:val="24"/>
    </w:rPr>
  </w:style>
  <w:style w:type="character" w:customStyle="1" w:styleId="37">
    <w:name w:val="正文文本 Char"/>
    <w:link w:val="12"/>
    <w:qFormat/>
    <w:locked/>
    <w:uiPriority w:val="0"/>
    <w:rPr>
      <w:sz w:val="18"/>
    </w:rPr>
  </w:style>
  <w:style w:type="character" w:customStyle="1" w:styleId="38">
    <w:name w:val="日期 Char"/>
    <w:link w:val="16"/>
    <w:qFormat/>
    <w:locked/>
    <w:uiPriority w:val="0"/>
    <w:rPr>
      <w:rFonts w:ascii="Times New Roman" w:hAnsi="Times New Roman" w:eastAsia="宋体"/>
      <w:sz w:val="24"/>
    </w:rPr>
  </w:style>
  <w:style w:type="character" w:customStyle="1" w:styleId="39">
    <w:name w:val="批注框文本 Char"/>
    <w:link w:val="17"/>
    <w:semiHidden/>
    <w:qFormat/>
    <w:locked/>
    <w:uiPriority w:val="0"/>
    <w:rPr>
      <w:rFonts w:ascii="Times New Roman" w:hAnsi="Times New Roman" w:eastAsia="宋体" w:cs="Times New Roman"/>
      <w:sz w:val="18"/>
      <w:szCs w:val="18"/>
    </w:rPr>
  </w:style>
  <w:style w:type="character" w:customStyle="1" w:styleId="40">
    <w:name w:val="页脚 Char"/>
    <w:link w:val="18"/>
    <w:qFormat/>
    <w:locked/>
    <w:uiPriority w:val="0"/>
    <w:rPr>
      <w:rFonts w:cs="Times New Roman"/>
      <w:sz w:val="18"/>
      <w:szCs w:val="18"/>
    </w:rPr>
  </w:style>
  <w:style w:type="character" w:customStyle="1" w:styleId="41">
    <w:name w:val="页眉 Char"/>
    <w:link w:val="19"/>
    <w:qFormat/>
    <w:locked/>
    <w:uiPriority w:val="0"/>
    <w:rPr>
      <w:rFonts w:cs="Times New Roman"/>
      <w:sz w:val="18"/>
      <w:szCs w:val="18"/>
    </w:rPr>
  </w:style>
  <w:style w:type="character" w:customStyle="1" w:styleId="42">
    <w:name w:val="普通(网站) Char1"/>
    <w:link w:val="24"/>
    <w:qFormat/>
    <w:locked/>
    <w:uiPriority w:val="0"/>
    <w:rPr>
      <w:rFonts w:ascii="宋体" w:hAnsi="宋体" w:eastAsia="宋体"/>
      <w:sz w:val="24"/>
    </w:rPr>
  </w:style>
  <w:style w:type="character" w:customStyle="1" w:styleId="43">
    <w:name w:val="批注主题 Char"/>
    <w:link w:val="25"/>
    <w:semiHidden/>
    <w:qFormat/>
    <w:locked/>
    <w:uiPriority w:val="0"/>
    <w:rPr>
      <w:rFonts w:cs="Times New Roman"/>
      <w:b/>
      <w:bCs/>
      <w:kern w:val="2"/>
      <w:szCs w:val="24"/>
    </w:rPr>
  </w:style>
  <w:style w:type="paragraph" w:customStyle="1" w:styleId="44">
    <w:name w:val="正文样式"/>
    <w:basedOn w:val="1"/>
    <w:qFormat/>
    <w:uiPriority w:val="0"/>
    <w:pPr>
      <w:spacing w:line="360" w:lineRule="auto"/>
      <w:ind w:firstLine="480" w:firstLineChars="200"/>
    </w:pPr>
    <w:rPr>
      <w:rFonts w:ascii="宋体" w:hAnsi="宋体"/>
      <w:sz w:val="24"/>
    </w:rPr>
  </w:style>
  <w:style w:type="paragraph" w:customStyle="1" w:styleId="45">
    <w:name w:val="正文（缩进）"/>
    <w:basedOn w:val="46"/>
    <w:next w:val="1"/>
    <w:qFormat/>
    <w:uiPriority w:val="99"/>
    <w:pPr>
      <w:spacing w:line="360" w:lineRule="auto"/>
      <w:ind w:firstLine="480" w:firstLineChars="200"/>
    </w:pPr>
    <w:rPr>
      <w:sz w:val="24"/>
    </w:rPr>
  </w:style>
  <w:style w:type="paragraph" w:customStyle="1" w:styleId="46">
    <w:name w:val="正文(首行缩进)"/>
    <w:basedOn w:val="1"/>
    <w:qFormat/>
    <w:uiPriority w:val="0"/>
    <w:pPr>
      <w:spacing w:line="460" w:lineRule="exact"/>
      <w:ind w:firstLine="560" w:firstLineChars="200"/>
    </w:pPr>
    <w:rPr>
      <w:rFonts w:ascii="宋体" w:hAnsi="宋体"/>
      <w:snapToGrid w:val="0"/>
      <w:color w:val="000000"/>
      <w:kern w:val="0"/>
      <w:sz w:val="24"/>
      <w:szCs w:val="24"/>
    </w:rPr>
  </w:style>
  <w:style w:type="paragraph" w:customStyle="1" w:styleId="47">
    <w:name w:val="Default"/>
    <w:basedOn w:val="48"/>
    <w:next w:val="2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48">
    <w:name w:val="纯文本1"/>
    <w:basedOn w:val="1"/>
    <w:qFormat/>
    <w:uiPriority w:val="99"/>
    <w:pPr>
      <w:autoSpaceDE w:val="0"/>
      <w:autoSpaceDN w:val="0"/>
      <w:adjustRightInd w:val="0"/>
      <w:textAlignment w:val="baseline"/>
    </w:pPr>
    <w:rPr>
      <w:rFonts w:ascii="宋体"/>
      <w:szCs w:val="20"/>
    </w:rPr>
  </w:style>
  <w:style w:type="paragraph" w:customStyle="1" w:styleId="49">
    <w:name w:val="表格"/>
    <w:basedOn w:val="1"/>
    <w:next w:val="1"/>
    <w:link w:val="50"/>
    <w:qFormat/>
    <w:uiPriority w:val="0"/>
    <w:pPr>
      <w:adjustRightInd w:val="0"/>
      <w:snapToGrid w:val="0"/>
      <w:spacing w:beforeLines="10" w:afterLines="10" w:line="259" w:lineRule="auto"/>
      <w:jc w:val="center"/>
    </w:pPr>
    <w:rPr>
      <w:rFonts w:ascii="宋体"/>
      <w:kern w:val="0"/>
      <w:sz w:val="20"/>
      <w:szCs w:val="21"/>
    </w:rPr>
  </w:style>
  <w:style w:type="character" w:customStyle="1" w:styleId="50">
    <w:name w:val="表格 Char"/>
    <w:link w:val="49"/>
    <w:qFormat/>
    <w:locked/>
    <w:uiPriority w:val="0"/>
    <w:rPr>
      <w:rFonts w:ascii="宋体"/>
      <w:sz w:val="21"/>
    </w:rPr>
  </w:style>
  <w:style w:type="character" w:customStyle="1" w:styleId="51">
    <w:name w:val="正文文本 字符1"/>
    <w:semiHidden/>
    <w:qFormat/>
    <w:uiPriority w:val="0"/>
    <w:rPr>
      <w:rFonts w:ascii="Times New Roman" w:hAnsi="Times New Roman" w:eastAsia="宋体" w:cs="Times New Roman"/>
      <w:sz w:val="24"/>
      <w:szCs w:val="24"/>
    </w:rPr>
  </w:style>
  <w:style w:type="character" w:customStyle="1" w:styleId="52">
    <w:name w:val="日期 字符"/>
    <w:semiHidden/>
    <w:qFormat/>
    <w:uiPriority w:val="0"/>
    <w:rPr>
      <w:rFonts w:ascii="Times New Roman" w:hAnsi="Times New Roman" w:eastAsia="宋体" w:cs="Times New Roman"/>
      <w:sz w:val="24"/>
      <w:szCs w:val="24"/>
    </w:rPr>
  </w:style>
  <w:style w:type="character" w:customStyle="1" w:styleId="53">
    <w:name w:val="批注文字 字符1"/>
    <w:semiHidden/>
    <w:qFormat/>
    <w:uiPriority w:val="0"/>
    <w:rPr>
      <w:rFonts w:ascii="Times New Roman" w:hAnsi="Times New Roman" w:eastAsia="宋体" w:cs="Times New Roman"/>
      <w:sz w:val="24"/>
      <w:szCs w:val="24"/>
    </w:rPr>
  </w:style>
  <w:style w:type="character" w:customStyle="1" w:styleId="54">
    <w:name w:val="普通(网站) Char"/>
    <w:qFormat/>
    <w:locked/>
    <w:uiPriority w:val="0"/>
    <w:rPr>
      <w:rFonts w:ascii="宋体" w:hAnsi="宋体" w:eastAsia="宋体"/>
      <w:sz w:val="24"/>
    </w:rPr>
  </w:style>
  <w:style w:type="paragraph" w:customStyle="1" w:styleId="55">
    <w:name w:val="表中大字"/>
    <w:basedOn w:val="1"/>
    <w:qFormat/>
    <w:uiPriority w:val="0"/>
    <w:pPr>
      <w:spacing w:line="440" w:lineRule="exact"/>
      <w:jc w:val="center"/>
      <w:textAlignment w:val="center"/>
    </w:pPr>
    <w:rPr>
      <w:rFonts w:ascii="Times New Roman" w:hAnsi="Times New Roman" w:eastAsia="宋体" w:cs="Times New Roman"/>
      <w:sz w:val="28"/>
      <w:szCs w:val="28"/>
    </w:rPr>
  </w:style>
  <w:style w:type="paragraph" w:styleId="56">
    <w:name w:val="List Paragraph"/>
    <w:basedOn w:val="1"/>
    <w:qFormat/>
    <w:uiPriority w:val="1"/>
    <w:pPr>
      <w:ind w:left="1501" w:hanging="703"/>
    </w:pPr>
    <w:rPr>
      <w:rFonts w:ascii="宋体" w:hAnsi="宋体" w:eastAsia="宋体" w:cs="宋体"/>
      <w:lang w:val="zh-CN" w:eastAsia="zh-CN" w:bidi="zh-CN"/>
    </w:rPr>
  </w:style>
  <w:style w:type="paragraph" w:customStyle="1" w:styleId="57">
    <w:name w:val="样式 正文缩进正文缩进2正文缩进 Char Char正文缩进 Char Char Char Char正文缩进 Char ..."/>
    <w:basedOn w:val="7"/>
    <w:qFormat/>
    <w:uiPriority w:val="0"/>
    <w:pPr>
      <w:spacing w:line="360" w:lineRule="auto"/>
      <w:ind w:firstLine="200"/>
    </w:pPr>
    <w:rPr>
      <w:rFonts w:cs="宋体"/>
      <w:sz w:val="24"/>
    </w:rPr>
  </w:style>
  <w:style w:type="paragraph" w:customStyle="1" w:styleId="58">
    <w:name w:val="表体"/>
    <w:basedOn w:val="1"/>
    <w:qFormat/>
    <w:uiPriority w:val="0"/>
    <w:pPr>
      <w:spacing w:line="240" w:lineRule="atLeast"/>
      <w:jc w:val="center"/>
    </w:pPr>
    <w:rPr>
      <w:rFonts w:ascii="仿宋_GB2312" w:hAnsi="仿宋_GB2312" w:eastAsia="仿宋_GB2312" w:cs="仿宋_GB2312"/>
      <w:kern w:val="1"/>
      <w:sz w:val="24"/>
    </w:rPr>
  </w:style>
  <w:style w:type="paragraph" w:customStyle="1" w:styleId="59">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0">
    <w:name w:val="报告书正文段落"/>
    <w:basedOn w:val="1"/>
    <w:qFormat/>
    <w:uiPriority w:val="0"/>
    <w:pPr>
      <w:spacing w:line="360" w:lineRule="auto"/>
      <w:ind w:firstLine="200" w:firstLineChars="200"/>
    </w:pPr>
    <w:rPr>
      <w:rFonts w:cs="宋体"/>
      <w:color w:val="000000"/>
      <w:kern w:val="0"/>
      <w:sz w:val="24"/>
      <w:lang w:val="zh-CN"/>
    </w:rPr>
  </w:style>
  <w:style w:type="paragraph" w:customStyle="1" w:styleId="61">
    <w:name w:val="报告表正文"/>
    <w:basedOn w:val="1"/>
    <w:qFormat/>
    <w:uiPriority w:val="0"/>
    <w:pPr>
      <w:spacing w:line="360" w:lineRule="auto"/>
      <w:ind w:firstLine="200" w:firstLineChars="200"/>
    </w:pPr>
    <w:rPr>
      <w:sz w:val="24"/>
    </w:rPr>
  </w:style>
  <w:style w:type="paragraph" w:customStyle="1" w:styleId="62">
    <w:name w:val="表格正文"/>
    <w:basedOn w:val="1"/>
    <w:qFormat/>
    <w:uiPriority w:val="0"/>
    <w:pPr>
      <w:snapToGrid w:val="0"/>
      <w:jc w:val="center"/>
    </w:pPr>
  </w:style>
  <w:style w:type="paragraph" w:customStyle="1" w:styleId="63">
    <w:name w:val="报告表表格标题"/>
    <w:basedOn w:val="1"/>
    <w:qFormat/>
    <w:uiPriority w:val="0"/>
    <w:pPr>
      <w:snapToGrid w:val="0"/>
      <w:jc w:val="center"/>
    </w:pPr>
    <w:rPr>
      <w:b/>
    </w:rPr>
  </w:style>
  <w:style w:type="paragraph" w:customStyle="1" w:styleId="64">
    <w:name w:val="Table Paragraph"/>
    <w:basedOn w:val="1"/>
    <w:qFormat/>
    <w:uiPriority w:val="1"/>
    <w:pPr>
      <w:jc w:val="center"/>
    </w:pPr>
    <w:rPr>
      <w:rFonts w:ascii="Noto Sans CJK JP Regular" w:hAnsi="Noto Sans CJK JP Regular" w:eastAsia="Noto Sans CJK JP Regular" w:cs="Noto Sans CJK JP Regular"/>
    </w:rPr>
  </w:style>
  <w:style w:type="table" w:customStyle="1" w:styleId="65">
    <w:name w:val="Table Normal"/>
    <w:unhideWhenUsed/>
    <w:qFormat/>
    <w:uiPriority w:val="0"/>
    <w:tblPr>
      <w:tblCellMar>
        <w:top w:w="0" w:type="dxa"/>
        <w:left w:w="0" w:type="dxa"/>
        <w:bottom w:w="0" w:type="dxa"/>
        <w:right w:w="0" w:type="dxa"/>
      </w:tblCellMar>
    </w:tblPr>
  </w:style>
  <w:style w:type="paragraph" w:customStyle="1" w:styleId="66">
    <w:name w:val="Table Text"/>
    <w:basedOn w:val="1"/>
    <w:semiHidden/>
    <w:qFormat/>
    <w:uiPriority w:val="0"/>
    <w:rPr>
      <w:rFonts w:ascii="宋体" w:hAnsi="宋体" w:eastAsia="宋体" w:cs="宋体"/>
      <w:sz w:val="24"/>
      <w:szCs w:val="24"/>
      <w:lang w:val="en-US" w:eastAsia="en-US" w:bidi="ar-SA"/>
    </w:rPr>
  </w:style>
  <w:style w:type="paragraph" w:customStyle="1" w:styleId="67">
    <w:name w:val="正文."/>
    <w:basedOn w:val="1"/>
    <w:qFormat/>
    <w:uiPriority w:val="0"/>
  </w:style>
  <w:style w:type="paragraph" w:customStyle="1" w:styleId="68">
    <w:name w:val="正文（首行缩进两字）"/>
    <w:basedOn w:val="1"/>
    <w:qFormat/>
    <w:uiPriority w:val="0"/>
    <w:pPr>
      <w:spacing w:line="240" w:lineRule="auto"/>
      <w:ind w:firstLine="420"/>
    </w:pPr>
    <w:rPr>
      <w:sz w:val="28"/>
      <w:szCs w:val="21"/>
    </w:rPr>
  </w:style>
  <w:style w:type="paragraph" w:customStyle="1" w:styleId="69">
    <w:name w:val="报告表头"/>
    <w:basedOn w:val="1"/>
    <w:qFormat/>
    <w:uiPriority w:val="0"/>
    <w:pPr>
      <w:widowControl/>
      <w:spacing w:line="360" w:lineRule="auto"/>
      <w:jc w:val="left"/>
    </w:pPr>
    <w:rPr>
      <w:rFonts w:eastAsia="黑体"/>
      <w:szCs w:val="21"/>
    </w:rPr>
  </w:style>
  <w:style w:type="paragraph" w:customStyle="1" w:styleId="70">
    <w:name w:val="表格内容"/>
    <w:basedOn w:val="7"/>
    <w:qFormat/>
    <w:uiPriority w:val="0"/>
    <w:pPr>
      <w:spacing w:line="312" w:lineRule="auto"/>
      <w:ind w:firstLine="0" w:firstLineChars="0"/>
      <w:jc w:val="center"/>
    </w:pPr>
    <w:rPr>
      <w:rFonts w:ascii="Times New Roman" w:hAnsi="Times New Roman"/>
      <w:kern w:val="2"/>
      <w:sz w:val="21"/>
      <w:szCs w:val="20"/>
    </w:rPr>
  </w:style>
  <w:style w:type="paragraph" w:customStyle="1" w:styleId="71">
    <w:name w:val="正文2"/>
    <w:basedOn w:val="1"/>
    <w:qFormat/>
    <w:uiPriority w:val="0"/>
    <w:pPr>
      <w:adjustRightInd w:val="0"/>
      <w:snapToGrid w:val="0"/>
      <w:spacing w:line="360" w:lineRule="auto"/>
      <w:ind w:firstLine="480" w:firstLineChars="200"/>
    </w:pPr>
    <w:rPr>
      <w:rFonts w:ascii="Times New Roman" w:hAnsi="Times New Roman" w:eastAsia="仿宋_GB2312" w:cs="Times New Roman"/>
      <w:color w:val="auto"/>
      <w:sz w:val="24"/>
    </w:rPr>
  </w:style>
  <w:style w:type="paragraph" w:customStyle="1" w:styleId="72">
    <w:name w:val="表格文字"/>
    <w:basedOn w:val="12"/>
    <w:next w:val="1"/>
    <w:autoRedefine/>
    <w:qFormat/>
    <w:uiPriority w:val="0"/>
    <w:pPr>
      <w:widowControl w:val="0"/>
      <w:autoSpaceDE w:val="0"/>
      <w:autoSpaceDN w:val="0"/>
      <w:adjustRightInd w:val="0"/>
      <w:jc w:val="center"/>
    </w:pPr>
    <w:rPr>
      <w:rFonts w:ascii="Times New Roman" w:hAnsi="Times New Roman" w:eastAsia="宋体" w:cs="Times New Roman"/>
      <w:sz w:val="21"/>
      <w:szCs w:val="21"/>
      <w:lang w:val="en-US" w:eastAsia="zh-CN" w:bidi="ar-SA"/>
    </w:rPr>
  </w:style>
  <w:style w:type="paragraph" w:customStyle="1" w:styleId="73">
    <w:name w:val="表格表格标题标题"/>
    <w:qFormat/>
    <w:uiPriority w:val="0"/>
    <w:pPr>
      <w:adjustRightInd w:val="0"/>
      <w:snapToGrid w:val="0"/>
      <w:jc w:val="center"/>
    </w:pPr>
    <w:rPr>
      <w:rFonts w:ascii="Times New Roman" w:hAnsi="Times New Roman" w:eastAsia="黑体" w:cs="Times New Roman"/>
      <w:bCs/>
      <w:kern w:val="2"/>
      <w:sz w:val="24"/>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0.wmf"/><Relationship Id="rId23" Type="http://schemas.openxmlformats.org/officeDocument/2006/relationships/oleObject" Target="embeddings/oleObject2.bin"/><Relationship Id="rId22" Type="http://schemas.openxmlformats.org/officeDocument/2006/relationships/image" Target="media/image9.wmf"/><Relationship Id="rId21" Type="http://schemas.openxmlformats.org/officeDocument/2006/relationships/oleObject" Target="embeddings/oleObject1.bin"/><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cwNzg5ODAwMDc1IiwKCSJHcm91cElkIiA6ICI2MjYxNDUyNzAiLAoJIkltYWdlIiA6ICJpVkJPUncwS0dnb0FBQUFOU1VoRVVnQUFCSVlBQUFLNUNBWUFBQURLRXlWQ0FBQUFBWE5TUjBJQXJzNGM2UUFBSUFCSlJFRlVlSnpzM1hsNFUxWCt4L0hQVFV0YmFBc0ZpeXdpaTRJTUN0b0NWVkFCRjBSQVVkeFFLaUNMeWpBQytoTVVrRVZ4SEdTUkdYR2hLSU9VWFpTcExJS0FBd1VxSUl0UVcyVnJzU0JsTmFVRkN0M1MzTjhmTlptR3BBdHJnYnhmejhQemtIdk92VGxKYjI1eXZ2ZWM3NUV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VBDZy9YK3JpeDQwLzB3SzZ3QUFBQUJKUlU1RXJrSmdnZz09IiwKCSJUaGVtZSIgOiAiIiwKCSJUeXBlIiA6ICJmbG93IiwKCSJVc2VySWQiIDogIjU0NjAyMzA3MSIsCgkiVmVyc2lvbiIgOiAiIgp9Cg=="/>
    </extobj>
    <extobj name="ECB019B1-382A-4266-B25C-5B523AA43C14-2">
      <extobjdata type="ECB019B1-382A-4266-B25C-5B523AA43C14" data="ewoJIkZpbGVJZCIgOiAiMzU1NTMxNDQyMDM3IiwKCSJHcm91cElkIiA6ICI2MjYxNDUyNzAiLAoJIkltYWdlIiA6ICJpVkJPUncwS0dnb0FBQUFOU1VoRVVnQUFBM29BQUFKWUNBWUFBQUEwUUpUeEFBQUFBWE5TUjBJQXJzNGM2UUFBSUFCSlJFRlVlSnpzM1hsNFROZi9CL0Qzblptc1FxS29KWlpJUk93U2FtdG95NitrcGZhdEtMV1ZvbW9wdGU5VTdHc0l0YXVkMmtNMFJHaFFXeEFWbXBRZ0lwRWdHNWtrTTNOL2Y2Unp2eGt6V1pCa2tzbjc5VHg5bnN5NTU5NzV6TzJZbWMrOTUzd09R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TjgvOEFuYzVjaWpjeE1Ba0FBQUFBU1VWT1JLNUNZSUk9IiwKCSJUaGVtZSIgOiAiIiwKCSJUeXBlIiA6ICJmbG93IiwKCSJVc2VySWQiIDogIiIsCgkiVmVyc2lvbiIgOiAiIgp9Cg=="/>
    </extobj>
    <extobj name="ECB019B1-382A-4266-B25C-5B523AA43C14-3">
      <extobjdata type="ECB019B1-382A-4266-B25C-5B523AA43C14" data="ewoJIkZpbGVJZCIgOiAiMzY3MzM3NDUxOTg0IiwKCSJHcm91cElkIiA6ICI2MjYxNDUyNzAiLAoJIkltYWdlIiA6ICJpVkJPUncwS0dnb0FBQUFOU1VoRVVnQUFCVkFBQUFHaUNBWUFBQUFCYSsxSkFBQUFBWE5TUjBJQXJzNGM2UUFBSUFCSlJFRlVlSnpzM1hsNGpGZjdCL0R2TTBzeTJRZ0pJYUtVb0xGRUVsS2x0YVJFN1V1cjBYaXBwVnFVMkdMZkNkWFVVdnFpTkxVdlJkc1FWRis3MWk0SVFteE43Q0l5Q0xKTU1zdjUvUkdabjVHWmlLVW1pZS9udWx4TnpubWU4OXd6VHRLNGM1OXpBQ0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DU3BQOFBkM1ZzSkpXREFPQUFBQUFBU1VWT1JLNUNZSUk9IiwKCSJUaGVtZSIgOiAiIiwKCSJUeXBlIiA6ICJmbG93IiwKCSJVc2VySWQiIDogIjU0NjAyMzA3MSIsCgkiVmVyc2lvbiIgOiAi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82</Pages>
  <Words>12699</Words>
  <Characters>13489</Characters>
  <Lines>241</Lines>
  <Paragraphs>68</Paragraphs>
  <TotalTime>2</TotalTime>
  <ScaleCrop>false</ScaleCrop>
  <LinksUpToDate>false</LinksUpToDate>
  <CharactersWithSpaces>13602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2020-12-24T01:42:00Z</dcterms:created>
  <dc:creator>lhj</dc:creator>
  <cp:lastModifiedBy>董瑞峰</cp:lastModifiedBy>
  <cp:lastPrinted>2024-04-01T11:59:00Z</cp:lastPrinted>
  <dcterms:modified xsi:type="dcterms:W3CDTF">2025-04-23T02:46:34Z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09A898D9CF3A45B6AFE9BF9809D8F018_13</vt:lpwstr>
  </property>
  <property fmtid="{D5CDD505-2E9C-101B-9397-08002B2CF9AE}" pid="4" name="KSOSaveFontToCloudKey">
    <vt:lpwstr>266852767_cloud</vt:lpwstr>
  </property>
  <property fmtid="{D5CDD505-2E9C-101B-9397-08002B2CF9AE}" pid="5" name="KSOTemplateDocerSaveRecord">
    <vt:lpwstr>eyJoZGlkIjoiMzljNGEzMmM3NjRiYjMzMjJmY2JhY2E2Y2I1OTNmM2QiLCJ1c2VySWQiOiIyMzcyMzkzODUifQ==</vt:lpwstr>
  </property>
</Properties>
</file>