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23A14B">
      <w:pPr>
        <w:pStyle w:val="8"/>
        <w:spacing w:line="272" w:lineRule="auto"/>
        <w:rPr>
          <w:rFonts w:hint="default" w:ascii="Times New Roman" w:hAnsi="Times New Roman" w:cs="Times New Roman"/>
          <w:color w:val="auto"/>
        </w:rPr>
      </w:pPr>
    </w:p>
    <w:p w14:paraId="4C9B05B0">
      <w:pPr>
        <w:pStyle w:val="8"/>
        <w:spacing w:line="272" w:lineRule="auto"/>
        <w:rPr>
          <w:rFonts w:hint="default" w:ascii="Times New Roman" w:hAnsi="Times New Roman" w:cs="Times New Roman"/>
          <w:color w:val="auto"/>
        </w:rPr>
      </w:pPr>
    </w:p>
    <w:p w14:paraId="2EAF9924">
      <w:pPr>
        <w:pStyle w:val="8"/>
        <w:spacing w:line="272" w:lineRule="auto"/>
        <w:rPr>
          <w:rFonts w:hint="default" w:ascii="Times New Roman" w:hAnsi="Times New Roman" w:cs="Times New Roman"/>
          <w:color w:val="auto"/>
        </w:rPr>
      </w:pPr>
    </w:p>
    <w:p w14:paraId="0E056B59">
      <w:pPr>
        <w:pStyle w:val="8"/>
        <w:spacing w:line="272" w:lineRule="auto"/>
        <w:rPr>
          <w:rFonts w:hint="default" w:ascii="Times New Roman" w:hAnsi="Times New Roman" w:cs="Times New Roman"/>
          <w:color w:val="auto"/>
        </w:rPr>
      </w:pPr>
    </w:p>
    <w:p w14:paraId="77F1700E">
      <w:pPr>
        <w:pStyle w:val="8"/>
        <w:spacing w:line="273" w:lineRule="auto"/>
        <w:rPr>
          <w:rFonts w:hint="default" w:ascii="Times New Roman" w:hAnsi="Times New Roman" w:cs="Times New Roman"/>
          <w:color w:val="auto"/>
        </w:rPr>
      </w:pPr>
    </w:p>
    <w:p w14:paraId="19FB8143">
      <w:pPr>
        <w:pStyle w:val="8"/>
        <w:spacing w:line="273" w:lineRule="auto"/>
        <w:rPr>
          <w:rFonts w:hint="default" w:ascii="Times New Roman" w:hAnsi="Times New Roman" w:cs="Times New Roman"/>
          <w:color w:val="auto"/>
        </w:rPr>
      </w:pPr>
    </w:p>
    <w:p w14:paraId="381126F8">
      <w:pPr>
        <w:pStyle w:val="8"/>
        <w:spacing w:line="273" w:lineRule="auto"/>
        <w:rPr>
          <w:rFonts w:hint="default" w:ascii="Times New Roman" w:hAnsi="Times New Roman" w:cs="Times New Roman"/>
          <w:color w:val="auto"/>
        </w:rPr>
      </w:pPr>
    </w:p>
    <w:p w14:paraId="0BEEF728">
      <w:pPr>
        <w:spacing w:before="236" w:line="185" w:lineRule="auto"/>
        <w:ind w:left="428"/>
        <w:outlineLvl w:val="0"/>
        <w:rPr>
          <w:rFonts w:hint="default" w:ascii="Times New Roman" w:hAnsi="Times New Roman" w:eastAsia="微软雅黑" w:cs="Times New Roman"/>
          <w:color w:val="auto"/>
          <w:sz w:val="55"/>
          <w:szCs w:val="55"/>
        </w:rPr>
      </w:pPr>
      <w:r>
        <w:rPr>
          <w:rFonts w:hint="default" w:ascii="Times New Roman" w:hAnsi="Times New Roman" w:eastAsia="微软雅黑" w:cs="Times New Roman"/>
          <w:color w:val="auto"/>
          <w:spacing w:val="24"/>
          <w:sz w:val="55"/>
          <w:szCs w:val="55"/>
        </w:rPr>
        <w:t>建设项目环境影响评价报告表</w:t>
      </w:r>
    </w:p>
    <w:p w14:paraId="59D485F3">
      <w:pPr>
        <w:pStyle w:val="8"/>
        <w:spacing w:line="311" w:lineRule="auto"/>
        <w:rPr>
          <w:rFonts w:hint="default" w:ascii="Times New Roman" w:hAnsi="Times New Roman" w:cs="Times New Roman"/>
          <w:color w:val="auto"/>
        </w:rPr>
      </w:pPr>
    </w:p>
    <w:p w14:paraId="04117FB6">
      <w:pPr>
        <w:spacing w:before="152" w:line="218" w:lineRule="auto"/>
        <w:ind w:left="2433"/>
        <w:rPr>
          <w:rFonts w:hint="default" w:ascii="Times New Roman" w:hAnsi="Times New Roman" w:eastAsia="楷体" w:cs="Times New Roman"/>
          <w:color w:val="auto"/>
          <w:sz w:val="47"/>
          <w:szCs w:val="47"/>
        </w:rPr>
      </w:pPr>
      <w:r>
        <w:rPr>
          <w:rFonts w:hint="default" w:ascii="Times New Roman" w:hAnsi="Times New Roman" w:eastAsia="楷体" w:cs="Times New Roman"/>
          <w:color w:val="auto"/>
          <w:spacing w:val="19"/>
          <w:sz w:val="47"/>
          <w:szCs w:val="47"/>
        </w:rPr>
        <w:t>（生态影响类</w:t>
      </w:r>
      <w:r>
        <w:rPr>
          <w:rFonts w:hint="eastAsia" w:ascii="Times New Roman" w:hAnsi="Times New Roman" w:eastAsia="楷体" w:cs="Times New Roman"/>
          <w:color w:val="auto"/>
          <w:spacing w:val="19"/>
          <w:sz w:val="47"/>
          <w:szCs w:val="47"/>
          <w:lang w:val="en-US" w:eastAsia="zh-CN"/>
        </w:rPr>
        <w:t>-送审稿</w:t>
      </w:r>
      <w:r>
        <w:rPr>
          <w:rFonts w:hint="default" w:ascii="Times New Roman" w:hAnsi="Times New Roman" w:eastAsia="楷体" w:cs="Times New Roman"/>
          <w:color w:val="auto"/>
          <w:spacing w:val="19"/>
          <w:sz w:val="47"/>
          <w:szCs w:val="47"/>
        </w:rPr>
        <w:t>）</w:t>
      </w:r>
    </w:p>
    <w:p w14:paraId="0009B155">
      <w:pPr>
        <w:pStyle w:val="8"/>
        <w:rPr>
          <w:rFonts w:hint="default" w:ascii="Times New Roman" w:hAnsi="Times New Roman" w:cs="Times New Roman"/>
          <w:color w:val="auto"/>
        </w:rPr>
      </w:pPr>
    </w:p>
    <w:p w14:paraId="3A9FDBB9">
      <w:pPr>
        <w:pStyle w:val="8"/>
        <w:rPr>
          <w:rFonts w:hint="default" w:ascii="Times New Roman" w:hAnsi="Times New Roman" w:cs="Times New Roman"/>
          <w:color w:val="auto"/>
        </w:rPr>
      </w:pPr>
    </w:p>
    <w:p w14:paraId="61C6B7D6">
      <w:pPr>
        <w:pStyle w:val="8"/>
        <w:rPr>
          <w:rFonts w:hint="default" w:ascii="Times New Roman" w:hAnsi="Times New Roman" w:cs="Times New Roman"/>
          <w:color w:val="auto"/>
        </w:rPr>
      </w:pPr>
    </w:p>
    <w:p w14:paraId="18C585DA">
      <w:pPr>
        <w:pStyle w:val="8"/>
        <w:rPr>
          <w:rFonts w:hint="default" w:ascii="Times New Roman" w:hAnsi="Times New Roman" w:cs="Times New Roman"/>
          <w:color w:val="auto"/>
        </w:rPr>
      </w:pPr>
    </w:p>
    <w:p w14:paraId="29FAD603">
      <w:pPr>
        <w:pStyle w:val="8"/>
        <w:rPr>
          <w:rFonts w:hint="default" w:ascii="Times New Roman" w:hAnsi="Times New Roman" w:cs="Times New Roman"/>
          <w:color w:val="auto"/>
        </w:rPr>
      </w:pPr>
    </w:p>
    <w:p w14:paraId="12E1DDF1">
      <w:pPr>
        <w:pStyle w:val="8"/>
        <w:rPr>
          <w:rFonts w:hint="default" w:ascii="Times New Roman" w:hAnsi="Times New Roman" w:cs="Times New Roman"/>
          <w:color w:val="auto"/>
        </w:rPr>
      </w:pPr>
    </w:p>
    <w:p w14:paraId="62F3647C">
      <w:pPr>
        <w:pStyle w:val="8"/>
        <w:rPr>
          <w:rFonts w:hint="default" w:ascii="Times New Roman" w:hAnsi="Times New Roman" w:cs="Times New Roman"/>
          <w:color w:val="auto"/>
        </w:rPr>
      </w:pPr>
    </w:p>
    <w:p w14:paraId="5D2AB0F1">
      <w:pPr>
        <w:pStyle w:val="8"/>
        <w:rPr>
          <w:rFonts w:hint="default" w:ascii="Times New Roman" w:hAnsi="Times New Roman" w:cs="Times New Roman"/>
          <w:color w:val="auto"/>
        </w:rPr>
      </w:pPr>
    </w:p>
    <w:p w14:paraId="274451B3">
      <w:pPr>
        <w:pStyle w:val="8"/>
        <w:rPr>
          <w:rFonts w:hint="default" w:ascii="Times New Roman" w:hAnsi="Times New Roman" w:cs="Times New Roman"/>
          <w:color w:val="auto"/>
        </w:rPr>
      </w:pPr>
    </w:p>
    <w:p w14:paraId="227C1F83">
      <w:pPr>
        <w:pStyle w:val="8"/>
        <w:rPr>
          <w:rFonts w:hint="default" w:ascii="Times New Roman" w:hAnsi="Times New Roman" w:cs="Times New Roman"/>
          <w:color w:val="auto"/>
        </w:rPr>
      </w:pPr>
    </w:p>
    <w:p w14:paraId="63194745">
      <w:pPr>
        <w:pStyle w:val="8"/>
        <w:rPr>
          <w:rFonts w:hint="default" w:ascii="Times New Roman" w:hAnsi="Times New Roman" w:cs="Times New Roman"/>
          <w:color w:val="auto"/>
        </w:rPr>
      </w:pPr>
    </w:p>
    <w:p w14:paraId="55A350FD">
      <w:pPr>
        <w:pStyle w:val="8"/>
        <w:rPr>
          <w:rFonts w:hint="default" w:ascii="Times New Roman" w:hAnsi="Times New Roman" w:cs="Times New Roman"/>
          <w:color w:val="auto"/>
        </w:rPr>
      </w:pPr>
    </w:p>
    <w:p w14:paraId="6F60CEE0">
      <w:pPr>
        <w:pStyle w:val="8"/>
        <w:rPr>
          <w:rFonts w:hint="default" w:ascii="Times New Roman" w:hAnsi="Times New Roman" w:cs="Times New Roman"/>
          <w:color w:val="auto"/>
        </w:rPr>
      </w:pPr>
    </w:p>
    <w:p w14:paraId="09F811FE">
      <w:pPr>
        <w:pStyle w:val="8"/>
        <w:rPr>
          <w:rFonts w:hint="default" w:ascii="Times New Roman" w:hAnsi="Times New Roman" w:cs="Times New Roman"/>
          <w:color w:val="auto"/>
        </w:rPr>
      </w:pPr>
    </w:p>
    <w:p w14:paraId="31EFF033">
      <w:pPr>
        <w:pStyle w:val="8"/>
        <w:spacing w:line="241" w:lineRule="auto"/>
        <w:rPr>
          <w:rFonts w:hint="default" w:ascii="Times New Roman" w:hAnsi="Times New Roman" w:cs="Times New Roman"/>
          <w:color w:val="auto"/>
        </w:rPr>
      </w:pPr>
    </w:p>
    <w:p w14:paraId="0F3A8450">
      <w:pPr>
        <w:pStyle w:val="8"/>
        <w:spacing w:line="241" w:lineRule="auto"/>
        <w:rPr>
          <w:rFonts w:hint="default" w:ascii="Times New Roman" w:hAnsi="Times New Roman" w:cs="Times New Roman"/>
          <w:color w:val="auto"/>
        </w:rPr>
      </w:pPr>
    </w:p>
    <w:p w14:paraId="3D935C37">
      <w:pPr>
        <w:pStyle w:val="8"/>
        <w:spacing w:line="241" w:lineRule="auto"/>
        <w:rPr>
          <w:rFonts w:hint="default" w:ascii="Times New Roman" w:hAnsi="Times New Roman" w:cs="Times New Roman"/>
          <w:color w:val="auto"/>
        </w:rPr>
      </w:pPr>
    </w:p>
    <w:p w14:paraId="244EC677">
      <w:pPr>
        <w:pStyle w:val="8"/>
        <w:spacing w:line="241" w:lineRule="auto"/>
        <w:rPr>
          <w:rFonts w:hint="default" w:ascii="Times New Roman" w:hAnsi="Times New Roman" w:cs="Times New Roman"/>
          <w:color w:val="auto"/>
        </w:rPr>
      </w:pPr>
    </w:p>
    <w:p w14:paraId="2261912F">
      <w:pPr>
        <w:pStyle w:val="8"/>
        <w:spacing w:line="241" w:lineRule="auto"/>
        <w:rPr>
          <w:rFonts w:hint="default" w:ascii="Times New Roman" w:hAnsi="Times New Roman" w:cs="Times New Roman"/>
          <w:color w:val="auto"/>
        </w:rPr>
      </w:pPr>
    </w:p>
    <w:p w14:paraId="6603DA9E">
      <w:pPr>
        <w:spacing w:before="113" w:line="221" w:lineRule="auto"/>
        <w:rPr>
          <w:rFonts w:hint="eastAsia" w:ascii="Times New Roman" w:hAnsi="Times New Roman" w:eastAsia="仿宋" w:cs="Times New Roman"/>
          <w:color w:val="auto"/>
          <w:spacing w:val="20"/>
          <w:sz w:val="32"/>
          <w:szCs w:val="32"/>
          <w:u w:val="single"/>
          <w:lang w:val="en-US" w:eastAsia="zh-CN"/>
        </w:rPr>
      </w:pPr>
      <w:r>
        <w:rPr>
          <w:rFonts w:hint="default" w:ascii="Times New Roman" w:hAnsi="Times New Roman" w:eastAsia="仿宋" w:cs="Times New Roman"/>
          <w:color w:val="auto"/>
          <w:spacing w:val="20"/>
          <w:sz w:val="32"/>
          <w:szCs w:val="32"/>
        </w:rPr>
        <w:t>项目名称：</w:t>
      </w:r>
      <w:r>
        <w:rPr>
          <w:rFonts w:hint="eastAsia" w:ascii="Times New Roman" w:hAnsi="Times New Roman" w:eastAsia="仿宋" w:cs="Times New Roman"/>
          <w:color w:val="auto"/>
          <w:spacing w:val="20"/>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宁夏泾源县龙房宫片区生态环境修复与</w:t>
      </w:r>
      <w:r>
        <w:rPr>
          <w:rFonts w:hint="eastAsia" w:ascii="Times New Roman" w:hAnsi="Times New Roman" w:eastAsia="仿宋" w:cs="Times New Roman"/>
          <w:color w:val="auto"/>
          <w:spacing w:val="20"/>
          <w:sz w:val="32"/>
          <w:szCs w:val="32"/>
          <w:u w:val="single"/>
          <w:lang w:val="en-US" w:eastAsia="zh-CN"/>
        </w:rPr>
        <w:t xml:space="preserve">  </w:t>
      </w:r>
    </w:p>
    <w:p w14:paraId="57912732">
      <w:pPr>
        <w:spacing w:before="113" w:line="221" w:lineRule="auto"/>
        <w:ind w:firstLine="1440" w:firstLineChars="400"/>
        <w:rPr>
          <w:rFonts w:hint="default" w:ascii="Times New Roman" w:hAnsi="Times New Roman" w:eastAsia="仿宋" w:cs="Times New Roman"/>
          <w:color w:val="auto"/>
          <w:spacing w:val="20"/>
          <w:sz w:val="32"/>
          <w:szCs w:val="32"/>
          <w:u w:val="single"/>
          <w:lang w:val="en-US" w:eastAsia="zh-CN"/>
        </w:rPr>
      </w:pPr>
      <w:r>
        <w:rPr>
          <w:rFonts w:hint="eastAsia" w:ascii="Times New Roman" w:hAnsi="Times New Roman" w:eastAsia="仿宋" w:cs="Times New Roman"/>
          <w:color w:val="auto"/>
          <w:spacing w:val="20"/>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农林文旅康融合开发EOD项目</w:t>
      </w:r>
      <w:r>
        <w:rPr>
          <w:rFonts w:hint="eastAsia" w:ascii="Times New Roman" w:hAnsi="Times New Roman" w:eastAsia="仿宋" w:cs="Times New Roman"/>
          <w:color w:val="auto"/>
          <w:spacing w:val="20"/>
          <w:sz w:val="32"/>
          <w:szCs w:val="32"/>
          <w:u w:val="single"/>
          <w:lang w:val="en-US" w:eastAsia="zh-CN"/>
        </w:rPr>
        <w:t xml:space="preserve">         </w:t>
      </w:r>
    </w:p>
    <w:p w14:paraId="238BDFA6">
      <w:pPr>
        <w:spacing w:before="113" w:line="221" w:lineRule="auto"/>
        <w:rPr>
          <w:rFonts w:hint="default" w:ascii="Times New Roman" w:hAnsi="Times New Roman" w:eastAsia="仿宋" w:cs="Times New Roman"/>
          <w:color w:val="auto"/>
          <w:spacing w:val="20"/>
          <w:sz w:val="32"/>
          <w:szCs w:val="32"/>
          <w:u w:val="single"/>
          <w:lang w:val="en-US" w:eastAsia="zh-CN"/>
        </w:rPr>
      </w:pPr>
      <w:r>
        <w:rPr>
          <w:rFonts w:hint="default" w:ascii="Times New Roman" w:hAnsi="Times New Roman" w:eastAsia="仿宋" w:cs="Times New Roman"/>
          <w:color w:val="auto"/>
          <w:spacing w:val="19"/>
          <w:sz w:val="32"/>
          <w:szCs w:val="32"/>
        </w:rPr>
        <w:t>建设单位（盖章</w:t>
      </w:r>
      <w:r>
        <w:rPr>
          <w:rFonts w:hint="default" w:ascii="Times New Roman" w:hAnsi="Times New Roman" w:eastAsia="仿宋" w:cs="Times New Roman"/>
          <w:color w:val="auto"/>
          <w:spacing w:val="-17"/>
          <w:sz w:val="32"/>
          <w:szCs w:val="32"/>
        </w:rPr>
        <w:t>）：</w:t>
      </w:r>
      <w:r>
        <w:rPr>
          <w:rFonts w:hint="eastAsia" w:ascii="Times New Roman" w:hAnsi="Times New Roman" w:eastAsia="仿宋" w:cs="Times New Roman"/>
          <w:color w:val="auto"/>
          <w:spacing w:val="-17"/>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国录健康旅游产业发展（宁夏）</w:t>
      </w:r>
      <w:r>
        <w:rPr>
          <w:rFonts w:hint="eastAsia" w:ascii="Times New Roman" w:hAnsi="Times New Roman" w:eastAsia="仿宋" w:cs="Times New Roman"/>
          <w:color w:val="auto"/>
          <w:spacing w:val="20"/>
          <w:sz w:val="32"/>
          <w:szCs w:val="32"/>
          <w:u w:val="single"/>
          <w:lang w:val="en-US" w:eastAsia="zh-CN"/>
        </w:rPr>
        <w:t xml:space="preserve">  </w:t>
      </w:r>
    </w:p>
    <w:p w14:paraId="0C666BF4">
      <w:pPr>
        <w:spacing w:before="113" w:line="221" w:lineRule="auto"/>
        <w:ind w:firstLine="2880" w:firstLineChars="800"/>
        <w:rPr>
          <w:rFonts w:hint="default" w:ascii="Times New Roman" w:hAnsi="Times New Roman" w:eastAsia="仿宋" w:cs="Times New Roman"/>
          <w:color w:val="auto"/>
          <w:spacing w:val="20"/>
          <w:sz w:val="32"/>
          <w:szCs w:val="32"/>
          <w:u w:val="single"/>
          <w:lang w:val="en-US" w:eastAsia="zh-CN"/>
        </w:rPr>
      </w:pPr>
      <w:r>
        <w:rPr>
          <w:rFonts w:hint="eastAsia" w:ascii="Times New Roman" w:hAnsi="Times New Roman" w:eastAsia="仿宋" w:cs="Times New Roman"/>
          <w:color w:val="auto"/>
          <w:spacing w:val="20"/>
          <w:sz w:val="32"/>
          <w:szCs w:val="32"/>
          <w:u w:val="single"/>
          <w:lang w:val="en-US" w:eastAsia="zh-CN"/>
        </w:rPr>
        <w:t xml:space="preserve">                      有</w:t>
      </w:r>
      <w:r>
        <w:rPr>
          <w:rFonts w:hint="default" w:ascii="Times New Roman" w:hAnsi="Times New Roman" w:eastAsia="仿宋" w:cs="Times New Roman"/>
          <w:color w:val="auto"/>
          <w:spacing w:val="20"/>
          <w:sz w:val="32"/>
          <w:szCs w:val="32"/>
          <w:u w:val="single"/>
          <w:lang w:val="en-US" w:eastAsia="zh-CN"/>
        </w:rPr>
        <w:t>限公司</w:t>
      </w:r>
      <w:r>
        <w:rPr>
          <w:rFonts w:hint="eastAsia" w:ascii="Times New Roman" w:hAnsi="Times New Roman" w:eastAsia="仿宋" w:cs="Times New Roman"/>
          <w:color w:val="auto"/>
          <w:spacing w:val="20"/>
          <w:sz w:val="32"/>
          <w:szCs w:val="32"/>
          <w:u w:val="single"/>
          <w:lang w:val="en-US" w:eastAsia="zh-CN"/>
        </w:rPr>
        <w:t xml:space="preserve">                    </w:t>
      </w:r>
    </w:p>
    <w:p w14:paraId="64D84B7A">
      <w:pPr>
        <w:tabs>
          <w:tab w:val="left" w:pos="7934"/>
        </w:tabs>
        <w:spacing w:before="140" w:line="286" w:lineRule="auto"/>
        <w:ind w:right="324"/>
        <w:jc w:val="both"/>
        <w:rPr>
          <w:rFonts w:hint="default" w:ascii="Times New Roman" w:hAnsi="Times New Roman" w:eastAsia="仿宋" w:cs="Times New Roman"/>
          <w:color w:val="auto"/>
          <w:sz w:val="32"/>
          <w:szCs w:val="32"/>
          <w:u w:val="none"/>
        </w:rPr>
      </w:pPr>
      <w:r>
        <w:rPr>
          <w:rFonts w:hint="default" w:ascii="Times New Roman" w:hAnsi="Times New Roman" w:eastAsia="仿宋" w:cs="Times New Roman"/>
          <w:color w:val="auto"/>
          <w:spacing w:val="5"/>
          <w:sz w:val="32"/>
          <w:szCs w:val="32"/>
        </w:rPr>
        <w:t>编制日期：</w:t>
      </w:r>
      <w:r>
        <w:rPr>
          <w:rFonts w:hint="default" w:ascii="Times New Roman" w:hAnsi="Times New Roman" w:eastAsia="仿宋" w:cs="Times New Roman"/>
          <w:color w:val="auto"/>
          <w:spacing w:val="-130"/>
          <w:sz w:val="32"/>
          <w:szCs w:val="32"/>
          <w:u w:val="single"/>
        </w:rPr>
        <w:t xml:space="preserve"> </w:t>
      </w:r>
      <w:r>
        <w:rPr>
          <w:rFonts w:hint="default" w:ascii="Times New Roman" w:hAnsi="Times New Roman" w:eastAsia="仿宋" w:cs="Times New Roman"/>
          <w:color w:val="auto"/>
          <w:spacing w:val="20"/>
          <w:sz w:val="32"/>
          <w:szCs w:val="32"/>
          <w:u w:val="single"/>
          <w:lang w:val="en-US" w:eastAsia="zh-CN"/>
        </w:rPr>
        <w:t xml:space="preserve">    </w:t>
      </w:r>
      <w:r>
        <w:rPr>
          <w:rFonts w:hint="eastAsia" w:ascii="Times New Roman" w:hAnsi="Times New Roman" w:eastAsia="仿宋" w:cs="Times New Roman"/>
          <w:color w:val="auto"/>
          <w:spacing w:val="20"/>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 xml:space="preserve">  二O二五年</w:t>
      </w:r>
      <w:r>
        <w:rPr>
          <w:rFonts w:hint="eastAsia" w:ascii="Times New Roman" w:hAnsi="Times New Roman" w:eastAsia="仿宋" w:cs="Times New Roman"/>
          <w:color w:val="auto"/>
          <w:spacing w:val="20"/>
          <w:sz w:val="32"/>
          <w:szCs w:val="32"/>
          <w:u w:val="single"/>
          <w:lang w:val="en-US" w:eastAsia="zh-CN"/>
        </w:rPr>
        <w:t>七</w:t>
      </w:r>
      <w:r>
        <w:rPr>
          <w:rFonts w:hint="default" w:ascii="Times New Roman" w:hAnsi="Times New Roman" w:eastAsia="仿宋" w:cs="Times New Roman"/>
          <w:color w:val="auto"/>
          <w:spacing w:val="20"/>
          <w:sz w:val="32"/>
          <w:szCs w:val="32"/>
          <w:u w:val="single"/>
          <w:lang w:val="en-US" w:eastAsia="zh-CN"/>
        </w:rPr>
        <w:t xml:space="preserve">月      </w:t>
      </w:r>
      <w:r>
        <w:rPr>
          <w:rFonts w:hint="eastAsia" w:ascii="Times New Roman" w:hAnsi="Times New Roman" w:eastAsia="仿宋" w:cs="Times New Roman"/>
          <w:color w:val="auto"/>
          <w:spacing w:val="20"/>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 xml:space="preserve"> </w:t>
      </w:r>
      <w:r>
        <w:rPr>
          <w:rFonts w:hint="eastAsia" w:ascii="Times New Roman" w:hAnsi="Times New Roman" w:eastAsia="仿宋" w:cs="Times New Roman"/>
          <w:color w:val="auto"/>
          <w:spacing w:val="20"/>
          <w:sz w:val="32"/>
          <w:szCs w:val="32"/>
          <w:u w:val="single"/>
          <w:lang w:val="en-US" w:eastAsia="zh-CN"/>
        </w:rPr>
        <w:t xml:space="preserve">               </w:t>
      </w:r>
      <w:r>
        <w:rPr>
          <w:rFonts w:hint="default" w:ascii="Times New Roman" w:hAnsi="Times New Roman" w:eastAsia="仿宋" w:cs="Times New Roman"/>
          <w:color w:val="auto"/>
          <w:spacing w:val="20"/>
          <w:sz w:val="32"/>
          <w:szCs w:val="32"/>
          <w:u w:val="single"/>
          <w:lang w:val="en-US" w:eastAsia="zh-CN"/>
        </w:rPr>
        <w:t xml:space="preserve">    </w:t>
      </w:r>
    </w:p>
    <w:p w14:paraId="684CF423">
      <w:pPr>
        <w:pStyle w:val="8"/>
        <w:spacing w:line="264" w:lineRule="auto"/>
        <w:rPr>
          <w:rFonts w:hint="default" w:ascii="Times New Roman" w:hAnsi="Times New Roman" w:cs="Times New Roman"/>
          <w:color w:val="auto"/>
        </w:rPr>
      </w:pPr>
    </w:p>
    <w:p w14:paraId="2FACFBC0">
      <w:pPr>
        <w:pStyle w:val="8"/>
        <w:spacing w:line="264" w:lineRule="auto"/>
        <w:rPr>
          <w:rFonts w:hint="default" w:ascii="Times New Roman" w:hAnsi="Times New Roman" w:cs="Times New Roman"/>
          <w:color w:val="auto"/>
        </w:rPr>
      </w:pPr>
    </w:p>
    <w:p w14:paraId="33807513">
      <w:pPr>
        <w:pStyle w:val="8"/>
        <w:spacing w:line="264" w:lineRule="auto"/>
        <w:rPr>
          <w:rFonts w:hint="default" w:ascii="Times New Roman" w:hAnsi="Times New Roman" w:cs="Times New Roman"/>
          <w:color w:val="auto"/>
        </w:rPr>
      </w:pPr>
    </w:p>
    <w:p w14:paraId="14958860">
      <w:pPr>
        <w:pStyle w:val="8"/>
        <w:spacing w:line="264" w:lineRule="auto"/>
        <w:rPr>
          <w:rFonts w:hint="default" w:ascii="Times New Roman" w:hAnsi="Times New Roman" w:cs="Times New Roman"/>
          <w:color w:val="auto"/>
        </w:rPr>
      </w:pPr>
    </w:p>
    <w:p w14:paraId="4267BAD8">
      <w:pPr>
        <w:spacing w:before="114" w:line="221" w:lineRule="auto"/>
        <w:ind w:left="1770"/>
        <w:rPr>
          <w:rFonts w:hint="default" w:ascii="Times New Roman" w:hAnsi="Times New Roman" w:eastAsia="楷体" w:cs="Times New Roman"/>
          <w:color w:val="auto"/>
          <w:sz w:val="35"/>
          <w:szCs w:val="35"/>
        </w:rPr>
      </w:pPr>
      <w:r>
        <w:rPr>
          <w:rFonts w:hint="default" w:ascii="Times New Roman" w:hAnsi="Times New Roman" w:eastAsia="楷体" w:cs="Times New Roman"/>
          <w:color w:val="auto"/>
          <w:spacing w:val="21"/>
          <w:sz w:val="35"/>
          <w:szCs w:val="35"/>
        </w:rPr>
        <w:t>中华人民共和国生态环境部制</w:t>
      </w:r>
    </w:p>
    <w:p w14:paraId="324E2C33">
      <w:pPr>
        <w:spacing w:line="221" w:lineRule="auto"/>
        <w:rPr>
          <w:rFonts w:hint="default" w:ascii="Times New Roman" w:hAnsi="Times New Roman" w:eastAsia="楷体" w:cs="Times New Roman"/>
          <w:color w:val="auto"/>
          <w:sz w:val="35"/>
          <w:szCs w:val="35"/>
        </w:rPr>
        <w:sectPr>
          <w:pgSz w:w="11906" w:h="16839"/>
          <w:pgMar w:top="1431" w:right="1785" w:bottom="0" w:left="1785" w:header="0" w:footer="0" w:gutter="0"/>
          <w:pgBorders>
            <w:top w:val="none" w:sz="0" w:space="0"/>
            <w:left w:val="none" w:sz="0" w:space="0"/>
            <w:bottom w:val="none" w:sz="0" w:space="0"/>
            <w:right w:val="none" w:sz="0" w:space="0"/>
          </w:pgBorders>
          <w:cols w:space="720" w:num="1"/>
        </w:sectPr>
      </w:pPr>
    </w:p>
    <w:p w14:paraId="2CC8A33C">
      <w:pPr>
        <w:spacing w:line="16820" w:lineRule="exact"/>
        <w:rPr>
          <w:color w:val="auto"/>
        </w:rPr>
        <w:sectPr>
          <w:headerReference r:id="rId5" w:type="default"/>
          <w:footerReference r:id="rId6" w:type="default"/>
          <w:pgSz w:w="11902" w:h="16834"/>
          <w:pgMar w:top="1440" w:right="1803" w:bottom="1440" w:left="1803" w:header="0" w:footer="0" w:gutter="0"/>
          <w:pgBorders>
            <w:top w:val="none" w:sz="0" w:space="0"/>
            <w:left w:val="none" w:sz="0" w:space="0"/>
            <w:bottom w:val="none" w:sz="0" w:space="0"/>
            <w:right w:val="none" w:sz="0" w:space="0"/>
          </w:pgBorders>
          <w:cols w:space="720" w:num="1"/>
        </w:sectPr>
      </w:pPr>
    </w:p>
    <w:p w14:paraId="46882D70">
      <w:pPr>
        <w:spacing w:line="358" w:lineRule="auto"/>
        <w:rPr>
          <w:rFonts w:ascii="Arial"/>
          <w:color w:val="auto"/>
          <w:sz w:val="21"/>
        </w:rPr>
      </w:pPr>
    </w:p>
    <w:p w14:paraId="201BF135">
      <w:pPr>
        <w:spacing w:line="14598" w:lineRule="exact"/>
        <w:rPr>
          <w:color w:val="auto"/>
        </w:rPr>
      </w:pPr>
    </w:p>
    <w:p w14:paraId="11B48362">
      <w:pPr>
        <w:spacing w:line="14598" w:lineRule="exact"/>
        <w:rPr>
          <w:color w:val="auto"/>
        </w:rPr>
        <w:sectPr>
          <w:pgSz w:w="11907" w:h="16840"/>
          <w:pgMar w:top="400" w:right="793" w:bottom="400" w:left="793" w:header="0" w:footer="0" w:gutter="0"/>
          <w:pgBorders>
            <w:top w:val="none" w:sz="0" w:space="0"/>
            <w:left w:val="none" w:sz="0" w:space="0"/>
            <w:bottom w:val="none" w:sz="0" w:space="0"/>
            <w:right w:val="none" w:sz="0" w:space="0"/>
          </w:pgBorders>
          <w:cols w:space="720" w:num="1"/>
        </w:sectPr>
      </w:pPr>
    </w:p>
    <w:p w14:paraId="0D1A4CBF">
      <w:pPr>
        <w:spacing w:before="97" w:line="211" w:lineRule="auto"/>
        <w:ind w:left="0" w:leftChars="0" w:right="0" w:rightChars="0" w:firstLine="0" w:firstLineChars="0"/>
        <w:jc w:val="center"/>
        <w:outlineLvl w:val="0"/>
        <w:rPr>
          <w:rFonts w:ascii="黑体" w:hAnsi="黑体" w:eastAsia="黑体" w:cs="黑体"/>
          <w:color w:val="auto"/>
          <w:sz w:val="30"/>
          <w:szCs w:val="30"/>
        </w:rPr>
      </w:pPr>
      <w:r>
        <w:rPr>
          <w:rFonts w:ascii="黑体" w:hAnsi="黑体" w:eastAsia="黑体" w:cs="黑体"/>
          <w:b/>
          <w:bCs/>
          <w:color w:val="auto"/>
          <w:spacing w:val="-4"/>
          <w:sz w:val="30"/>
          <w:szCs w:val="30"/>
        </w:rPr>
        <w:t>一、建设项目基本情况</w:t>
      </w:r>
    </w:p>
    <w:tbl>
      <w:tblPr>
        <w:tblStyle w:val="18"/>
        <w:tblW w:w="9042"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2932"/>
        <w:gridCol w:w="2057"/>
        <w:gridCol w:w="2714"/>
      </w:tblGrid>
      <w:tr w14:paraId="0672C1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1339" w:type="dxa"/>
            <w:tcBorders>
              <w:tl2br w:val="nil"/>
              <w:tr2bl w:val="nil"/>
            </w:tcBorders>
            <w:vAlign w:val="top"/>
          </w:tcPr>
          <w:p w14:paraId="3859858A">
            <w:pPr>
              <w:pStyle w:val="19"/>
              <w:spacing w:before="54" w:line="224" w:lineRule="auto"/>
              <w:ind w:left="0" w:leftChars="0" w:right="0" w:rightChars="0" w:firstLine="0" w:firstLineChars="0"/>
              <w:jc w:val="center"/>
              <w:rPr>
                <w:b/>
                <w:bCs/>
                <w:color w:val="auto"/>
                <w:spacing w:val="-3"/>
              </w:rPr>
            </w:pPr>
            <w:r>
              <w:rPr>
                <w:b/>
                <w:bCs/>
                <w:color w:val="auto"/>
                <w:spacing w:val="-3"/>
              </w:rPr>
              <w:t>建设项目</w:t>
            </w:r>
          </w:p>
          <w:p w14:paraId="76E16B36">
            <w:pPr>
              <w:pStyle w:val="19"/>
              <w:spacing w:before="54" w:line="224" w:lineRule="auto"/>
              <w:ind w:left="0" w:leftChars="0" w:right="0" w:rightChars="0" w:firstLine="0" w:firstLineChars="0"/>
              <w:jc w:val="center"/>
              <w:rPr>
                <w:b/>
                <w:bCs/>
                <w:color w:val="auto"/>
              </w:rPr>
            </w:pPr>
            <w:r>
              <w:rPr>
                <w:b/>
                <w:bCs/>
                <w:color w:val="auto"/>
                <w:spacing w:val="-3"/>
              </w:rPr>
              <w:t>名</w:t>
            </w:r>
            <w:r>
              <w:rPr>
                <w:b/>
                <w:bCs/>
                <w:color w:val="auto"/>
              </w:rPr>
              <w:t>称</w:t>
            </w:r>
          </w:p>
        </w:tc>
        <w:tc>
          <w:tcPr>
            <w:tcW w:w="7703" w:type="dxa"/>
            <w:gridSpan w:val="3"/>
            <w:tcBorders>
              <w:tl2br w:val="nil"/>
              <w:tr2bl w:val="nil"/>
            </w:tcBorders>
            <w:vAlign w:val="top"/>
          </w:tcPr>
          <w:p w14:paraId="34EC8A30">
            <w:pPr>
              <w:pStyle w:val="19"/>
              <w:spacing w:before="211" w:line="220" w:lineRule="auto"/>
              <w:ind w:left="0" w:leftChars="0" w:right="0" w:rightChars="0" w:firstLine="0" w:firstLineChars="0"/>
              <w:jc w:val="center"/>
              <w:rPr>
                <w:color w:val="auto"/>
              </w:rPr>
            </w:pPr>
            <w:r>
              <w:rPr>
                <w:rFonts w:hint="default" w:ascii="Times New Roman" w:hAnsi="Times New Roman" w:eastAsia="宋体" w:cs="Times New Roman"/>
                <w:color w:val="auto"/>
                <w:spacing w:val="14"/>
                <w:sz w:val="24"/>
                <w:szCs w:val="24"/>
                <w:lang w:val="en-US" w:eastAsia="zh-CN"/>
              </w:rPr>
              <w:t>宁夏泾源县龙房宫片区生态环境修复与农林文旅康融合开发EOD项目</w:t>
            </w:r>
          </w:p>
        </w:tc>
      </w:tr>
      <w:tr w14:paraId="7D1BA3D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339" w:type="dxa"/>
            <w:tcBorders>
              <w:tl2br w:val="nil"/>
              <w:tr2bl w:val="nil"/>
            </w:tcBorders>
            <w:vAlign w:val="top"/>
          </w:tcPr>
          <w:p w14:paraId="53267C4E">
            <w:pPr>
              <w:pStyle w:val="19"/>
              <w:spacing w:before="124" w:line="219" w:lineRule="auto"/>
              <w:ind w:left="0" w:leftChars="0" w:right="0" w:rightChars="0" w:firstLine="0" w:firstLineChars="0"/>
              <w:jc w:val="center"/>
              <w:rPr>
                <w:b/>
                <w:bCs/>
                <w:color w:val="auto"/>
              </w:rPr>
            </w:pPr>
            <w:r>
              <w:rPr>
                <w:b/>
                <w:bCs/>
                <w:color w:val="auto"/>
                <w:spacing w:val="-4"/>
              </w:rPr>
              <w:t>项目代码</w:t>
            </w:r>
          </w:p>
        </w:tc>
        <w:tc>
          <w:tcPr>
            <w:tcW w:w="7703" w:type="dxa"/>
            <w:gridSpan w:val="3"/>
            <w:tcBorders>
              <w:tl2br w:val="nil"/>
              <w:tr2bl w:val="nil"/>
            </w:tcBorders>
            <w:vAlign w:val="top"/>
          </w:tcPr>
          <w:p w14:paraId="64944433">
            <w:pPr>
              <w:spacing w:before="165" w:line="188" w:lineRule="auto"/>
              <w:ind w:left="2483"/>
              <w:rPr>
                <w:rFonts w:ascii="Times New Roman" w:hAnsi="Times New Roman" w:eastAsia="Times New Roman" w:cs="Times New Roman"/>
                <w:color w:val="auto"/>
                <w:sz w:val="24"/>
                <w:szCs w:val="24"/>
              </w:rPr>
            </w:pPr>
            <w:r>
              <w:rPr>
                <w:rFonts w:hint="default" w:ascii="Times New Roman" w:hAnsi="Times New Roman" w:eastAsia="宋体" w:cs="Times New Roman"/>
                <w:snapToGrid w:val="0"/>
                <w:color w:val="auto"/>
                <w:spacing w:val="14"/>
                <w:kern w:val="0"/>
                <w:sz w:val="24"/>
                <w:szCs w:val="24"/>
                <w:lang w:val="en-US" w:eastAsia="zh-CN" w:bidi="ar-SA"/>
              </w:rPr>
              <w:t>2408-</w:t>
            </w:r>
            <w:r>
              <w:rPr>
                <w:rFonts w:hint="default" w:ascii="Times New Roman" w:hAnsi="Times New Roman" w:eastAsia="宋体" w:cs="Times New Roman"/>
                <w:b w:val="0"/>
                <w:bCs w:val="0"/>
                <w:snapToGrid w:val="0"/>
                <w:color w:val="auto"/>
                <w:spacing w:val="14"/>
                <w:kern w:val="0"/>
                <w:sz w:val="24"/>
                <w:szCs w:val="24"/>
                <w:lang w:val="en-US" w:eastAsia="zh-CN" w:bidi="ar-SA"/>
              </w:rPr>
              <w:t>64042</w:t>
            </w:r>
            <w:r>
              <w:rPr>
                <w:rFonts w:hint="default" w:ascii="Times New Roman" w:hAnsi="Times New Roman" w:eastAsia="宋体" w:cs="Times New Roman"/>
                <w:snapToGrid w:val="0"/>
                <w:color w:val="auto"/>
                <w:spacing w:val="14"/>
                <w:kern w:val="0"/>
                <w:sz w:val="24"/>
                <w:szCs w:val="24"/>
                <w:lang w:val="en-US" w:eastAsia="zh-CN" w:bidi="ar-SA"/>
              </w:rPr>
              <w:t>4-04-01-939192</w:t>
            </w:r>
          </w:p>
        </w:tc>
      </w:tr>
      <w:tr w14:paraId="76F4C28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top"/>
          </w:tcPr>
          <w:p w14:paraId="3C548214">
            <w:pPr>
              <w:pStyle w:val="19"/>
              <w:spacing w:before="52" w:line="223" w:lineRule="auto"/>
              <w:ind w:left="0" w:leftChars="0" w:right="0" w:rightChars="0" w:firstLine="0" w:firstLineChars="0"/>
              <w:jc w:val="center"/>
              <w:rPr>
                <w:b/>
                <w:bCs/>
                <w:color w:val="auto"/>
                <w:spacing w:val="-3"/>
              </w:rPr>
            </w:pPr>
            <w:r>
              <w:rPr>
                <w:b/>
                <w:bCs/>
                <w:color w:val="auto"/>
                <w:spacing w:val="-3"/>
              </w:rPr>
              <w:t>建设单位</w:t>
            </w:r>
          </w:p>
          <w:p w14:paraId="6D9A74A0">
            <w:pPr>
              <w:pStyle w:val="19"/>
              <w:spacing w:before="52" w:line="223" w:lineRule="auto"/>
              <w:ind w:left="0" w:leftChars="0" w:right="0" w:rightChars="0" w:firstLine="0" w:firstLineChars="0"/>
              <w:jc w:val="center"/>
              <w:rPr>
                <w:b/>
                <w:bCs/>
                <w:color w:val="auto"/>
              </w:rPr>
            </w:pPr>
            <w:r>
              <w:rPr>
                <w:b/>
                <w:bCs/>
                <w:color w:val="auto"/>
                <w:spacing w:val="-3"/>
              </w:rPr>
              <w:t>联</w:t>
            </w:r>
            <w:r>
              <w:rPr>
                <w:b/>
                <w:bCs/>
                <w:color w:val="auto"/>
                <w:spacing w:val="-8"/>
              </w:rPr>
              <w:t>系人</w:t>
            </w:r>
          </w:p>
        </w:tc>
        <w:tc>
          <w:tcPr>
            <w:tcW w:w="2932" w:type="dxa"/>
            <w:tcBorders>
              <w:tl2br w:val="nil"/>
              <w:tr2bl w:val="nil"/>
            </w:tcBorders>
            <w:vAlign w:val="top"/>
          </w:tcPr>
          <w:p w14:paraId="42151F2E">
            <w:pPr>
              <w:pStyle w:val="19"/>
              <w:spacing w:before="208" w:line="219" w:lineRule="auto"/>
              <w:ind w:left="1115"/>
              <w:rPr>
                <w:rFonts w:hint="default" w:ascii="Times New Roman" w:hAnsi="Times New Roman" w:eastAsia="宋体" w:cs="Times New Roman"/>
                <w:b w:val="0"/>
                <w:bCs w:val="0"/>
                <w:snapToGrid w:val="0"/>
                <w:color w:val="auto"/>
                <w:spacing w:val="14"/>
                <w:kern w:val="0"/>
                <w:sz w:val="24"/>
                <w:szCs w:val="24"/>
                <w:lang w:val="en-US" w:eastAsia="zh-CN" w:bidi="ar-SA"/>
              </w:rPr>
            </w:pPr>
            <w:bookmarkStart w:id="0" w:name="_GoBack"/>
            <w:bookmarkEnd w:id="0"/>
          </w:p>
        </w:tc>
        <w:tc>
          <w:tcPr>
            <w:tcW w:w="2057" w:type="dxa"/>
            <w:tcBorders>
              <w:tl2br w:val="nil"/>
              <w:tr2bl w:val="nil"/>
            </w:tcBorders>
            <w:vAlign w:val="top"/>
          </w:tcPr>
          <w:p w14:paraId="6B8C11FE">
            <w:pPr>
              <w:pStyle w:val="19"/>
              <w:spacing w:before="208" w:line="221" w:lineRule="auto"/>
              <w:ind w:left="557"/>
              <w:rPr>
                <w:rFonts w:hint="default" w:ascii="Times New Roman" w:hAnsi="Times New Roman" w:eastAsia="宋体" w:cs="Times New Roman"/>
                <w:b w:val="0"/>
                <w:bCs w:val="0"/>
                <w:snapToGrid w:val="0"/>
                <w:color w:val="auto"/>
                <w:spacing w:val="14"/>
                <w:kern w:val="0"/>
                <w:sz w:val="24"/>
                <w:szCs w:val="24"/>
                <w:lang w:val="en-US" w:eastAsia="zh-CN" w:bidi="ar-SA"/>
              </w:rPr>
            </w:pPr>
            <w:r>
              <w:rPr>
                <w:rFonts w:hint="default" w:ascii="Times New Roman" w:hAnsi="Times New Roman" w:eastAsia="宋体" w:cs="Times New Roman"/>
                <w:b/>
                <w:bCs/>
                <w:snapToGrid w:val="0"/>
                <w:color w:val="auto"/>
                <w:spacing w:val="14"/>
                <w:kern w:val="0"/>
                <w:sz w:val="24"/>
                <w:szCs w:val="24"/>
                <w:lang w:val="en-US" w:eastAsia="zh-CN" w:bidi="ar-SA"/>
              </w:rPr>
              <w:t>联系方式</w:t>
            </w:r>
          </w:p>
        </w:tc>
        <w:tc>
          <w:tcPr>
            <w:tcW w:w="2714" w:type="dxa"/>
            <w:tcBorders>
              <w:tl2br w:val="nil"/>
              <w:tr2bl w:val="nil"/>
            </w:tcBorders>
            <w:vAlign w:val="top"/>
          </w:tcPr>
          <w:p w14:paraId="120367D4">
            <w:pPr>
              <w:spacing w:before="250" w:line="188" w:lineRule="auto"/>
              <w:ind w:left="719"/>
              <w:rPr>
                <w:rFonts w:hint="default" w:ascii="Times New Roman" w:hAnsi="Times New Roman" w:eastAsia="宋体" w:cs="Times New Roman"/>
                <w:b w:val="0"/>
                <w:bCs w:val="0"/>
                <w:snapToGrid w:val="0"/>
                <w:color w:val="auto"/>
                <w:spacing w:val="14"/>
                <w:kern w:val="0"/>
                <w:sz w:val="24"/>
                <w:szCs w:val="24"/>
                <w:lang w:val="en-US" w:eastAsia="zh-CN" w:bidi="ar-SA"/>
              </w:rPr>
            </w:pPr>
          </w:p>
        </w:tc>
      </w:tr>
      <w:tr w14:paraId="565896A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339" w:type="dxa"/>
            <w:tcBorders>
              <w:tl2br w:val="nil"/>
              <w:tr2bl w:val="nil"/>
            </w:tcBorders>
            <w:vAlign w:val="top"/>
          </w:tcPr>
          <w:p w14:paraId="07326CA8">
            <w:pPr>
              <w:pStyle w:val="19"/>
              <w:spacing w:before="125" w:line="221" w:lineRule="auto"/>
              <w:ind w:left="0" w:leftChars="0" w:right="0" w:rightChars="0" w:firstLine="0" w:firstLineChars="0"/>
              <w:jc w:val="center"/>
              <w:rPr>
                <w:b/>
                <w:bCs/>
                <w:color w:val="auto"/>
              </w:rPr>
            </w:pPr>
            <w:r>
              <w:rPr>
                <w:b/>
                <w:bCs/>
                <w:color w:val="auto"/>
                <w:spacing w:val="-4"/>
              </w:rPr>
              <w:t>建设地点</w:t>
            </w:r>
          </w:p>
        </w:tc>
        <w:tc>
          <w:tcPr>
            <w:tcW w:w="7703" w:type="dxa"/>
            <w:gridSpan w:val="3"/>
            <w:tcBorders>
              <w:tl2br w:val="nil"/>
              <w:tr2bl w:val="nil"/>
            </w:tcBorders>
            <w:vAlign w:val="top"/>
          </w:tcPr>
          <w:p w14:paraId="109354EB">
            <w:pPr>
              <w:pStyle w:val="19"/>
              <w:spacing w:before="126" w:line="219" w:lineRule="auto"/>
              <w:ind w:left="0" w:leftChars="0" w:right="0" w:rightChars="0" w:firstLine="0" w:firstLineChars="0"/>
              <w:jc w:val="center"/>
              <w:rPr>
                <w:color w:val="auto"/>
              </w:rPr>
            </w:pPr>
            <w:r>
              <w:rPr>
                <w:rFonts w:hint="default" w:ascii="Times New Roman" w:hAnsi="Times New Roman" w:eastAsia="宋体" w:cs="Times New Roman"/>
                <w:color w:val="auto"/>
                <w:spacing w:val="14"/>
                <w:sz w:val="24"/>
                <w:szCs w:val="24"/>
              </w:rPr>
              <w:t>宁夏回族自治区固原市</w:t>
            </w:r>
            <w:r>
              <w:rPr>
                <w:rFonts w:hint="eastAsia" w:ascii="Times New Roman" w:hAnsi="Times New Roman" w:eastAsia="宋体" w:cs="Times New Roman"/>
                <w:color w:val="auto"/>
                <w:spacing w:val="14"/>
                <w:sz w:val="24"/>
                <w:szCs w:val="24"/>
                <w:lang w:val="en-US" w:eastAsia="zh-CN"/>
              </w:rPr>
              <w:t>泾源</w:t>
            </w:r>
            <w:r>
              <w:rPr>
                <w:rFonts w:hint="default" w:ascii="Times New Roman" w:hAnsi="Times New Roman" w:eastAsia="宋体" w:cs="Times New Roman"/>
                <w:color w:val="auto"/>
                <w:spacing w:val="14"/>
                <w:sz w:val="24"/>
                <w:szCs w:val="24"/>
              </w:rPr>
              <w:t>县</w:t>
            </w:r>
            <w:r>
              <w:rPr>
                <w:rFonts w:hint="eastAsia" w:ascii="Times New Roman" w:hAnsi="Times New Roman" w:eastAsia="宋体" w:cs="Times New Roman"/>
                <w:color w:val="auto"/>
                <w:spacing w:val="14"/>
                <w:sz w:val="24"/>
                <w:szCs w:val="24"/>
                <w:lang w:val="en-US" w:eastAsia="zh-CN"/>
              </w:rPr>
              <w:t>黄花乡</w:t>
            </w:r>
          </w:p>
        </w:tc>
      </w:tr>
      <w:tr w14:paraId="4A4EA93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339" w:type="dxa"/>
            <w:tcBorders>
              <w:tl2br w:val="nil"/>
              <w:tr2bl w:val="nil"/>
            </w:tcBorders>
            <w:vAlign w:val="center"/>
          </w:tcPr>
          <w:p w14:paraId="336E9F62">
            <w:pPr>
              <w:pStyle w:val="19"/>
              <w:spacing w:before="210" w:line="220" w:lineRule="auto"/>
              <w:ind w:left="0" w:leftChars="0" w:right="0" w:rightChars="0" w:firstLine="0" w:firstLineChars="0"/>
              <w:jc w:val="center"/>
              <w:rPr>
                <w:b/>
                <w:bCs/>
                <w:color w:val="auto"/>
              </w:rPr>
            </w:pPr>
            <w:r>
              <w:rPr>
                <w:b/>
                <w:bCs/>
                <w:color w:val="auto"/>
                <w:spacing w:val="-3"/>
              </w:rPr>
              <w:t>地理坐标</w:t>
            </w:r>
          </w:p>
        </w:tc>
        <w:tc>
          <w:tcPr>
            <w:tcW w:w="7703" w:type="dxa"/>
            <w:gridSpan w:val="3"/>
            <w:tcBorders>
              <w:tl2br w:val="nil"/>
              <w:tr2bl w:val="nil"/>
            </w:tcBorders>
            <w:vAlign w:val="top"/>
          </w:tcPr>
          <w:p w14:paraId="3E44B3C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lang w:val="en-US" w:eastAsia="zh-CN"/>
              </w:rPr>
            </w:pPr>
            <w:r>
              <w:rPr>
                <w:rFonts w:hint="eastAsia" w:ascii="Times New Roman" w:hAnsi="Times New Roman" w:cs="Times New Roman"/>
                <w:color w:val="auto"/>
                <w:spacing w:val="2"/>
                <w:lang w:val="en-US" w:eastAsia="zh-CN"/>
              </w:rPr>
              <w:t>一、城乡供水一体化及水土保持：</w:t>
            </w:r>
          </w:p>
          <w:p w14:paraId="120C4E40">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（1）</w:t>
            </w:r>
            <w:r>
              <w:rPr>
                <w:rFonts w:hint="default" w:ascii="Times New Roman" w:hAnsi="Times New Roman" w:eastAsia="宋体" w:cs="Times New Roman"/>
                <w:color w:val="auto"/>
                <w:spacing w:val="2"/>
                <w:lang w:val="en-US" w:eastAsia="zh-CN"/>
              </w:rPr>
              <w:t>羊槽河（羊槽村段）</w:t>
            </w:r>
            <w:r>
              <w:rPr>
                <w:rFonts w:hint="default" w:ascii="Times New Roman" w:hAnsi="Times New Roman" w:eastAsia="宋体" w:cs="Times New Roman"/>
                <w:color w:val="auto"/>
                <w:spacing w:val="2"/>
              </w:rPr>
              <w:t>河道治理：</w:t>
            </w:r>
          </w:p>
          <w:p w14:paraId="0CDBF98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left"/>
              <w:textAlignment w:val="baseline"/>
              <w:rPr>
                <w:rFonts w:hint="eastAsia"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rPr>
              <w:t>起点</w:t>
            </w:r>
            <w:r>
              <w:rPr>
                <w:rFonts w:hint="default" w:ascii="Times New Roman" w:hAnsi="Times New Roman" w:eastAsia="宋体" w:cs="Times New Roman"/>
                <w:color w:val="auto"/>
                <w:spacing w:val="2"/>
                <w:u w:val="single"/>
              </w:rPr>
              <w:t>E106°</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7.4</w:t>
            </w:r>
            <w:r>
              <w:rPr>
                <w:rFonts w:hint="eastAsia" w:ascii="Times New Roman" w:hAnsi="Times New Roman" w:cs="Times New Roman"/>
                <w:color w:val="auto"/>
                <w:spacing w:val="2"/>
                <w:u w:val="single"/>
                <w:lang w:val="en-US" w:eastAsia="zh-CN"/>
              </w:rPr>
              <w:t>70</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30</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16.</w:t>
            </w:r>
            <w:r>
              <w:rPr>
                <w:rFonts w:hint="eastAsia" w:ascii="Times New Roman" w:hAnsi="Times New Roman" w:cs="Times New Roman"/>
                <w:color w:val="auto"/>
                <w:spacing w:val="2"/>
                <w:u w:val="single"/>
                <w:lang w:val="en-US" w:eastAsia="zh-CN"/>
              </w:rPr>
              <w:t>646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，终点</w:t>
            </w:r>
            <w:r>
              <w:rPr>
                <w:rFonts w:hint="default" w:ascii="Times New Roman" w:hAnsi="Times New Roman" w:eastAsia="宋体" w:cs="Times New Roman"/>
                <w:color w:val="auto"/>
                <w:spacing w:val="2"/>
                <w:u w:val="single"/>
              </w:rPr>
              <w:t>E106°</w:t>
            </w:r>
            <w:r>
              <w:rPr>
                <w:rFonts w:hint="default" w:ascii="Times New Roman" w:hAnsi="Times New Roman" w:eastAsia="宋体" w:cs="Times New Roman"/>
                <w:color w:val="auto"/>
                <w:spacing w:val="2"/>
                <w:u w:val="single"/>
                <w:lang w:val="en-US" w:eastAsia="zh-CN"/>
              </w:rPr>
              <w:t>26</w:t>
            </w:r>
            <w:r>
              <w:rPr>
                <w:rFonts w:hint="default" w:ascii="Times New Roman" w:hAnsi="Times New Roman" w:eastAsia="宋体" w:cs="Times New Roman"/>
                <w:color w:val="auto"/>
                <w:spacing w:val="2"/>
                <w:u w:val="single"/>
              </w:rPr>
              <w:t>′8.</w:t>
            </w:r>
            <w:r>
              <w:rPr>
                <w:rFonts w:hint="default" w:ascii="Times New Roman" w:hAnsi="Times New Roman" w:eastAsia="宋体" w:cs="Times New Roman"/>
                <w:color w:val="auto"/>
                <w:spacing w:val="2"/>
                <w:u w:val="single"/>
                <w:lang w:val="en-US" w:eastAsia="zh-CN"/>
              </w:rPr>
              <w:t>65</w:t>
            </w:r>
            <w:r>
              <w:rPr>
                <w:rFonts w:hint="eastAsia" w:ascii="Times New Roman" w:hAnsi="Times New Roman" w:cs="Times New Roman"/>
                <w:color w:val="auto"/>
                <w:spacing w:val="2"/>
                <w:u w:val="single"/>
                <w:lang w:val="en-US" w:eastAsia="zh-CN"/>
              </w:rPr>
              <w:t>2</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28</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57.1</w:t>
            </w:r>
            <w:r>
              <w:rPr>
                <w:rFonts w:hint="eastAsia" w:ascii="Times New Roman" w:hAnsi="Times New Roman" w:cs="Times New Roman"/>
                <w:color w:val="auto"/>
                <w:spacing w:val="2"/>
                <w:u w:val="single"/>
                <w:lang w:val="en-US" w:eastAsia="zh-CN"/>
              </w:rPr>
              <w:t>97</w:t>
            </w:r>
            <w:r>
              <w:rPr>
                <w:rFonts w:hint="default" w:ascii="Times New Roman" w:hAnsi="Times New Roman" w:eastAsia="宋体" w:cs="Times New Roman"/>
                <w:color w:val="auto"/>
                <w:spacing w:val="2"/>
                <w:u w:val="single"/>
              </w:rPr>
              <w:t>″</w:t>
            </w:r>
          </w:p>
          <w:p w14:paraId="36EAE51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（2）</w:t>
            </w:r>
            <w:r>
              <w:rPr>
                <w:rFonts w:hint="default" w:ascii="Times New Roman" w:hAnsi="Times New Roman" w:eastAsia="宋体" w:cs="Times New Roman"/>
                <w:color w:val="auto"/>
                <w:spacing w:val="2"/>
                <w:lang w:val="en-US" w:eastAsia="zh-CN"/>
              </w:rPr>
              <w:t>生态沟渠</w:t>
            </w:r>
            <w:r>
              <w:rPr>
                <w:rFonts w:hint="default" w:ascii="Times New Roman" w:hAnsi="Times New Roman" w:eastAsia="宋体" w:cs="Times New Roman"/>
                <w:color w:val="auto"/>
                <w:spacing w:val="2"/>
              </w:rPr>
              <w:t>：</w:t>
            </w:r>
          </w:p>
          <w:p w14:paraId="0F1523A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lang w:val="en-US" w:eastAsia="zh-CN"/>
              </w:rPr>
              <w:t>①红土沟：</w:t>
            </w:r>
            <w:r>
              <w:rPr>
                <w:rFonts w:hint="default" w:ascii="Times New Roman" w:hAnsi="Times New Roman" w:eastAsia="宋体" w:cs="Times New Roman"/>
                <w:color w:val="auto"/>
                <w:spacing w:val="2"/>
              </w:rPr>
              <w:t>起点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17.1</w:t>
            </w:r>
            <w:r>
              <w:rPr>
                <w:rFonts w:hint="eastAsia" w:ascii="Times New Roman" w:hAnsi="Times New Roman" w:cs="Times New Roman"/>
                <w:color w:val="auto"/>
                <w:spacing w:val="2"/>
                <w:u w:val="single"/>
                <w:lang w:val="en-US" w:eastAsia="zh-CN"/>
              </w:rPr>
              <w:t>07</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31</w:t>
            </w:r>
            <w:r>
              <w:rPr>
                <w:rFonts w:hint="default" w:ascii="Times New Roman" w:hAnsi="Times New Roman" w:eastAsia="宋体" w:cs="Times New Roman"/>
                <w:color w:val="auto"/>
                <w:spacing w:val="2"/>
                <w:u w:val="single"/>
              </w:rPr>
              <w:t>′</w:t>
            </w:r>
            <w:r>
              <w:rPr>
                <w:rFonts w:hint="eastAsia" w:ascii="Times New Roman" w:hAnsi="Times New Roman" w:cs="Times New Roman"/>
                <w:color w:val="auto"/>
                <w:spacing w:val="2"/>
                <w:u w:val="single"/>
                <w:lang w:val="en-US" w:eastAsia="zh-CN"/>
              </w:rPr>
              <w:t>43.223</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w:t>
            </w:r>
          </w:p>
          <w:p w14:paraId="4B66296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1708" w:firstLineChars="7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终点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21.</w:t>
            </w:r>
            <w:r>
              <w:rPr>
                <w:rFonts w:hint="eastAsia" w:ascii="Times New Roman" w:hAnsi="Times New Roman" w:cs="Times New Roman"/>
                <w:color w:val="auto"/>
                <w:spacing w:val="2"/>
                <w:u w:val="single"/>
                <w:lang w:val="en-US" w:eastAsia="zh-CN"/>
              </w:rPr>
              <w:t>954</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30</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12.</w:t>
            </w:r>
            <w:r>
              <w:rPr>
                <w:rFonts w:hint="eastAsia" w:ascii="Times New Roman" w:hAnsi="Times New Roman" w:cs="Times New Roman"/>
                <w:color w:val="auto"/>
                <w:spacing w:val="2"/>
                <w:u w:val="single"/>
                <w:lang w:val="en-US" w:eastAsia="zh-CN"/>
              </w:rPr>
              <w:t>399</w:t>
            </w:r>
            <w:r>
              <w:rPr>
                <w:rFonts w:hint="default" w:ascii="Times New Roman" w:hAnsi="Times New Roman" w:eastAsia="宋体" w:cs="Times New Roman"/>
                <w:color w:val="auto"/>
                <w:spacing w:val="2"/>
                <w:u w:val="single"/>
              </w:rPr>
              <w:t>″</w:t>
            </w:r>
          </w:p>
          <w:p w14:paraId="282B042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lang w:val="en-US" w:eastAsia="zh-CN"/>
              </w:rPr>
              <w:t>②向阳村边沟：</w:t>
            </w:r>
            <w:r>
              <w:rPr>
                <w:rFonts w:hint="default" w:ascii="Times New Roman" w:hAnsi="Times New Roman" w:eastAsia="宋体" w:cs="Times New Roman"/>
                <w:color w:val="auto"/>
                <w:spacing w:val="2"/>
              </w:rPr>
              <w:t>起点</w:t>
            </w:r>
            <w:r>
              <w:rPr>
                <w:rFonts w:hint="default" w:ascii="Times New Roman" w:hAnsi="Times New Roman" w:eastAsia="宋体" w:cs="Times New Roman"/>
                <w:color w:val="auto"/>
                <w:spacing w:val="2"/>
                <w:u w:val="single"/>
              </w:rPr>
              <w:t xml:space="preserve"> 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47.9</w:t>
            </w:r>
            <w:r>
              <w:rPr>
                <w:rFonts w:hint="eastAsia" w:ascii="Times New Roman" w:hAnsi="Times New Roman" w:cs="Times New Roman"/>
                <w:color w:val="auto"/>
                <w:spacing w:val="2"/>
                <w:u w:val="single"/>
                <w:lang w:val="en-US" w:eastAsia="zh-CN"/>
              </w:rPr>
              <w:t>04</w:t>
            </w:r>
            <w:r>
              <w:rPr>
                <w:rFonts w:hint="default" w:ascii="Times New Roman" w:hAnsi="Times New Roman" w:eastAsia="宋体" w:cs="Times New Roman"/>
                <w:color w:val="auto"/>
                <w:spacing w:val="2"/>
                <w:u w:val="single"/>
              </w:rPr>
              <w:t>″ ,N35°</w:t>
            </w:r>
            <w:r>
              <w:rPr>
                <w:rFonts w:hint="default" w:ascii="Times New Roman" w:hAnsi="Times New Roman" w:eastAsia="宋体" w:cs="Times New Roman"/>
                <w:color w:val="auto"/>
                <w:spacing w:val="2"/>
                <w:u w:val="single"/>
                <w:lang w:val="en-US" w:eastAsia="zh-CN"/>
              </w:rPr>
              <w:t>32</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45.</w:t>
            </w:r>
            <w:r>
              <w:rPr>
                <w:rFonts w:hint="eastAsia" w:ascii="Times New Roman" w:hAnsi="Times New Roman" w:cs="Times New Roman"/>
                <w:color w:val="auto"/>
                <w:spacing w:val="2"/>
                <w:u w:val="single"/>
                <w:lang w:val="en-US" w:eastAsia="zh-CN"/>
              </w:rPr>
              <w:t>607</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w:t>
            </w:r>
          </w:p>
          <w:p w14:paraId="6F49A46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2196" w:firstLineChars="900"/>
              <w:jc w:val="left"/>
              <w:textAlignment w:val="baseline"/>
              <w:rPr>
                <w:rFonts w:hint="eastAsia"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rPr>
              <w:t>终点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49.</w:t>
            </w:r>
            <w:r>
              <w:rPr>
                <w:rFonts w:hint="eastAsia" w:ascii="Times New Roman" w:hAnsi="Times New Roman" w:cs="Times New Roman"/>
                <w:color w:val="auto"/>
                <w:spacing w:val="2"/>
                <w:u w:val="single"/>
                <w:lang w:val="en-US" w:eastAsia="zh-CN"/>
              </w:rPr>
              <w:t>396</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32</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6.09</w:t>
            </w:r>
            <w:r>
              <w:rPr>
                <w:rFonts w:hint="eastAsia" w:ascii="Times New Roman" w:hAnsi="Times New Roman" w:cs="Times New Roman"/>
                <w:color w:val="auto"/>
                <w:spacing w:val="2"/>
                <w:u w:val="single"/>
                <w:lang w:val="en-US" w:eastAsia="zh-CN"/>
              </w:rPr>
              <w:t>8</w:t>
            </w:r>
            <w:r>
              <w:rPr>
                <w:rFonts w:hint="default" w:ascii="Times New Roman" w:hAnsi="Times New Roman" w:eastAsia="宋体" w:cs="Times New Roman"/>
                <w:color w:val="auto"/>
                <w:spacing w:val="2"/>
                <w:u w:val="single"/>
              </w:rPr>
              <w:t>″</w:t>
            </w:r>
          </w:p>
          <w:p w14:paraId="2273BA20">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二、山洪及地质灾害：</w:t>
            </w:r>
          </w:p>
          <w:p w14:paraId="0245D450">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（1）沙塘村（3处）：</w:t>
            </w:r>
          </w:p>
          <w:p w14:paraId="20FD74C4">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其中1#沙塘川段起点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106°26′53.802″,</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35°35′14.992″</w:t>
            </w:r>
          </w:p>
          <w:p w14:paraId="272D8EA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2196" w:firstLineChars="9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106°26′49.350″,</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35°35′9.990″；</w:t>
            </w:r>
          </w:p>
          <w:p w14:paraId="5D7C30E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2#沙塘川段</w:t>
            </w:r>
            <w:r>
              <w:rPr>
                <w:rFonts w:hint="eastAsia" w:ascii="Times New Roman" w:hAnsi="Times New Roman" w:cs="Times New Roman"/>
                <w:color w:val="auto"/>
                <w:spacing w:val="2"/>
                <w:u w:val="single"/>
                <w:lang w:val="en-US" w:eastAsia="zh-CN"/>
              </w:rPr>
              <w:t>起点</w:t>
            </w:r>
            <w:r>
              <w:rPr>
                <w:rFonts w:hint="eastAsia" w:ascii="Times New Roman" w:hAnsi="Times New Roman" w:cs="Times New Roman"/>
                <w:color w:val="auto"/>
                <w:spacing w:val="2"/>
                <w:u w:val="none"/>
                <w:lang w:val="en-US" w:eastAsia="zh-CN"/>
              </w:rPr>
              <w:t xml:space="preserve">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106°26′48.544″,</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35°35′7.835″</w:t>
            </w:r>
          </w:p>
          <w:p w14:paraId="71FF9391">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106°26′39.530″,</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35°34′51.402″；</w:t>
            </w:r>
          </w:p>
          <w:p w14:paraId="589BB14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3#沿川子段</w:t>
            </w:r>
            <w:r>
              <w:rPr>
                <w:rFonts w:hint="eastAsia" w:ascii="Times New Roman" w:hAnsi="Times New Roman" w:cs="Times New Roman"/>
                <w:color w:val="auto"/>
                <w:spacing w:val="2"/>
                <w:u w:val="single"/>
                <w:lang w:val="en-US" w:eastAsia="zh-CN"/>
              </w:rPr>
              <w:t>起点</w:t>
            </w:r>
            <w:r>
              <w:rPr>
                <w:rFonts w:hint="eastAsia" w:ascii="Times New Roman" w:hAnsi="Times New Roman" w:cs="Times New Roman"/>
                <w:color w:val="auto"/>
                <w:spacing w:val="2"/>
                <w:u w:val="none"/>
                <w:lang w:val="en-US" w:eastAsia="zh-CN"/>
              </w:rPr>
              <w:t xml:space="preserve">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106°27′44.698″,</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35°35′8.459″</w:t>
            </w:r>
          </w:p>
          <w:p w14:paraId="61E306B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106°27′48.116″,</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35°34′49.031″。</w:t>
            </w:r>
          </w:p>
          <w:p w14:paraId="44A8CFCA">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（2）红土村（1处）：</w:t>
            </w:r>
          </w:p>
          <w:p w14:paraId="493BA48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4#红土村段起点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106°24′22.593″,</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35°31′11.669″</w:t>
            </w:r>
          </w:p>
          <w:p w14:paraId="5BC5185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106°24′53.048″,</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35°31′11.194″。</w:t>
            </w:r>
          </w:p>
          <w:p w14:paraId="7A260055">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（3）平凉庄村（2处）：</w:t>
            </w:r>
          </w:p>
          <w:p w14:paraId="346EFCD9">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其中5#平凉庄村段起点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106°24′4.435″,</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35°30′23.571″</w:t>
            </w:r>
          </w:p>
          <w:p w14:paraId="4D2E2E49">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2440" w:firstLineChars="10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106°24′7.549″,</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35°30′17.039″；</w:t>
            </w:r>
          </w:p>
          <w:p w14:paraId="76ACA806">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6#平凉庄村段起点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106°24′29.516″,</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35°30′23.689″</w:t>
            </w:r>
          </w:p>
          <w:p w14:paraId="324598A3">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1708" w:firstLineChars="700"/>
              <w:jc w:val="left"/>
              <w:textAlignment w:val="baseline"/>
              <w:rPr>
                <w:rFonts w:hint="default" w:ascii="Times New Roman" w:hAnsi="Times New Roman" w:cs="Times New Roman"/>
                <w:color w:val="auto"/>
                <w:spacing w:val="2"/>
                <w:u w:val="non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106°24′44.999″,</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35°30′26.263″。</w:t>
            </w:r>
          </w:p>
        </w:tc>
      </w:tr>
      <w:tr w14:paraId="36312E7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center"/>
          </w:tcPr>
          <w:p w14:paraId="6D381229">
            <w:pPr>
              <w:pStyle w:val="19"/>
              <w:spacing w:before="57" w:line="221" w:lineRule="auto"/>
              <w:ind w:left="0" w:leftChars="0" w:right="0" w:rightChars="0" w:firstLine="0" w:firstLineChars="0"/>
              <w:jc w:val="center"/>
              <w:rPr>
                <w:b/>
                <w:bCs/>
                <w:color w:val="auto"/>
                <w:spacing w:val="-4"/>
              </w:rPr>
            </w:pPr>
            <w:r>
              <w:rPr>
                <w:b/>
                <w:bCs/>
                <w:color w:val="auto"/>
                <w:spacing w:val="-4"/>
              </w:rPr>
              <w:t>建设项目</w:t>
            </w:r>
          </w:p>
          <w:p w14:paraId="526A5924">
            <w:pPr>
              <w:pStyle w:val="19"/>
              <w:spacing w:before="57" w:line="221" w:lineRule="auto"/>
              <w:ind w:left="0" w:leftChars="0" w:right="0" w:rightChars="0" w:firstLine="0" w:firstLineChars="0"/>
              <w:jc w:val="center"/>
              <w:rPr>
                <w:b/>
                <w:bCs/>
                <w:color w:val="auto"/>
              </w:rPr>
            </w:pPr>
            <w:r>
              <w:rPr>
                <w:b/>
                <w:bCs/>
                <w:color w:val="auto"/>
                <w:spacing w:val="-4"/>
              </w:rPr>
              <w:t>行业类别</w:t>
            </w:r>
          </w:p>
        </w:tc>
        <w:tc>
          <w:tcPr>
            <w:tcW w:w="2932" w:type="dxa"/>
            <w:tcBorders>
              <w:tl2br w:val="nil"/>
              <w:tr2bl w:val="nil"/>
            </w:tcBorders>
            <w:vAlign w:val="center"/>
          </w:tcPr>
          <w:p w14:paraId="6F3CE392">
            <w:pPr>
              <w:pStyle w:val="19"/>
              <w:spacing w:before="211" w:line="219" w:lineRule="auto"/>
              <w:ind w:left="0" w:leftChars="0" w:right="0" w:rightChars="0" w:firstLine="0" w:firstLineChars="0"/>
              <w:jc w:val="center"/>
              <w:rPr>
                <w:color w:val="auto"/>
              </w:rPr>
            </w:pPr>
            <w:r>
              <w:rPr>
                <w:rFonts w:hint="default" w:ascii="Times New Roman" w:hAnsi="Times New Roman" w:eastAsia="宋体" w:cs="Times New Roman"/>
                <w:color w:val="auto"/>
                <w:spacing w:val="5"/>
              </w:rPr>
              <w:t>五十一、水利</w:t>
            </w:r>
            <w:r>
              <w:rPr>
                <w:rFonts w:hint="default" w:ascii="Times New Roman" w:hAnsi="Times New Roman" w:cs="Times New Roman"/>
                <w:color w:val="auto"/>
                <w:spacing w:val="5"/>
              </w:rPr>
              <w:t>127</w:t>
            </w:r>
            <w:r>
              <w:rPr>
                <w:rFonts w:hint="default" w:ascii="Times New Roman" w:hAnsi="Times New Roman" w:eastAsia="宋体" w:cs="Times New Roman"/>
                <w:color w:val="auto"/>
                <w:spacing w:val="5"/>
              </w:rPr>
              <w:t>防洪</w:t>
            </w:r>
            <w:r>
              <w:rPr>
                <w:rFonts w:hint="default" w:ascii="Times New Roman" w:hAnsi="Times New Roman" w:eastAsia="宋体" w:cs="Times New Roman"/>
                <w:color w:val="auto"/>
                <w:spacing w:val="1"/>
              </w:rPr>
              <w:t>除涝工程；</w:t>
            </w:r>
            <w:r>
              <w:rPr>
                <w:rFonts w:hint="default" w:ascii="Times New Roman" w:hAnsi="Times New Roman" w:cs="Times New Roman"/>
                <w:color w:val="auto"/>
                <w:spacing w:val="1"/>
              </w:rPr>
              <w:t>128</w:t>
            </w:r>
            <w:r>
              <w:rPr>
                <w:rFonts w:hint="default" w:ascii="Times New Roman" w:hAnsi="Times New Roman" w:eastAsia="宋体" w:cs="Times New Roman"/>
                <w:color w:val="auto"/>
                <w:spacing w:val="1"/>
              </w:rPr>
              <w:t>河湖整治</w:t>
            </w:r>
            <w:r>
              <w:rPr>
                <w:rFonts w:hint="default" w:ascii="Times New Roman" w:hAnsi="Times New Roman" w:eastAsia="宋体" w:cs="Times New Roman"/>
                <w:color w:val="auto"/>
                <w:spacing w:val="8"/>
              </w:rPr>
              <w:t>（不含农村塘堰、水渠）</w:t>
            </w:r>
          </w:p>
        </w:tc>
        <w:tc>
          <w:tcPr>
            <w:tcW w:w="2057" w:type="dxa"/>
            <w:tcBorders>
              <w:tl2br w:val="nil"/>
              <w:tr2bl w:val="nil"/>
            </w:tcBorders>
            <w:vAlign w:val="center"/>
          </w:tcPr>
          <w:p w14:paraId="589412D2">
            <w:pPr>
              <w:pStyle w:val="19"/>
              <w:spacing w:before="57" w:line="221" w:lineRule="auto"/>
              <w:ind w:left="0" w:leftChars="0" w:right="0" w:rightChars="0" w:firstLine="0" w:firstLineChars="0"/>
              <w:jc w:val="center"/>
              <w:rPr>
                <w:b/>
                <w:bCs/>
                <w:color w:val="auto"/>
                <w:spacing w:val="-4"/>
              </w:rPr>
            </w:pPr>
            <w:r>
              <w:rPr>
                <w:b/>
                <w:bCs/>
                <w:color w:val="auto"/>
                <w:spacing w:val="-4"/>
              </w:rPr>
              <w:t>用地面积（</w:t>
            </w:r>
            <w:r>
              <w:rPr>
                <w:rFonts w:ascii="Times New Roman" w:hAnsi="Times New Roman" w:eastAsia="Times New Roman" w:cs="Times New Roman"/>
                <w:b/>
                <w:bCs/>
                <w:color w:val="auto"/>
                <w:spacing w:val="-4"/>
              </w:rPr>
              <w:t>km</w:t>
            </w:r>
            <w:r>
              <w:rPr>
                <w:rFonts w:ascii="Times New Roman" w:hAnsi="Times New Roman" w:eastAsia="Times New Roman" w:cs="Times New Roman"/>
                <w:b/>
                <w:bCs/>
                <w:color w:val="auto"/>
                <w:spacing w:val="-4"/>
                <w:position w:val="7"/>
                <w:sz w:val="15"/>
                <w:szCs w:val="15"/>
              </w:rPr>
              <w:t>2</w:t>
            </w:r>
            <w:r>
              <w:rPr>
                <w:b/>
                <w:bCs/>
                <w:color w:val="auto"/>
                <w:spacing w:val="-4"/>
              </w:rPr>
              <w:t>）</w:t>
            </w:r>
          </w:p>
          <w:p w14:paraId="1B78E684">
            <w:pPr>
              <w:pStyle w:val="19"/>
              <w:spacing w:before="57" w:line="221" w:lineRule="auto"/>
              <w:ind w:left="0" w:leftChars="0" w:right="0" w:rightChars="0" w:firstLine="0" w:firstLineChars="0"/>
              <w:jc w:val="center"/>
              <w:rPr>
                <w:color w:val="auto"/>
              </w:rPr>
            </w:pPr>
            <w:r>
              <w:rPr>
                <w:b/>
                <w:bCs/>
                <w:color w:val="auto"/>
                <w:spacing w:val="-2"/>
              </w:rPr>
              <w:t>用地长度（</w:t>
            </w:r>
            <w:r>
              <w:rPr>
                <w:rFonts w:ascii="Times New Roman" w:hAnsi="Times New Roman" w:eastAsia="Times New Roman" w:cs="Times New Roman"/>
                <w:b/>
                <w:bCs/>
                <w:color w:val="auto"/>
                <w:spacing w:val="-2"/>
              </w:rPr>
              <w:t>km</w:t>
            </w:r>
            <w:r>
              <w:rPr>
                <w:b/>
                <w:bCs/>
                <w:color w:val="auto"/>
                <w:spacing w:val="-2"/>
              </w:rPr>
              <w:t>）</w:t>
            </w:r>
          </w:p>
        </w:tc>
        <w:tc>
          <w:tcPr>
            <w:tcW w:w="2714" w:type="dxa"/>
            <w:tcBorders>
              <w:tl2br w:val="nil"/>
              <w:tr2bl w:val="nil"/>
            </w:tcBorders>
            <w:vAlign w:val="center"/>
          </w:tcPr>
          <w:p w14:paraId="5FA0B8D3">
            <w:pPr>
              <w:pStyle w:val="19"/>
              <w:spacing w:before="211" w:line="219" w:lineRule="auto"/>
              <w:ind w:left="0" w:leftChars="0" w:right="0" w:rightChars="0" w:firstLine="0" w:firstLineChars="0"/>
              <w:jc w:val="center"/>
              <w:rPr>
                <w:rFonts w:hint="default" w:ascii="Times New Roman" w:hAnsi="Times New Roman" w:eastAsia="Times New Roman" w:cs="Times New Roman"/>
                <w:color w:val="auto"/>
                <w:sz w:val="24"/>
                <w:szCs w:val="24"/>
                <w:lang w:val="en-US"/>
              </w:rPr>
            </w:pPr>
            <w:r>
              <w:rPr>
                <w:rFonts w:hint="eastAsia" w:ascii="Times New Roman" w:hAnsi="Times New Roman" w:cs="Times New Roman"/>
                <w:color w:val="auto"/>
                <w:spacing w:val="5"/>
                <w:lang w:val="en-US" w:eastAsia="zh-CN"/>
              </w:rPr>
              <w:t>河湖整治部分：河道</w:t>
            </w:r>
            <w:r>
              <w:rPr>
                <w:rFonts w:hint="default" w:ascii="Times New Roman" w:hAnsi="Times New Roman" w:eastAsia="宋体" w:cs="Times New Roman"/>
                <w:color w:val="auto"/>
                <w:spacing w:val="5"/>
              </w:rPr>
              <w:t>治理长度</w:t>
            </w:r>
            <w:r>
              <w:rPr>
                <w:rFonts w:hint="eastAsia" w:ascii="Times New Roman" w:hAnsi="Times New Roman" w:cs="Times New Roman"/>
                <w:color w:val="auto"/>
                <w:spacing w:val="5"/>
                <w:lang w:val="en-US" w:eastAsia="zh-CN"/>
              </w:rPr>
              <w:t>8.444</w:t>
            </w:r>
            <w:r>
              <w:rPr>
                <w:rFonts w:hint="default" w:ascii="Times New Roman" w:hAnsi="Times New Roman" w:eastAsia="宋体" w:cs="Times New Roman"/>
                <w:color w:val="auto"/>
                <w:spacing w:val="5"/>
              </w:rPr>
              <w:t>km</w:t>
            </w:r>
            <w:r>
              <w:rPr>
                <w:rFonts w:hint="eastAsia" w:ascii="Times New Roman" w:hAnsi="Times New Roman" w:cs="Times New Roman"/>
                <w:color w:val="auto"/>
                <w:spacing w:val="5"/>
                <w:lang w:eastAsia="zh-CN"/>
              </w:rPr>
              <w:t>，</w:t>
            </w:r>
            <w:r>
              <w:rPr>
                <w:rFonts w:hint="eastAsia" w:ascii="Times New Roman" w:hAnsi="Times New Roman" w:cs="Times New Roman"/>
                <w:color w:val="auto"/>
                <w:spacing w:val="5"/>
                <w:lang w:val="en-US" w:eastAsia="zh-CN"/>
              </w:rPr>
              <w:t>防洪除涝部分：排洪渠改造2.90991km。</w:t>
            </w:r>
          </w:p>
        </w:tc>
      </w:tr>
      <w:tr w14:paraId="509CECC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574" w:hRule="atLeast"/>
          <w:jc w:val="center"/>
        </w:trPr>
        <w:tc>
          <w:tcPr>
            <w:tcW w:w="1339" w:type="dxa"/>
            <w:tcBorders>
              <w:tl2br w:val="nil"/>
              <w:tr2bl w:val="nil"/>
            </w:tcBorders>
            <w:vAlign w:val="center"/>
          </w:tcPr>
          <w:p w14:paraId="067141EC">
            <w:pPr>
              <w:pStyle w:val="19"/>
              <w:spacing w:before="78" w:line="220" w:lineRule="auto"/>
              <w:ind w:left="0" w:leftChars="0" w:right="0" w:rightChars="0" w:firstLine="0" w:firstLineChars="0"/>
              <w:jc w:val="center"/>
              <w:rPr>
                <w:b/>
                <w:bCs/>
                <w:color w:val="auto"/>
              </w:rPr>
            </w:pPr>
            <w:r>
              <w:rPr>
                <w:b/>
                <w:bCs/>
                <w:color w:val="auto"/>
                <w:spacing w:val="-4"/>
              </w:rPr>
              <w:t>建设性质</w:t>
            </w:r>
          </w:p>
        </w:tc>
        <w:tc>
          <w:tcPr>
            <w:tcW w:w="2932" w:type="dxa"/>
            <w:tcBorders>
              <w:tl2br w:val="nil"/>
              <w:tr2bl w:val="nil"/>
            </w:tcBorders>
            <w:vAlign w:val="center"/>
          </w:tcPr>
          <w:p w14:paraId="5715C799">
            <w:pPr>
              <w:pStyle w:val="19"/>
              <w:spacing w:before="215" w:line="180" w:lineRule="auto"/>
              <w:ind w:left="0" w:leftChars="0" w:right="0" w:rightChars="0" w:firstLine="0" w:firstLineChars="0"/>
              <w:jc w:val="left"/>
              <w:rPr>
                <w:color w:val="auto"/>
              </w:rPr>
            </w:pPr>
            <w:r>
              <w:rPr>
                <w:rFonts w:hint="eastAsia" w:ascii="微软雅黑" w:hAnsi="微软雅黑" w:eastAsia="微软雅黑" w:cs="微软雅黑"/>
                <w:color w:val="auto"/>
                <w:spacing w:val="12"/>
                <w:lang w:eastAsia="zh-CN"/>
              </w:rPr>
              <w:t>☑</w:t>
            </w:r>
            <w:r>
              <w:rPr>
                <w:color w:val="auto"/>
                <w:spacing w:val="-7"/>
              </w:rPr>
              <w:t>新建（迁建）</w:t>
            </w:r>
          </w:p>
          <w:p w14:paraId="7F2436EC">
            <w:pPr>
              <w:pStyle w:val="19"/>
              <w:spacing w:before="1" w:line="181" w:lineRule="auto"/>
              <w:ind w:left="0" w:leftChars="0" w:right="0" w:rightChars="0" w:firstLine="0" w:firstLineChars="0"/>
              <w:jc w:val="left"/>
              <w:rPr>
                <w:color w:val="auto"/>
              </w:rPr>
            </w:pPr>
            <w:r>
              <w:rPr>
                <w:rFonts w:hint="eastAsia" w:ascii="微软雅黑" w:hAnsi="微软雅黑" w:eastAsia="微软雅黑" w:cs="微软雅黑"/>
                <w:color w:val="auto"/>
                <w:spacing w:val="12"/>
                <w:lang w:eastAsia="zh-CN"/>
              </w:rPr>
              <w:t>□</w:t>
            </w:r>
            <w:r>
              <w:rPr>
                <w:color w:val="auto"/>
                <w:spacing w:val="12"/>
              </w:rPr>
              <w:t>改建</w:t>
            </w:r>
          </w:p>
          <w:p w14:paraId="55DBF34F">
            <w:pPr>
              <w:pStyle w:val="19"/>
              <w:spacing w:before="1" w:line="181" w:lineRule="auto"/>
              <w:ind w:left="0" w:leftChars="0" w:right="0" w:rightChars="0" w:firstLine="0" w:firstLineChars="0"/>
              <w:jc w:val="left"/>
              <w:rPr>
                <w:color w:val="auto"/>
              </w:rPr>
            </w:pPr>
            <w:r>
              <w:rPr>
                <w:rFonts w:hint="eastAsia" w:ascii="微软雅黑" w:hAnsi="微软雅黑" w:eastAsia="微软雅黑" w:cs="微软雅黑"/>
                <w:color w:val="auto"/>
                <w:spacing w:val="12"/>
                <w:lang w:eastAsia="zh-CN"/>
              </w:rPr>
              <w:t>□</w:t>
            </w:r>
            <w:r>
              <w:rPr>
                <w:color w:val="auto"/>
                <w:spacing w:val="12"/>
              </w:rPr>
              <w:t>扩建</w:t>
            </w:r>
          </w:p>
          <w:p w14:paraId="6729D484">
            <w:pPr>
              <w:pStyle w:val="19"/>
              <w:spacing w:line="198" w:lineRule="auto"/>
              <w:ind w:left="0" w:leftChars="0" w:right="0" w:rightChars="0" w:firstLine="0" w:firstLineChars="0"/>
              <w:jc w:val="left"/>
              <w:rPr>
                <w:color w:val="auto"/>
              </w:rPr>
            </w:pPr>
            <w:r>
              <w:rPr>
                <w:rFonts w:hint="eastAsia" w:ascii="微软雅黑" w:hAnsi="微软雅黑" w:eastAsia="微软雅黑" w:cs="微软雅黑"/>
                <w:color w:val="auto"/>
                <w:spacing w:val="7"/>
                <w:lang w:eastAsia="zh-CN"/>
              </w:rPr>
              <w:t>□</w:t>
            </w:r>
            <w:r>
              <w:rPr>
                <w:color w:val="auto"/>
                <w:spacing w:val="7"/>
              </w:rPr>
              <w:t>技术改造</w:t>
            </w:r>
          </w:p>
        </w:tc>
        <w:tc>
          <w:tcPr>
            <w:tcW w:w="2057" w:type="dxa"/>
            <w:tcBorders>
              <w:tl2br w:val="nil"/>
              <w:tr2bl w:val="nil"/>
            </w:tcBorders>
            <w:vAlign w:val="center"/>
          </w:tcPr>
          <w:p w14:paraId="0F70E083">
            <w:pPr>
              <w:pStyle w:val="19"/>
              <w:spacing w:before="78" w:line="230" w:lineRule="auto"/>
              <w:ind w:left="0" w:leftChars="0" w:right="0" w:rightChars="0" w:firstLine="0" w:firstLineChars="0"/>
              <w:jc w:val="center"/>
              <w:rPr>
                <w:b/>
                <w:bCs/>
                <w:color w:val="auto"/>
                <w:spacing w:val="-4"/>
              </w:rPr>
            </w:pPr>
            <w:r>
              <w:rPr>
                <w:b/>
                <w:bCs/>
                <w:color w:val="auto"/>
                <w:spacing w:val="-4"/>
              </w:rPr>
              <w:t>建设项目</w:t>
            </w:r>
          </w:p>
          <w:p w14:paraId="560F959A">
            <w:pPr>
              <w:pStyle w:val="19"/>
              <w:spacing w:before="78" w:line="230" w:lineRule="auto"/>
              <w:ind w:left="0" w:leftChars="0" w:right="0" w:rightChars="0" w:firstLine="0" w:firstLineChars="0"/>
              <w:jc w:val="center"/>
              <w:rPr>
                <w:b/>
                <w:bCs/>
                <w:color w:val="auto"/>
              </w:rPr>
            </w:pPr>
            <w:r>
              <w:rPr>
                <w:b/>
                <w:bCs/>
                <w:color w:val="auto"/>
                <w:spacing w:val="-11"/>
              </w:rPr>
              <w:t>申报情形</w:t>
            </w:r>
          </w:p>
        </w:tc>
        <w:tc>
          <w:tcPr>
            <w:tcW w:w="2714" w:type="dxa"/>
            <w:tcBorders>
              <w:tl2br w:val="nil"/>
              <w:tr2bl w:val="nil"/>
            </w:tcBorders>
            <w:vAlign w:val="center"/>
          </w:tcPr>
          <w:p w14:paraId="31C0984C">
            <w:pPr>
              <w:pStyle w:val="19"/>
              <w:spacing w:before="57" w:line="182" w:lineRule="auto"/>
              <w:ind w:left="0" w:leftChars="0" w:right="0" w:rightChars="0" w:firstLine="0" w:firstLineChars="0"/>
              <w:jc w:val="left"/>
              <w:rPr>
                <w:color w:val="auto"/>
              </w:rPr>
            </w:pPr>
            <w:r>
              <w:rPr>
                <w:rFonts w:hint="eastAsia" w:ascii="微软雅黑" w:hAnsi="微软雅黑" w:eastAsia="微软雅黑" w:cs="微软雅黑"/>
                <w:color w:val="auto"/>
                <w:spacing w:val="3"/>
                <w:lang w:eastAsia="zh-CN"/>
              </w:rPr>
              <w:t>☑</w:t>
            </w:r>
            <w:r>
              <w:rPr>
                <w:color w:val="auto"/>
                <w:spacing w:val="-7"/>
              </w:rPr>
              <w:t>首次申报项目</w:t>
            </w:r>
          </w:p>
          <w:p w14:paraId="4A156967">
            <w:pPr>
              <w:pStyle w:val="19"/>
              <w:spacing w:before="1" w:line="198" w:lineRule="auto"/>
              <w:ind w:left="246" w:leftChars="0" w:right="0" w:rightChars="0" w:hanging="246" w:hangingChars="100"/>
              <w:jc w:val="left"/>
              <w:rPr>
                <w:color w:val="auto"/>
              </w:rPr>
            </w:pPr>
            <w:r>
              <w:rPr>
                <w:rFonts w:hint="eastAsia" w:ascii="微软雅黑" w:hAnsi="微软雅黑" w:eastAsia="微软雅黑" w:cs="微软雅黑"/>
                <w:color w:val="auto"/>
                <w:spacing w:val="3"/>
                <w:lang w:eastAsia="zh-CN"/>
              </w:rPr>
              <w:t>□</w:t>
            </w:r>
            <w:r>
              <w:rPr>
                <w:color w:val="auto"/>
                <w:spacing w:val="3"/>
              </w:rPr>
              <w:t>不予批准后再次申报</w:t>
            </w:r>
            <w:r>
              <w:rPr>
                <w:rFonts w:hint="eastAsia"/>
                <w:color w:val="auto"/>
                <w:spacing w:val="3"/>
                <w:lang w:val="en-US" w:eastAsia="zh-CN"/>
              </w:rPr>
              <w:t>项</w:t>
            </w:r>
            <w:r>
              <w:rPr>
                <w:color w:val="auto"/>
              </w:rPr>
              <w:t>目</w:t>
            </w:r>
          </w:p>
          <w:p w14:paraId="01C7D29E">
            <w:pPr>
              <w:pStyle w:val="19"/>
              <w:spacing w:before="22" w:line="182" w:lineRule="auto"/>
              <w:ind w:left="0" w:leftChars="0" w:right="0" w:rightChars="0" w:firstLine="0" w:firstLineChars="0"/>
              <w:jc w:val="left"/>
              <w:rPr>
                <w:color w:val="auto"/>
              </w:rPr>
            </w:pPr>
            <w:r>
              <w:rPr>
                <w:rFonts w:ascii="微软雅黑" w:hAnsi="微软雅黑" w:eastAsia="微软雅黑" w:cs="微软雅黑"/>
                <w:color w:val="auto"/>
                <w:spacing w:val="3"/>
              </w:rPr>
              <w:t>□</w:t>
            </w:r>
            <w:r>
              <w:rPr>
                <w:color w:val="auto"/>
                <w:spacing w:val="3"/>
              </w:rPr>
              <w:t>超五年重新审核项目</w:t>
            </w:r>
          </w:p>
          <w:p w14:paraId="1E43609F">
            <w:pPr>
              <w:pStyle w:val="19"/>
              <w:spacing w:line="260" w:lineRule="exact"/>
              <w:ind w:left="0" w:leftChars="0" w:right="0" w:rightChars="0" w:firstLine="0" w:firstLineChars="0"/>
              <w:jc w:val="left"/>
              <w:rPr>
                <w:color w:val="auto"/>
              </w:rPr>
            </w:pPr>
            <w:r>
              <w:rPr>
                <w:rFonts w:ascii="微软雅黑" w:hAnsi="微软雅黑" w:eastAsia="微软雅黑" w:cs="微软雅黑"/>
                <w:color w:val="auto"/>
                <w:spacing w:val="3"/>
                <w:position w:val="-1"/>
              </w:rPr>
              <w:t>□</w:t>
            </w:r>
            <w:r>
              <w:rPr>
                <w:color w:val="auto"/>
                <w:spacing w:val="3"/>
                <w:position w:val="-1"/>
              </w:rPr>
              <w:t>重大变动重新报批项目</w:t>
            </w:r>
          </w:p>
        </w:tc>
      </w:tr>
      <w:tr w14:paraId="0D929A4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53" w:hRule="atLeast"/>
          <w:jc w:val="center"/>
        </w:trPr>
        <w:tc>
          <w:tcPr>
            <w:tcW w:w="1339" w:type="dxa"/>
            <w:tcBorders>
              <w:tl2br w:val="nil"/>
              <w:tr2bl w:val="nil"/>
            </w:tcBorders>
            <w:vAlign w:val="top"/>
          </w:tcPr>
          <w:p w14:paraId="2B9ADDBC">
            <w:pPr>
              <w:pStyle w:val="19"/>
              <w:spacing w:before="78" w:line="230" w:lineRule="auto"/>
              <w:ind w:left="0" w:leftChars="0" w:right="0" w:rightChars="0" w:firstLine="0" w:firstLineChars="0"/>
              <w:jc w:val="center"/>
              <w:rPr>
                <w:b/>
                <w:bCs/>
                <w:color w:val="auto"/>
              </w:rPr>
            </w:pPr>
            <w:r>
              <w:rPr>
                <w:rFonts w:ascii="宋体" w:hAnsi="宋体" w:eastAsia="宋体" w:cs="宋体"/>
                <w:b/>
                <w:bCs/>
                <w:color w:val="auto"/>
                <w:spacing w:val="-4"/>
              </w:rPr>
              <w:t>项目审批（核准/备案）部门</w:t>
            </w:r>
          </w:p>
        </w:tc>
        <w:tc>
          <w:tcPr>
            <w:tcW w:w="2932" w:type="dxa"/>
            <w:tcBorders>
              <w:tl2br w:val="nil"/>
              <w:tr2bl w:val="nil"/>
            </w:tcBorders>
            <w:vAlign w:val="center"/>
          </w:tcPr>
          <w:p w14:paraId="3E1696F6">
            <w:pPr>
              <w:pStyle w:val="19"/>
              <w:spacing w:before="78" w:line="219" w:lineRule="auto"/>
              <w:ind w:left="0" w:leftChars="0" w:right="0" w:rightChars="0" w:firstLine="0" w:firstLineChars="0"/>
              <w:jc w:val="center"/>
              <w:rPr>
                <w:color w:val="auto"/>
              </w:rPr>
            </w:pPr>
            <w:r>
              <w:rPr>
                <w:color w:val="auto"/>
                <w:spacing w:val="-2"/>
              </w:rPr>
              <w:t>泾源县审批服务管理局</w:t>
            </w:r>
          </w:p>
        </w:tc>
        <w:tc>
          <w:tcPr>
            <w:tcW w:w="2057" w:type="dxa"/>
            <w:tcBorders>
              <w:tl2br w:val="nil"/>
              <w:tr2bl w:val="nil"/>
            </w:tcBorders>
            <w:vAlign w:val="top"/>
          </w:tcPr>
          <w:p w14:paraId="3BFD8018">
            <w:pPr>
              <w:pStyle w:val="19"/>
              <w:spacing w:before="78" w:line="230" w:lineRule="auto"/>
              <w:ind w:left="0" w:leftChars="0" w:right="0" w:rightChars="0" w:firstLine="0" w:firstLineChars="0"/>
              <w:jc w:val="center"/>
              <w:rPr>
                <w:rFonts w:ascii="宋体" w:hAnsi="宋体" w:eastAsia="宋体" w:cs="宋体"/>
                <w:b/>
                <w:bCs/>
                <w:color w:val="auto"/>
                <w:spacing w:val="-4"/>
              </w:rPr>
            </w:pPr>
            <w:r>
              <w:rPr>
                <w:rFonts w:ascii="宋体" w:hAnsi="宋体" w:eastAsia="宋体" w:cs="宋体"/>
                <w:b/>
                <w:bCs/>
                <w:color w:val="auto"/>
                <w:spacing w:val="-4"/>
              </w:rPr>
              <w:t>项目审批</w:t>
            </w:r>
          </w:p>
          <w:p w14:paraId="3EF5A2FD">
            <w:pPr>
              <w:pStyle w:val="19"/>
              <w:spacing w:before="78" w:line="230" w:lineRule="auto"/>
              <w:ind w:left="0" w:leftChars="0" w:right="0" w:rightChars="0" w:firstLine="0" w:firstLineChars="0"/>
              <w:jc w:val="center"/>
              <w:rPr>
                <w:b/>
                <w:bCs/>
                <w:color w:val="auto"/>
              </w:rPr>
            </w:pPr>
            <w:r>
              <w:rPr>
                <w:rFonts w:ascii="宋体" w:hAnsi="宋体" w:eastAsia="宋体" w:cs="宋体"/>
                <w:b/>
                <w:bCs/>
                <w:color w:val="auto"/>
                <w:spacing w:val="-4"/>
              </w:rPr>
              <w:t>（核准/备案）文号</w:t>
            </w:r>
          </w:p>
        </w:tc>
        <w:tc>
          <w:tcPr>
            <w:tcW w:w="2714" w:type="dxa"/>
            <w:tcBorders>
              <w:tl2br w:val="nil"/>
              <w:tr2bl w:val="nil"/>
            </w:tcBorders>
            <w:vAlign w:val="center"/>
          </w:tcPr>
          <w:p w14:paraId="54615C30">
            <w:pPr>
              <w:pStyle w:val="19"/>
              <w:spacing w:before="78" w:line="22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spacing w:val="7"/>
                <w:lang w:val="en-US" w:eastAsia="zh-CN"/>
              </w:rPr>
              <w:t>2408</w:t>
            </w:r>
            <w:r>
              <w:rPr>
                <w:rFonts w:hint="default" w:ascii="Times New Roman" w:hAnsi="Times New Roman" w:cs="Times New Roman"/>
                <w:color w:val="auto"/>
                <w:spacing w:val="7"/>
              </w:rPr>
              <w:t>-64042</w:t>
            </w:r>
            <w:r>
              <w:rPr>
                <w:rFonts w:hint="default" w:ascii="Times New Roman" w:hAnsi="Times New Roman" w:eastAsia="宋体" w:cs="Times New Roman"/>
                <w:color w:val="auto"/>
                <w:spacing w:val="7"/>
                <w:lang w:val="en-US" w:eastAsia="zh-CN"/>
              </w:rPr>
              <w:t>4</w:t>
            </w:r>
            <w:r>
              <w:rPr>
                <w:rFonts w:hint="default" w:ascii="Times New Roman" w:hAnsi="Times New Roman" w:cs="Times New Roman"/>
                <w:color w:val="auto"/>
                <w:spacing w:val="7"/>
              </w:rPr>
              <w:t>-</w:t>
            </w:r>
            <w:r>
              <w:rPr>
                <w:rFonts w:hint="default" w:ascii="Times New Roman" w:hAnsi="Times New Roman" w:eastAsia="宋体" w:cs="Times New Roman"/>
                <w:color w:val="auto"/>
                <w:spacing w:val="7"/>
                <w:lang w:val="en-US" w:eastAsia="zh-CN"/>
              </w:rPr>
              <w:t>04</w:t>
            </w:r>
            <w:r>
              <w:rPr>
                <w:rFonts w:hint="default" w:ascii="Times New Roman" w:hAnsi="Times New Roman" w:cs="Times New Roman"/>
                <w:color w:val="auto"/>
                <w:spacing w:val="7"/>
              </w:rPr>
              <w:t>-0</w:t>
            </w:r>
            <w:r>
              <w:rPr>
                <w:rFonts w:hint="default" w:ascii="Times New Roman" w:hAnsi="Times New Roman" w:eastAsia="宋体" w:cs="Times New Roman"/>
                <w:color w:val="auto"/>
                <w:spacing w:val="7"/>
                <w:lang w:val="en-US" w:eastAsia="zh-CN"/>
              </w:rPr>
              <w:t>1</w:t>
            </w:r>
            <w:r>
              <w:rPr>
                <w:rFonts w:hint="default" w:ascii="Times New Roman" w:hAnsi="Times New Roman" w:cs="Times New Roman"/>
                <w:color w:val="auto"/>
                <w:spacing w:val="7"/>
              </w:rPr>
              <w:t>-</w:t>
            </w:r>
            <w:r>
              <w:rPr>
                <w:rFonts w:hint="default" w:ascii="Times New Roman" w:hAnsi="Times New Roman" w:eastAsia="宋体" w:cs="Times New Roman"/>
                <w:color w:val="auto"/>
                <w:spacing w:val="7"/>
                <w:lang w:val="en-US" w:eastAsia="zh-CN"/>
              </w:rPr>
              <w:t>939192</w:t>
            </w:r>
          </w:p>
        </w:tc>
      </w:tr>
      <w:tr w14:paraId="7379A6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top"/>
          </w:tcPr>
          <w:p w14:paraId="6583E727">
            <w:pPr>
              <w:pStyle w:val="19"/>
              <w:spacing w:before="62" w:line="219" w:lineRule="auto"/>
              <w:ind w:left="0" w:leftChars="0" w:right="0" w:rightChars="0" w:firstLine="0" w:firstLineChars="0"/>
              <w:jc w:val="center"/>
              <w:rPr>
                <w:b/>
                <w:bCs/>
                <w:color w:val="auto"/>
                <w:spacing w:val="-4"/>
              </w:rPr>
            </w:pPr>
            <w:r>
              <w:rPr>
                <w:b/>
                <w:bCs/>
                <w:color w:val="auto"/>
                <w:spacing w:val="-4"/>
              </w:rPr>
              <w:t>总投资</w:t>
            </w:r>
          </w:p>
          <w:p w14:paraId="5E63974C">
            <w:pPr>
              <w:pStyle w:val="19"/>
              <w:spacing w:before="62" w:line="219" w:lineRule="auto"/>
              <w:ind w:left="0" w:leftChars="0" w:right="0" w:rightChars="0" w:firstLine="0" w:firstLineChars="0"/>
              <w:jc w:val="center"/>
              <w:rPr>
                <w:b/>
                <w:bCs/>
                <w:color w:val="auto"/>
              </w:rPr>
            </w:pPr>
            <w:r>
              <w:rPr>
                <w:b/>
                <w:bCs/>
                <w:color w:val="auto"/>
                <w:spacing w:val="-4"/>
              </w:rPr>
              <w:t>（万</w:t>
            </w:r>
            <w:r>
              <w:rPr>
                <w:b/>
                <w:bCs/>
                <w:color w:val="auto"/>
                <w:spacing w:val="-6"/>
              </w:rPr>
              <w:t>元）</w:t>
            </w:r>
          </w:p>
        </w:tc>
        <w:tc>
          <w:tcPr>
            <w:tcW w:w="2932" w:type="dxa"/>
            <w:tcBorders>
              <w:tl2br w:val="nil"/>
              <w:tr2bl w:val="nil"/>
            </w:tcBorders>
            <w:vAlign w:val="center"/>
          </w:tcPr>
          <w:p w14:paraId="4E2940C0">
            <w:pPr>
              <w:pStyle w:val="19"/>
              <w:spacing w:before="78" w:line="220" w:lineRule="auto"/>
              <w:ind w:left="0" w:leftChars="0" w:right="0" w:righ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159638</w:t>
            </w:r>
          </w:p>
        </w:tc>
        <w:tc>
          <w:tcPr>
            <w:tcW w:w="2057" w:type="dxa"/>
            <w:tcBorders>
              <w:tl2br w:val="nil"/>
              <w:tr2bl w:val="nil"/>
            </w:tcBorders>
            <w:vAlign w:val="top"/>
          </w:tcPr>
          <w:p w14:paraId="2A215D41">
            <w:pPr>
              <w:pStyle w:val="19"/>
              <w:spacing w:before="218" w:line="220" w:lineRule="auto"/>
              <w:ind w:left="76"/>
              <w:rPr>
                <w:b/>
                <w:bCs/>
                <w:color w:val="auto"/>
              </w:rPr>
            </w:pPr>
            <w:r>
              <w:rPr>
                <w:b/>
                <w:bCs/>
                <w:color w:val="auto"/>
                <w:spacing w:val="-2"/>
              </w:rPr>
              <w:t>环保投资（万元）</w:t>
            </w:r>
          </w:p>
        </w:tc>
        <w:tc>
          <w:tcPr>
            <w:tcW w:w="2714" w:type="dxa"/>
            <w:tcBorders>
              <w:tl2br w:val="nil"/>
              <w:tr2bl w:val="nil"/>
            </w:tcBorders>
            <w:vAlign w:val="top"/>
          </w:tcPr>
          <w:p w14:paraId="1F683AB9">
            <w:pPr>
              <w:spacing w:before="260" w:line="188" w:lineRule="auto"/>
              <w:ind w:left="1157"/>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335.25</w:t>
            </w:r>
          </w:p>
        </w:tc>
      </w:tr>
      <w:tr w14:paraId="16563E0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top"/>
          </w:tcPr>
          <w:p w14:paraId="3A8D42AC">
            <w:pPr>
              <w:pStyle w:val="19"/>
              <w:spacing w:before="62" w:line="219" w:lineRule="auto"/>
              <w:ind w:left="0" w:leftChars="0" w:right="0" w:rightChars="0" w:firstLine="0" w:firstLineChars="0"/>
              <w:jc w:val="center"/>
              <w:rPr>
                <w:b/>
                <w:bCs/>
                <w:color w:val="auto"/>
                <w:spacing w:val="-2"/>
              </w:rPr>
            </w:pPr>
            <w:r>
              <w:rPr>
                <w:b/>
                <w:bCs/>
                <w:color w:val="auto"/>
                <w:spacing w:val="-2"/>
              </w:rPr>
              <w:t>环保投资</w:t>
            </w:r>
          </w:p>
          <w:p w14:paraId="60895B38">
            <w:pPr>
              <w:pStyle w:val="19"/>
              <w:spacing w:before="62" w:line="219" w:lineRule="auto"/>
              <w:ind w:left="0" w:leftChars="0" w:right="0" w:rightChars="0" w:firstLine="0" w:firstLineChars="0"/>
              <w:jc w:val="center"/>
              <w:rPr>
                <w:b/>
                <w:bCs/>
                <w:color w:val="auto"/>
              </w:rPr>
            </w:pPr>
            <w:r>
              <w:rPr>
                <w:b/>
                <w:bCs/>
                <w:color w:val="auto"/>
                <w:spacing w:val="-2"/>
              </w:rPr>
              <w:t>占</w:t>
            </w:r>
            <w:r>
              <w:rPr>
                <w:b/>
                <w:bCs/>
                <w:color w:val="auto"/>
                <w:spacing w:val="-9"/>
              </w:rPr>
              <w:t>比（</w:t>
            </w:r>
            <w:r>
              <w:rPr>
                <w:rFonts w:ascii="Times New Roman" w:hAnsi="Times New Roman" w:eastAsia="Times New Roman" w:cs="Times New Roman"/>
                <w:b/>
                <w:bCs/>
                <w:color w:val="auto"/>
                <w:spacing w:val="-9"/>
              </w:rPr>
              <w:t>%</w:t>
            </w:r>
            <w:r>
              <w:rPr>
                <w:b/>
                <w:bCs/>
                <w:color w:val="auto"/>
                <w:spacing w:val="-9"/>
              </w:rPr>
              <w:t>）</w:t>
            </w:r>
          </w:p>
        </w:tc>
        <w:tc>
          <w:tcPr>
            <w:tcW w:w="2932" w:type="dxa"/>
            <w:tcBorders>
              <w:tl2br w:val="nil"/>
              <w:tr2bl w:val="nil"/>
            </w:tcBorders>
            <w:vAlign w:val="top"/>
          </w:tcPr>
          <w:p w14:paraId="3EFE6D76">
            <w:pPr>
              <w:spacing w:before="261" w:line="188" w:lineRule="auto"/>
              <w:ind w:left="1277"/>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0.21</w:t>
            </w:r>
          </w:p>
        </w:tc>
        <w:tc>
          <w:tcPr>
            <w:tcW w:w="2057" w:type="dxa"/>
            <w:tcBorders>
              <w:tl2br w:val="nil"/>
              <w:tr2bl w:val="nil"/>
            </w:tcBorders>
            <w:vAlign w:val="top"/>
          </w:tcPr>
          <w:p w14:paraId="211706F9">
            <w:pPr>
              <w:pStyle w:val="19"/>
              <w:spacing w:before="219" w:line="220" w:lineRule="auto"/>
              <w:ind w:left="555"/>
              <w:rPr>
                <w:b/>
                <w:bCs/>
                <w:color w:val="auto"/>
              </w:rPr>
            </w:pPr>
            <w:r>
              <w:rPr>
                <w:b/>
                <w:bCs/>
                <w:color w:val="auto"/>
                <w:spacing w:val="-3"/>
              </w:rPr>
              <w:t>施工工期</w:t>
            </w:r>
          </w:p>
        </w:tc>
        <w:tc>
          <w:tcPr>
            <w:tcW w:w="2714" w:type="dxa"/>
            <w:tcBorders>
              <w:tl2br w:val="nil"/>
              <w:tr2bl w:val="nil"/>
            </w:tcBorders>
            <w:vAlign w:val="center"/>
          </w:tcPr>
          <w:p w14:paraId="5EBCDFF9">
            <w:pPr>
              <w:pStyle w:val="19"/>
              <w:spacing w:before="78" w:line="220" w:lineRule="auto"/>
              <w:ind w:left="0" w:leftChars="0" w:right="0" w:rightChars="0" w:firstLine="0" w:firstLineChars="0"/>
              <w:jc w:val="center"/>
              <w:rPr>
                <w:rFonts w:hint="default" w:eastAsia="宋体"/>
                <w:color w:val="auto"/>
                <w:lang w:val="en-US" w:eastAsia="zh-CN"/>
              </w:rPr>
            </w:pPr>
            <w:r>
              <w:rPr>
                <w:rFonts w:hint="eastAsia" w:ascii="Times New Roman" w:hAnsi="Times New Roman" w:eastAsia="宋体" w:cs="Times New Roman"/>
                <w:color w:val="auto"/>
                <w:spacing w:val="7"/>
                <w:lang w:val="en-US" w:eastAsia="zh-CN"/>
              </w:rPr>
              <w:t>6个月</w:t>
            </w:r>
          </w:p>
        </w:tc>
      </w:tr>
      <w:tr w14:paraId="5D742E2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top"/>
          </w:tcPr>
          <w:p w14:paraId="2297716E">
            <w:pPr>
              <w:pStyle w:val="19"/>
              <w:spacing w:before="67" w:line="217" w:lineRule="auto"/>
              <w:ind w:left="0" w:leftChars="0" w:right="0" w:rightChars="0" w:firstLine="0" w:firstLineChars="0"/>
              <w:jc w:val="center"/>
              <w:rPr>
                <w:b/>
                <w:bCs/>
                <w:color w:val="auto"/>
                <w:spacing w:val="-3"/>
              </w:rPr>
            </w:pPr>
            <w:r>
              <w:rPr>
                <w:b/>
                <w:bCs/>
                <w:color w:val="auto"/>
                <w:spacing w:val="-3"/>
              </w:rPr>
              <w:t>是否开工</w:t>
            </w:r>
          </w:p>
          <w:p w14:paraId="4272DA09">
            <w:pPr>
              <w:pStyle w:val="19"/>
              <w:spacing w:before="67" w:line="217" w:lineRule="auto"/>
              <w:ind w:left="0" w:leftChars="0" w:right="0" w:rightChars="0" w:firstLine="0" w:firstLineChars="0"/>
              <w:jc w:val="center"/>
              <w:rPr>
                <w:b/>
                <w:bCs/>
                <w:color w:val="auto"/>
              </w:rPr>
            </w:pPr>
            <w:r>
              <w:rPr>
                <w:b/>
                <w:bCs/>
                <w:color w:val="auto"/>
                <w:spacing w:val="-3"/>
              </w:rPr>
              <w:t>建</w:t>
            </w:r>
            <w:r>
              <w:rPr>
                <w:b/>
                <w:bCs/>
                <w:color w:val="auto"/>
              </w:rPr>
              <w:t>设</w:t>
            </w:r>
          </w:p>
        </w:tc>
        <w:tc>
          <w:tcPr>
            <w:tcW w:w="7703" w:type="dxa"/>
            <w:gridSpan w:val="3"/>
            <w:tcBorders>
              <w:tl2br w:val="nil"/>
              <w:tr2bl w:val="nil"/>
            </w:tcBorders>
            <w:vAlign w:val="top"/>
          </w:tcPr>
          <w:p w14:paraId="269D1FF9">
            <w:pPr>
              <w:pStyle w:val="19"/>
              <w:spacing w:before="65" w:line="165" w:lineRule="auto"/>
              <w:ind w:left="14" w:right="7060"/>
              <w:rPr>
                <w:color w:val="auto"/>
                <w:spacing w:val="-24"/>
              </w:rPr>
            </w:pPr>
            <w:r>
              <w:rPr>
                <w:rFonts w:hint="eastAsia" w:ascii="微软雅黑" w:hAnsi="微软雅黑" w:eastAsia="微软雅黑" w:cs="微软雅黑"/>
                <w:color w:val="auto"/>
                <w:spacing w:val="3"/>
                <w:lang w:eastAsia="zh-CN"/>
              </w:rPr>
              <w:t>☑</w:t>
            </w:r>
            <w:r>
              <w:rPr>
                <w:color w:val="auto"/>
                <w:spacing w:val="-24"/>
              </w:rPr>
              <w:t>否</w:t>
            </w:r>
          </w:p>
          <w:p w14:paraId="4D539CC8">
            <w:pPr>
              <w:pStyle w:val="19"/>
              <w:spacing w:before="65" w:line="165" w:lineRule="auto"/>
              <w:ind w:left="14" w:right="7060"/>
              <w:rPr>
                <w:color w:val="auto"/>
              </w:rPr>
            </w:pPr>
            <w:r>
              <w:rPr>
                <w:rFonts w:hint="eastAsia" w:ascii="微软雅黑" w:hAnsi="微软雅黑" w:eastAsia="微软雅黑" w:cs="微软雅黑"/>
                <w:color w:val="auto"/>
                <w:spacing w:val="-8"/>
                <w:lang w:eastAsia="zh-CN"/>
              </w:rPr>
              <w:t>□</w:t>
            </w:r>
            <w:r>
              <w:rPr>
                <w:color w:val="auto"/>
                <w:spacing w:val="-8"/>
              </w:rPr>
              <w:t>是</w:t>
            </w:r>
          </w:p>
        </w:tc>
      </w:tr>
      <w:tr w14:paraId="063FDE8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339" w:type="dxa"/>
            <w:tcBorders>
              <w:tl2br w:val="nil"/>
              <w:tr2bl w:val="nil"/>
            </w:tcBorders>
            <w:vAlign w:val="top"/>
          </w:tcPr>
          <w:p w14:paraId="176DCD9F">
            <w:pPr>
              <w:pStyle w:val="19"/>
              <w:spacing w:before="67" w:line="217" w:lineRule="auto"/>
              <w:ind w:left="0" w:leftChars="0" w:right="0" w:rightChars="0" w:firstLine="0" w:firstLineChars="0"/>
              <w:jc w:val="center"/>
              <w:rPr>
                <w:b/>
                <w:bCs/>
                <w:color w:val="auto"/>
                <w:spacing w:val="-3"/>
              </w:rPr>
            </w:pPr>
            <w:r>
              <w:rPr>
                <w:b/>
                <w:bCs/>
                <w:color w:val="auto"/>
                <w:spacing w:val="-3"/>
              </w:rPr>
              <w:t>专项评价</w:t>
            </w:r>
          </w:p>
          <w:p w14:paraId="2E3170A0">
            <w:pPr>
              <w:pStyle w:val="19"/>
              <w:spacing w:before="67" w:line="217" w:lineRule="auto"/>
              <w:ind w:left="0" w:leftChars="0" w:right="0" w:rightChars="0" w:firstLine="0" w:firstLineChars="0"/>
              <w:jc w:val="center"/>
              <w:rPr>
                <w:b/>
                <w:bCs/>
                <w:color w:val="auto"/>
              </w:rPr>
            </w:pPr>
            <w:r>
              <w:rPr>
                <w:b/>
                <w:bCs/>
                <w:color w:val="auto"/>
                <w:spacing w:val="-3"/>
              </w:rPr>
              <w:t>设置情况</w:t>
            </w:r>
          </w:p>
        </w:tc>
        <w:tc>
          <w:tcPr>
            <w:tcW w:w="7703" w:type="dxa"/>
            <w:gridSpan w:val="3"/>
            <w:tcBorders>
              <w:tl2br w:val="nil"/>
              <w:tr2bl w:val="nil"/>
            </w:tcBorders>
            <w:vAlign w:val="top"/>
          </w:tcPr>
          <w:p w14:paraId="7382B371">
            <w:pPr>
              <w:pStyle w:val="19"/>
              <w:spacing w:before="221" w:line="220" w:lineRule="auto"/>
              <w:ind w:left="3735"/>
              <w:rPr>
                <w:color w:val="auto"/>
              </w:rPr>
            </w:pPr>
            <w:r>
              <w:rPr>
                <w:color w:val="auto"/>
              </w:rPr>
              <w:t>无</w:t>
            </w:r>
          </w:p>
        </w:tc>
      </w:tr>
      <w:tr w14:paraId="1959452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39" w:type="dxa"/>
            <w:tcBorders>
              <w:tl2br w:val="nil"/>
              <w:tr2bl w:val="nil"/>
            </w:tcBorders>
            <w:vAlign w:val="center"/>
          </w:tcPr>
          <w:p w14:paraId="39632221">
            <w:pPr>
              <w:pStyle w:val="19"/>
              <w:spacing w:before="78" w:line="220" w:lineRule="auto"/>
              <w:ind w:left="0" w:leftChars="0" w:right="0" w:rightChars="0" w:firstLine="0" w:firstLineChars="0"/>
              <w:jc w:val="center"/>
              <w:rPr>
                <w:b/>
                <w:bCs/>
                <w:color w:val="auto"/>
              </w:rPr>
            </w:pPr>
            <w:r>
              <w:rPr>
                <w:b/>
                <w:bCs/>
                <w:color w:val="auto"/>
                <w:spacing w:val="-3"/>
              </w:rPr>
              <w:t>规划情况</w:t>
            </w:r>
          </w:p>
        </w:tc>
        <w:tc>
          <w:tcPr>
            <w:tcW w:w="7703" w:type="dxa"/>
            <w:gridSpan w:val="3"/>
            <w:tcBorders>
              <w:tl2br w:val="nil"/>
              <w:tr2bl w:val="nil"/>
            </w:tcBorders>
            <w:vAlign w:val="top"/>
          </w:tcPr>
          <w:p w14:paraId="0D5DFF3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firstLineChars="200"/>
              <w:textAlignment w:val="baseline"/>
              <w:rPr>
                <w:color w:val="auto"/>
              </w:rPr>
            </w:pPr>
            <w:r>
              <w:rPr>
                <w:b/>
                <w:bCs/>
                <w:color w:val="auto"/>
                <w:spacing w:val="-2"/>
              </w:rPr>
              <w:t>规划名称：</w:t>
            </w:r>
            <w:r>
              <w:rPr>
                <w:color w:val="auto"/>
                <w:spacing w:val="-2"/>
              </w:rPr>
              <w:t>《宁夏回族自治区水安全保障“十四五”规划》</w:t>
            </w:r>
          </w:p>
          <w:p w14:paraId="1818558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firstLineChars="200"/>
              <w:textAlignment w:val="baseline"/>
              <w:rPr>
                <w:color w:val="auto"/>
              </w:rPr>
            </w:pPr>
            <w:r>
              <w:rPr>
                <w:b/>
                <w:bCs/>
                <w:color w:val="auto"/>
                <w:spacing w:val="-2"/>
              </w:rPr>
              <w:t>审批机关：</w:t>
            </w:r>
            <w:r>
              <w:rPr>
                <w:color w:val="auto"/>
                <w:spacing w:val="-2"/>
              </w:rPr>
              <w:t>宁夏回族自治区人民政府</w:t>
            </w:r>
          </w:p>
          <w:p w14:paraId="5E5EEEC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firstLineChars="200"/>
              <w:textAlignment w:val="baseline"/>
              <w:rPr>
                <w:color w:val="auto"/>
              </w:rPr>
            </w:pPr>
            <w:r>
              <w:rPr>
                <w:b/>
                <w:bCs/>
                <w:color w:val="auto"/>
                <w:spacing w:val="-2"/>
              </w:rPr>
              <w:t>审查文件名称及文号：</w:t>
            </w:r>
            <w:r>
              <w:rPr>
                <w:color w:val="auto"/>
                <w:spacing w:val="-2"/>
              </w:rPr>
              <w:t>《自治区人民政府办公厅关于印发宁夏回族自</w:t>
            </w:r>
            <w:r>
              <w:rPr>
                <w:color w:val="auto"/>
                <w:spacing w:val="12"/>
              </w:rPr>
              <w:t xml:space="preserve"> </w:t>
            </w:r>
            <w:r>
              <w:rPr>
                <w:color w:val="auto"/>
                <w:spacing w:val="-2"/>
              </w:rPr>
              <w:t>治区水安全保障“十四五</w:t>
            </w:r>
            <w:r>
              <w:rPr>
                <w:color w:val="auto"/>
                <w:spacing w:val="-71"/>
              </w:rPr>
              <w:t xml:space="preserve"> </w:t>
            </w:r>
            <w:r>
              <w:rPr>
                <w:color w:val="auto"/>
                <w:spacing w:val="-2"/>
              </w:rPr>
              <w:t>”规划的通知》（宁政办发〔</w:t>
            </w:r>
            <w:r>
              <w:rPr>
                <w:rFonts w:ascii="Times New Roman" w:hAnsi="Times New Roman" w:eastAsia="Times New Roman" w:cs="Times New Roman"/>
                <w:color w:val="auto"/>
                <w:spacing w:val="-2"/>
              </w:rPr>
              <w:t>2021</w:t>
            </w:r>
            <w:r>
              <w:rPr>
                <w:color w:val="auto"/>
                <w:spacing w:val="-2"/>
              </w:rPr>
              <w:t>〕</w:t>
            </w:r>
            <w:r>
              <w:rPr>
                <w:rFonts w:ascii="Times New Roman" w:hAnsi="Times New Roman" w:eastAsia="Times New Roman" w:cs="Times New Roman"/>
                <w:color w:val="auto"/>
                <w:spacing w:val="-2"/>
              </w:rPr>
              <w:t>82</w:t>
            </w:r>
            <w:r>
              <w:rPr>
                <w:color w:val="auto"/>
                <w:spacing w:val="-2"/>
              </w:rPr>
              <w:t>号）</w:t>
            </w:r>
          </w:p>
        </w:tc>
      </w:tr>
      <w:tr w14:paraId="5C92D1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55" w:hRule="atLeast"/>
          <w:jc w:val="center"/>
        </w:trPr>
        <w:tc>
          <w:tcPr>
            <w:tcW w:w="1339" w:type="dxa"/>
            <w:tcBorders>
              <w:tl2br w:val="nil"/>
              <w:tr2bl w:val="nil"/>
            </w:tcBorders>
            <w:vAlign w:val="center"/>
          </w:tcPr>
          <w:p w14:paraId="2BC2E87A">
            <w:pPr>
              <w:pStyle w:val="19"/>
              <w:spacing w:before="78" w:line="231" w:lineRule="auto"/>
              <w:ind w:left="0" w:leftChars="0" w:right="0" w:rightChars="0" w:firstLine="0" w:firstLineChars="0"/>
              <w:jc w:val="center"/>
              <w:rPr>
                <w:b/>
                <w:bCs/>
                <w:color w:val="auto"/>
              </w:rPr>
            </w:pPr>
            <w:r>
              <w:rPr>
                <w:b/>
                <w:bCs/>
                <w:color w:val="auto"/>
                <w:spacing w:val="-3"/>
              </w:rPr>
              <w:t>规划环境影</w:t>
            </w:r>
            <w:r>
              <w:rPr>
                <w:b/>
                <w:bCs/>
                <w:color w:val="auto"/>
              </w:rPr>
              <w:t>响</w:t>
            </w:r>
            <w:r>
              <w:rPr>
                <w:b/>
                <w:bCs/>
                <w:color w:val="auto"/>
                <w:spacing w:val="-3"/>
              </w:rPr>
              <w:t>评价情况</w:t>
            </w:r>
          </w:p>
        </w:tc>
        <w:tc>
          <w:tcPr>
            <w:tcW w:w="7703" w:type="dxa"/>
            <w:gridSpan w:val="3"/>
            <w:tcBorders>
              <w:tl2br w:val="nil"/>
              <w:tr2bl w:val="nil"/>
            </w:tcBorders>
            <w:vAlign w:val="top"/>
          </w:tcPr>
          <w:p w14:paraId="2D86C59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textAlignment w:val="baseline"/>
              <w:rPr>
                <w:color w:val="auto"/>
              </w:rPr>
            </w:pPr>
            <w:r>
              <w:rPr>
                <w:b/>
                <w:bCs/>
                <w:color w:val="auto"/>
                <w:spacing w:val="-3"/>
              </w:rPr>
              <w:t>规划环境影响评价文件名称：</w:t>
            </w:r>
            <w:r>
              <w:rPr>
                <w:color w:val="auto"/>
                <w:spacing w:val="-3"/>
              </w:rPr>
              <w:t>《宁夏水安全保障“十四五”规划环境</w:t>
            </w:r>
            <w:r>
              <w:rPr>
                <w:color w:val="auto"/>
              </w:rPr>
              <w:t xml:space="preserve"> </w:t>
            </w:r>
            <w:r>
              <w:rPr>
                <w:color w:val="auto"/>
                <w:spacing w:val="-2"/>
              </w:rPr>
              <w:t>影响报告书》</w:t>
            </w:r>
          </w:p>
          <w:p w14:paraId="26BCED6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4" w:firstLineChars="200"/>
              <w:textAlignment w:val="baseline"/>
              <w:rPr>
                <w:color w:val="auto"/>
              </w:rPr>
            </w:pPr>
            <w:r>
              <w:rPr>
                <w:b/>
                <w:bCs/>
                <w:color w:val="auto"/>
                <w:spacing w:val="-7"/>
              </w:rPr>
              <w:t>审查机关：</w:t>
            </w:r>
            <w:r>
              <w:rPr>
                <w:color w:val="auto"/>
                <w:spacing w:val="-7"/>
              </w:rPr>
              <w:t>自治区生态环境厅</w:t>
            </w:r>
          </w:p>
          <w:p w14:paraId="04A9655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textAlignment w:val="baseline"/>
              <w:rPr>
                <w:color w:val="auto"/>
              </w:rPr>
            </w:pPr>
            <w:r>
              <w:rPr>
                <w:b/>
                <w:bCs/>
                <w:color w:val="auto"/>
                <w:spacing w:val="-3"/>
              </w:rPr>
              <w:t>审查文件名称及文号：</w:t>
            </w:r>
            <w:r>
              <w:rPr>
                <w:color w:val="auto"/>
                <w:spacing w:val="-3"/>
              </w:rPr>
              <w:t>自治区生态环境厅关于《</w:t>
            </w:r>
            <w:r>
              <w:rPr>
                <w:color w:val="auto"/>
                <w:spacing w:val="-4"/>
              </w:rPr>
              <w:t>宁夏水安全保障“十</w:t>
            </w:r>
            <w:r>
              <w:rPr>
                <w:color w:val="auto"/>
                <w:spacing w:val="-2"/>
              </w:rPr>
              <w:t>四五”规划环境影响报告书》审查意见的函（宁环函〔</w:t>
            </w:r>
            <w:r>
              <w:rPr>
                <w:rFonts w:ascii="Times New Roman" w:hAnsi="Times New Roman" w:eastAsia="Times New Roman" w:cs="Times New Roman"/>
                <w:color w:val="auto"/>
                <w:spacing w:val="-2"/>
              </w:rPr>
              <w:t>2021</w:t>
            </w:r>
            <w:r>
              <w:rPr>
                <w:color w:val="auto"/>
                <w:spacing w:val="-2"/>
              </w:rPr>
              <w:t>〕</w:t>
            </w:r>
            <w:r>
              <w:rPr>
                <w:rFonts w:ascii="Times New Roman" w:hAnsi="Times New Roman" w:eastAsia="Times New Roman" w:cs="Times New Roman"/>
                <w:color w:val="auto"/>
                <w:spacing w:val="-2"/>
              </w:rPr>
              <w:t>721</w:t>
            </w:r>
            <w:r>
              <w:rPr>
                <w:color w:val="auto"/>
                <w:spacing w:val="-2"/>
              </w:rPr>
              <w:t>号）</w:t>
            </w:r>
          </w:p>
        </w:tc>
      </w:tr>
      <w:tr w14:paraId="514E05F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552" w:hRule="atLeast"/>
          <w:jc w:val="center"/>
        </w:trPr>
        <w:tc>
          <w:tcPr>
            <w:tcW w:w="1339" w:type="dxa"/>
            <w:tcBorders>
              <w:tl2br w:val="nil"/>
              <w:tr2bl w:val="nil"/>
            </w:tcBorders>
            <w:vAlign w:val="center"/>
          </w:tcPr>
          <w:p w14:paraId="19C03E32">
            <w:pPr>
              <w:pStyle w:val="19"/>
              <w:spacing w:before="78" w:line="231" w:lineRule="auto"/>
              <w:ind w:left="0" w:leftChars="0" w:right="0" w:rightChars="0" w:firstLine="0" w:firstLineChars="0"/>
              <w:jc w:val="center"/>
              <w:rPr>
                <w:b/>
                <w:bCs/>
                <w:color w:val="auto"/>
                <w:spacing w:val="-3"/>
              </w:rPr>
            </w:pPr>
            <w:r>
              <w:rPr>
                <w:b/>
                <w:bCs/>
                <w:color w:val="auto"/>
                <w:spacing w:val="-3"/>
              </w:rPr>
              <w:t>规划及规划环境影响评价符合性分析</w:t>
            </w:r>
          </w:p>
        </w:tc>
        <w:tc>
          <w:tcPr>
            <w:tcW w:w="7703" w:type="dxa"/>
            <w:gridSpan w:val="3"/>
            <w:tcBorders>
              <w:tl2br w:val="nil"/>
              <w:tr2bl w:val="nil"/>
            </w:tcBorders>
            <w:vAlign w:val="top"/>
          </w:tcPr>
          <w:p w14:paraId="22FDD44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color w:val="auto"/>
              </w:rPr>
            </w:pPr>
            <w:r>
              <w:rPr>
                <w:rFonts w:ascii="Times New Roman" w:hAnsi="Times New Roman" w:eastAsia="Times New Roman" w:cs="Times New Roman"/>
                <w:b/>
                <w:bCs/>
                <w:color w:val="auto"/>
                <w:spacing w:val="-3"/>
              </w:rPr>
              <w:t>1</w:t>
            </w:r>
            <w:r>
              <w:rPr>
                <w:rFonts w:hint="eastAsia" w:ascii="Times New Roman" w:hAnsi="Times New Roman" w:eastAsia="宋体" w:cs="Times New Roman"/>
                <w:b/>
                <w:bCs/>
                <w:color w:val="auto"/>
                <w:spacing w:val="-3"/>
                <w:lang w:val="en-US" w:eastAsia="zh-CN"/>
              </w:rPr>
              <w:t xml:space="preserve"> </w:t>
            </w:r>
            <w:r>
              <w:rPr>
                <w:b/>
                <w:bCs/>
                <w:color w:val="auto"/>
                <w:spacing w:val="-3"/>
              </w:rPr>
              <w:t>《宁夏回族自治区水安全保障</w:t>
            </w:r>
            <w:r>
              <w:rPr>
                <w:rFonts w:hint="eastAsia"/>
                <w:b/>
                <w:bCs/>
                <w:color w:val="auto"/>
                <w:spacing w:val="-3"/>
                <w:lang w:eastAsia="zh-CN"/>
              </w:rPr>
              <w:t>“</w:t>
            </w:r>
            <w:r>
              <w:rPr>
                <w:b/>
                <w:bCs/>
                <w:color w:val="auto"/>
                <w:spacing w:val="-3"/>
              </w:rPr>
              <w:t>十四五</w:t>
            </w:r>
            <w:r>
              <w:rPr>
                <w:rFonts w:hint="eastAsia"/>
                <w:b/>
                <w:bCs/>
                <w:color w:val="auto"/>
                <w:spacing w:val="-3"/>
                <w:lang w:eastAsia="zh-CN"/>
              </w:rPr>
              <w:t>”</w:t>
            </w:r>
            <w:r>
              <w:rPr>
                <w:b/>
                <w:bCs/>
                <w:color w:val="auto"/>
                <w:spacing w:val="-3"/>
              </w:rPr>
              <w:t>规划》符</w:t>
            </w:r>
            <w:r>
              <w:rPr>
                <w:b/>
                <w:bCs/>
                <w:color w:val="auto"/>
                <w:spacing w:val="-4"/>
              </w:rPr>
              <w:t>合性分析</w:t>
            </w:r>
          </w:p>
          <w:p w14:paraId="18CBE7F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eastAsia="宋体"/>
                <w:color w:val="auto"/>
                <w:lang w:val="en-US" w:eastAsia="zh-CN"/>
              </w:rPr>
            </w:pPr>
            <w:r>
              <w:rPr>
                <w:color w:val="auto"/>
                <w:spacing w:val="-2"/>
              </w:rPr>
              <w:t>《宁夏回族自治区水安全保障</w:t>
            </w:r>
            <w:r>
              <w:rPr>
                <w:rFonts w:hint="eastAsia"/>
                <w:color w:val="auto"/>
                <w:spacing w:val="-2"/>
                <w:lang w:eastAsia="zh-CN"/>
              </w:rPr>
              <w:t>“</w:t>
            </w:r>
            <w:r>
              <w:rPr>
                <w:color w:val="auto"/>
                <w:spacing w:val="-2"/>
              </w:rPr>
              <w:t>十四五</w:t>
            </w:r>
            <w:r>
              <w:rPr>
                <w:rFonts w:hint="eastAsia"/>
                <w:color w:val="auto"/>
                <w:spacing w:val="-2"/>
                <w:lang w:eastAsia="zh-CN"/>
              </w:rPr>
              <w:t>”</w:t>
            </w:r>
            <w:r>
              <w:rPr>
                <w:color w:val="auto"/>
                <w:spacing w:val="-2"/>
              </w:rPr>
              <w:t>规划》中明确指出：</w:t>
            </w:r>
            <w:r>
              <w:rPr>
                <w:rFonts w:hint="eastAsia"/>
                <w:color w:val="auto"/>
                <w:spacing w:val="-2"/>
                <w:lang w:eastAsia="zh-CN"/>
              </w:rPr>
              <w:t>“</w:t>
            </w:r>
            <w:r>
              <w:rPr>
                <w:b/>
                <w:bCs/>
                <w:color w:val="auto"/>
                <w:spacing w:val="-4"/>
              </w:rPr>
              <w:t>持续开展中小河流提标治理。</w:t>
            </w:r>
            <w:r>
              <w:rPr>
                <w:color w:val="auto"/>
                <w:spacing w:val="-4"/>
              </w:rPr>
              <w:t>按照生态治河理念，以保证防洪排水安</w:t>
            </w:r>
            <w:r>
              <w:rPr>
                <w:color w:val="auto"/>
                <w:spacing w:val="-8"/>
              </w:rPr>
              <w:t>全为基础，结合水美乡村建设，通过实施堤防加固、岸坡防护、清淤疏浚、</w:t>
            </w:r>
            <w:r>
              <w:rPr>
                <w:color w:val="auto"/>
                <w:spacing w:val="-3"/>
              </w:rPr>
              <w:t>水体保持等工程措施，疏通中小河流防洪排水脉络，维持河道行洪能力和</w:t>
            </w:r>
            <w:r>
              <w:rPr>
                <w:color w:val="auto"/>
                <w:spacing w:val="-4"/>
              </w:rPr>
              <w:t>生态环境功能。</w:t>
            </w:r>
            <w:r>
              <w:rPr>
                <w:rFonts w:hint="eastAsia"/>
                <w:color w:val="auto"/>
                <w:spacing w:val="-2"/>
                <w:lang w:eastAsia="zh-CN"/>
              </w:rPr>
              <w:t>”</w:t>
            </w:r>
          </w:p>
          <w:p w14:paraId="019BCE3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eastAsia="宋体"/>
                <w:color w:val="auto"/>
                <w:lang w:val="en-US" w:eastAsia="zh-CN"/>
              </w:rPr>
            </w:pPr>
            <w:r>
              <w:rPr>
                <w:color w:val="auto"/>
                <w:spacing w:val="-1"/>
              </w:rPr>
              <w:t>本</w:t>
            </w:r>
            <w:r>
              <w:rPr>
                <w:rFonts w:hint="eastAsia"/>
                <w:color w:val="auto"/>
                <w:spacing w:val="-1"/>
                <w:lang w:val="en-US" w:eastAsia="zh-CN"/>
              </w:rPr>
              <w:t>项目对泾源县黄</w:t>
            </w:r>
            <w:r>
              <w:rPr>
                <w:rFonts w:hint="eastAsia"/>
                <w:color w:val="auto"/>
                <w:spacing w:val="-1"/>
                <w:highlight w:val="none"/>
                <w:lang w:val="en-US" w:eastAsia="zh-CN"/>
              </w:rPr>
              <w:t>花乡实施</w:t>
            </w:r>
            <w:r>
              <w:rPr>
                <w:rFonts w:hint="eastAsia"/>
                <w:color w:val="auto"/>
                <w:highlight w:val="none"/>
                <w:lang w:val="en-US" w:eastAsia="zh-CN"/>
              </w:rPr>
              <w:t>城乡供水一体化及水土保持（河道治理）、山洪及地质灾害（防洪除涝工程），</w:t>
            </w:r>
            <w:r>
              <w:rPr>
                <w:color w:val="auto"/>
                <w:spacing w:val="-1"/>
                <w:highlight w:val="none"/>
              </w:rPr>
              <w:t>工程</w:t>
            </w:r>
            <w:r>
              <w:rPr>
                <w:rFonts w:hint="eastAsia"/>
                <w:color w:val="auto"/>
                <w:spacing w:val="-1"/>
                <w:lang w:val="en-US" w:eastAsia="zh-CN"/>
              </w:rPr>
              <w:t>涉及对羊槽河（羊槽村段）、生态沟渠及排洪渠的</w:t>
            </w:r>
            <w:r>
              <w:rPr>
                <w:color w:val="auto"/>
                <w:spacing w:val="-1"/>
              </w:rPr>
              <w:t>治理，通过</w:t>
            </w:r>
            <w:r>
              <w:rPr>
                <w:rFonts w:hint="eastAsia"/>
                <w:color w:val="auto"/>
                <w:spacing w:val="-1"/>
                <w:lang w:val="en-US" w:eastAsia="zh-CN"/>
              </w:rPr>
              <w:t>河道生境构建、生态护坡工程、基底修复工程</w:t>
            </w:r>
            <w:r>
              <w:rPr>
                <w:color w:val="auto"/>
                <w:spacing w:val="-1"/>
              </w:rPr>
              <w:t>，减少陆</w:t>
            </w:r>
            <w:r>
              <w:rPr>
                <w:color w:val="auto"/>
              </w:rPr>
              <w:t>域污染物入河、提高水体保持能力</w:t>
            </w:r>
            <w:r>
              <w:rPr>
                <w:rFonts w:hint="eastAsia"/>
                <w:color w:val="auto"/>
                <w:lang w:eastAsia="zh-CN"/>
              </w:rPr>
              <w:t>，</w:t>
            </w:r>
            <w:r>
              <w:rPr>
                <w:rFonts w:hint="eastAsia"/>
                <w:color w:val="auto"/>
                <w:lang w:val="en-US" w:eastAsia="zh-CN"/>
              </w:rPr>
              <w:t>以</w:t>
            </w:r>
            <w:r>
              <w:rPr>
                <w:color w:val="auto"/>
                <w:spacing w:val="-1"/>
              </w:rPr>
              <w:t>提升</w:t>
            </w:r>
            <w:r>
              <w:rPr>
                <w:rFonts w:hint="eastAsia"/>
                <w:color w:val="auto"/>
                <w:spacing w:val="-1"/>
                <w:lang w:val="en-US" w:eastAsia="zh-CN"/>
              </w:rPr>
              <w:t>羊槽</w:t>
            </w:r>
            <w:r>
              <w:rPr>
                <w:color w:val="auto"/>
                <w:spacing w:val="-1"/>
              </w:rPr>
              <w:t>河生态系统健康水平</w:t>
            </w:r>
            <w:r>
              <w:rPr>
                <w:rFonts w:hint="eastAsia"/>
                <w:color w:val="auto"/>
                <w:spacing w:val="-1"/>
                <w:lang w:eastAsia="zh-CN"/>
              </w:rPr>
              <w:t>。</w:t>
            </w:r>
            <w:r>
              <w:rPr>
                <w:rFonts w:hint="eastAsia"/>
                <w:color w:val="auto"/>
                <w:spacing w:val="-1"/>
                <w:lang w:val="en-US" w:eastAsia="zh-CN"/>
              </w:rPr>
              <w:t>通过生态修复等治理措施，有效控制沟渠两侧雨水径流污染，修复农村水生态、水环境，增强农村防洪排涝能力。</w:t>
            </w:r>
          </w:p>
          <w:p w14:paraId="648F5E0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color w:val="auto"/>
              </w:rPr>
            </w:pPr>
            <w:r>
              <w:rPr>
                <w:color w:val="auto"/>
                <w:spacing w:val="-1"/>
              </w:rPr>
              <w:t>因此，本项</w:t>
            </w:r>
            <w:r>
              <w:rPr>
                <w:color w:val="auto"/>
                <w:spacing w:val="-3"/>
              </w:rPr>
              <w:t>目的建设符合《宁夏回族自治区水安全保障“十四五</w:t>
            </w:r>
            <w:r>
              <w:rPr>
                <w:color w:val="auto"/>
                <w:spacing w:val="-84"/>
              </w:rPr>
              <w:t xml:space="preserve"> </w:t>
            </w:r>
            <w:r>
              <w:rPr>
                <w:color w:val="auto"/>
                <w:spacing w:val="-3"/>
              </w:rPr>
              <w:t>”规划》的要求。</w:t>
            </w:r>
          </w:p>
          <w:p w14:paraId="44123AA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color w:val="auto"/>
              </w:rPr>
            </w:pPr>
            <w:r>
              <w:rPr>
                <w:rFonts w:ascii="Times New Roman" w:hAnsi="Times New Roman" w:eastAsia="Times New Roman" w:cs="Times New Roman"/>
                <w:b/>
                <w:bCs/>
                <w:color w:val="auto"/>
                <w:spacing w:val="-2"/>
              </w:rPr>
              <w:t>2</w:t>
            </w:r>
            <w:r>
              <w:rPr>
                <w:rFonts w:ascii="Times New Roman" w:hAnsi="Times New Roman" w:eastAsia="Times New Roman" w:cs="Times New Roman"/>
                <w:b/>
                <w:bCs/>
                <w:color w:val="auto"/>
                <w:spacing w:val="48"/>
              </w:rPr>
              <w:t xml:space="preserve"> </w:t>
            </w:r>
            <w:r>
              <w:rPr>
                <w:b/>
                <w:bCs/>
                <w:color w:val="auto"/>
                <w:spacing w:val="-2"/>
              </w:rPr>
              <w:t>《宁夏回族自治区水安全保障</w:t>
            </w:r>
            <w:r>
              <w:rPr>
                <w:rFonts w:hint="eastAsia"/>
                <w:b/>
                <w:bCs/>
                <w:color w:val="auto"/>
                <w:spacing w:val="-2"/>
                <w:lang w:eastAsia="zh-CN"/>
              </w:rPr>
              <w:t>“</w:t>
            </w:r>
            <w:r>
              <w:rPr>
                <w:b/>
                <w:bCs/>
                <w:color w:val="auto"/>
                <w:spacing w:val="-2"/>
              </w:rPr>
              <w:t>十四五</w:t>
            </w:r>
            <w:r>
              <w:rPr>
                <w:rFonts w:hint="eastAsia"/>
                <w:b/>
                <w:bCs/>
                <w:color w:val="auto"/>
                <w:spacing w:val="-2"/>
                <w:lang w:eastAsia="zh-CN"/>
              </w:rPr>
              <w:t>”</w:t>
            </w:r>
            <w:r>
              <w:rPr>
                <w:b/>
                <w:bCs/>
                <w:color w:val="auto"/>
                <w:spacing w:val="-2"/>
              </w:rPr>
              <w:t>规划环境影响</w:t>
            </w:r>
            <w:r>
              <w:rPr>
                <w:b/>
                <w:bCs/>
                <w:color w:val="auto"/>
                <w:spacing w:val="-3"/>
              </w:rPr>
              <w:t>报告书》及批</w:t>
            </w:r>
            <w:r>
              <w:rPr>
                <w:b/>
                <w:bCs/>
                <w:color w:val="auto"/>
                <w:spacing w:val="-5"/>
              </w:rPr>
              <w:t>复符合性分析</w:t>
            </w:r>
          </w:p>
          <w:p w14:paraId="4C61038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hint="default" w:ascii="Times New Roman" w:hAnsi="Times New Roman" w:eastAsia="宋体" w:cs="Times New Roman"/>
                <w:color w:val="auto"/>
                <w:lang w:eastAsia="zh-CN"/>
              </w:rPr>
            </w:pPr>
            <w:r>
              <w:rPr>
                <w:rFonts w:hint="default" w:ascii="Times New Roman" w:hAnsi="Times New Roman" w:cs="Times New Roman"/>
                <w:color w:val="auto"/>
                <w:spacing w:val="-7"/>
              </w:rPr>
              <w:t>《宁夏回族自治区水安全保障</w:t>
            </w:r>
            <w:r>
              <w:rPr>
                <w:rFonts w:hint="default" w:ascii="Times New Roman" w:hAnsi="Times New Roman" w:eastAsia="Times New Roman" w:cs="Times New Roman"/>
                <w:color w:val="auto"/>
                <w:spacing w:val="-7"/>
              </w:rPr>
              <w:t>“</w:t>
            </w:r>
            <w:r>
              <w:rPr>
                <w:rFonts w:hint="default" w:ascii="Times New Roman" w:hAnsi="Times New Roman" w:cs="Times New Roman"/>
                <w:color w:val="auto"/>
                <w:spacing w:val="-7"/>
              </w:rPr>
              <w:t>十四五</w:t>
            </w:r>
            <w:r>
              <w:rPr>
                <w:rFonts w:hint="default" w:ascii="Times New Roman" w:hAnsi="Times New Roman" w:eastAsia="Times New Roman" w:cs="Times New Roman"/>
                <w:color w:val="auto"/>
                <w:spacing w:val="-7"/>
              </w:rPr>
              <w:t>”</w:t>
            </w:r>
            <w:r>
              <w:rPr>
                <w:rFonts w:hint="default" w:ascii="Times New Roman" w:hAnsi="Times New Roman" w:cs="Times New Roman"/>
                <w:color w:val="auto"/>
                <w:spacing w:val="-7"/>
              </w:rPr>
              <w:t>规划环境影响报告书》中指</w:t>
            </w:r>
            <w:r>
              <w:rPr>
                <w:rFonts w:hint="default" w:ascii="Times New Roman" w:hAnsi="Times New Roman" w:cs="Times New Roman"/>
                <w:color w:val="auto"/>
                <w:spacing w:val="-8"/>
              </w:rPr>
              <w:t>出：</w:t>
            </w:r>
            <w:r>
              <w:rPr>
                <w:rFonts w:hint="default" w:ascii="Times New Roman" w:hAnsi="Times New Roman" w:cs="Times New Roman"/>
                <w:color w:val="auto"/>
                <w:spacing w:val="-8"/>
                <w:lang w:eastAsia="zh-CN"/>
              </w:rPr>
              <w:t>“</w:t>
            </w:r>
            <w:r>
              <w:rPr>
                <w:rFonts w:hint="default" w:ascii="Times New Roman" w:hAnsi="Times New Roman" w:cs="Times New Roman"/>
                <w:b/>
                <w:bCs/>
                <w:color w:val="auto"/>
                <w:spacing w:val="-2"/>
              </w:rPr>
              <w:t>加强重要支流及中小河流提标治理。</w:t>
            </w:r>
            <w:r>
              <w:rPr>
                <w:rFonts w:hint="default" w:ascii="Times New Roman" w:hAnsi="Times New Roman" w:cs="Times New Roman"/>
                <w:color w:val="auto"/>
                <w:spacing w:val="-2"/>
              </w:rPr>
              <w:t>持续开展中小河流提标治理。按</w:t>
            </w:r>
            <w:r>
              <w:rPr>
                <w:rFonts w:hint="default" w:ascii="Times New Roman" w:hAnsi="Times New Roman" w:cs="Times New Roman"/>
                <w:color w:val="auto"/>
              </w:rPr>
              <w:t>照生态治河理念，以保证防洪排水安全为基础，</w:t>
            </w:r>
            <w:r>
              <w:rPr>
                <w:rFonts w:hint="default" w:ascii="Times New Roman" w:hAnsi="Times New Roman" w:cs="Times New Roman"/>
                <w:color w:val="auto"/>
                <w:spacing w:val="-1"/>
              </w:rPr>
              <w:t>结合农村水系综合整治，</w:t>
            </w:r>
            <w:r>
              <w:rPr>
                <w:rFonts w:hint="default" w:ascii="Times New Roman" w:hAnsi="Times New Roman" w:cs="Times New Roman"/>
                <w:color w:val="auto"/>
              </w:rPr>
              <w:t>通过堤防、护岸、清淤、除障、疏浚等工程措施</w:t>
            </w:r>
            <w:r>
              <w:rPr>
                <w:rFonts w:hint="default" w:ascii="Times New Roman" w:hAnsi="Times New Roman" w:cs="Times New Roman"/>
                <w:color w:val="auto"/>
                <w:spacing w:val="-1"/>
              </w:rPr>
              <w:t>，疏通中小河流防洪排水</w:t>
            </w:r>
            <w:r>
              <w:rPr>
                <w:rFonts w:hint="default" w:ascii="Times New Roman" w:hAnsi="Times New Roman" w:cs="Times New Roman"/>
                <w:color w:val="auto"/>
              </w:rPr>
              <w:t>脉络，实施堤防护岸达标建设，维持河道行</w:t>
            </w:r>
            <w:r>
              <w:rPr>
                <w:rFonts w:hint="default" w:ascii="Times New Roman" w:hAnsi="Times New Roman" w:cs="Times New Roman"/>
                <w:color w:val="auto"/>
                <w:spacing w:val="-1"/>
              </w:rPr>
              <w:t>洪能力和生态环境功能。</w:t>
            </w:r>
            <w:r>
              <w:rPr>
                <w:rFonts w:hint="default" w:ascii="Times New Roman" w:hAnsi="Times New Roman" w:cs="Times New Roman"/>
                <w:color w:val="auto"/>
                <w:spacing w:val="-8"/>
                <w:lang w:eastAsia="zh-CN"/>
              </w:rPr>
              <w:t>”</w:t>
            </w:r>
          </w:p>
          <w:p w14:paraId="7B4B78F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cs="Times New Roman"/>
                <w:color w:val="auto"/>
              </w:rPr>
            </w:pPr>
            <w:r>
              <w:rPr>
                <w:color w:val="auto"/>
                <w:spacing w:val="-1"/>
              </w:rPr>
              <w:t>本</w:t>
            </w:r>
            <w:r>
              <w:rPr>
                <w:rFonts w:hint="eastAsia"/>
                <w:color w:val="auto"/>
                <w:spacing w:val="-1"/>
                <w:lang w:val="en-US" w:eastAsia="zh-CN"/>
              </w:rPr>
              <w:t>项目对泾源县黄</w:t>
            </w:r>
            <w:r>
              <w:rPr>
                <w:rFonts w:hint="eastAsia"/>
                <w:color w:val="auto"/>
                <w:spacing w:val="-1"/>
                <w:highlight w:val="none"/>
                <w:lang w:val="en-US" w:eastAsia="zh-CN"/>
              </w:rPr>
              <w:t>花乡实施</w:t>
            </w:r>
            <w:r>
              <w:rPr>
                <w:rFonts w:hint="eastAsia"/>
                <w:color w:val="auto"/>
                <w:highlight w:val="none"/>
                <w:lang w:val="en-US" w:eastAsia="zh-CN"/>
              </w:rPr>
              <w:t>城乡供水一体化及水土保持（河道治理）、山洪及地质灾害（防洪除涝工程），</w:t>
            </w:r>
            <w:r>
              <w:rPr>
                <w:color w:val="auto"/>
                <w:spacing w:val="-1"/>
                <w:highlight w:val="none"/>
              </w:rPr>
              <w:t>工程</w:t>
            </w:r>
            <w:r>
              <w:rPr>
                <w:rFonts w:hint="eastAsia"/>
                <w:color w:val="auto"/>
                <w:spacing w:val="-1"/>
                <w:lang w:val="en-US" w:eastAsia="zh-CN"/>
              </w:rPr>
              <w:t>涉及对羊槽河（羊槽村段）、生态沟渠及排洪渠的</w:t>
            </w:r>
            <w:r>
              <w:rPr>
                <w:color w:val="auto"/>
                <w:spacing w:val="-1"/>
              </w:rPr>
              <w:t>治理，通过</w:t>
            </w:r>
            <w:r>
              <w:rPr>
                <w:rFonts w:hint="eastAsia"/>
                <w:color w:val="auto"/>
                <w:spacing w:val="-1"/>
                <w:lang w:val="en-US" w:eastAsia="zh-CN"/>
              </w:rPr>
              <w:t>河道生境构建、生态护坡工程、基底修复工程</w:t>
            </w:r>
            <w:r>
              <w:rPr>
                <w:rFonts w:hint="default" w:ascii="Times New Roman" w:hAnsi="Times New Roman" w:cs="Times New Roman"/>
                <w:color w:val="auto"/>
                <w:spacing w:val="-1"/>
              </w:rPr>
              <w:t>，减少陆</w:t>
            </w:r>
            <w:r>
              <w:rPr>
                <w:rFonts w:hint="default" w:ascii="Times New Roman" w:hAnsi="Times New Roman" w:cs="Times New Roman"/>
                <w:color w:val="auto"/>
              </w:rPr>
              <w:t>域污染物入河</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修复农村水生态、水环境，以达到缓解排水、维护健康的生态系统。</w:t>
            </w:r>
          </w:p>
          <w:p w14:paraId="0C4C6A2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cs="Times New Roman"/>
                <w:color w:val="auto"/>
              </w:rPr>
            </w:pPr>
            <w:r>
              <w:rPr>
                <w:rFonts w:hint="default" w:ascii="Times New Roman" w:hAnsi="Times New Roman" w:cs="Times New Roman"/>
                <w:color w:val="auto"/>
                <w:spacing w:val="-3"/>
                <w:lang w:val="en-US" w:eastAsia="zh-CN"/>
              </w:rPr>
              <w:t>具体分析见表1-1和表1-2</w:t>
            </w:r>
            <w:r>
              <w:rPr>
                <w:rFonts w:hint="default" w:ascii="Times New Roman" w:hAnsi="Times New Roman" w:cs="Times New Roman"/>
                <w:color w:val="auto"/>
                <w:spacing w:val="-3"/>
              </w:rPr>
              <w:t>。</w:t>
            </w:r>
          </w:p>
          <w:p w14:paraId="15000E9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7"/>
                <w:sz w:val="21"/>
                <w:szCs w:val="21"/>
              </w:rPr>
              <w:t>表1-1  本项目与《宁夏水安全保障</w:t>
            </w:r>
            <w:r>
              <w:rPr>
                <w:rFonts w:hint="default" w:ascii="Times New Roman" w:hAnsi="Times New Roman" w:eastAsia="宋体" w:cs="Times New Roman"/>
                <w:b/>
                <w:bCs/>
                <w:color w:val="auto"/>
                <w:spacing w:val="7"/>
                <w:sz w:val="21"/>
                <w:szCs w:val="21"/>
                <w:lang w:eastAsia="zh-CN"/>
              </w:rPr>
              <w:t>“</w:t>
            </w:r>
            <w:r>
              <w:rPr>
                <w:rFonts w:hint="default" w:ascii="Times New Roman" w:hAnsi="Times New Roman" w:eastAsia="宋体" w:cs="Times New Roman"/>
                <w:b/>
                <w:bCs/>
                <w:color w:val="auto"/>
                <w:spacing w:val="7"/>
                <w:sz w:val="21"/>
                <w:szCs w:val="21"/>
              </w:rPr>
              <w:t>十</w:t>
            </w:r>
            <w:r>
              <w:rPr>
                <w:rFonts w:hint="default" w:ascii="Times New Roman" w:hAnsi="Times New Roman" w:eastAsia="宋体" w:cs="Times New Roman"/>
                <w:b/>
                <w:bCs/>
                <w:color w:val="auto"/>
                <w:spacing w:val="6"/>
                <w:sz w:val="21"/>
                <w:szCs w:val="21"/>
              </w:rPr>
              <w:t>四五</w:t>
            </w:r>
            <w:r>
              <w:rPr>
                <w:rFonts w:hint="default" w:ascii="Times New Roman" w:hAnsi="Times New Roman" w:eastAsia="宋体" w:cs="Times New Roman"/>
                <w:b/>
                <w:bCs/>
                <w:color w:val="auto"/>
                <w:spacing w:val="7"/>
                <w:sz w:val="21"/>
                <w:szCs w:val="21"/>
                <w:lang w:eastAsia="zh-CN"/>
              </w:rPr>
              <w:t>”</w:t>
            </w:r>
            <w:r>
              <w:rPr>
                <w:rFonts w:hint="default" w:ascii="Times New Roman" w:hAnsi="Times New Roman" w:eastAsia="宋体" w:cs="Times New Roman"/>
                <w:b/>
                <w:bCs/>
                <w:color w:val="auto"/>
                <w:spacing w:val="6"/>
                <w:sz w:val="21"/>
                <w:szCs w:val="21"/>
              </w:rPr>
              <w:t>规划环境影响报告书》的符合性</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12"/>
              <w:gridCol w:w="2305"/>
              <w:gridCol w:w="1087"/>
            </w:tblGrid>
            <w:tr w14:paraId="645EA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vAlign w:val="center"/>
                </w:tcPr>
                <w:p w14:paraId="3D71E785">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zh-CN"/>
                    </w:rPr>
                  </w:pPr>
                  <w:r>
                    <w:rPr>
                      <w:rFonts w:hint="default" w:ascii="Times New Roman" w:hAnsi="Times New Roman" w:eastAsia="宋体" w:cs="Times New Roman"/>
                      <w:b/>
                      <w:bCs/>
                      <w:color w:val="auto"/>
                      <w:spacing w:val="2"/>
                      <w:sz w:val="21"/>
                      <w:szCs w:val="21"/>
                      <w:lang w:val="en-US" w:eastAsia="zh-CN"/>
                    </w:rPr>
                    <w:t>类别</w:t>
                  </w:r>
                </w:p>
              </w:tc>
              <w:tc>
                <w:tcPr>
                  <w:tcW w:w="3512" w:type="dxa"/>
                  <w:tcBorders>
                    <w:tl2br w:val="nil"/>
                    <w:tr2bl w:val="nil"/>
                  </w:tcBorders>
                  <w:shd w:val="clear" w:color="auto" w:fill="auto"/>
                  <w:vAlign w:val="center"/>
                </w:tcPr>
                <w:p w14:paraId="1817EFF3">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en-US"/>
                    </w:rPr>
                  </w:pPr>
                  <w:r>
                    <w:rPr>
                      <w:rFonts w:hint="default" w:ascii="Times New Roman" w:hAnsi="Times New Roman" w:eastAsia="宋体" w:cs="Times New Roman"/>
                      <w:b/>
                      <w:bCs/>
                      <w:color w:val="auto"/>
                      <w:spacing w:val="2"/>
                      <w:sz w:val="21"/>
                      <w:szCs w:val="21"/>
                    </w:rPr>
                    <w:t>规划环评要求</w:t>
                  </w:r>
                </w:p>
              </w:tc>
              <w:tc>
                <w:tcPr>
                  <w:tcW w:w="2305" w:type="dxa"/>
                  <w:tcBorders>
                    <w:tl2br w:val="nil"/>
                    <w:tr2bl w:val="nil"/>
                  </w:tcBorders>
                  <w:shd w:val="clear" w:color="auto" w:fill="auto"/>
                  <w:vAlign w:val="center"/>
                </w:tcPr>
                <w:p w14:paraId="607773AE">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en-US"/>
                    </w:rPr>
                  </w:pPr>
                  <w:r>
                    <w:rPr>
                      <w:rFonts w:hint="default" w:ascii="Times New Roman" w:hAnsi="Times New Roman" w:eastAsia="宋体" w:cs="Times New Roman"/>
                      <w:b/>
                      <w:bCs/>
                      <w:color w:val="auto"/>
                      <w:spacing w:val="2"/>
                      <w:sz w:val="21"/>
                      <w:szCs w:val="21"/>
                    </w:rPr>
                    <w:t>本项目具体情况</w:t>
                  </w:r>
                </w:p>
              </w:tc>
              <w:tc>
                <w:tcPr>
                  <w:tcW w:w="1087" w:type="dxa"/>
                  <w:tcBorders>
                    <w:tl2br w:val="nil"/>
                    <w:tr2bl w:val="nil"/>
                  </w:tcBorders>
                  <w:shd w:val="clear" w:color="auto" w:fill="auto"/>
                  <w:vAlign w:val="center"/>
                </w:tcPr>
                <w:p w14:paraId="0B9C386E">
                  <w:pPr>
                    <w:pStyle w:val="19"/>
                    <w:widowControl w:val="0"/>
                    <w:spacing w:before="39" w:line="233"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b/>
                      <w:bCs/>
                      <w:color w:val="auto"/>
                      <w:spacing w:val="2"/>
                      <w:sz w:val="21"/>
                      <w:szCs w:val="21"/>
                    </w:rPr>
                    <w:t>是否</w:t>
                  </w:r>
                  <w:r>
                    <w:rPr>
                      <w:rFonts w:hint="default" w:ascii="Times New Roman" w:hAnsi="Times New Roman" w:eastAsia="宋体" w:cs="Times New Roman"/>
                      <w:b/>
                      <w:bCs/>
                      <w:color w:val="auto"/>
                      <w:spacing w:val="3"/>
                      <w:sz w:val="21"/>
                      <w:szCs w:val="21"/>
                    </w:rPr>
                    <w:t>符合</w:t>
                  </w:r>
                </w:p>
              </w:tc>
            </w:tr>
            <w:tr w14:paraId="22118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vAlign w:val="center"/>
                </w:tcPr>
                <w:p w14:paraId="3232600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空间布局约束</w:t>
                  </w:r>
                </w:p>
              </w:tc>
              <w:tc>
                <w:tcPr>
                  <w:tcW w:w="3512" w:type="dxa"/>
                  <w:tcBorders>
                    <w:tl2br w:val="nil"/>
                    <w:tr2bl w:val="nil"/>
                  </w:tcBorders>
                  <w:shd w:val="clear" w:color="auto" w:fill="auto"/>
                  <w:vAlign w:val="center"/>
                </w:tcPr>
                <w:p w14:paraId="60B29AB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1、项目的永久、临时占地（包括水库淹没区）原则上不占用生态保护红线、自然保护地、饮用水水源保护区、水产种质资源保护区等各类环境敏感区。</w:t>
                  </w:r>
                </w:p>
                <w:p w14:paraId="1B88F07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2、确实无法避让、需占用环境敏感区的，应符合相关法律法规要求，并采取有效的恢复和补偿措施。</w:t>
                  </w:r>
                </w:p>
                <w:p w14:paraId="18F2AE9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3、项目占用耕地、林地等应符合相关法律法规、规划、政策要求，并采取必要的补偿措施。</w:t>
                  </w:r>
                </w:p>
              </w:tc>
              <w:tc>
                <w:tcPr>
                  <w:tcW w:w="2305" w:type="dxa"/>
                  <w:tcBorders>
                    <w:tl2br w:val="nil"/>
                    <w:tr2bl w:val="nil"/>
                  </w:tcBorders>
                  <w:shd w:val="clear" w:color="auto" w:fill="auto"/>
                  <w:vAlign w:val="center"/>
                </w:tcPr>
                <w:p w14:paraId="1BC1649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1、项目的永久、临时占地不占用生态保护红线、自然保护地、饮用水水源保护区、水产种质资源保护区等各类环境敏感区。</w:t>
                  </w:r>
                </w:p>
                <w:p w14:paraId="6601927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pacing w:val="4"/>
                      <w:sz w:val="21"/>
                      <w:szCs w:val="21"/>
                    </w:rPr>
                    <w:t>2、项目占地类型为河道</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lang w:val="en-US" w:eastAsia="zh-CN"/>
                    </w:rPr>
                    <w:t>沟渠</w:t>
                  </w:r>
                  <w:r>
                    <w:rPr>
                      <w:rFonts w:hint="default" w:ascii="Times New Roman" w:hAnsi="Times New Roman" w:eastAsia="宋体" w:cs="Times New Roman"/>
                      <w:color w:val="auto"/>
                      <w:spacing w:val="4"/>
                      <w:sz w:val="21"/>
                      <w:szCs w:val="21"/>
                    </w:rPr>
                    <w:t>，所破坏的植被随施工结束后进行植被恢复措施</w:t>
                  </w:r>
                  <w:r>
                    <w:rPr>
                      <w:rFonts w:hint="default" w:ascii="Times New Roman" w:hAnsi="Times New Roman" w:eastAsia="宋体" w:cs="Times New Roman"/>
                      <w:color w:val="auto"/>
                      <w:spacing w:val="4"/>
                      <w:sz w:val="21"/>
                      <w:szCs w:val="21"/>
                      <w:lang w:eastAsia="zh-CN"/>
                    </w:rPr>
                    <w:t>。</w:t>
                  </w:r>
                </w:p>
              </w:tc>
              <w:tc>
                <w:tcPr>
                  <w:tcW w:w="1087" w:type="dxa"/>
                  <w:tcBorders>
                    <w:tl2br w:val="nil"/>
                    <w:tr2bl w:val="nil"/>
                  </w:tcBorders>
                  <w:shd w:val="clear" w:color="auto" w:fill="auto"/>
                  <w:vAlign w:val="center"/>
                </w:tcPr>
                <w:p w14:paraId="26A454C8">
                  <w:pPr>
                    <w:pStyle w:val="19"/>
                    <w:widowControl w:val="0"/>
                    <w:spacing w:before="65" w:line="228"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2"/>
                      <w:sz w:val="21"/>
                      <w:szCs w:val="21"/>
                    </w:rPr>
                    <w:t>符合</w:t>
                  </w:r>
                </w:p>
              </w:tc>
            </w:tr>
            <w:tr w14:paraId="729BC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vAlign w:val="center"/>
                </w:tcPr>
                <w:p w14:paraId="1F02F80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污染物排放管控</w:t>
                  </w:r>
                </w:p>
              </w:tc>
              <w:tc>
                <w:tcPr>
                  <w:tcW w:w="3512" w:type="dxa"/>
                  <w:tcBorders>
                    <w:tl2br w:val="nil"/>
                    <w:tr2bl w:val="nil"/>
                  </w:tcBorders>
                  <w:shd w:val="clear" w:color="auto" w:fill="auto"/>
                  <w:vAlign w:val="center"/>
                </w:tcPr>
                <w:p w14:paraId="03DB6E5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1、项目的建设运行不新增主要水污染物排放，或主要水污染物排放量在相关河段或流域的水环境承载能力范围内。</w:t>
                  </w:r>
                </w:p>
                <w:p w14:paraId="6324099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2、因水资源开发和配置造成河段水量减少、对水污染物稀释扩散能力减弱的，应确保相关河段水质满足环境质量底线和水功能区要求。</w:t>
                  </w:r>
                </w:p>
              </w:tc>
              <w:tc>
                <w:tcPr>
                  <w:tcW w:w="2305" w:type="dxa"/>
                  <w:tcBorders>
                    <w:tl2br w:val="nil"/>
                    <w:tr2bl w:val="nil"/>
                  </w:tcBorders>
                  <w:shd w:val="clear" w:color="auto" w:fill="auto"/>
                  <w:vAlign w:val="center"/>
                </w:tcPr>
                <w:p w14:paraId="536F094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lang w:val="en-US" w:eastAsia="zh-CN"/>
                    </w:rPr>
                    <w:t>1</w:t>
                  </w:r>
                  <w:r>
                    <w:rPr>
                      <w:rFonts w:hint="default" w:ascii="Times New Roman" w:hAnsi="Times New Roman" w:eastAsia="宋体" w:cs="Times New Roman"/>
                      <w:color w:val="auto"/>
                      <w:spacing w:val="4"/>
                      <w:sz w:val="21"/>
                      <w:szCs w:val="21"/>
                      <w:highlight w:val="none"/>
                    </w:rPr>
                    <w:t>、本项目运营期不会排放</w:t>
                  </w:r>
                  <w:r>
                    <w:rPr>
                      <w:rFonts w:hint="default" w:ascii="Times New Roman" w:hAnsi="Times New Roman" w:eastAsia="宋体" w:cs="Times New Roman"/>
                      <w:color w:val="auto"/>
                      <w:spacing w:val="4"/>
                      <w:sz w:val="21"/>
                      <w:szCs w:val="21"/>
                      <w:highlight w:val="none"/>
                      <w:lang w:val="en-US" w:eastAsia="zh-CN"/>
                    </w:rPr>
                    <w:t>水</w:t>
                  </w:r>
                  <w:r>
                    <w:rPr>
                      <w:rFonts w:hint="default" w:ascii="Times New Roman" w:hAnsi="Times New Roman" w:eastAsia="宋体" w:cs="Times New Roman"/>
                      <w:color w:val="auto"/>
                      <w:spacing w:val="4"/>
                      <w:sz w:val="21"/>
                      <w:szCs w:val="21"/>
                      <w:highlight w:val="none"/>
                    </w:rPr>
                    <w:t>污染物；</w:t>
                  </w:r>
                </w:p>
                <w:p w14:paraId="02325B7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2、本项目不涉及。</w:t>
                  </w:r>
                </w:p>
              </w:tc>
              <w:tc>
                <w:tcPr>
                  <w:tcW w:w="1087" w:type="dxa"/>
                  <w:tcBorders>
                    <w:tl2br w:val="nil"/>
                    <w:tr2bl w:val="nil"/>
                  </w:tcBorders>
                  <w:shd w:val="clear" w:color="auto" w:fill="auto"/>
                  <w:vAlign w:val="center"/>
                </w:tcPr>
                <w:p w14:paraId="08EA1D8E">
                  <w:pPr>
                    <w:pStyle w:val="19"/>
                    <w:widowControl w:val="0"/>
                    <w:spacing w:before="65" w:line="228"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2"/>
                      <w:sz w:val="21"/>
                      <w:szCs w:val="21"/>
                    </w:rPr>
                    <w:t>符合</w:t>
                  </w:r>
                </w:p>
              </w:tc>
            </w:tr>
            <w:tr w14:paraId="3ABBE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vAlign w:val="center"/>
                </w:tcPr>
                <w:p w14:paraId="481009F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资源利用效率要求</w:t>
                  </w:r>
                </w:p>
              </w:tc>
              <w:tc>
                <w:tcPr>
                  <w:tcW w:w="3512" w:type="dxa"/>
                  <w:tcBorders>
                    <w:tl2br w:val="nil"/>
                    <w:tr2bl w:val="nil"/>
                  </w:tcBorders>
                  <w:shd w:val="clear" w:color="auto" w:fill="auto"/>
                  <w:vAlign w:val="center"/>
                </w:tcPr>
                <w:p w14:paraId="47E101C2">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1、项目取水量须满足区域水资源利用上线和相关河湖基本生态水量控制要求。</w:t>
                  </w:r>
                </w:p>
                <w:p w14:paraId="64B165A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2、坚持</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以水定城、以水定地、以水定人、以水定产</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的原则，在优先保障人居用水和生态环境用水的基础上，合理确定供水规模。</w:t>
                  </w:r>
                </w:p>
              </w:tc>
              <w:tc>
                <w:tcPr>
                  <w:tcW w:w="2305" w:type="dxa"/>
                  <w:tcBorders>
                    <w:tl2br w:val="nil"/>
                    <w:tr2bl w:val="nil"/>
                  </w:tcBorders>
                  <w:shd w:val="clear" w:color="auto" w:fill="auto"/>
                  <w:vAlign w:val="center"/>
                </w:tcPr>
                <w:p w14:paraId="38CAFE4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1、本项目取水量满足区域水资源利用上线和相关河湖基本生态水量控制要求；</w:t>
                  </w:r>
                </w:p>
                <w:p w14:paraId="4349A63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2、本项目建设期用水符合供水规模，运营期不产生用水。</w:t>
                  </w:r>
                </w:p>
              </w:tc>
              <w:tc>
                <w:tcPr>
                  <w:tcW w:w="1087" w:type="dxa"/>
                  <w:tcBorders>
                    <w:tl2br w:val="nil"/>
                    <w:tr2bl w:val="nil"/>
                  </w:tcBorders>
                  <w:shd w:val="clear" w:color="auto" w:fill="auto"/>
                  <w:vAlign w:val="center"/>
                </w:tcPr>
                <w:p w14:paraId="3F5162DD">
                  <w:pPr>
                    <w:pStyle w:val="19"/>
                    <w:widowControl w:val="0"/>
                    <w:spacing w:before="65" w:line="228"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符合</w:t>
                  </w:r>
                </w:p>
              </w:tc>
            </w:tr>
            <w:tr w14:paraId="79BD5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tcBorders>
                    <w:tl2br w:val="nil"/>
                    <w:tr2bl w:val="nil"/>
                  </w:tcBorders>
                  <w:shd w:val="clear" w:color="auto" w:fill="auto"/>
                  <w:vAlign w:val="center"/>
                </w:tcPr>
                <w:p w14:paraId="7DD2730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环境风险防控</w:t>
                  </w:r>
                </w:p>
              </w:tc>
              <w:tc>
                <w:tcPr>
                  <w:tcW w:w="3512" w:type="dxa"/>
                  <w:tcBorders>
                    <w:tl2br w:val="nil"/>
                    <w:tr2bl w:val="nil"/>
                  </w:tcBorders>
                  <w:shd w:val="clear" w:color="auto" w:fill="auto"/>
                  <w:vAlign w:val="center"/>
                </w:tcPr>
                <w:p w14:paraId="24EE788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1、项目建设不会影响现有饮用水水源地的供水能</w:t>
                  </w:r>
                  <w:r>
                    <w:rPr>
                      <w:rFonts w:hint="default" w:ascii="Times New Roman" w:hAnsi="Times New Roman" w:eastAsia="宋体" w:cs="Times New Roman"/>
                      <w:color w:val="auto"/>
                      <w:spacing w:val="2"/>
                      <w:sz w:val="21"/>
                      <w:szCs w:val="21"/>
                    </w:rPr>
                    <w:t>力和水质。</w:t>
                  </w:r>
                </w:p>
                <w:p w14:paraId="56CE426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6"/>
                      <w:sz w:val="21"/>
                      <w:szCs w:val="21"/>
                    </w:rPr>
                    <w:t>2、新建水源或取水口应采取有效的水污染风险防</w:t>
                  </w:r>
                  <w:r>
                    <w:rPr>
                      <w:rFonts w:hint="default" w:ascii="Times New Roman" w:hAnsi="Times New Roman" w:eastAsia="宋体" w:cs="Times New Roman"/>
                      <w:color w:val="auto"/>
                      <w:spacing w:val="3"/>
                      <w:sz w:val="21"/>
                      <w:szCs w:val="21"/>
                    </w:rPr>
                    <w:t>控措施。</w:t>
                  </w:r>
                </w:p>
              </w:tc>
              <w:tc>
                <w:tcPr>
                  <w:tcW w:w="2305" w:type="dxa"/>
                  <w:tcBorders>
                    <w:tl2br w:val="nil"/>
                    <w:tr2bl w:val="nil"/>
                  </w:tcBorders>
                  <w:shd w:val="clear" w:color="auto" w:fill="auto"/>
                  <w:vAlign w:val="center"/>
                </w:tcPr>
                <w:p w14:paraId="32B0DCA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1、项目建设不涉及饮用水水源地；</w:t>
                  </w:r>
                </w:p>
                <w:p w14:paraId="6712D68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4"/>
                      <w:sz w:val="21"/>
                      <w:szCs w:val="21"/>
                    </w:rPr>
                    <w:t>2、本项目不涉及新建水源或取水口。</w:t>
                  </w:r>
                </w:p>
              </w:tc>
              <w:tc>
                <w:tcPr>
                  <w:tcW w:w="1087" w:type="dxa"/>
                  <w:tcBorders>
                    <w:tl2br w:val="nil"/>
                    <w:tr2bl w:val="nil"/>
                  </w:tcBorders>
                  <w:shd w:val="clear" w:color="auto" w:fill="auto"/>
                  <w:vAlign w:val="center"/>
                </w:tcPr>
                <w:p w14:paraId="44A30F88">
                  <w:pPr>
                    <w:pStyle w:val="19"/>
                    <w:widowControl w:val="0"/>
                    <w:spacing w:before="65" w:line="228"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pacing w:val="2"/>
                      <w:sz w:val="21"/>
                      <w:szCs w:val="21"/>
                    </w:rPr>
                    <w:t>符合</w:t>
                  </w:r>
                </w:p>
              </w:tc>
            </w:tr>
          </w:tbl>
          <w:p w14:paraId="17A6A93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表1-2  本项目与《宁夏水安全保障</w:t>
            </w:r>
            <w:r>
              <w:rPr>
                <w:rFonts w:hint="default" w:ascii="Times New Roman" w:hAnsi="Times New Roman" w:eastAsia="宋体" w:cs="Times New Roman"/>
                <w:b/>
                <w:bCs/>
                <w:color w:val="auto"/>
                <w:spacing w:val="7"/>
                <w:sz w:val="21"/>
                <w:szCs w:val="21"/>
                <w:lang w:eastAsia="zh-CN"/>
              </w:rPr>
              <w:t>“</w:t>
            </w:r>
            <w:r>
              <w:rPr>
                <w:rFonts w:hint="default" w:ascii="Times New Roman" w:hAnsi="Times New Roman" w:eastAsia="宋体" w:cs="Times New Roman"/>
                <w:b/>
                <w:bCs/>
                <w:color w:val="auto"/>
                <w:spacing w:val="7"/>
                <w:sz w:val="21"/>
                <w:szCs w:val="21"/>
              </w:rPr>
              <w:t>十四五</w:t>
            </w:r>
            <w:r>
              <w:rPr>
                <w:rFonts w:hint="default" w:ascii="Times New Roman" w:hAnsi="Times New Roman" w:eastAsia="宋体" w:cs="Times New Roman"/>
                <w:b/>
                <w:bCs/>
                <w:color w:val="auto"/>
                <w:spacing w:val="7"/>
                <w:sz w:val="21"/>
                <w:szCs w:val="21"/>
                <w:lang w:eastAsia="zh-CN"/>
              </w:rPr>
              <w:t>”</w:t>
            </w:r>
            <w:r>
              <w:rPr>
                <w:rFonts w:hint="default" w:ascii="Times New Roman" w:hAnsi="Times New Roman" w:eastAsia="宋体" w:cs="Times New Roman"/>
                <w:b/>
                <w:bCs/>
                <w:color w:val="auto"/>
                <w:spacing w:val="7"/>
                <w:sz w:val="21"/>
                <w:szCs w:val="21"/>
              </w:rPr>
              <w:t>规划环境影响报告书》审查意见</w:t>
            </w:r>
          </w:p>
          <w:p w14:paraId="54F8341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的符合性</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827"/>
              <w:gridCol w:w="2725"/>
              <w:gridCol w:w="1066"/>
            </w:tblGrid>
            <w:tr w14:paraId="20A6B5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827" w:type="dxa"/>
                  <w:tcBorders>
                    <w:tl2br w:val="nil"/>
                    <w:tr2bl w:val="nil"/>
                  </w:tcBorders>
                  <w:shd w:val="clear" w:color="auto" w:fill="auto"/>
                  <w:vAlign w:val="center"/>
                </w:tcPr>
                <w:p w14:paraId="4C8249C2">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en-US"/>
                    </w:rPr>
                  </w:pPr>
                  <w:r>
                    <w:rPr>
                      <w:rFonts w:hint="default" w:ascii="Times New Roman" w:hAnsi="Times New Roman" w:eastAsia="宋体" w:cs="Times New Roman"/>
                      <w:b/>
                      <w:bCs/>
                      <w:color w:val="auto"/>
                      <w:spacing w:val="2"/>
                      <w:sz w:val="21"/>
                      <w:szCs w:val="21"/>
                      <w:lang w:val="en-US" w:eastAsia="zh-CN"/>
                    </w:rPr>
                    <w:t>审查意见要求</w:t>
                  </w:r>
                </w:p>
              </w:tc>
              <w:tc>
                <w:tcPr>
                  <w:tcW w:w="2725" w:type="dxa"/>
                  <w:tcBorders>
                    <w:tl2br w:val="nil"/>
                    <w:tr2bl w:val="nil"/>
                  </w:tcBorders>
                  <w:shd w:val="clear" w:color="auto" w:fill="auto"/>
                  <w:vAlign w:val="center"/>
                </w:tcPr>
                <w:p w14:paraId="3AC10BEE">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en-US"/>
                    </w:rPr>
                  </w:pPr>
                  <w:r>
                    <w:rPr>
                      <w:rFonts w:hint="default" w:ascii="Times New Roman" w:hAnsi="Times New Roman" w:eastAsia="宋体" w:cs="Times New Roman"/>
                      <w:b/>
                      <w:bCs/>
                      <w:color w:val="auto"/>
                      <w:spacing w:val="2"/>
                      <w:sz w:val="21"/>
                      <w:szCs w:val="21"/>
                      <w:lang w:val="en-US" w:eastAsia="zh-CN"/>
                    </w:rPr>
                    <w:t>本项目具体情况</w:t>
                  </w:r>
                </w:p>
              </w:tc>
              <w:tc>
                <w:tcPr>
                  <w:tcW w:w="1066" w:type="dxa"/>
                  <w:tcBorders>
                    <w:tl2br w:val="nil"/>
                    <w:tr2bl w:val="nil"/>
                  </w:tcBorders>
                  <w:shd w:val="clear" w:color="auto" w:fill="auto"/>
                  <w:vAlign w:val="center"/>
                </w:tcPr>
                <w:p w14:paraId="76BCBC32">
                  <w:pPr>
                    <w:pStyle w:val="19"/>
                    <w:widowControl w:val="0"/>
                    <w:spacing w:before="39" w:line="233" w:lineRule="auto"/>
                    <w:ind w:left="0" w:leftChars="0" w:right="0" w:rightChars="0" w:firstLine="0" w:firstLineChars="0"/>
                    <w:jc w:val="center"/>
                    <w:rPr>
                      <w:rFonts w:hint="default" w:ascii="Times New Roman" w:hAnsi="Times New Roman" w:eastAsia="宋体" w:cs="Times New Roman"/>
                      <w:b/>
                      <w:bCs/>
                      <w:color w:val="auto"/>
                      <w:spacing w:val="2"/>
                      <w:sz w:val="21"/>
                      <w:szCs w:val="21"/>
                      <w:lang w:val="en-US" w:eastAsia="en-US"/>
                    </w:rPr>
                  </w:pPr>
                  <w:r>
                    <w:rPr>
                      <w:rFonts w:hint="default" w:ascii="Times New Roman" w:hAnsi="Times New Roman" w:eastAsia="宋体" w:cs="Times New Roman"/>
                      <w:b/>
                      <w:bCs/>
                      <w:color w:val="auto"/>
                      <w:spacing w:val="2"/>
                      <w:sz w:val="21"/>
                      <w:szCs w:val="21"/>
                      <w:lang w:val="en-US" w:eastAsia="zh-CN"/>
                    </w:rPr>
                    <w:t>是否符合</w:t>
                  </w:r>
                </w:p>
              </w:tc>
            </w:tr>
            <w:tr w14:paraId="31BD57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53" w:hRule="atLeast"/>
                <w:jc w:val="center"/>
              </w:trPr>
              <w:tc>
                <w:tcPr>
                  <w:tcW w:w="3827" w:type="dxa"/>
                  <w:tcBorders>
                    <w:tl2br w:val="nil"/>
                    <w:tr2bl w:val="nil"/>
                  </w:tcBorders>
                  <w:shd w:val="clear" w:color="auto" w:fill="auto"/>
                  <w:vAlign w:val="center"/>
                </w:tcPr>
                <w:p w14:paraId="7E68F0E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严守生</w:t>
                  </w:r>
                  <w:r>
                    <w:rPr>
                      <w:rFonts w:hint="eastAsia" w:ascii="Times New Roman" w:hAnsi="Times New Roman" w:cs="Times New Roman"/>
                      <w:color w:val="auto"/>
                      <w:spacing w:val="4"/>
                      <w:sz w:val="21"/>
                      <w:szCs w:val="21"/>
                      <w:lang w:val="en-US" w:eastAsia="zh-CN"/>
                    </w:rPr>
                    <w:t>态</w:t>
                  </w:r>
                  <w:r>
                    <w:rPr>
                      <w:rFonts w:hint="default" w:ascii="Times New Roman" w:hAnsi="Times New Roman" w:eastAsia="宋体" w:cs="Times New Roman"/>
                      <w:color w:val="auto"/>
                      <w:spacing w:val="4"/>
                      <w:sz w:val="21"/>
                      <w:szCs w:val="21"/>
                    </w:rPr>
                    <w:t>保护红线，加强空间管控。将生态保护红线作为保障和维护区域生态安全的底线，依法实施严格保护，对所涉及的水利工程设施，严格执行各项生态环境保护要求。</w:t>
                  </w:r>
                </w:p>
              </w:tc>
              <w:tc>
                <w:tcPr>
                  <w:tcW w:w="2725" w:type="dxa"/>
                  <w:tcBorders>
                    <w:tl2br w:val="nil"/>
                    <w:tr2bl w:val="nil"/>
                  </w:tcBorders>
                  <w:shd w:val="clear" w:color="auto" w:fill="auto"/>
                  <w:vAlign w:val="center"/>
                </w:tcPr>
                <w:p w14:paraId="49AC619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本项目不涉及生态保护红线，通过严格落实临时占地的生态恢复措施及水土流失控制措施的实施，确保临时占地生态环境的恢复。</w:t>
                  </w:r>
                </w:p>
              </w:tc>
              <w:tc>
                <w:tcPr>
                  <w:tcW w:w="1066" w:type="dxa"/>
                  <w:tcBorders>
                    <w:tl2br w:val="nil"/>
                    <w:tr2bl w:val="nil"/>
                  </w:tcBorders>
                  <w:shd w:val="clear" w:color="auto" w:fill="auto"/>
                  <w:vAlign w:val="center"/>
                </w:tcPr>
                <w:p w14:paraId="3E69C57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符合</w:t>
                  </w:r>
                </w:p>
              </w:tc>
            </w:tr>
            <w:tr w14:paraId="7FFBD1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53" w:hRule="atLeast"/>
                <w:jc w:val="center"/>
              </w:trPr>
              <w:tc>
                <w:tcPr>
                  <w:tcW w:w="3827" w:type="dxa"/>
                  <w:tcBorders>
                    <w:tl2br w:val="nil"/>
                    <w:tr2bl w:val="nil"/>
                  </w:tcBorders>
                  <w:shd w:val="clear" w:color="auto" w:fill="auto"/>
                  <w:vAlign w:val="center"/>
                </w:tcPr>
                <w:p w14:paraId="7C618DF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严守环境质量底线，推进区域环境质量持续改善。坚持生态优先、绿色发展、协调发展理念，《规划》的环境目标应立足于生态环境的稳定和环境质量的改善</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明确规划期重点工程、开发区域的生态环境质量底线</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作为《规划》实施的硬约束、同步实现环境质量改善目标与水资源开发目标。</w:t>
                  </w:r>
                </w:p>
              </w:tc>
              <w:tc>
                <w:tcPr>
                  <w:tcW w:w="2725" w:type="dxa"/>
                  <w:tcBorders>
                    <w:tl2br w:val="nil"/>
                    <w:tr2bl w:val="nil"/>
                  </w:tcBorders>
                  <w:shd w:val="clear" w:color="auto" w:fill="auto"/>
                  <w:vAlign w:val="center"/>
                </w:tcPr>
                <w:p w14:paraId="45AE5F7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本项目属于河道治理</w:t>
                  </w:r>
                  <w:r>
                    <w:rPr>
                      <w:rFonts w:hint="default" w:ascii="Times New Roman" w:hAnsi="Times New Roman" w:eastAsia="宋体" w:cs="Times New Roman"/>
                      <w:color w:val="auto"/>
                      <w:spacing w:val="4"/>
                      <w:sz w:val="21"/>
                      <w:szCs w:val="21"/>
                      <w:highlight w:val="none"/>
                      <w:lang w:val="en-US" w:eastAsia="zh-CN"/>
                    </w:rPr>
                    <w:t>和防洪除涝</w:t>
                  </w:r>
                  <w:r>
                    <w:rPr>
                      <w:rFonts w:hint="default" w:ascii="Times New Roman" w:hAnsi="Times New Roman" w:eastAsia="宋体" w:cs="Times New Roman"/>
                      <w:color w:val="auto"/>
                      <w:spacing w:val="4"/>
                      <w:sz w:val="21"/>
                      <w:szCs w:val="21"/>
                      <w:highlight w:val="none"/>
                    </w:rPr>
                    <w:t>工程，施工期产生的污染较少，</w:t>
                  </w:r>
                  <w:r>
                    <w:rPr>
                      <w:rFonts w:hint="eastAsia" w:ascii="Times New Roman" w:hAnsi="Times New Roman" w:cs="Times New Roman"/>
                      <w:color w:val="auto"/>
                      <w:spacing w:val="4"/>
                      <w:sz w:val="21"/>
                      <w:szCs w:val="21"/>
                      <w:highlight w:val="none"/>
                      <w:lang w:val="en-US" w:eastAsia="zh-CN"/>
                    </w:rPr>
                    <w:t>经</w:t>
                  </w:r>
                  <w:r>
                    <w:rPr>
                      <w:rFonts w:hint="default" w:ascii="Times New Roman" w:hAnsi="Times New Roman" w:eastAsia="宋体" w:cs="Times New Roman"/>
                      <w:color w:val="auto"/>
                      <w:spacing w:val="4"/>
                      <w:sz w:val="21"/>
                      <w:szCs w:val="21"/>
                      <w:highlight w:val="none"/>
                    </w:rPr>
                    <w:t>采取相应的防治措施，不会对环境质量有较大影响</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运营期</w:t>
                  </w:r>
                  <w:r>
                    <w:rPr>
                      <w:rFonts w:hint="eastAsia" w:ascii="Times New Roman" w:hAnsi="Times New Roman" w:eastAsia="宋体" w:cs="Times New Roman"/>
                      <w:color w:val="auto"/>
                      <w:spacing w:val="4"/>
                      <w:sz w:val="21"/>
                      <w:szCs w:val="21"/>
                      <w:highlight w:val="none"/>
                      <w:lang w:val="en-US" w:eastAsia="zh-CN"/>
                    </w:rPr>
                    <w:t>不产生废水、废气、</w:t>
                  </w:r>
                  <w:r>
                    <w:rPr>
                      <w:rFonts w:hint="eastAsia" w:ascii="Times New Roman" w:hAnsi="Times New Roman" w:cs="Times New Roman"/>
                      <w:color w:val="auto"/>
                      <w:spacing w:val="4"/>
                      <w:sz w:val="21"/>
                      <w:szCs w:val="21"/>
                      <w:highlight w:val="none"/>
                      <w:lang w:val="en-US" w:eastAsia="zh-CN"/>
                    </w:rPr>
                    <w:t>固废、</w:t>
                  </w:r>
                  <w:r>
                    <w:rPr>
                      <w:rFonts w:hint="eastAsia" w:ascii="Times New Roman" w:hAnsi="Times New Roman" w:eastAsia="宋体" w:cs="Times New Roman"/>
                      <w:color w:val="auto"/>
                      <w:spacing w:val="4"/>
                      <w:sz w:val="21"/>
                      <w:szCs w:val="21"/>
                      <w:highlight w:val="none"/>
                      <w:lang w:val="en-US" w:eastAsia="zh-CN"/>
                    </w:rPr>
                    <w:t>噪声污染。</w:t>
                  </w:r>
                  <w:r>
                    <w:rPr>
                      <w:rFonts w:hint="default" w:ascii="Times New Roman" w:hAnsi="Times New Roman" w:eastAsia="宋体" w:cs="Times New Roman"/>
                      <w:color w:val="auto"/>
                      <w:spacing w:val="4"/>
                      <w:sz w:val="21"/>
                      <w:szCs w:val="21"/>
                      <w:highlight w:val="none"/>
                    </w:rPr>
                    <w:t>待</w:t>
                  </w:r>
                  <w:r>
                    <w:rPr>
                      <w:rFonts w:hint="default" w:ascii="Times New Roman" w:hAnsi="Times New Roman" w:eastAsia="宋体" w:cs="Times New Roman"/>
                      <w:color w:val="auto"/>
                      <w:spacing w:val="4"/>
                      <w:sz w:val="21"/>
                      <w:szCs w:val="21"/>
                      <w:highlight w:val="none"/>
                      <w:lang w:val="en-US" w:eastAsia="zh-CN"/>
                    </w:rPr>
                    <w:t>本项目</w:t>
                  </w:r>
                  <w:r>
                    <w:rPr>
                      <w:rFonts w:hint="default" w:ascii="Times New Roman" w:hAnsi="Times New Roman" w:eastAsia="宋体" w:cs="Times New Roman"/>
                      <w:color w:val="auto"/>
                      <w:spacing w:val="4"/>
                      <w:sz w:val="21"/>
                      <w:szCs w:val="21"/>
                      <w:highlight w:val="none"/>
                    </w:rPr>
                    <w:t>建成后可提升区域</w:t>
                  </w:r>
                  <w:r>
                    <w:rPr>
                      <w:rFonts w:hint="default" w:ascii="Times New Roman" w:hAnsi="Times New Roman" w:eastAsia="宋体" w:cs="Times New Roman"/>
                      <w:color w:val="auto"/>
                      <w:spacing w:val="4"/>
                      <w:sz w:val="21"/>
                      <w:szCs w:val="21"/>
                      <w:highlight w:val="none"/>
                      <w:lang w:val="en-US" w:eastAsia="zh-CN"/>
                    </w:rPr>
                    <w:t>水生态功能和</w:t>
                  </w:r>
                  <w:r>
                    <w:rPr>
                      <w:rFonts w:hint="default" w:ascii="Times New Roman" w:hAnsi="Times New Roman" w:eastAsia="宋体" w:cs="Times New Roman"/>
                      <w:color w:val="auto"/>
                      <w:spacing w:val="4"/>
                      <w:sz w:val="21"/>
                      <w:szCs w:val="21"/>
                      <w:highlight w:val="none"/>
                    </w:rPr>
                    <w:t>防洪能力，消除防洪隐患，推进水生态系统安全和水环境治理。</w:t>
                  </w:r>
                </w:p>
              </w:tc>
              <w:tc>
                <w:tcPr>
                  <w:tcW w:w="1066" w:type="dxa"/>
                  <w:tcBorders>
                    <w:tl2br w:val="nil"/>
                    <w:tr2bl w:val="nil"/>
                  </w:tcBorders>
                  <w:shd w:val="clear" w:color="auto" w:fill="auto"/>
                  <w:vAlign w:val="center"/>
                </w:tcPr>
                <w:p w14:paraId="7AAAF4D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符合</w:t>
                  </w:r>
                </w:p>
              </w:tc>
            </w:tr>
            <w:tr w14:paraId="50F88C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07" w:hRule="atLeast"/>
                <w:jc w:val="center"/>
              </w:trPr>
              <w:tc>
                <w:tcPr>
                  <w:tcW w:w="3827" w:type="dxa"/>
                  <w:tcBorders>
                    <w:tl2br w:val="nil"/>
                    <w:tr2bl w:val="nil"/>
                  </w:tcBorders>
                  <w:shd w:val="clear" w:color="auto" w:fill="auto"/>
                  <w:vAlign w:val="center"/>
                </w:tcPr>
                <w:p w14:paraId="764CEC59">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严格水利工程建设的环境准入条件。严格水利工程准入要求，从源头上避免对区域水环境质量及水生态造成影响。加强水资源综合利用，提高资源节约集约利用水平。</w:t>
                  </w:r>
                </w:p>
              </w:tc>
              <w:tc>
                <w:tcPr>
                  <w:tcW w:w="2725" w:type="dxa"/>
                  <w:tcBorders>
                    <w:tl2br w:val="nil"/>
                    <w:tr2bl w:val="nil"/>
                  </w:tcBorders>
                  <w:shd w:val="clear" w:color="auto" w:fill="auto"/>
                  <w:vAlign w:val="center"/>
                </w:tcPr>
                <w:p w14:paraId="1980525C">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本项目为河道治理</w:t>
                  </w:r>
                  <w:r>
                    <w:rPr>
                      <w:rFonts w:hint="default" w:ascii="Times New Roman" w:hAnsi="Times New Roman" w:eastAsia="宋体" w:cs="Times New Roman"/>
                      <w:color w:val="auto"/>
                      <w:spacing w:val="4"/>
                      <w:sz w:val="21"/>
                      <w:szCs w:val="21"/>
                      <w:lang w:val="en-US" w:eastAsia="zh-CN"/>
                    </w:rPr>
                    <w:t>和防洪除涝</w:t>
                  </w:r>
                  <w:r>
                    <w:rPr>
                      <w:rFonts w:hint="default" w:ascii="Times New Roman" w:hAnsi="Times New Roman" w:eastAsia="宋体" w:cs="Times New Roman"/>
                      <w:color w:val="auto"/>
                      <w:spacing w:val="4"/>
                      <w:sz w:val="21"/>
                      <w:szCs w:val="21"/>
                    </w:rPr>
                    <w:t>工程，运营期不会对区域水环境质量及水生态造成影响。</w:t>
                  </w:r>
                </w:p>
              </w:tc>
              <w:tc>
                <w:tcPr>
                  <w:tcW w:w="1066" w:type="dxa"/>
                  <w:tcBorders>
                    <w:tl2br w:val="nil"/>
                    <w:tr2bl w:val="nil"/>
                  </w:tcBorders>
                  <w:shd w:val="clear" w:color="auto" w:fill="auto"/>
                  <w:vAlign w:val="center"/>
                </w:tcPr>
                <w:p w14:paraId="7524314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符合</w:t>
                  </w:r>
                </w:p>
              </w:tc>
            </w:tr>
            <w:tr w14:paraId="06492B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827" w:type="dxa"/>
                  <w:tcBorders>
                    <w:tl2br w:val="nil"/>
                    <w:tr2bl w:val="nil"/>
                  </w:tcBorders>
                  <w:shd w:val="clear" w:color="auto" w:fill="auto"/>
                  <w:vAlign w:val="center"/>
                </w:tcPr>
                <w:p w14:paraId="747EF9D9">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2725" w:type="dxa"/>
                  <w:tcBorders>
                    <w:tl2br w:val="nil"/>
                    <w:tr2bl w:val="nil"/>
                  </w:tcBorders>
                  <w:shd w:val="clear" w:color="auto" w:fill="auto"/>
                  <w:vAlign w:val="center"/>
                </w:tcPr>
                <w:p w14:paraId="0A50AD0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本项目主要通过</w:t>
                  </w:r>
                  <w:r>
                    <w:rPr>
                      <w:rFonts w:hint="default" w:ascii="Times New Roman" w:hAnsi="Times New Roman" w:eastAsia="宋体" w:cs="Times New Roman"/>
                      <w:color w:val="auto"/>
                      <w:spacing w:val="4"/>
                      <w:sz w:val="21"/>
                      <w:szCs w:val="21"/>
                      <w:lang w:val="en-US" w:eastAsia="zh-CN"/>
                    </w:rPr>
                    <w:t>河道生境构建工程、生态护坡</w:t>
                  </w:r>
                  <w:r>
                    <w:rPr>
                      <w:rFonts w:hint="default" w:ascii="Times New Roman" w:hAnsi="Times New Roman" w:eastAsia="宋体" w:cs="Times New Roman"/>
                      <w:color w:val="auto"/>
                      <w:spacing w:val="4"/>
                      <w:sz w:val="21"/>
                      <w:szCs w:val="21"/>
                    </w:rPr>
                    <w:t>工程</w:t>
                  </w:r>
                  <w:r>
                    <w:rPr>
                      <w:rFonts w:hint="default" w:ascii="Times New Roman" w:hAnsi="Times New Roman" w:eastAsia="宋体" w:cs="Times New Roman"/>
                      <w:color w:val="auto"/>
                      <w:spacing w:val="4"/>
                      <w:sz w:val="21"/>
                      <w:szCs w:val="21"/>
                      <w:lang w:val="en-US" w:eastAsia="zh-CN"/>
                    </w:rPr>
                    <w:t>和基底修复工程等</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pacing w:val="4"/>
                      <w:sz w:val="21"/>
                      <w:szCs w:val="21"/>
                      <w:lang w:val="en-US" w:eastAsia="zh-CN"/>
                    </w:rPr>
                    <w:t>改善羊槽</w:t>
                  </w:r>
                  <w:r>
                    <w:rPr>
                      <w:rFonts w:hint="default" w:ascii="Times New Roman" w:hAnsi="Times New Roman" w:eastAsia="宋体" w:cs="Times New Roman"/>
                      <w:color w:val="auto"/>
                      <w:spacing w:val="4"/>
                      <w:sz w:val="21"/>
                      <w:szCs w:val="21"/>
                    </w:rPr>
                    <w:t>河</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lang w:val="en-US" w:eastAsia="zh-CN"/>
                    </w:rPr>
                    <w:t>红土沟、向阳村边沟</w:t>
                  </w:r>
                  <w:r>
                    <w:rPr>
                      <w:rFonts w:hint="eastAsia" w:ascii="Times New Roman" w:hAnsi="Times New Roman" w:eastAsia="宋体" w:cs="Times New Roman"/>
                      <w:color w:val="auto"/>
                      <w:spacing w:val="4"/>
                      <w:sz w:val="21"/>
                      <w:szCs w:val="21"/>
                      <w:lang w:val="en-US" w:eastAsia="zh-CN"/>
                    </w:rPr>
                    <w:t>及</w:t>
                  </w:r>
                  <w:r>
                    <w:rPr>
                      <w:rFonts w:hint="default" w:ascii="Times New Roman" w:hAnsi="Times New Roman" w:eastAsia="宋体" w:cs="Times New Roman"/>
                      <w:color w:val="auto"/>
                      <w:spacing w:val="4"/>
                      <w:sz w:val="21"/>
                      <w:szCs w:val="21"/>
                      <w:lang w:val="en-US" w:eastAsia="zh-CN"/>
                    </w:rPr>
                    <w:t>部分排洪渠的</w:t>
                  </w:r>
                  <w:r>
                    <w:rPr>
                      <w:rFonts w:hint="default" w:ascii="Times New Roman" w:hAnsi="Times New Roman" w:eastAsia="宋体" w:cs="Times New Roman"/>
                      <w:color w:val="auto"/>
                      <w:spacing w:val="4"/>
                      <w:sz w:val="21"/>
                      <w:szCs w:val="21"/>
                    </w:rPr>
                    <w:t>防洪能力，推进水生态系统安全和水环境治理。</w:t>
                  </w:r>
                </w:p>
              </w:tc>
              <w:tc>
                <w:tcPr>
                  <w:tcW w:w="1066" w:type="dxa"/>
                  <w:tcBorders>
                    <w:tl2br w:val="nil"/>
                    <w:tr2bl w:val="nil"/>
                  </w:tcBorders>
                  <w:shd w:val="clear" w:color="auto" w:fill="auto"/>
                  <w:vAlign w:val="center"/>
                </w:tcPr>
                <w:p w14:paraId="3A5F3C6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lang w:val="en-US" w:eastAsia="en-US"/>
                    </w:rPr>
                  </w:pPr>
                  <w:r>
                    <w:rPr>
                      <w:rFonts w:hint="default" w:ascii="Times New Roman" w:hAnsi="Times New Roman" w:eastAsia="宋体" w:cs="Times New Roman"/>
                      <w:color w:val="auto"/>
                      <w:spacing w:val="4"/>
                      <w:sz w:val="21"/>
                      <w:szCs w:val="21"/>
                    </w:rPr>
                    <w:t>符合</w:t>
                  </w:r>
                </w:p>
              </w:tc>
            </w:tr>
          </w:tbl>
          <w:p w14:paraId="2C6BB16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rPr>
                <w:b/>
                <w:bCs/>
                <w:color w:val="auto"/>
                <w:spacing w:val="3"/>
                <w:sz w:val="20"/>
                <w:szCs w:val="20"/>
              </w:rPr>
            </w:pPr>
            <w:r>
              <w:rPr>
                <w:rFonts w:ascii="宋体" w:hAnsi="宋体" w:eastAsia="宋体" w:cs="宋体"/>
                <w:color w:val="auto"/>
                <w:spacing w:val="15"/>
                <w:sz w:val="24"/>
                <w:szCs w:val="24"/>
              </w:rPr>
              <w:t>综上所述，</w:t>
            </w:r>
            <w:r>
              <w:rPr>
                <w:rFonts w:hint="eastAsia" w:ascii="宋体" w:hAnsi="宋体" w:eastAsia="宋体" w:cs="宋体"/>
                <w:color w:val="auto"/>
                <w:spacing w:val="15"/>
                <w:sz w:val="24"/>
                <w:szCs w:val="24"/>
                <w:lang w:val="en-US" w:eastAsia="zh-CN"/>
              </w:rPr>
              <w:t>本</w:t>
            </w:r>
            <w:r>
              <w:rPr>
                <w:rFonts w:ascii="宋体" w:hAnsi="宋体" w:eastAsia="宋体" w:cs="宋体"/>
                <w:color w:val="auto"/>
                <w:spacing w:val="15"/>
                <w:sz w:val="24"/>
                <w:szCs w:val="24"/>
              </w:rPr>
              <w:t>项目建设符合《宁夏回族自治区水安全保障</w:t>
            </w:r>
            <w:r>
              <w:rPr>
                <w:rFonts w:hint="eastAsia" w:ascii="宋体" w:hAnsi="宋体" w:eastAsia="宋体" w:cs="宋体"/>
                <w:color w:val="auto"/>
                <w:spacing w:val="15"/>
                <w:sz w:val="24"/>
                <w:szCs w:val="24"/>
                <w:lang w:eastAsia="zh-CN"/>
              </w:rPr>
              <w:t>“</w:t>
            </w:r>
            <w:r>
              <w:rPr>
                <w:rFonts w:ascii="宋体" w:hAnsi="宋体" w:eastAsia="宋体" w:cs="宋体"/>
                <w:color w:val="auto"/>
                <w:spacing w:val="15"/>
                <w:sz w:val="24"/>
                <w:szCs w:val="24"/>
              </w:rPr>
              <w:t>十四五</w:t>
            </w:r>
            <w:r>
              <w:rPr>
                <w:rFonts w:hint="eastAsia" w:ascii="宋体" w:hAnsi="宋体" w:eastAsia="宋体" w:cs="宋体"/>
                <w:color w:val="auto"/>
                <w:spacing w:val="15"/>
                <w:sz w:val="24"/>
                <w:szCs w:val="24"/>
                <w:lang w:eastAsia="zh-CN"/>
              </w:rPr>
              <w:t>”</w:t>
            </w:r>
            <w:r>
              <w:rPr>
                <w:rFonts w:ascii="宋体" w:hAnsi="宋体" w:eastAsia="宋体" w:cs="宋体"/>
                <w:color w:val="auto"/>
                <w:spacing w:val="15"/>
                <w:sz w:val="24"/>
                <w:szCs w:val="24"/>
              </w:rPr>
              <w:t>规划环境影响报告书》及批复要求。</w:t>
            </w:r>
          </w:p>
        </w:tc>
      </w:tr>
      <w:tr w14:paraId="74D4E2F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39" w:type="dxa"/>
            <w:tcBorders>
              <w:tl2br w:val="nil"/>
              <w:tr2bl w:val="nil"/>
            </w:tcBorders>
            <w:vAlign w:val="center"/>
          </w:tcPr>
          <w:p w14:paraId="46DD0CBF">
            <w:pPr>
              <w:pStyle w:val="19"/>
              <w:spacing w:before="78" w:line="231" w:lineRule="auto"/>
              <w:ind w:left="0" w:leftChars="0" w:right="0" w:rightChars="0" w:firstLine="0" w:firstLineChars="0"/>
              <w:jc w:val="center"/>
              <w:rPr>
                <w:rFonts w:ascii="Arial"/>
                <w:color w:val="auto"/>
                <w:sz w:val="21"/>
              </w:rPr>
            </w:pPr>
            <w:r>
              <w:rPr>
                <w:b/>
                <w:bCs/>
                <w:color w:val="auto"/>
                <w:spacing w:val="-3"/>
              </w:rPr>
              <w:t>其他符合性分析</w:t>
            </w:r>
          </w:p>
        </w:tc>
        <w:tc>
          <w:tcPr>
            <w:tcW w:w="7703" w:type="dxa"/>
            <w:gridSpan w:val="3"/>
            <w:tcBorders>
              <w:tl2br w:val="nil"/>
              <w:tr2bl w:val="nil"/>
            </w:tcBorders>
            <w:vAlign w:val="top"/>
          </w:tcPr>
          <w:p w14:paraId="7D76D08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Times New Roman" w:hAnsi="Times New Roman" w:eastAsia="Times New Roman" w:cs="Times New Roman"/>
                <w:b/>
                <w:bCs/>
                <w:color w:val="auto"/>
                <w:spacing w:val="-2"/>
              </w:rPr>
            </w:pPr>
            <w:r>
              <w:rPr>
                <w:rFonts w:hint="eastAsia" w:ascii="Times New Roman" w:hAnsi="Times New Roman" w:eastAsia="Times New Roman" w:cs="Times New Roman"/>
                <w:b/>
                <w:bCs/>
                <w:color w:val="auto"/>
                <w:spacing w:val="-2"/>
                <w:lang w:val="en-US" w:eastAsia="zh-CN"/>
              </w:rPr>
              <w:t xml:space="preserve">1 </w:t>
            </w:r>
            <w:r>
              <w:rPr>
                <w:rFonts w:ascii="Times New Roman" w:hAnsi="Times New Roman" w:eastAsia="Times New Roman" w:cs="Times New Roman"/>
                <w:b/>
                <w:bCs/>
                <w:color w:val="auto"/>
                <w:spacing w:val="-2"/>
              </w:rPr>
              <w:t>产业政策符合性分析</w:t>
            </w:r>
          </w:p>
          <w:p w14:paraId="3D0BD22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both"/>
              <w:textAlignment w:val="baseline"/>
              <w:rPr>
                <w:rFonts w:hint="default" w:ascii="Times New Roman" w:hAnsi="Times New Roman" w:eastAsia="宋体" w:cs="Times New Roman"/>
                <w:snapToGrid w:val="0"/>
                <w:color w:val="auto"/>
                <w:spacing w:val="15"/>
                <w:kern w:val="0"/>
                <w:sz w:val="24"/>
                <w:szCs w:val="24"/>
                <w:lang w:val="en-US" w:eastAsia="en-US" w:bidi="ar-SA"/>
              </w:rPr>
            </w:pPr>
            <w:r>
              <w:rPr>
                <w:rFonts w:hint="eastAsia" w:ascii="Times New Roman" w:hAnsi="Times New Roman" w:cs="Times New Roman"/>
                <w:snapToGrid w:val="0"/>
                <w:color w:val="auto"/>
                <w:spacing w:val="15"/>
                <w:kern w:val="0"/>
                <w:sz w:val="24"/>
                <w:szCs w:val="24"/>
                <w:lang w:val="en-US" w:eastAsia="zh-CN" w:bidi="ar-SA"/>
              </w:rPr>
              <w:t>本项目对泾源县黄花乡实施城乡供水一体化及水土保持（河道治理）、山洪及地质灾害（防洪除涝工程），工程涉及对羊槽河（羊槽村段）、生态沟渠及排洪渠的治理，通过河道生境构建、生态护坡工程、基底修复工程，减少陆域污染物入河、提高水体保持能力，以提升羊槽河生态系统健康水平。通过生态修复等治理措施，有效控制沟渠两侧雨水径流污染，修复农村水生态、水环境，增强农村防洪排涝能力。</w:t>
            </w:r>
            <w:r>
              <w:rPr>
                <w:rFonts w:hint="default" w:ascii="Times New Roman" w:hAnsi="Times New Roman" w:eastAsia="宋体" w:cs="Times New Roman"/>
                <w:snapToGrid w:val="0"/>
                <w:color w:val="auto"/>
                <w:spacing w:val="15"/>
                <w:kern w:val="0"/>
                <w:sz w:val="24"/>
                <w:szCs w:val="24"/>
                <w:lang w:val="en-US" w:eastAsia="en-US" w:bidi="ar-SA"/>
              </w:rPr>
              <w:t>对照国家发展和改革委员会《产业结构调整指导目录（2024年本）》，该项目属于鼓励类项目中的</w:t>
            </w:r>
            <w:r>
              <w:rPr>
                <w:rFonts w:hint="eastAsia" w:ascii="Times New Roman" w:hAnsi="Times New Roman" w:cs="Times New Roman"/>
                <w:snapToGrid w:val="0"/>
                <w:color w:val="auto"/>
                <w:spacing w:val="15"/>
                <w:kern w:val="0"/>
                <w:sz w:val="24"/>
                <w:szCs w:val="24"/>
                <w:lang w:val="en-US" w:eastAsia="zh-CN" w:bidi="ar-SA"/>
              </w:rPr>
              <w:t>“</w:t>
            </w:r>
            <w:r>
              <w:rPr>
                <w:rFonts w:hint="default" w:ascii="Times New Roman" w:hAnsi="Times New Roman" w:eastAsia="宋体" w:cs="Times New Roman"/>
                <w:snapToGrid w:val="0"/>
                <w:color w:val="auto"/>
                <w:spacing w:val="15"/>
                <w:kern w:val="0"/>
                <w:sz w:val="24"/>
                <w:szCs w:val="24"/>
                <w:lang w:val="en-US" w:eastAsia="en-US" w:bidi="ar-SA"/>
              </w:rPr>
              <w:t>二、水利</w:t>
            </w:r>
            <w:r>
              <w:rPr>
                <w:rFonts w:hint="eastAsia" w:ascii="Times New Roman" w:hAnsi="Times New Roman" w:cs="Times New Roman"/>
                <w:snapToGrid w:val="0"/>
                <w:color w:val="auto"/>
                <w:spacing w:val="15"/>
                <w:kern w:val="0"/>
                <w:sz w:val="24"/>
                <w:szCs w:val="24"/>
                <w:lang w:val="en-US" w:eastAsia="zh-CN" w:bidi="ar-SA"/>
              </w:rPr>
              <w:t>3.防洪提升工程中：</w:t>
            </w:r>
            <w:r>
              <w:rPr>
                <w:rFonts w:hint="default" w:ascii="Times New Roman" w:hAnsi="Times New Roman" w:eastAsia="宋体" w:cs="Times New Roman"/>
                <w:snapToGrid w:val="0"/>
                <w:color w:val="auto"/>
                <w:spacing w:val="15"/>
                <w:kern w:val="0"/>
                <w:sz w:val="24"/>
                <w:szCs w:val="24"/>
                <w:lang w:val="en-US" w:eastAsia="en-US" w:bidi="ar-SA"/>
              </w:rPr>
              <w:t>江河湖海堤防建设及河道治理工程</w:t>
            </w:r>
            <w:r>
              <w:rPr>
                <w:rFonts w:hint="eastAsia" w:ascii="Times New Roman" w:hAnsi="Times New Roman" w:cs="Times New Roman"/>
                <w:snapToGrid w:val="0"/>
                <w:color w:val="auto"/>
                <w:spacing w:val="15"/>
                <w:kern w:val="0"/>
                <w:sz w:val="24"/>
                <w:szCs w:val="24"/>
                <w:lang w:val="en-US" w:eastAsia="zh-CN" w:bidi="ar-SA"/>
              </w:rPr>
              <w:t>”</w:t>
            </w:r>
            <w:r>
              <w:rPr>
                <w:rFonts w:hint="default" w:ascii="Times New Roman" w:hAnsi="Times New Roman" w:eastAsia="宋体" w:cs="Times New Roman"/>
                <w:snapToGrid w:val="0"/>
                <w:color w:val="auto"/>
                <w:spacing w:val="15"/>
                <w:kern w:val="0"/>
                <w:sz w:val="24"/>
                <w:szCs w:val="24"/>
                <w:lang w:val="en-US" w:eastAsia="en-US" w:bidi="ar-SA"/>
              </w:rPr>
              <w:t>，因此该项目的建设符合国家的产业政策。</w:t>
            </w:r>
          </w:p>
          <w:p w14:paraId="06A1F89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 相关政策符合性分析</w:t>
            </w:r>
          </w:p>
          <w:p w14:paraId="1D63DD6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2.1 与《宁夏回族自治区生态环境保护“十四五”规划》符合性分析</w:t>
            </w:r>
          </w:p>
          <w:p w14:paraId="25F4287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both"/>
              <w:textAlignment w:val="baseline"/>
              <w:rPr>
                <w:rFonts w:hint="eastAsia" w:ascii="Times New Roman" w:hAnsi="Times New Roman" w:cs="Times New Roman"/>
                <w:snapToGrid w:val="0"/>
                <w:color w:val="auto"/>
                <w:spacing w:val="15"/>
                <w:kern w:val="0"/>
                <w:sz w:val="24"/>
                <w:szCs w:val="24"/>
                <w:lang w:val="en-US" w:eastAsia="zh-CN" w:bidi="ar-SA"/>
              </w:rPr>
            </w:pPr>
            <w:r>
              <w:rPr>
                <w:rFonts w:hint="eastAsia" w:ascii="Times New Roman" w:hAnsi="Times New Roman" w:cs="Times New Roman"/>
                <w:snapToGrid w:val="0"/>
                <w:color w:val="auto"/>
                <w:spacing w:val="15"/>
                <w:kern w:val="0"/>
                <w:sz w:val="24"/>
                <w:szCs w:val="24"/>
                <w:lang w:val="en-US" w:eastAsia="zh-CN" w:bidi="ar-SA"/>
              </w:rPr>
              <w:t>《宁夏回族自治区生态环境保护“十四五”规划》提出，“十四五”期间，要“深化“三水”统筹，提升水环境质量，积极推动水生态修复，开展河湖岸线保护修复......开展河湖生态缓冲带修复、建设，到2025年，修复、建设河湖生态缓冲65.6km。加强重点河湖生态系统建设。管控生态水量底线，保障生态基流，确保重点河湖生态功能不退化。加强清水河、葫芦河、茹河、渝河、泾河等重点河流治理，联动推进水土治理、污染防治、水源涵养、生物平衡、生态经济，改善流域生态环境。”</w:t>
            </w:r>
          </w:p>
          <w:p w14:paraId="7651007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both"/>
              <w:textAlignment w:val="baseline"/>
              <w:rPr>
                <w:rFonts w:hint="eastAsia" w:ascii="Times New Roman" w:hAnsi="Times New Roman" w:cs="Times New Roman"/>
                <w:snapToGrid w:val="0"/>
                <w:color w:val="auto"/>
                <w:spacing w:val="15"/>
                <w:kern w:val="0"/>
                <w:sz w:val="24"/>
                <w:szCs w:val="24"/>
                <w:lang w:val="en-US" w:eastAsia="zh-CN" w:bidi="ar-SA"/>
              </w:rPr>
            </w:pPr>
            <w:r>
              <w:rPr>
                <w:rFonts w:hint="eastAsia" w:ascii="Times New Roman" w:hAnsi="Times New Roman" w:cs="Times New Roman"/>
                <w:snapToGrid w:val="0"/>
                <w:color w:val="auto"/>
                <w:spacing w:val="15"/>
                <w:kern w:val="0"/>
                <w:sz w:val="24"/>
                <w:szCs w:val="24"/>
                <w:lang w:val="en-US" w:eastAsia="zh-CN" w:bidi="ar-SA"/>
              </w:rPr>
              <w:t>本项目建设内容包括城乡供水一体化及水土保持（河道治理）、山洪及地质灾害（防洪除涝工程），工程涉及对羊槽河（羊槽村段）、生态沟渠及排洪渠的治理，通过河道生境构建、生态护坡工程、基底修复工程，减少陆域污染物入河、提高水体保持能力，以提升羊槽河、生态沟渠的水生态系统健康水平。因此，本项目建设符合《宁夏回族自治区生态环境保护“十四五”规划》。</w:t>
            </w:r>
          </w:p>
          <w:p w14:paraId="331C745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 与《固原市环境保护“十四五”规划》符合性分析</w:t>
            </w:r>
          </w:p>
          <w:p w14:paraId="3BEDCAA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both"/>
              <w:textAlignment w:val="baseline"/>
              <w:rPr>
                <w:rFonts w:hint="eastAsia" w:ascii="Times New Roman" w:hAnsi="Times New Roman" w:cs="Times New Roman"/>
                <w:snapToGrid w:val="0"/>
                <w:color w:val="auto"/>
                <w:spacing w:val="15"/>
                <w:kern w:val="0"/>
                <w:sz w:val="24"/>
                <w:szCs w:val="24"/>
                <w:lang w:val="en-US" w:eastAsia="zh-CN" w:bidi="ar-SA"/>
              </w:rPr>
            </w:pPr>
            <w:r>
              <w:rPr>
                <w:rFonts w:hint="eastAsia" w:ascii="Times New Roman" w:hAnsi="Times New Roman" w:cs="Times New Roman"/>
                <w:snapToGrid w:val="0"/>
                <w:color w:val="auto"/>
                <w:spacing w:val="15"/>
                <w:kern w:val="0"/>
                <w:sz w:val="24"/>
                <w:szCs w:val="24"/>
                <w:lang w:val="en-US" w:eastAsia="zh-CN" w:bidi="ar-SA"/>
              </w:rPr>
              <w:t>《固原市环境保护“十四五”规划》提出，加强“七河”等重点河流治理，联动推进水土治理、污染防治、水源涵养、生物平衡、生态经济，改善流域生态环境。制定出台“七河”流域河滨缓冲带管理规定，从修复生态系统、栖息地建设、恢复河岸连通性、护岸固堤、拦截面源污染等方面实施河流生态缓冲带保护修复。</w:t>
            </w:r>
          </w:p>
          <w:p w14:paraId="57CA8F6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both"/>
              <w:textAlignment w:val="baseline"/>
              <w:rPr>
                <w:rFonts w:hint="eastAsia" w:ascii="Times New Roman" w:hAnsi="Times New Roman" w:cs="Times New Roman"/>
                <w:snapToGrid w:val="0"/>
                <w:color w:val="auto"/>
                <w:spacing w:val="15"/>
                <w:kern w:val="0"/>
                <w:sz w:val="24"/>
                <w:szCs w:val="24"/>
                <w:lang w:val="en-US" w:eastAsia="zh-CN" w:bidi="ar-SA"/>
              </w:rPr>
            </w:pPr>
            <w:r>
              <w:rPr>
                <w:rFonts w:hint="eastAsia" w:ascii="Times New Roman" w:hAnsi="Times New Roman" w:cs="Times New Roman"/>
                <w:snapToGrid w:val="0"/>
                <w:color w:val="auto"/>
                <w:spacing w:val="15"/>
                <w:kern w:val="0"/>
                <w:sz w:val="24"/>
                <w:szCs w:val="24"/>
                <w:lang w:val="en-US" w:eastAsia="zh-CN" w:bidi="ar-SA"/>
              </w:rPr>
              <w:t>本项目主要对羊槽河（羊槽村段）、红土沟及向阳村边沟进行河道生境构建、生态护坡工程和基底修复工程，羊槽河为泾河支流，项目的实施有助于改善羊槽河的水生态环境。</w:t>
            </w:r>
          </w:p>
          <w:p w14:paraId="06AB177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rPr>
            </w:pPr>
            <w:r>
              <w:rPr>
                <w:rFonts w:hint="default" w:ascii="Times New Roman" w:hAnsi="Times New Roman" w:eastAsia="Times New Roman" w:cs="Times New Roman"/>
                <w:b/>
                <w:bCs/>
                <w:color w:val="auto"/>
                <w:spacing w:val="-2"/>
                <w:lang w:val="en-US" w:eastAsia="zh-CN"/>
              </w:rPr>
              <w:t>2.3 与《泾源县“十四五”生态环境保护发展规划》符合性分析</w:t>
            </w:r>
          </w:p>
          <w:p w14:paraId="6A8B95C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b w:val="0"/>
                <w:bCs w:val="0"/>
                <w:color w:val="auto"/>
                <w:lang w:eastAsia="zh-CN"/>
              </w:rPr>
            </w:pPr>
            <w:r>
              <w:rPr>
                <w:rFonts w:hint="default" w:ascii="Times New Roman" w:hAnsi="Times New Roman" w:eastAsia="Times New Roman" w:cs="Times New Roman"/>
                <w:b w:val="0"/>
                <w:bCs w:val="0"/>
                <w:color w:val="auto"/>
                <w:spacing w:val="-2"/>
                <w:lang w:val="en-US" w:eastAsia="zh-CN"/>
              </w:rPr>
              <w:t>《泾源县“十四五”生态环境保护发展规划》</w:t>
            </w:r>
            <w:r>
              <w:rPr>
                <w:rFonts w:hint="default" w:ascii="Times New Roman" w:hAnsi="Times New Roman" w:eastAsia="宋体" w:cs="Times New Roman"/>
                <w:b w:val="0"/>
                <w:bCs w:val="0"/>
                <w:color w:val="auto"/>
                <w:spacing w:val="-1"/>
                <w:lang w:val="en-US" w:eastAsia="zh-CN"/>
              </w:rPr>
              <w:t>提</w:t>
            </w:r>
            <w:r>
              <w:rPr>
                <w:rFonts w:hint="default" w:ascii="Times New Roman" w:hAnsi="Times New Roman" w:cs="Times New Roman"/>
                <w:b w:val="0"/>
                <w:bCs w:val="0"/>
                <w:color w:val="auto"/>
                <w:spacing w:val="-1"/>
              </w:rPr>
              <w:t>出：“实施水土保持和水土流失治理工程。开展以小流域和小区域为单元的水土流失综合治理，突出重点预防区和重点治理区，着力构建科学合理、协调高效的水土流失综合防治体系</w:t>
            </w:r>
            <w:r>
              <w:rPr>
                <w:rFonts w:hint="default" w:ascii="Times New Roman" w:hAnsi="Times New Roman" w:cs="Times New Roman"/>
                <w:b w:val="0"/>
                <w:bCs w:val="0"/>
                <w:color w:val="auto"/>
                <w:spacing w:val="-78"/>
                <w:lang w:eastAsia="zh-CN"/>
              </w:rPr>
              <w:t>”。</w:t>
            </w:r>
          </w:p>
          <w:p w14:paraId="6C119F7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spacing w:val="-2"/>
              </w:rPr>
              <w:t>本项目</w:t>
            </w:r>
            <w:r>
              <w:rPr>
                <w:rFonts w:hint="default" w:ascii="Times New Roman" w:hAnsi="Times New Roman" w:cs="Times New Roman"/>
                <w:color w:val="auto"/>
                <w:spacing w:val="-2"/>
                <w:lang w:val="en-US" w:eastAsia="zh-CN"/>
              </w:rPr>
              <w:t>对羊槽河（羊槽村段）</w:t>
            </w:r>
            <w:r>
              <w:rPr>
                <w:rFonts w:hint="default" w:ascii="Times New Roman" w:hAnsi="Times New Roman" w:cs="Times New Roman"/>
                <w:snapToGrid w:val="0"/>
                <w:color w:val="auto"/>
                <w:spacing w:val="15"/>
                <w:kern w:val="0"/>
                <w:sz w:val="24"/>
                <w:szCs w:val="24"/>
                <w:lang w:val="en-US" w:eastAsia="zh-CN" w:bidi="ar-SA"/>
              </w:rPr>
              <w:t>、红土沟</w:t>
            </w:r>
            <w:r>
              <w:rPr>
                <w:rFonts w:hint="eastAsia" w:ascii="Times New Roman" w:hAnsi="Times New Roman" w:cs="Times New Roman"/>
                <w:snapToGrid w:val="0"/>
                <w:color w:val="auto"/>
                <w:spacing w:val="15"/>
                <w:kern w:val="0"/>
                <w:sz w:val="24"/>
                <w:szCs w:val="24"/>
                <w:lang w:val="en-US" w:eastAsia="zh-CN" w:bidi="ar-SA"/>
              </w:rPr>
              <w:t>、</w:t>
            </w:r>
            <w:r>
              <w:rPr>
                <w:rFonts w:hint="default" w:ascii="Times New Roman" w:hAnsi="Times New Roman" w:cs="Times New Roman"/>
                <w:snapToGrid w:val="0"/>
                <w:color w:val="auto"/>
                <w:spacing w:val="15"/>
                <w:kern w:val="0"/>
                <w:sz w:val="24"/>
                <w:szCs w:val="24"/>
                <w:lang w:val="en-US" w:eastAsia="zh-CN" w:bidi="ar-SA"/>
              </w:rPr>
              <w:t>向阳村边</w:t>
            </w:r>
            <w:r>
              <w:rPr>
                <w:rFonts w:hint="eastAsia" w:ascii="Times New Roman" w:hAnsi="Times New Roman" w:cs="Times New Roman"/>
                <w:snapToGrid w:val="0"/>
                <w:color w:val="auto"/>
                <w:spacing w:val="15"/>
                <w:kern w:val="0"/>
                <w:sz w:val="24"/>
                <w:szCs w:val="24"/>
                <w:lang w:val="en-US" w:eastAsia="zh-CN" w:bidi="ar-SA"/>
              </w:rPr>
              <w:t>沟和排洪渠</w:t>
            </w:r>
            <w:r>
              <w:rPr>
                <w:rFonts w:hint="default" w:ascii="Times New Roman" w:hAnsi="Times New Roman" w:cs="Times New Roman"/>
                <w:snapToGrid w:val="0"/>
                <w:color w:val="auto"/>
                <w:spacing w:val="15"/>
                <w:kern w:val="0"/>
                <w:sz w:val="24"/>
                <w:szCs w:val="24"/>
                <w:lang w:val="en-US" w:eastAsia="zh-CN" w:bidi="ar-SA"/>
              </w:rPr>
              <w:t>进行河道生境构建</w:t>
            </w:r>
            <w:r>
              <w:rPr>
                <w:rFonts w:hint="eastAsia" w:ascii="Times New Roman" w:hAnsi="Times New Roman" w:cs="Times New Roman"/>
                <w:snapToGrid w:val="0"/>
                <w:color w:val="auto"/>
                <w:spacing w:val="15"/>
                <w:kern w:val="0"/>
                <w:sz w:val="24"/>
                <w:szCs w:val="24"/>
                <w:lang w:val="en-US" w:eastAsia="zh-CN" w:bidi="ar-SA"/>
              </w:rPr>
              <w:t>、</w:t>
            </w:r>
            <w:r>
              <w:rPr>
                <w:rFonts w:hint="default" w:ascii="Times New Roman" w:hAnsi="Times New Roman" w:cs="Times New Roman"/>
                <w:snapToGrid w:val="0"/>
                <w:color w:val="auto"/>
                <w:spacing w:val="15"/>
                <w:kern w:val="0"/>
                <w:sz w:val="24"/>
                <w:szCs w:val="24"/>
                <w:lang w:val="en-US" w:eastAsia="zh-CN" w:bidi="ar-SA"/>
              </w:rPr>
              <w:t>生态护坡工程</w:t>
            </w:r>
            <w:r>
              <w:rPr>
                <w:rFonts w:hint="eastAsia" w:ascii="Times New Roman" w:hAnsi="Times New Roman" w:cs="Times New Roman"/>
                <w:snapToGrid w:val="0"/>
                <w:color w:val="auto"/>
                <w:spacing w:val="15"/>
                <w:kern w:val="0"/>
                <w:sz w:val="24"/>
                <w:szCs w:val="24"/>
                <w:lang w:val="en-US" w:eastAsia="zh-CN" w:bidi="ar-SA"/>
              </w:rPr>
              <w:t>和基底修复工程</w:t>
            </w:r>
            <w:r>
              <w:rPr>
                <w:rFonts w:hint="default" w:ascii="Times New Roman" w:hAnsi="Times New Roman" w:cs="Times New Roman"/>
                <w:color w:val="auto"/>
                <w:spacing w:val="6"/>
              </w:rPr>
              <w:t>，</w:t>
            </w:r>
            <w:r>
              <w:rPr>
                <w:rFonts w:hint="default" w:ascii="Times New Roman" w:hAnsi="Times New Roman" w:cs="Times New Roman"/>
                <w:color w:val="auto"/>
                <w:spacing w:val="-2"/>
              </w:rPr>
              <w:t>符合</w:t>
            </w:r>
            <w:r>
              <w:rPr>
                <w:rFonts w:hint="default" w:ascii="Times New Roman" w:hAnsi="Times New Roman" w:cs="Times New Roman"/>
                <w:color w:val="auto"/>
                <w:spacing w:val="-2"/>
                <w:lang w:val="en-US" w:eastAsia="zh-CN"/>
              </w:rPr>
              <w:t>上述</w:t>
            </w:r>
            <w:r>
              <w:rPr>
                <w:rFonts w:hint="default" w:ascii="Times New Roman" w:hAnsi="Times New Roman" w:cs="Times New Roman"/>
                <w:color w:val="auto"/>
                <w:spacing w:val="-2"/>
              </w:rPr>
              <w:t>《</w:t>
            </w:r>
            <w:r>
              <w:rPr>
                <w:rFonts w:hint="default" w:ascii="Times New Roman" w:hAnsi="Times New Roman" w:cs="Times New Roman"/>
                <w:color w:val="auto"/>
              </w:rPr>
              <w:t>规划》</w:t>
            </w:r>
            <w:r>
              <w:rPr>
                <w:rFonts w:hint="default" w:ascii="Times New Roman" w:hAnsi="Times New Roman" w:cs="Times New Roman"/>
                <w:color w:val="auto"/>
                <w:lang w:val="en-US" w:eastAsia="zh-CN"/>
              </w:rPr>
              <w:t>提出的：“</w:t>
            </w:r>
            <w:r>
              <w:rPr>
                <w:rFonts w:hint="default" w:ascii="Times New Roman" w:hAnsi="Times New Roman" w:cs="Times New Roman"/>
                <w:color w:val="auto"/>
              </w:rPr>
              <w:t>重点开展以小流域和小区域</w:t>
            </w:r>
            <w:r>
              <w:rPr>
                <w:rFonts w:hint="default" w:ascii="Times New Roman" w:hAnsi="Times New Roman" w:cs="Times New Roman"/>
                <w:color w:val="auto"/>
                <w:spacing w:val="-1"/>
              </w:rPr>
              <w:t>为单元的水土流失综合治理</w:t>
            </w:r>
            <w:r>
              <w:rPr>
                <w:rFonts w:hint="default" w:ascii="Times New Roman" w:hAnsi="Times New Roman" w:cs="Times New Roman"/>
                <w:color w:val="auto"/>
                <w:lang w:val="en-US" w:eastAsia="zh-CN"/>
              </w:rPr>
              <w:t>”</w:t>
            </w:r>
            <w:r>
              <w:rPr>
                <w:rFonts w:hint="default" w:ascii="Times New Roman" w:hAnsi="Times New Roman" w:cs="Times New Roman"/>
                <w:color w:val="auto"/>
                <w:spacing w:val="-3"/>
              </w:rPr>
              <w:t>的要求。</w:t>
            </w:r>
          </w:p>
          <w:p w14:paraId="2882932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default" w:ascii="Times New Roman" w:hAnsi="Times New Roman" w:eastAsia="Times New Roman" w:cs="Times New Roman"/>
                <w:b/>
                <w:bCs/>
                <w:color w:val="auto"/>
                <w:spacing w:val="-2"/>
                <w:lang w:val="en-US" w:eastAsia="zh-CN"/>
              </w:rPr>
              <w:t>3 “三线一单”相符性分析</w:t>
            </w:r>
          </w:p>
          <w:p w14:paraId="065C1B5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default" w:ascii="Times New Roman" w:hAnsi="Times New Roman" w:eastAsia="Times New Roman" w:cs="Times New Roman"/>
                <w:b/>
                <w:bCs/>
                <w:color w:val="auto"/>
                <w:spacing w:val="-2"/>
                <w:lang w:val="en-US" w:eastAsia="zh-CN"/>
              </w:rPr>
              <w:t>3.1 生态保护红线</w:t>
            </w:r>
          </w:p>
          <w:p w14:paraId="575F7D7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cs="Times New Roman"/>
                <w:color w:val="auto"/>
                <w:lang w:val="en-US" w:eastAsia="zh-CN"/>
              </w:rPr>
              <w:t>根据</w:t>
            </w:r>
            <w:r>
              <w:rPr>
                <w:rFonts w:hint="default" w:ascii="Times New Roman" w:hAnsi="Times New Roman" w:eastAsia="宋体" w:cs="Times New Roman"/>
                <w:color w:val="auto"/>
                <w:kern w:val="0"/>
                <w:sz w:val="24"/>
                <w:szCs w:val="24"/>
                <w:highlight w:val="none"/>
                <w:lang w:eastAsia="zh-CN"/>
              </w:rPr>
              <w:t>固原市人民政府关于印发</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固原市生态环境分区管控实施方案的通知</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（固政规发〔20</w:t>
            </w:r>
            <w:r>
              <w:rPr>
                <w:rFonts w:hint="default" w:ascii="Times New Roman" w:hAnsi="Times New Roman"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28</w:t>
            </w:r>
            <w:r>
              <w:rPr>
                <w:rFonts w:hint="default" w:ascii="Times New Roman" w:hAnsi="Times New Roman" w:eastAsia="宋体" w:cs="Times New Roman"/>
                <w:color w:val="auto"/>
                <w:kern w:val="0"/>
                <w:sz w:val="24"/>
                <w:szCs w:val="24"/>
                <w:highlight w:val="none"/>
                <w:lang w:eastAsia="zh-CN"/>
              </w:rPr>
              <w:t>号）</w:t>
            </w:r>
            <w:r>
              <w:rPr>
                <w:rFonts w:hint="eastAsia" w:ascii="Times New Roman" w:hAnsi="Times New Roman" w:eastAsia="宋体" w:cs="Times New Roman"/>
                <w:color w:val="auto"/>
                <w:kern w:val="0"/>
                <w:sz w:val="24"/>
                <w:szCs w:val="24"/>
                <w:highlight w:val="none"/>
                <w:lang w:eastAsia="zh-CN"/>
              </w:rPr>
              <w:t>，划定固原市生态空间总面积4285.65平方公里。其中生态保护红线面积为2887.56平方公里；除生态保护红线以外的一般生态空间面积1397.22平方公里。</w:t>
            </w:r>
          </w:p>
          <w:p w14:paraId="3F62982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生态保护红线原则上按禁止开发区域的要求进行管理。严禁不符合主体功能定位的各类开发活动，严禁任意改变用途，确保生态保护红线内“生态功能不降低，面积不减少，性质不改变”。</w:t>
            </w:r>
          </w:p>
          <w:p w14:paraId="78268F6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一般生态空间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有序引导生态空间用途之间的相互转变，鼓励向有利于生态功能提升的方向转变，严格禁止不符合生态保护要求或有损生态功能的相互转换。</w:t>
            </w:r>
          </w:p>
          <w:p w14:paraId="3D18996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本项目对泾源县黄花乡实施</w:t>
            </w:r>
            <w:r>
              <w:rPr>
                <w:rFonts w:hint="default" w:ascii="Times New Roman" w:hAnsi="Times New Roman" w:cs="Times New Roman"/>
                <w:snapToGrid w:val="0"/>
                <w:color w:val="auto"/>
                <w:spacing w:val="15"/>
                <w:kern w:val="0"/>
                <w:sz w:val="24"/>
                <w:szCs w:val="24"/>
                <w:lang w:val="en-US" w:eastAsia="zh-CN" w:bidi="ar-SA"/>
              </w:rPr>
              <w:t>实施城乡供水一体化及水土保持（河道治理）、山洪及地质灾害（防洪除涝工程），工程涉及对羊槽河（羊槽村段）、生态沟渠及排洪渠的治理，通过河道生境构建、生态护坡工程、基底修复工程</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经对照</w:t>
            </w:r>
            <w:r>
              <w:rPr>
                <w:rFonts w:hint="default" w:ascii="Times New Roman" w:hAnsi="Times New Roman" w:cs="Times New Roman"/>
                <w:color w:val="auto"/>
              </w:rPr>
              <w:t>固原市生态红线位置关</w:t>
            </w:r>
            <w:r>
              <w:rPr>
                <w:rFonts w:hint="default" w:ascii="Times New Roman" w:hAnsi="Times New Roman" w:cs="Times New Roman"/>
                <w:color w:val="auto"/>
                <w:highlight w:val="none"/>
              </w:rPr>
              <w:t>系图（附图1）</w:t>
            </w:r>
            <w:r>
              <w:rPr>
                <w:rFonts w:hint="default" w:ascii="Times New Roman" w:hAnsi="Times New Roman" w:cs="Times New Roman"/>
                <w:color w:val="auto"/>
              </w:rPr>
              <w:t>，本项目</w:t>
            </w:r>
            <w:r>
              <w:rPr>
                <w:rFonts w:hint="eastAsia" w:ascii="Times New Roman" w:hAnsi="Times New Roman" w:cs="Times New Roman"/>
                <w:color w:val="auto"/>
                <w:lang w:val="en-US" w:eastAsia="zh-CN"/>
              </w:rPr>
              <w:t>工程范围</w:t>
            </w:r>
            <w:r>
              <w:rPr>
                <w:rFonts w:hint="default" w:ascii="Times New Roman" w:hAnsi="Times New Roman" w:cs="Times New Roman"/>
                <w:color w:val="auto"/>
              </w:rPr>
              <w:t>不在生态红线范围内，</w:t>
            </w:r>
            <w:r>
              <w:rPr>
                <w:rFonts w:hint="default" w:ascii="Times New Roman" w:hAnsi="Times New Roman" w:cs="Times New Roman"/>
                <w:color w:val="auto"/>
                <w:lang w:val="en-US" w:eastAsia="zh-CN"/>
              </w:rPr>
              <w:t>涉及的羊槽河</w:t>
            </w:r>
            <w:r>
              <w:rPr>
                <w:rFonts w:hint="default" w:ascii="Times New Roman" w:hAnsi="Times New Roman" w:cs="Times New Roman"/>
                <w:color w:val="auto"/>
              </w:rPr>
              <w:t>为主要水系，在建设过程中，严格执行生态分区管控的要求。项目建成后，对</w:t>
            </w:r>
            <w:r>
              <w:rPr>
                <w:rFonts w:hint="default" w:ascii="Times New Roman" w:hAnsi="Times New Roman" w:cs="Times New Roman"/>
                <w:color w:val="auto"/>
                <w:lang w:val="en-US" w:eastAsia="zh-CN"/>
              </w:rPr>
              <w:t>羊槽河及部分边沟</w:t>
            </w:r>
            <w:r>
              <w:rPr>
                <w:rFonts w:hint="default" w:ascii="Times New Roman" w:hAnsi="Times New Roman" w:cs="Times New Roman"/>
                <w:color w:val="auto"/>
              </w:rPr>
              <w:t>水质提高有促进作用。</w:t>
            </w:r>
          </w:p>
          <w:p w14:paraId="489E258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color w:val="auto"/>
              </w:rPr>
            </w:pPr>
            <w:r>
              <w:rPr>
                <w:rFonts w:hint="eastAsia" w:ascii="Times New Roman" w:hAnsi="Times New Roman" w:eastAsia="Times New Roman" w:cs="Times New Roman"/>
                <w:b/>
                <w:bCs/>
                <w:color w:val="auto"/>
                <w:spacing w:val="-2"/>
                <w:lang w:val="en-US" w:eastAsia="zh-CN"/>
              </w:rPr>
              <w:t xml:space="preserve">3.2 </w:t>
            </w:r>
            <w:r>
              <w:rPr>
                <w:b/>
                <w:bCs/>
                <w:color w:val="auto"/>
                <w:spacing w:val="-2"/>
              </w:rPr>
              <w:t>环境质量底线及分区管控</w:t>
            </w:r>
          </w:p>
          <w:p w14:paraId="0AECE49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水环境底线及分区管控</w:t>
            </w:r>
          </w:p>
          <w:p w14:paraId="6F1B770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rPr>
              <w:t>参照《固原市生态环境保护“十四五”规划》中相关考核指标，2025 年和2035年，以水环境功能区稳定达标和水生态系统整体恢复为目标，预 测设定水环境质量目标，泾河属于国控Ⅱ类水质，项目实施范围</w:t>
            </w:r>
            <w:r>
              <w:rPr>
                <w:rFonts w:hint="eastAsia" w:ascii="Times New Roman" w:hAnsi="Times New Roman" w:cs="Times New Roman"/>
                <w:color w:val="auto"/>
                <w:lang w:val="en-US" w:eastAsia="zh-CN"/>
              </w:rPr>
              <w:t>主要</w:t>
            </w:r>
            <w:r>
              <w:rPr>
                <w:rFonts w:hint="default" w:ascii="Times New Roman" w:hAnsi="Times New Roman" w:cs="Times New Roman"/>
                <w:color w:val="auto"/>
              </w:rPr>
              <w:t>为泾源县</w:t>
            </w:r>
            <w:r>
              <w:rPr>
                <w:rFonts w:hint="eastAsia" w:ascii="Times New Roman" w:hAnsi="Times New Roman" w:cs="Times New Roman"/>
                <w:color w:val="auto"/>
                <w:lang w:val="en-US" w:eastAsia="zh-CN"/>
              </w:rPr>
              <w:t>羊槽河（羊槽村</w:t>
            </w:r>
            <w:r>
              <w:rPr>
                <w:rFonts w:hint="default" w:ascii="Times New Roman" w:hAnsi="Times New Roman" w:cs="Times New Roman"/>
                <w:color w:val="auto"/>
              </w:rPr>
              <w:t>段</w:t>
            </w:r>
            <w:r>
              <w:rPr>
                <w:rFonts w:hint="eastAsia" w:ascii="Times New Roman" w:hAnsi="Times New Roman" w:cs="Times New Roman"/>
                <w:color w:val="auto"/>
                <w:lang w:val="en-US" w:eastAsia="zh-CN"/>
              </w:rPr>
              <w:t>）、红土沟、向阳村边沟及部分排洪渠的</w:t>
            </w:r>
            <w:r>
              <w:rPr>
                <w:rFonts w:hint="default" w:ascii="Times New Roman" w:hAnsi="Times New Roman" w:cs="Times New Roman"/>
                <w:color w:val="auto"/>
              </w:rPr>
              <w:t>水环境生态修复，可</w:t>
            </w:r>
            <w:r>
              <w:rPr>
                <w:rFonts w:hint="eastAsia" w:ascii="Times New Roman" w:hAnsi="Times New Roman" w:cs="Times New Roman"/>
                <w:color w:val="auto"/>
                <w:lang w:val="en-US" w:eastAsia="zh-CN"/>
              </w:rPr>
              <w:t>进一步提升羊槽河</w:t>
            </w:r>
            <w:r>
              <w:rPr>
                <w:rFonts w:hint="default" w:ascii="Times New Roman" w:hAnsi="Times New Roman" w:cs="Times New Roman"/>
                <w:color w:val="auto"/>
              </w:rPr>
              <w:t>和泾河水质，符合水环境底线要求。项目与固原市水环境质量底线位置</w:t>
            </w:r>
            <w:r>
              <w:rPr>
                <w:rFonts w:hint="default" w:ascii="Times New Roman" w:hAnsi="Times New Roman" w:cs="Times New Roman"/>
                <w:color w:val="auto"/>
                <w:highlight w:val="none"/>
              </w:rPr>
              <w:t>关系见附图2。</w:t>
            </w:r>
          </w:p>
          <w:p w14:paraId="5729E6F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rPr>
              <w:t>水环境管控分区：根据固原市水环境管控分区，项目区为水环境一般 管控区，要求为：“对于水环境优先保护区、重点管控区以外，现状水质 达标的控制断面所对应的一般管控区，应落实《中华人民共和国水污染防 治法》等相关法律法规的总体要求，加强水资源节约和保护，积极推动水 生态修复治理，持续深入推进水污染防治，改善水环境质量。”项目与固 原市水环境分区管控位</w:t>
            </w:r>
            <w:r>
              <w:rPr>
                <w:rFonts w:hint="default" w:ascii="Times New Roman" w:hAnsi="Times New Roman" w:cs="Times New Roman"/>
                <w:color w:val="auto"/>
                <w:highlight w:val="none"/>
              </w:rPr>
              <w:t>置关系详见附图3。</w:t>
            </w:r>
          </w:p>
          <w:p w14:paraId="4A91B43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（2）大气环境底线及分区管控</w:t>
            </w:r>
          </w:p>
          <w:p w14:paraId="4378E28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大气环境》（HJ2.2-2018）的规定，项 目所在区域环境空气质量达标判定，优先采用国家或地方生态环境主管部 门公开发布的评价基准年环境质量公告或环境质量报告中的数据或结论。本次采用</w:t>
            </w:r>
            <w:r>
              <w:rPr>
                <w:rFonts w:hint="default" w:ascii="Times New Roman" w:hAnsi="Times New Roman" w:cs="Times New Roman"/>
                <w:color w:val="auto"/>
                <w:spacing w:val="3"/>
              </w:rPr>
              <w:t>《</w:t>
            </w:r>
            <w:r>
              <w:rPr>
                <w:rFonts w:hint="default" w:ascii="Times New Roman" w:hAnsi="Times New Roman" w:eastAsia="Times New Roman" w:cs="Times New Roman"/>
                <w:color w:val="auto"/>
                <w:spacing w:val="3"/>
              </w:rPr>
              <w:t>202</w:t>
            </w:r>
            <w:r>
              <w:rPr>
                <w:rFonts w:hint="default" w:ascii="Times New Roman" w:hAnsi="Times New Roman" w:eastAsia="宋体" w:cs="Times New Roman"/>
                <w:color w:val="auto"/>
                <w:spacing w:val="3"/>
                <w:lang w:val="en-US" w:eastAsia="zh-CN"/>
              </w:rPr>
              <w:t>4</w:t>
            </w:r>
            <w:r>
              <w:rPr>
                <w:rFonts w:hint="default" w:ascii="Times New Roman" w:hAnsi="Times New Roman" w:cs="Times New Roman"/>
                <w:color w:val="auto"/>
                <w:spacing w:val="3"/>
              </w:rPr>
              <w:t>年</w:t>
            </w:r>
            <w:r>
              <w:rPr>
                <w:rFonts w:hint="default" w:ascii="Times New Roman" w:hAnsi="Times New Roman" w:cs="Times New Roman"/>
                <w:color w:val="auto"/>
                <w:spacing w:val="3"/>
                <w:lang w:val="en-US" w:eastAsia="zh-CN"/>
              </w:rPr>
              <w:t>12月</w:t>
            </w:r>
            <w:r>
              <w:rPr>
                <w:rFonts w:hint="default" w:ascii="Times New Roman" w:hAnsi="Times New Roman" w:cs="Times New Roman"/>
                <w:color w:val="auto"/>
                <w:spacing w:val="3"/>
              </w:rPr>
              <w:t>固原市环境质量</w:t>
            </w:r>
            <w:r>
              <w:rPr>
                <w:rFonts w:hint="default" w:ascii="Times New Roman" w:hAnsi="Times New Roman" w:cs="Times New Roman"/>
                <w:color w:val="auto"/>
                <w:spacing w:val="3"/>
                <w:lang w:val="en-US" w:eastAsia="zh-CN"/>
              </w:rPr>
              <w:t>总体</w:t>
            </w:r>
            <w:r>
              <w:rPr>
                <w:rFonts w:hint="default" w:ascii="Times New Roman" w:hAnsi="Times New Roman" w:cs="Times New Roman"/>
                <w:color w:val="auto"/>
                <w:spacing w:val="3"/>
              </w:rPr>
              <w:t>状况》中</w:t>
            </w:r>
            <w:r>
              <w:rPr>
                <w:rFonts w:hint="default" w:ascii="Times New Roman" w:hAnsi="Times New Roman" w:cs="Times New Roman"/>
                <w:color w:val="auto"/>
                <w:spacing w:val="3"/>
                <w:lang w:val="en-US" w:eastAsia="zh-CN"/>
              </w:rPr>
              <w:t>1</w:t>
            </w:r>
            <w:r>
              <w:rPr>
                <w:rFonts w:hint="eastAsia" w:ascii="Times New Roman" w:hAnsi="Times New Roman" w:cs="Times New Roman"/>
                <w:color w:val="auto"/>
                <w:spacing w:val="3"/>
                <w:lang w:val="en-US" w:eastAsia="zh-CN"/>
              </w:rPr>
              <w:t>~</w:t>
            </w:r>
            <w:r>
              <w:rPr>
                <w:rFonts w:hint="default" w:ascii="Times New Roman" w:hAnsi="Times New Roman" w:cs="Times New Roman"/>
                <w:color w:val="auto"/>
                <w:spacing w:val="3"/>
                <w:lang w:val="en-US" w:eastAsia="zh-CN"/>
              </w:rPr>
              <w:t>12月</w:t>
            </w:r>
            <w:r>
              <w:rPr>
                <w:rFonts w:hint="default" w:ascii="Times New Roman" w:hAnsi="Times New Roman" w:cs="Times New Roman"/>
                <w:color w:val="auto"/>
                <w:spacing w:val="3"/>
              </w:rPr>
              <w:t>泾源县的环境空</w:t>
            </w:r>
            <w:r>
              <w:rPr>
                <w:rFonts w:hint="default" w:ascii="Times New Roman" w:hAnsi="Times New Roman" w:cs="Times New Roman"/>
                <w:color w:val="auto"/>
                <w:spacing w:val="2"/>
              </w:rPr>
              <w:t>气质量</w:t>
            </w:r>
            <w:r>
              <w:rPr>
                <w:rFonts w:hint="default" w:ascii="Times New Roman" w:hAnsi="Times New Roman" w:cs="Times New Roman"/>
                <w:color w:val="auto"/>
                <w:spacing w:val="2"/>
                <w:lang w:val="en-US" w:eastAsia="zh-CN"/>
              </w:rPr>
              <w:t>状况</w:t>
            </w:r>
            <w:r>
              <w:rPr>
                <w:rFonts w:hint="default" w:ascii="Times New Roman" w:hAnsi="Times New Roman" w:cs="Times New Roman"/>
                <w:color w:val="auto"/>
                <w:spacing w:val="2"/>
              </w:rPr>
              <w:t>数据作为</w:t>
            </w:r>
            <w:r>
              <w:rPr>
                <w:rFonts w:hint="default" w:ascii="Times New Roman" w:hAnsi="Times New Roman" w:cs="Times New Roman"/>
                <w:color w:val="auto"/>
                <w:spacing w:val="-1"/>
              </w:rPr>
              <w:t>评价区域达标情况的依据</w:t>
            </w:r>
            <w:r>
              <w:rPr>
                <w:rFonts w:hint="default" w:ascii="Times New Roman" w:hAnsi="Times New Roman" w:cs="Times New Roman"/>
                <w:color w:val="auto"/>
                <w:lang w:val="en-US" w:eastAsia="zh-CN"/>
              </w:rPr>
              <w:t>，评价区范围内PM</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的年平均质量浓度、CO24小时平均第95百分位数、O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日最大8 小时平均值第90百分位数均满足《环境空气质量标准》（GB3095-2012）及2018年修改单中的二级标准，根据《环境影响评价技术导则</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大气环境》（HJ2.2-2018）6.4.1.1的要求，六项污染物全部达标即为城市环境空气质量达标，因此，本项目所在区域环境空气质量为达标区，符合大气环境底线要求。</w:t>
            </w:r>
          </w:p>
          <w:p w14:paraId="4BCEA21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大气环境管控分区：项目区位于大气环境一般管控区，要求：“落实 《中华人民共和国大气污染防治法》等相关法律法规的一般要求，在满足 区域基本的污染物排放标准和污染防治要求基础上，进一步采用更清洁的 生产方式和更有效的污染治理措施，推动区域环境空气质量持续改善。毗 邻大气环境优先保护区的新建项目，还应特别注意污染物排放对优先保护 区的影响，应优化选址方案或采取有效的污染防治措施，避免对一类区空 气质量造成不利影响。”</w:t>
            </w:r>
            <w:r>
              <w:rPr>
                <w:rFonts w:hint="eastAsia" w:ascii="Times New Roman" w:hAnsi="Times New Roman" w:cs="Times New Roman"/>
                <w:color w:val="auto"/>
                <w:lang w:val="en-US" w:eastAsia="zh-CN"/>
              </w:rPr>
              <w:t>本</w:t>
            </w: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为</w:t>
            </w:r>
            <w:r>
              <w:rPr>
                <w:rFonts w:hint="default" w:ascii="Times New Roman" w:hAnsi="Times New Roman" w:cs="Times New Roman"/>
                <w:color w:val="auto"/>
                <w:lang w:val="en-US" w:eastAsia="zh-CN"/>
              </w:rPr>
              <w:t>水生态环境修复，</w:t>
            </w:r>
            <w:r>
              <w:rPr>
                <w:rFonts w:hint="eastAsia" w:ascii="Times New Roman" w:hAnsi="Times New Roman" w:cs="Times New Roman"/>
                <w:color w:val="auto"/>
                <w:lang w:val="en-US" w:eastAsia="zh-CN"/>
              </w:rPr>
              <w:t>将</w:t>
            </w:r>
            <w:r>
              <w:rPr>
                <w:rFonts w:hint="default" w:ascii="Times New Roman" w:hAnsi="Times New Roman" w:cs="Times New Roman"/>
                <w:color w:val="auto"/>
                <w:lang w:val="en-US" w:eastAsia="zh-CN"/>
              </w:rPr>
              <w:t>严格落实“施工区域 ‘6个100%’防控措施、施工生活区禁止焚烧产生有毒有害烟尘和恶臭气体的物质、施工时推广使用新能源汽车”等措施，符合管控区要求。项目与固原市大气环境分区管控位置</w:t>
            </w:r>
            <w:r>
              <w:rPr>
                <w:rFonts w:hint="default" w:ascii="Times New Roman" w:hAnsi="Times New Roman" w:cs="Times New Roman"/>
                <w:color w:val="auto"/>
                <w:highlight w:val="none"/>
                <w:lang w:val="en-US" w:eastAsia="zh-CN"/>
              </w:rPr>
              <w:t>关系详见附图</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p>
          <w:p w14:paraId="73E3F0D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（3）土壤污染风险防控底线及分区管控</w:t>
            </w:r>
          </w:p>
          <w:p w14:paraId="402CF12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以改善土壤、地下水环境质量为核心，以保障农产品质量和人居环境 安全为出发点，按照《固原市“十四五”土壤、地下水和农村生态环境保 护规划》及国家、自治区相关要求，设定土壤、地下水环境风险管控底线 目标。到2025年，全市受污染耕地安全利用率保持在100%，重点建设用 地安</w:t>
            </w:r>
            <w:r>
              <w:rPr>
                <w:rFonts w:hint="default" w:ascii="Times New Roman" w:hAnsi="Times New Roman" w:cs="Times New Roman"/>
                <w:color w:val="auto"/>
                <w:highlight w:val="none"/>
                <w:lang w:val="en-US" w:eastAsia="zh-CN"/>
              </w:rPr>
              <w:t>全利用得到有效保障。</w:t>
            </w:r>
          </w:p>
          <w:p w14:paraId="0A2BC83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位于泾源县黄花乡，主要</w:t>
            </w:r>
            <w:r>
              <w:rPr>
                <w:rFonts w:hint="default" w:ascii="Times New Roman" w:hAnsi="Times New Roman" w:cs="Times New Roman"/>
                <w:color w:val="auto"/>
                <w:highlight w:val="none"/>
                <w:lang w:val="en-US" w:eastAsia="zh-CN"/>
              </w:rPr>
              <w:t>实施</w:t>
            </w:r>
            <w:r>
              <w:rPr>
                <w:rFonts w:hint="default" w:ascii="Times New Roman" w:hAnsi="Times New Roman" w:cs="Times New Roman"/>
                <w:snapToGrid w:val="0"/>
                <w:color w:val="auto"/>
                <w:spacing w:val="15"/>
                <w:kern w:val="0"/>
                <w:sz w:val="24"/>
                <w:szCs w:val="24"/>
                <w:highlight w:val="none"/>
                <w:lang w:val="en-US" w:eastAsia="zh-CN" w:bidi="ar-SA"/>
              </w:rPr>
              <w:t>生物多样性及水源涵养区保护工程和山洪及地质灾害治理工程，工程涉及对部分羊槽河、生态沟渠及排洪渠的治理</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项目治理段平面走向沿现状不变，项目不涉及新增永久占地。本项目的实施有利于进一步提升区域河（沟）道的水生态环境和排洪渠的行洪能力，不属于土壤污染风险环境要求中禁止建设项目。因此，符合土壤污染风险防控底线及分区管控要求。</w:t>
            </w:r>
          </w:p>
          <w:p w14:paraId="10C539E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color w:val="auto"/>
              </w:rPr>
            </w:pPr>
            <w:r>
              <w:rPr>
                <w:rFonts w:hint="eastAsia" w:ascii="Times New Roman" w:hAnsi="Times New Roman" w:eastAsia="Times New Roman" w:cs="Times New Roman"/>
                <w:b/>
                <w:bCs/>
                <w:color w:val="auto"/>
                <w:spacing w:val="-2"/>
                <w:lang w:val="en-US" w:eastAsia="zh-CN"/>
              </w:rPr>
              <w:t xml:space="preserve">3.3 </w:t>
            </w:r>
            <w:r>
              <w:rPr>
                <w:b/>
                <w:bCs/>
                <w:color w:val="auto"/>
                <w:spacing w:val="-2"/>
              </w:rPr>
              <w:t>资源利用上线及分区管控</w:t>
            </w:r>
          </w:p>
          <w:p w14:paraId="4D887EF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本项目建设过程中消耗一定的电能，运营过程不涉及资源的消耗，符 合资源利用上线要求。</w:t>
            </w:r>
          </w:p>
          <w:p w14:paraId="030C56C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3.4 环境管控单元与准入清单</w:t>
            </w:r>
          </w:p>
          <w:p w14:paraId="6B52C46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固原市生态环境分区管控方案文本》，全市共划分优先保护、重点管控、一般管控等三类95个环境管控单元。优先保护单元主要包括生态保护红线、自然保护地、饮用水水源保护区、环境空气质量一类功能区等区域，共54个，面积为4769.7平方公里，占全市总面积的45.31%。重点管控单元主要涉及城镇和工业园区等人口密集、资源开发强度大且污染物排放强度高的区域，共13个，面积为1948.26平方公里，占全市总面积的8.51%。一般管控单元为除优先保护单元和重点管控单元之外的其他区域，共28个，面积为3808.18平方公里，占全市总面积的36.18%。</w:t>
            </w:r>
          </w:p>
          <w:p w14:paraId="1FC357A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highlight w:val="none"/>
                <w:lang w:val="en-US" w:eastAsia="zh-CN"/>
              </w:rPr>
              <w:t>本项目属于河道治理和防洪除涝工程，对照固原市环境管控单元分布图（附图</w:t>
            </w:r>
            <w:r>
              <w:rPr>
                <w:rFonts w:hint="eastAsia" w:ascii="Times New Roman" w:hAnsi="Times New Roman"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本</w:t>
            </w:r>
            <w:r>
              <w:rPr>
                <w:rFonts w:hint="eastAsia" w:ascii="Times New Roman" w:hAnsi="Times New Roman" w:eastAsia="宋体" w:cs="Times New Roman"/>
                <w:color w:val="auto"/>
                <w:lang w:val="en-US" w:eastAsia="zh-CN"/>
              </w:rPr>
              <w:t>项目</w:t>
            </w:r>
            <w:r>
              <w:rPr>
                <w:rFonts w:hint="eastAsia" w:ascii="Times New Roman" w:hAnsi="Times New Roman" w:cs="Times New Roman"/>
                <w:color w:val="auto"/>
                <w:lang w:val="en-US" w:eastAsia="zh-CN"/>
              </w:rPr>
              <w:t>位于优先保护</w:t>
            </w:r>
            <w:r>
              <w:rPr>
                <w:rFonts w:hint="eastAsia" w:ascii="Times New Roman" w:hAnsi="Times New Roman" w:eastAsia="宋体" w:cs="Times New Roman"/>
                <w:color w:val="auto"/>
                <w:lang w:val="en-US" w:eastAsia="zh-CN"/>
              </w:rPr>
              <w:t>单元。</w:t>
            </w:r>
            <w:r>
              <w:rPr>
                <w:rFonts w:hint="eastAsia" w:ascii="Times New Roman" w:hAnsi="Times New Roman" w:cs="Times New Roman"/>
                <w:color w:val="auto"/>
                <w:lang w:val="en-US" w:eastAsia="zh-CN"/>
              </w:rPr>
              <w:t>优先保护</w:t>
            </w:r>
            <w:r>
              <w:rPr>
                <w:rFonts w:hint="eastAsia" w:ascii="Times New Roman" w:hAnsi="Times New Roman" w:eastAsia="宋体" w:cs="Times New Roman"/>
                <w:color w:val="auto"/>
                <w:lang w:val="en-US" w:eastAsia="zh-CN"/>
              </w:rPr>
              <w:t>单元以严格保护生态环境、严格限制产业发展为导向，禁止或限制大规模的工业开发和城镇建设。</w:t>
            </w:r>
          </w:p>
          <w:p w14:paraId="6BF7A60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lang w:val="en-US" w:eastAsia="zh-CN"/>
              </w:rPr>
              <w:t>根据《固原市“三线一单”生态环境分区管控实施意见》，项目建设符合固原市生态环境总体准入要求，本项目与固原市生态环境</w:t>
            </w:r>
            <w:r>
              <w:rPr>
                <w:rFonts w:hint="eastAsia" w:ascii="Times New Roman" w:hAnsi="Times New Roman" w:cs="Times New Roman"/>
                <w:color w:val="auto"/>
                <w:lang w:val="en-US" w:eastAsia="zh-CN"/>
              </w:rPr>
              <w:t>总体</w:t>
            </w:r>
            <w:r>
              <w:rPr>
                <w:rFonts w:hint="eastAsia" w:ascii="Times New Roman" w:hAnsi="Times New Roman" w:eastAsia="宋体" w:cs="Times New Roman"/>
                <w:color w:val="auto"/>
                <w:lang w:val="en-US" w:eastAsia="zh-CN"/>
              </w:rPr>
              <w:t>准入</w:t>
            </w:r>
            <w:r>
              <w:rPr>
                <w:rFonts w:hint="eastAsia" w:ascii="Times New Roman" w:hAnsi="Times New Roman" w:cs="Times New Roman"/>
                <w:color w:val="auto"/>
                <w:lang w:val="en-US" w:eastAsia="zh-CN"/>
              </w:rPr>
              <w:t>要求</w:t>
            </w:r>
            <w:r>
              <w:rPr>
                <w:rFonts w:hint="eastAsia" w:ascii="Times New Roman" w:hAnsi="Times New Roman" w:eastAsia="宋体" w:cs="Times New Roman"/>
                <w:color w:val="auto"/>
                <w:lang w:val="en-US" w:eastAsia="zh-CN"/>
              </w:rPr>
              <w:t>符合性见表1-3。</w:t>
            </w:r>
            <w:r>
              <w:rPr>
                <w:rFonts w:hint="eastAsia" w:ascii="Times New Roman" w:hAnsi="Times New Roman" w:eastAsia="宋体" w:cs="Times New Roman"/>
                <w:color w:val="auto"/>
                <w:highlight w:val="none"/>
                <w:lang w:val="en-US" w:eastAsia="zh-CN"/>
              </w:rPr>
              <w:t>本项目位于“六盘山镇黄花乡-生态空间-优先保护单元”（ZH64042410014），本项</w:t>
            </w:r>
            <w:r>
              <w:rPr>
                <w:rFonts w:hint="eastAsia" w:ascii="Times New Roman" w:hAnsi="Times New Roman" w:eastAsia="宋体" w:cs="Times New Roman"/>
                <w:color w:val="auto"/>
                <w:lang w:val="en-US" w:eastAsia="zh-CN"/>
              </w:rPr>
              <w:t>目与</w:t>
            </w:r>
            <w:r>
              <w:rPr>
                <w:rFonts w:hint="eastAsia" w:ascii="Times New Roman" w:hAnsi="Times New Roman" w:cs="Times New Roman"/>
                <w:color w:val="auto"/>
                <w:lang w:val="en-US" w:eastAsia="zh-CN"/>
              </w:rPr>
              <w:t>固原市环境管控单元</w:t>
            </w:r>
            <w:r>
              <w:rPr>
                <w:rFonts w:hint="eastAsia" w:ascii="Times New Roman" w:hAnsi="Times New Roman" w:eastAsia="宋体" w:cs="Times New Roman"/>
                <w:color w:val="auto"/>
                <w:lang w:val="en-US" w:eastAsia="zh-CN"/>
              </w:rPr>
              <w:t>生态环境</w:t>
            </w:r>
            <w:r>
              <w:rPr>
                <w:rFonts w:hint="eastAsia" w:ascii="Times New Roman" w:hAnsi="Times New Roman" w:eastAsia="宋体" w:cs="Times New Roman"/>
                <w:color w:val="auto"/>
                <w:highlight w:val="none"/>
                <w:lang w:val="en-US" w:eastAsia="zh-CN"/>
              </w:rPr>
              <w:t>准入清单符合性分析见表1-4，本项目与固原市生态空间位置关系详见附图</w:t>
            </w:r>
            <w:r>
              <w:rPr>
                <w:rFonts w:hint="eastAsia" w:ascii="Times New Roman" w:hAnsi="Times New Roman"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w:t>
            </w:r>
          </w:p>
          <w:p w14:paraId="1D32506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表1-3    固原市生态环境总体准入要求</w:t>
            </w:r>
          </w:p>
          <w:tbl>
            <w:tblPr>
              <w:tblStyle w:val="15"/>
              <w:tblW w:w="498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412"/>
              <w:gridCol w:w="1"/>
              <w:gridCol w:w="883"/>
              <w:gridCol w:w="1"/>
              <w:gridCol w:w="1"/>
              <w:gridCol w:w="4240"/>
              <w:gridCol w:w="1"/>
              <w:gridCol w:w="3"/>
              <w:gridCol w:w="1549"/>
              <w:gridCol w:w="1"/>
              <w:gridCol w:w="4"/>
              <w:gridCol w:w="545"/>
              <w:gridCol w:w="1"/>
              <w:gridCol w:w="25"/>
            </w:tblGrid>
            <w:tr w14:paraId="07D7040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1"/>
                <w:wAfter w:w="16" w:type="pct"/>
                <w:trHeight w:val="649" w:hRule="atLeast"/>
                <w:jc w:val="center"/>
              </w:trPr>
              <w:tc>
                <w:tcPr>
                  <w:tcW w:w="845" w:type="pct"/>
                  <w:gridSpan w:val="4"/>
                  <w:tcBorders>
                    <w:tl2br w:val="nil"/>
                    <w:tr2bl w:val="nil"/>
                  </w:tcBorders>
                  <w:noWrap w:val="0"/>
                  <w:vAlign w:val="center"/>
                </w:tcPr>
                <w:p w14:paraId="200DA167">
                  <w:pPr>
                    <w:pStyle w:val="20"/>
                    <w:autoSpaceDE w:val="0"/>
                    <w:autoSpaceDN w:val="0"/>
                    <w:spacing w:line="280" w:lineRule="exact"/>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管控维度</w:t>
                  </w:r>
                </w:p>
              </w:tc>
              <w:tc>
                <w:tcPr>
                  <w:tcW w:w="2766" w:type="pct"/>
                  <w:gridSpan w:val="3"/>
                  <w:tcBorders>
                    <w:tl2br w:val="nil"/>
                    <w:tr2bl w:val="nil"/>
                  </w:tcBorders>
                  <w:noWrap w:val="0"/>
                  <w:vAlign w:val="center"/>
                </w:tcPr>
                <w:p w14:paraId="1B37B046">
                  <w:pPr>
                    <w:pStyle w:val="20"/>
                    <w:autoSpaceDE w:val="0"/>
                    <w:autoSpaceDN w:val="0"/>
                    <w:spacing w:line="280" w:lineRule="exact"/>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012" w:type="pct"/>
                  <w:gridSpan w:val="3"/>
                  <w:tcBorders>
                    <w:tl2br w:val="nil"/>
                    <w:tr2bl w:val="nil"/>
                  </w:tcBorders>
                  <w:noWrap w:val="0"/>
                  <w:vAlign w:val="center"/>
                </w:tcPr>
                <w:p w14:paraId="54CDD172">
                  <w:pPr>
                    <w:pStyle w:val="20"/>
                    <w:autoSpaceDE w:val="0"/>
                    <w:autoSpaceDN w:val="0"/>
                    <w:spacing w:line="280" w:lineRule="exact"/>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c>
                <w:tcPr>
                  <w:tcW w:w="358" w:type="pct"/>
                  <w:gridSpan w:val="3"/>
                  <w:tcBorders>
                    <w:tl2br w:val="nil"/>
                    <w:tr2bl w:val="nil"/>
                  </w:tcBorders>
                  <w:noWrap w:val="0"/>
                  <w:vAlign w:val="top"/>
                </w:tcPr>
                <w:p w14:paraId="774680F4">
                  <w:pPr>
                    <w:pStyle w:val="20"/>
                    <w:autoSpaceDE w:val="0"/>
                    <w:autoSpaceDN w:val="0"/>
                    <w:spacing w:line="280" w:lineRule="exact"/>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w:t>
                  </w:r>
                </w:p>
                <w:p w14:paraId="2210D542">
                  <w:pPr>
                    <w:pStyle w:val="20"/>
                    <w:autoSpaceDE w:val="0"/>
                    <w:autoSpaceDN w:val="0"/>
                    <w:spacing w:line="280" w:lineRule="exact"/>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w:t>
                  </w:r>
                </w:p>
              </w:tc>
            </w:tr>
            <w:tr w14:paraId="63096E6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867" w:hRule="atLeast"/>
                <w:jc w:val="center"/>
              </w:trPr>
              <w:tc>
                <w:tcPr>
                  <w:tcW w:w="268" w:type="pct"/>
                  <w:vMerge w:val="restart"/>
                  <w:tcBorders>
                    <w:tl2br w:val="nil"/>
                    <w:tr2bl w:val="nil"/>
                  </w:tcBorders>
                  <w:noWrap w:val="0"/>
                  <w:vAlign w:val="center"/>
                </w:tcPr>
                <w:p w14:paraId="16828DB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A1</w:t>
                  </w:r>
                </w:p>
                <w:p w14:paraId="4623604D">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空间布局约束</w:t>
                  </w:r>
                </w:p>
              </w:tc>
              <w:tc>
                <w:tcPr>
                  <w:tcW w:w="576" w:type="pct"/>
                  <w:gridSpan w:val="2"/>
                  <w:vMerge w:val="restart"/>
                  <w:tcBorders>
                    <w:tl2br w:val="nil"/>
                    <w:tr2bl w:val="nil"/>
                  </w:tcBorders>
                  <w:noWrap w:val="0"/>
                  <w:vAlign w:val="center"/>
                </w:tcPr>
                <w:p w14:paraId="3BB4A2DF">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A1.1</w:t>
                  </w:r>
                </w:p>
                <w:p w14:paraId="1430195D">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禁止开发建设活动的要求</w:t>
                  </w:r>
                </w:p>
              </w:tc>
              <w:tc>
                <w:tcPr>
                  <w:tcW w:w="2766" w:type="pct"/>
                  <w:gridSpan w:val="3"/>
                  <w:tcBorders>
                    <w:tl2br w:val="nil"/>
                    <w:tr2bl w:val="nil"/>
                  </w:tcBorders>
                  <w:noWrap w:val="0"/>
                  <w:vAlign w:val="center"/>
                </w:tcPr>
                <w:p w14:paraId="3B22BEE0">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严禁产能过剩行业新增产能，各开发区主导产业产值占比达到60%以上，严防发达地区淘汰退出的高污染企业落户固原。</w:t>
                  </w:r>
                </w:p>
              </w:tc>
              <w:tc>
                <w:tcPr>
                  <w:tcW w:w="1012" w:type="pct"/>
                  <w:gridSpan w:val="3"/>
                  <w:vMerge w:val="restart"/>
                  <w:tcBorders>
                    <w:tl2br w:val="nil"/>
                    <w:tr2bl w:val="nil"/>
                  </w:tcBorders>
                  <w:noWrap w:val="0"/>
                  <w:vAlign w:val="center"/>
                </w:tcPr>
                <w:p w14:paraId="2A6FB4E5">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58" w:type="pct"/>
                  <w:gridSpan w:val="3"/>
                  <w:tcBorders>
                    <w:tl2br w:val="nil"/>
                    <w:tr2bl w:val="nil"/>
                  </w:tcBorders>
                  <w:noWrap w:val="0"/>
                  <w:vAlign w:val="center"/>
                </w:tcPr>
                <w:p w14:paraId="6B53B9CB">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1293801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588" w:hRule="atLeast"/>
                <w:jc w:val="center"/>
              </w:trPr>
              <w:tc>
                <w:tcPr>
                  <w:tcW w:w="268" w:type="pct"/>
                  <w:vMerge w:val="continue"/>
                  <w:tcBorders>
                    <w:tl2br w:val="nil"/>
                    <w:tr2bl w:val="nil"/>
                  </w:tcBorders>
                  <w:noWrap w:val="0"/>
                  <w:vAlign w:val="center"/>
                </w:tcPr>
                <w:p w14:paraId="0D570465">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4778C8E5">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17F43F01">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严禁在“七河”及其重点支流临岸1公里范围内新建“两高一资”项目及相关产业园区。</w:t>
                  </w:r>
                </w:p>
              </w:tc>
              <w:tc>
                <w:tcPr>
                  <w:tcW w:w="1012" w:type="pct"/>
                  <w:gridSpan w:val="3"/>
                  <w:vMerge w:val="continue"/>
                  <w:tcBorders>
                    <w:tl2br w:val="nil"/>
                    <w:tr2bl w:val="nil"/>
                  </w:tcBorders>
                  <w:noWrap w:val="0"/>
                  <w:vAlign w:val="center"/>
                </w:tcPr>
                <w:p w14:paraId="27829676">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543A6942">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1997958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588" w:hRule="atLeast"/>
                <w:jc w:val="center"/>
              </w:trPr>
              <w:tc>
                <w:tcPr>
                  <w:tcW w:w="268" w:type="pct"/>
                  <w:vMerge w:val="continue"/>
                  <w:tcBorders>
                    <w:tl2br w:val="nil"/>
                    <w:tr2bl w:val="nil"/>
                  </w:tcBorders>
                  <w:noWrap w:val="0"/>
                  <w:vAlign w:val="center"/>
                </w:tcPr>
                <w:p w14:paraId="10A9079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42FDB06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2866F6BD">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城市建成区一律禁止新建35蒸吨/小时以下燃煤锅炉。</w:t>
                  </w:r>
                </w:p>
              </w:tc>
              <w:tc>
                <w:tcPr>
                  <w:tcW w:w="1012" w:type="pct"/>
                  <w:gridSpan w:val="3"/>
                  <w:vMerge w:val="continue"/>
                  <w:tcBorders>
                    <w:tl2br w:val="nil"/>
                    <w:tr2bl w:val="nil"/>
                  </w:tcBorders>
                  <w:noWrap w:val="0"/>
                  <w:vAlign w:val="center"/>
                </w:tcPr>
                <w:p w14:paraId="10ECA56A">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6EBFD57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21EE70C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1983" w:hRule="atLeast"/>
                <w:jc w:val="center"/>
              </w:trPr>
              <w:tc>
                <w:tcPr>
                  <w:tcW w:w="268" w:type="pct"/>
                  <w:vMerge w:val="continue"/>
                  <w:tcBorders>
                    <w:tl2br w:val="nil"/>
                    <w:tr2bl w:val="nil"/>
                  </w:tcBorders>
                  <w:noWrap w:val="0"/>
                  <w:vAlign w:val="center"/>
                </w:tcPr>
                <w:p w14:paraId="746545E8">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tcBorders>
                    <w:tl2br w:val="nil"/>
                    <w:tr2bl w:val="nil"/>
                  </w:tcBorders>
                  <w:noWrap w:val="0"/>
                  <w:vAlign w:val="center"/>
                </w:tcPr>
                <w:p w14:paraId="30D4D31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A1.2</w:t>
                  </w:r>
                </w:p>
                <w:p w14:paraId="01CC6F3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城市建成区一律禁止新建35蒸吨/小时以下燃煤锅炉</w:t>
                  </w:r>
                </w:p>
              </w:tc>
              <w:tc>
                <w:tcPr>
                  <w:tcW w:w="2766" w:type="pct"/>
                  <w:gridSpan w:val="3"/>
                  <w:tcBorders>
                    <w:tl2br w:val="nil"/>
                    <w:tr2bl w:val="nil"/>
                  </w:tcBorders>
                  <w:noWrap w:val="0"/>
                  <w:vAlign w:val="center"/>
                </w:tcPr>
                <w:p w14:paraId="46E28B81">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严格控制在优先保护类耕地集中区域新建有色金属冶炼、石油化工、化工、焦化、电镀、制革等行业企业。</w:t>
                  </w:r>
                </w:p>
              </w:tc>
              <w:tc>
                <w:tcPr>
                  <w:tcW w:w="1012" w:type="pct"/>
                  <w:gridSpan w:val="3"/>
                  <w:tcBorders>
                    <w:tl2br w:val="nil"/>
                    <w:tr2bl w:val="nil"/>
                  </w:tcBorders>
                  <w:noWrap w:val="0"/>
                  <w:vAlign w:val="center"/>
                </w:tcPr>
                <w:p w14:paraId="4F7F88D6">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lang w:val="zh-CN"/>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58" w:type="pct"/>
                  <w:gridSpan w:val="3"/>
                  <w:tcBorders>
                    <w:tl2br w:val="nil"/>
                    <w:tr2bl w:val="nil"/>
                  </w:tcBorders>
                  <w:noWrap w:val="0"/>
                  <w:vAlign w:val="center"/>
                </w:tcPr>
                <w:p w14:paraId="1557591B">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7B02FA6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867" w:hRule="atLeast"/>
                <w:jc w:val="center"/>
              </w:trPr>
              <w:tc>
                <w:tcPr>
                  <w:tcW w:w="268" w:type="pct"/>
                  <w:vMerge w:val="continue"/>
                  <w:tcBorders>
                    <w:tl2br w:val="nil"/>
                    <w:tr2bl w:val="nil"/>
                  </w:tcBorders>
                  <w:noWrap w:val="0"/>
                  <w:vAlign w:val="center"/>
                </w:tcPr>
                <w:p w14:paraId="79861B8B">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restart"/>
                  <w:tcBorders>
                    <w:tl2br w:val="nil"/>
                    <w:tr2bl w:val="nil"/>
                  </w:tcBorders>
                  <w:noWrap w:val="0"/>
                  <w:vAlign w:val="center"/>
                </w:tcPr>
                <w:p w14:paraId="3A0DD52F">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A1.3</w:t>
                  </w:r>
                </w:p>
                <w:p w14:paraId="371831C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不符合空间布局要求活动的退出要求</w:t>
                  </w:r>
                </w:p>
              </w:tc>
              <w:tc>
                <w:tcPr>
                  <w:tcW w:w="2766" w:type="pct"/>
                  <w:gridSpan w:val="3"/>
                  <w:tcBorders>
                    <w:tl2br w:val="nil"/>
                    <w:tr2bl w:val="nil"/>
                  </w:tcBorders>
                  <w:noWrap w:val="0"/>
                  <w:vAlign w:val="center"/>
                </w:tcPr>
                <w:p w14:paraId="043C37FE">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在一定过渡期并给予合理补偿的基础上，依法依规关闭或搬迁禁养区内确需关闭或搬迁的畜禽规模养殖场（园区）。</w:t>
                  </w:r>
                </w:p>
              </w:tc>
              <w:tc>
                <w:tcPr>
                  <w:tcW w:w="1012" w:type="pct"/>
                  <w:gridSpan w:val="3"/>
                  <w:vMerge w:val="restart"/>
                  <w:tcBorders>
                    <w:tl2br w:val="nil"/>
                    <w:tr2bl w:val="nil"/>
                  </w:tcBorders>
                  <w:noWrap w:val="0"/>
                  <w:vAlign w:val="center"/>
                </w:tcPr>
                <w:p w14:paraId="75DF1452">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58" w:type="pct"/>
                  <w:gridSpan w:val="3"/>
                  <w:tcBorders>
                    <w:tl2br w:val="nil"/>
                    <w:tr2bl w:val="nil"/>
                  </w:tcBorders>
                  <w:noWrap w:val="0"/>
                  <w:vAlign w:val="center"/>
                </w:tcPr>
                <w:p w14:paraId="38BD750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5126A82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1146" w:hRule="atLeast"/>
                <w:jc w:val="center"/>
              </w:trPr>
              <w:tc>
                <w:tcPr>
                  <w:tcW w:w="268" w:type="pct"/>
                  <w:vMerge w:val="continue"/>
                  <w:tcBorders>
                    <w:tl2br w:val="nil"/>
                    <w:tr2bl w:val="nil"/>
                  </w:tcBorders>
                  <w:noWrap w:val="0"/>
                  <w:vAlign w:val="center"/>
                </w:tcPr>
                <w:p w14:paraId="24A365B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6983EA88">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7054EB35">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对违反资源环境法律法规、规划，污染环境、破坏生态、乱采滥挖的露天矿山，依法予以关闭。对污染治理不规范的露天矿山，按照“一矿一策”制定整治方案，依法责令停产整治。</w:t>
                  </w:r>
                </w:p>
              </w:tc>
              <w:tc>
                <w:tcPr>
                  <w:tcW w:w="1012" w:type="pct"/>
                  <w:gridSpan w:val="3"/>
                  <w:vMerge w:val="continue"/>
                  <w:tcBorders>
                    <w:tl2br w:val="nil"/>
                    <w:tr2bl w:val="nil"/>
                  </w:tcBorders>
                  <w:noWrap w:val="0"/>
                  <w:vAlign w:val="center"/>
                </w:tcPr>
                <w:p w14:paraId="4A433345">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37F3925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5C30BD4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575" w:hRule="atLeast"/>
                <w:jc w:val="center"/>
              </w:trPr>
              <w:tc>
                <w:tcPr>
                  <w:tcW w:w="268" w:type="pct"/>
                  <w:vMerge w:val="continue"/>
                  <w:tcBorders>
                    <w:tl2br w:val="nil"/>
                    <w:tr2bl w:val="nil"/>
                  </w:tcBorders>
                  <w:noWrap w:val="0"/>
                  <w:vAlign w:val="center"/>
                </w:tcPr>
                <w:p w14:paraId="0866062A">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65171A6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5582DF44">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对六盘山水源核心区，坚决退出旅游项目，严禁游客进入。</w:t>
                  </w:r>
                </w:p>
              </w:tc>
              <w:tc>
                <w:tcPr>
                  <w:tcW w:w="1012" w:type="pct"/>
                  <w:gridSpan w:val="3"/>
                  <w:vMerge w:val="continue"/>
                  <w:tcBorders>
                    <w:tl2br w:val="nil"/>
                    <w:tr2bl w:val="nil"/>
                  </w:tcBorders>
                  <w:noWrap w:val="0"/>
                  <w:vAlign w:val="center"/>
                </w:tcPr>
                <w:p w14:paraId="6D398577">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28C9584E">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47E3B29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588" w:hRule="atLeast"/>
                <w:jc w:val="center"/>
              </w:trPr>
              <w:tc>
                <w:tcPr>
                  <w:tcW w:w="268" w:type="pct"/>
                  <w:vMerge w:val="continue"/>
                  <w:tcBorders>
                    <w:tl2br w:val="nil"/>
                    <w:tr2bl w:val="nil"/>
                  </w:tcBorders>
                  <w:noWrap w:val="0"/>
                  <w:vAlign w:val="center"/>
                </w:tcPr>
                <w:p w14:paraId="293B3B5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6D8AE2FE">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6193AF84">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淘汰不符合国家规定的燃煤锅炉，实现市、县（区）城区清洁取暖全覆盖。</w:t>
                  </w:r>
                </w:p>
              </w:tc>
              <w:tc>
                <w:tcPr>
                  <w:tcW w:w="1012" w:type="pct"/>
                  <w:gridSpan w:val="3"/>
                  <w:vMerge w:val="continue"/>
                  <w:tcBorders>
                    <w:tl2br w:val="nil"/>
                    <w:tr2bl w:val="nil"/>
                  </w:tcBorders>
                  <w:noWrap w:val="0"/>
                  <w:vAlign w:val="center"/>
                </w:tcPr>
                <w:p w14:paraId="7FBE6081">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55866656">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20CD2F5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88" w:hRule="atLeast"/>
                <w:jc w:val="center"/>
              </w:trPr>
              <w:tc>
                <w:tcPr>
                  <w:tcW w:w="269" w:type="pct"/>
                  <w:gridSpan w:val="2"/>
                  <w:vMerge w:val="restart"/>
                  <w:tcBorders>
                    <w:tl2br w:val="nil"/>
                    <w:tr2bl w:val="nil"/>
                  </w:tcBorders>
                  <w:noWrap w:val="0"/>
                  <w:vAlign w:val="center"/>
                </w:tcPr>
                <w:p w14:paraId="66D82FF8">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A2</w:t>
                  </w:r>
                </w:p>
                <w:p w14:paraId="1DC6A1BD">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污染物排放管控</w:t>
                  </w:r>
                </w:p>
              </w:tc>
              <w:tc>
                <w:tcPr>
                  <w:tcW w:w="577" w:type="pct"/>
                  <w:gridSpan w:val="3"/>
                  <w:vMerge w:val="restart"/>
                  <w:tcBorders>
                    <w:tl2br w:val="nil"/>
                    <w:tr2bl w:val="nil"/>
                  </w:tcBorders>
                  <w:noWrap w:val="0"/>
                  <w:vAlign w:val="center"/>
                </w:tcPr>
                <w:p w14:paraId="093999CF">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A2.1</w:t>
                  </w:r>
                </w:p>
                <w:p w14:paraId="69B64DE0">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允许排放量要求</w:t>
                  </w:r>
                </w:p>
              </w:tc>
              <w:tc>
                <w:tcPr>
                  <w:tcW w:w="2767" w:type="pct"/>
                  <w:gridSpan w:val="3"/>
                  <w:tcBorders>
                    <w:tl2br w:val="nil"/>
                    <w:tr2bl w:val="nil"/>
                  </w:tcBorders>
                  <w:noWrap w:val="0"/>
                  <w:vAlign w:val="center"/>
                </w:tcPr>
                <w:p w14:paraId="3BB87A60">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化学需氧量、氨氮、氮氧化物、挥发性有机物减排量完成自治区下达任务。</w:t>
                  </w:r>
                </w:p>
              </w:tc>
              <w:tc>
                <w:tcPr>
                  <w:tcW w:w="1013" w:type="pct"/>
                  <w:gridSpan w:val="3"/>
                  <w:vMerge w:val="restart"/>
                  <w:tcBorders>
                    <w:tl2br w:val="nil"/>
                    <w:tr2bl w:val="nil"/>
                  </w:tcBorders>
                  <w:noWrap w:val="0"/>
                  <w:vAlign w:val="center"/>
                </w:tcPr>
                <w:p w14:paraId="06DEF062">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72" w:type="pct"/>
                  <w:gridSpan w:val="3"/>
                  <w:tcBorders>
                    <w:tl2br w:val="nil"/>
                    <w:tr2bl w:val="nil"/>
                  </w:tcBorders>
                  <w:noWrap w:val="0"/>
                  <w:vAlign w:val="center"/>
                </w:tcPr>
                <w:p w14:paraId="04645852">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08DBB23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88" w:hRule="atLeast"/>
                <w:jc w:val="center"/>
              </w:trPr>
              <w:tc>
                <w:tcPr>
                  <w:tcW w:w="269" w:type="pct"/>
                  <w:gridSpan w:val="2"/>
                  <w:vMerge w:val="continue"/>
                  <w:tcBorders>
                    <w:tl2br w:val="nil"/>
                    <w:tr2bl w:val="nil"/>
                  </w:tcBorders>
                  <w:noWrap w:val="0"/>
                  <w:vAlign w:val="center"/>
                </w:tcPr>
                <w:p w14:paraId="0CAA9F4D">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continue"/>
                  <w:tcBorders>
                    <w:tl2br w:val="nil"/>
                    <w:tr2bl w:val="nil"/>
                  </w:tcBorders>
                  <w:noWrap w:val="0"/>
                  <w:vAlign w:val="center"/>
                </w:tcPr>
                <w:p w14:paraId="7F68020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7" w:type="pct"/>
                  <w:gridSpan w:val="3"/>
                  <w:tcBorders>
                    <w:tl2br w:val="nil"/>
                    <w:tr2bl w:val="nil"/>
                  </w:tcBorders>
                  <w:noWrap w:val="0"/>
                  <w:vAlign w:val="center"/>
                </w:tcPr>
                <w:p w14:paraId="04F15870">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严格重金属排放项目准入，坚持</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减量置换</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或“等量置换”原则。</w:t>
                  </w:r>
                </w:p>
              </w:tc>
              <w:tc>
                <w:tcPr>
                  <w:tcW w:w="1013" w:type="pct"/>
                  <w:gridSpan w:val="3"/>
                  <w:vMerge w:val="continue"/>
                  <w:tcBorders>
                    <w:tl2br w:val="nil"/>
                    <w:tr2bl w:val="nil"/>
                  </w:tcBorders>
                  <w:noWrap w:val="0"/>
                  <w:vAlign w:val="center"/>
                </w:tcPr>
                <w:p w14:paraId="27B7635C">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72" w:type="pct"/>
                  <w:gridSpan w:val="3"/>
                  <w:tcBorders>
                    <w:tl2br w:val="nil"/>
                    <w:tr2bl w:val="nil"/>
                  </w:tcBorders>
                  <w:noWrap w:val="0"/>
                  <w:vAlign w:val="center"/>
                </w:tcPr>
                <w:p w14:paraId="5519F70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7B00E97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867" w:hRule="atLeast"/>
                <w:jc w:val="center"/>
              </w:trPr>
              <w:tc>
                <w:tcPr>
                  <w:tcW w:w="269" w:type="pct"/>
                  <w:gridSpan w:val="2"/>
                  <w:vMerge w:val="continue"/>
                  <w:tcBorders>
                    <w:tl2br w:val="nil"/>
                    <w:tr2bl w:val="nil"/>
                  </w:tcBorders>
                  <w:noWrap w:val="0"/>
                  <w:vAlign w:val="center"/>
                </w:tcPr>
                <w:p w14:paraId="1EE37F7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continue"/>
                  <w:tcBorders>
                    <w:tl2br w:val="nil"/>
                    <w:tr2bl w:val="nil"/>
                  </w:tcBorders>
                  <w:noWrap w:val="0"/>
                  <w:vAlign w:val="center"/>
                </w:tcPr>
                <w:p w14:paraId="36D3359A">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7" w:type="pct"/>
                  <w:gridSpan w:val="3"/>
                  <w:tcBorders>
                    <w:tl2br w:val="nil"/>
                    <w:tr2bl w:val="nil"/>
                  </w:tcBorders>
                  <w:noWrap w:val="0"/>
                  <w:vAlign w:val="center"/>
                </w:tcPr>
                <w:p w14:paraId="1138D9A5">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在“五河”干流已覆盖集污管网的区域配套建设污水处理设施，确保所有建制镇和中心村污水处理全覆盖。</w:t>
                  </w:r>
                </w:p>
              </w:tc>
              <w:tc>
                <w:tcPr>
                  <w:tcW w:w="1013" w:type="pct"/>
                  <w:gridSpan w:val="3"/>
                  <w:vMerge w:val="continue"/>
                  <w:tcBorders>
                    <w:tl2br w:val="nil"/>
                    <w:tr2bl w:val="nil"/>
                  </w:tcBorders>
                  <w:noWrap w:val="0"/>
                  <w:vAlign w:val="center"/>
                </w:tcPr>
                <w:p w14:paraId="3B0C2C69">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72" w:type="pct"/>
                  <w:gridSpan w:val="3"/>
                  <w:tcBorders>
                    <w:tl2br w:val="nil"/>
                    <w:tr2bl w:val="nil"/>
                  </w:tcBorders>
                  <w:noWrap w:val="0"/>
                  <w:vAlign w:val="center"/>
                </w:tcPr>
                <w:p w14:paraId="4ECC27C6">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25C4FA5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852" w:hRule="atLeast"/>
                <w:jc w:val="center"/>
              </w:trPr>
              <w:tc>
                <w:tcPr>
                  <w:tcW w:w="269" w:type="pct"/>
                  <w:gridSpan w:val="2"/>
                  <w:vMerge w:val="continue"/>
                  <w:tcBorders>
                    <w:tl2br w:val="nil"/>
                    <w:tr2bl w:val="nil"/>
                  </w:tcBorders>
                  <w:noWrap w:val="0"/>
                  <w:vAlign w:val="center"/>
                </w:tcPr>
                <w:p w14:paraId="6D67ED0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continue"/>
                  <w:tcBorders>
                    <w:tl2br w:val="nil"/>
                    <w:tr2bl w:val="nil"/>
                  </w:tcBorders>
                  <w:noWrap w:val="0"/>
                  <w:vAlign w:val="center"/>
                </w:tcPr>
                <w:p w14:paraId="1955C0DC">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7" w:type="pct"/>
                  <w:gridSpan w:val="3"/>
                  <w:tcBorders>
                    <w:tl2br w:val="nil"/>
                    <w:tr2bl w:val="nil"/>
                  </w:tcBorders>
                  <w:noWrap w:val="0"/>
                  <w:vAlign w:val="center"/>
                </w:tcPr>
                <w:p w14:paraId="7EF18209">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火电、水泥等重点行业及燃煤锅炉，严格按照大气污染物排放标准及特别排放限值要求执行。</w:t>
                  </w:r>
                </w:p>
              </w:tc>
              <w:tc>
                <w:tcPr>
                  <w:tcW w:w="1013" w:type="pct"/>
                  <w:gridSpan w:val="3"/>
                  <w:vMerge w:val="continue"/>
                  <w:tcBorders>
                    <w:tl2br w:val="nil"/>
                    <w:tr2bl w:val="nil"/>
                  </w:tcBorders>
                  <w:noWrap w:val="0"/>
                  <w:vAlign w:val="center"/>
                </w:tcPr>
                <w:p w14:paraId="0A356069">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72" w:type="pct"/>
                  <w:gridSpan w:val="3"/>
                  <w:tcBorders>
                    <w:tl2br w:val="nil"/>
                    <w:tr2bl w:val="nil"/>
                  </w:tcBorders>
                  <w:noWrap w:val="0"/>
                  <w:vAlign w:val="center"/>
                </w:tcPr>
                <w:p w14:paraId="3A0A1272">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2962743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588" w:hRule="atLeast"/>
                <w:jc w:val="center"/>
              </w:trPr>
              <w:tc>
                <w:tcPr>
                  <w:tcW w:w="269" w:type="pct"/>
                  <w:gridSpan w:val="2"/>
                  <w:vMerge w:val="continue"/>
                  <w:tcBorders>
                    <w:tl2br w:val="nil"/>
                    <w:tr2bl w:val="nil"/>
                  </w:tcBorders>
                  <w:noWrap w:val="0"/>
                  <w:vAlign w:val="center"/>
                </w:tcPr>
                <w:p w14:paraId="03D59F93">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continue"/>
                  <w:tcBorders>
                    <w:tl2br w:val="nil"/>
                    <w:tr2bl w:val="nil"/>
                  </w:tcBorders>
                  <w:noWrap w:val="0"/>
                  <w:vAlign w:val="center"/>
                </w:tcPr>
                <w:p w14:paraId="5DDFCEA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7" w:type="pct"/>
                  <w:gridSpan w:val="3"/>
                  <w:tcBorders>
                    <w:tl2br w:val="nil"/>
                    <w:tr2bl w:val="nil"/>
                  </w:tcBorders>
                  <w:noWrap w:val="0"/>
                  <w:vAlign w:val="center"/>
                </w:tcPr>
                <w:p w14:paraId="6117093F">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到2025年，全市工业固体废弃物综合利用率达到80%，中水利用率达到85%以上。</w:t>
                  </w:r>
                </w:p>
              </w:tc>
              <w:tc>
                <w:tcPr>
                  <w:tcW w:w="1013" w:type="pct"/>
                  <w:gridSpan w:val="3"/>
                  <w:vMerge w:val="continue"/>
                  <w:tcBorders>
                    <w:tl2br w:val="nil"/>
                    <w:tr2bl w:val="nil"/>
                  </w:tcBorders>
                  <w:noWrap w:val="0"/>
                  <w:vAlign w:val="center"/>
                </w:tcPr>
                <w:p w14:paraId="38A213E9">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72" w:type="pct"/>
                  <w:gridSpan w:val="3"/>
                  <w:tcBorders>
                    <w:tl2br w:val="nil"/>
                    <w:tr2bl w:val="nil"/>
                  </w:tcBorders>
                  <w:noWrap w:val="0"/>
                  <w:vAlign w:val="center"/>
                </w:tcPr>
                <w:p w14:paraId="6827C5F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38C60FA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867" w:hRule="atLeast"/>
                <w:jc w:val="center"/>
              </w:trPr>
              <w:tc>
                <w:tcPr>
                  <w:tcW w:w="269" w:type="pct"/>
                  <w:gridSpan w:val="2"/>
                  <w:vMerge w:val="continue"/>
                  <w:tcBorders>
                    <w:tl2br w:val="nil"/>
                    <w:tr2bl w:val="nil"/>
                  </w:tcBorders>
                  <w:noWrap w:val="0"/>
                  <w:vAlign w:val="center"/>
                </w:tcPr>
                <w:p w14:paraId="09EABB6B">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restart"/>
                  <w:tcBorders>
                    <w:tl2br w:val="nil"/>
                    <w:tr2bl w:val="nil"/>
                  </w:tcBorders>
                  <w:noWrap w:val="0"/>
                  <w:vAlign w:val="center"/>
                </w:tcPr>
                <w:p w14:paraId="2F5A6D95">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A2.2</w:t>
                  </w:r>
                </w:p>
                <w:p w14:paraId="5A3E55B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现有源提标升级改造</w:t>
                  </w:r>
                </w:p>
              </w:tc>
              <w:tc>
                <w:tcPr>
                  <w:tcW w:w="2767" w:type="pct"/>
                  <w:gridSpan w:val="3"/>
                  <w:tcBorders>
                    <w:tl2br w:val="nil"/>
                    <w:tr2bl w:val="nil"/>
                  </w:tcBorders>
                  <w:noWrap w:val="0"/>
                  <w:vAlign w:val="center"/>
                </w:tcPr>
                <w:p w14:paraId="1C7A8CAF">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到2025年，65蒸吨/小时及以上燃煤锅炉(含电力)全面实现超低排放；所有燃气锅炉氮氧化物排放浓度低于50毫克/立方米。</w:t>
                  </w:r>
                </w:p>
              </w:tc>
              <w:tc>
                <w:tcPr>
                  <w:tcW w:w="1013" w:type="pct"/>
                  <w:gridSpan w:val="3"/>
                  <w:vMerge w:val="restart"/>
                  <w:tcBorders>
                    <w:tl2br w:val="nil"/>
                    <w:tr2bl w:val="nil"/>
                  </w:tcBorders>
                  <w:noWrap w:val="0"/>
                  <w:vAlign w:val="center"/>
                </w:tcPr>
                <w:p w14:paraId="10CE7C4A">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72" w:type="pct"/>
                  <w:gridSpan w:val="3"/>
                  <w:tcBorders>
                    <w:tl2br w:val="nil"/>
                    <w:tr2bl w:val="nil"/>
                  </w:tcBorders>
                  <w:noWrap w:val="0"/>
                  <w:vAlign w:val="center"/>
                </w:tcPr>
                <w:p w14:paraId="67414F33">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452BE1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1407" w:hRule="atLeast"/>
                <w:jc w:val="center"/>
              </w:trPr>
              <w:tc>
                <w:tcPr>
                  <w:tcW w:w="269" w:type="pct"/>
                  <w:gridSpan w:val="2"/>
                  <w:vMerge w:val="continue"/>
                  <w:tcBorders>
                    <w:tl2br w:val="nil"/>
                    <w:tr2bl w:val="nil"/>
                  </w:tcBorders>
                  <w:noWrap w:val="0"/>
                  <w:vAlign w:val="center"/>
                </w:tcPr>
                <w:p w14:paraId="12C742AC">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7" w:type="pct"/>
                  <w:gridSpan w:val="3"/>
                  <w:vMerge w:val="continue"/>
                  <w:tcBorders>
                    <w:tl2br w:val="nil"/>
                    <w:tr2bl w:val="nil"/>
                  </w:tcBorders>
                  <w:noWrap w:val="0"/>
                  <w:vAlign w:val="center"/>
                </w:tcPr>
                <w:p w14:paraId="6D049C02">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7" w:type="pct"/>
                  <w:gridSpan w:val="3"/>
                  <w:tcBorders>
                    <w:tl2br w:val="nil"/>
                    <w:tr2bl w:val="nil"/>
                  </w:tcBorders>
                  <w:noWrap w:val="0"/>
                  <w:vAlign w:val="center"/>
                </w:tcPr>
                <w:p w14:paraId="4ADFF63E">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探索畜禽养殖“出户入园”模式，落实“一控两减三利用”，减少化肥和农药使用量；实现畜禽粪便、农作物秸秆、农膜资源化利用，到2025年，农业废弃物综合利用率达到94%以上。</w:t>
                  </w:r>
                </w:p>
              </w:tc>
              <w:tc>
                <w:tcPr>
                  <w:tcW w:w="1013" w:type="pct"/>
                  <w:gridSpan w:val="3"/>
                  <w:vMerge w:val="continue"/>
                  <w:tcBorders>
                    <w:tl2br w:val="nil"/>
                    <w:tr2bl w:val="nil"/>
                  </w:tcBorders>
                  <w:noWrap w:val="0"/>
                  <w:vAlign w:val="center"/>
                </w:tcPr>
                <w:p w14:paraId="59B7107F">
                  <w:pPr>
                    <w:autoSpaceDE w:val="0"/>
                    <w:autoSpaceDN w:val="0"/>
                    <w:spacing w:line="280" w:lineRule="exact"/>
                    <w:ind w:left="0" w:leftChars="0" w:right="0" w:rightChars="0" w:firstLine="0" w:firstLineChars="0"/>
                    <w:jc w:val="both"/>
                    <w:rPr>
                      <w:rFonts w:hint="default" w:ascii="Times New Roman" w:hAnsi="Times New Roman" w:eastAsia="宋体" w:cs="Times New Roman"/>
                      <w:color w:val="auto"/>
                      <w:spacing w:val="-2"/>
                      <w:sz w:val="21"/>
                      <w:szCs w:val="21"/>
                      <w:highlight w:val="none"/>
                    </w:rPr>
                  </w:pPr>
                </w:p>
              </w:tc>
              <w:tc>
                <w:tcPr>
                  <w:tcW w:w="372" w:type="pct"/>
                  <w:gridSpan w:val="3"/>
                  <w:tcBorders>
                    <w:tl2br w:val="nil"/>
                    <w:tr2bl w:val="nil"/>
                  </w:tcBorders>
                  <w:noWrap w:val="0"/>
                  <w:vAlign w:val="center"/>
                </w:tcPr>
                <w:p w14:paraId="053C9CA8">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438CDA0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1146" w:hRule="atLeast"/>
                <w:jc w:val="center"/>
              </w:trPr>
              <w:tc>
                <w:tcPr>
                  <w:tcW w:w="268" w:type="pct"/>
                  <w:vMerge w:val="restart"/>
                  <w:tcBorders>
                    <w:tl2br w:val="nil"/>
                    <w:tr2bl w:val="nil"/>
                  </w:tcBorders>
                  <w:noWrap w:val="0"/>
                  <w:vAlign w:val="center"/>
                </w:tcPr>
                <w:p w14:paraId="4C4AE8CC">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A3</w:t>
                  </w:r>
                </w:p>
                <w:p w14:paraId="55CA4EE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环境风险防控</w:t>
                  </w:r>
                </w:p>
              </w:tc>
              <w:tc>
                <w:tcPr>
                  <w:tcW w:w="576" w:type="pct"/>
                  <w:gridSpan w:val="2"/>
                  <w:vMerge w:val="restart"/>
                  <w:tcBorders>
                    <w:tl2br w:val="nil"/>
                    <w:tr2bl w:val="nil"/>
                  </w:tcBorders>
                  <w:noWrap w:val="0"/>
                  <w:vAlign w:val="center"/>
                </w:tcPr>
                <w:p w14:paraId="4BF09C81">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A3.1</w:t>
                  </w:r>
                </w:p>
                <w:p w14:paraId="7EB6AEEA">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联防联控要求</w:t>
                  </w:r>
                </w:p>
              </w:tc>
              <w:tc>
                <w:tcPr>
                  <w:tcW w:w="2766" w:type="pct"/>
                  <w:gridSpan w:val="3"/>
                  <w:tcBorders>
                    <w:tl2br w:val="nil"/>
                    <w:tr2bl w:val="nil"/>
                  </w:tcBorders>
                  <w:noWrap w:val="0"/>
                  <w:vAlign w:val="center"/>
                </w:tcPr>
                <w:p w14:paraId="75B5FBA3">
                  <w:pPr>
                    <w:pStyle w:val="20"/>
                    <w:autoSpaceDE w:val="0"/>
                    <w:autoSpaceDN w:val="0"/>
                    <w:spacing w:line="280" w:lineRule="exact"/>
                    <w:ind w:left="0" w:leftChars="0" w:right="0" w:rightChars="0" w:firstLine="0" w:firstLineChars="0"/>
                    <w:jc w:val="left"/>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开展医疗、化工、石油开采和汽修等重点行业涉及危险废物排查整治，建立健全环境风险重点管控单位名录，严控危险废物贮存环节环境风险，严禁超期、超量贮存各类危险废物。</w:t>
                  </w:r>
                </w:p>
              </w:tc>
              <w:tc>
                <w:tcPr>
                  <w:tcW w:w="1012" w:type="pct"/>
                  <w:gridSpan w:val="3"/>
                  <w:vMerge w:val="restart"/>
                  <w:tcBorders>
                    <w:tl2br w:val="nil"/>
                    <w:tr2bl w:val="nil"/>
                  </w:tcBorders>
                  <w:noWrap w:val="0"/>
                  <w:vAlign w:val="center"/>
                </w:tcPr>
                <w:p w14:paraId="790FF53B">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58" w:type="pct"/>
                  <w:gridSpan w:val="3"/>
                  <w:tcBorders>
                    <w:tl2br w:val="nil"/>
                    <w:tr2bl w:val="nil"/>
                  </w:tcBorders>
                  <w:noWrap w:val="0"/>
                  <w:vAlign w:val="center"/>
                </w:tcPr>
                <w:p w14:paraId="1FB3E6C8">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66A5072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837" w:hRule="atLeast"/>
                <w:jc w:val="center"/>
              </w:trPr>
              <w:tc>
                <w:tcPr>
                  <w:tcW w:w="268" w:type="pct"/>
                  <w:vMerge w:val="continue"/>
                  <w:tcBorders>
                    <w:tl2br w:val="nil"/>
                    <w:tr2bl w:val="nil"/>
                  </w:tcBorders>
                  <w:noWrap w:val="0"/>
                  <w:vAlign w:val="center"/>
                </w:tcPr>
                <w:p w14:paraId="32D9E3F6">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5BD6949A">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1FC552DF">
                  <w:pPr>
                    <w:pStyle w:val="20"/>
                    <w:autoSpaceDE w:val="0"/>
                    <w:autoSpaceDN w:val="0"/>
                    <w:spacing w:line="280" w:lineRule="exact"/>
                    <w:ind w:left="0" w:leftChars="0" w:right="0" w:rightChars="0" w:firstLine="0" w:firstLineChars="0"/>
                    <w:jc w:val="left"/>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p>
              </w:tc>
              <w:tc>
                <w:tcPr>
                  <w:tcW w:w="1012" w:type="pct"/>
                  <w:gridSpan w:val="3"/>
                  <w:vMerge w:val="continue"/>
                  <w:tcBorders>
                    <w:tl2br w:val="nil"/>
                    <w:tr2bl w:val="nil"/>
                  </w:tcBorders>
                  <w:noWrap w:val="0"/>
                  <w:vAlign w:val="center"/>
                </w:tcPr>
                <w:p w14:paraId="00F0D0B5">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4A368A40">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720A78C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837" w:hRule="atLeast"/>
                <w:jc w:val="center"/>
              </w:trPr>
              <w:tc>
                <w:tcPr>
                  <w:tcW w:w="268" w:type="pct"/>
                  <w:vMerge w:val="continue"/>
                  <w:tcBorders>
                    <w:tl2br w:val="nil"/>
                    <w:tr2bl w:val="nil"/>
                  </w:tcBorders>
                  <w:noWrap w:val="0"/>
                  <w:vAlign w:val="center"/>
                </w:tcPr>
                <w:p w14:paraId="2B19D41E">
                  <w:pPr>
                    <w:pStyle w:val="20"/>
                    <w:autoSpaceDE w:val="0"/>
                    <w:autoSpaceDN w:val="0"/>
                    <w:spacing w:line="280" w:lineRule="exact"/>
                    <w:ind w:firstLine="0" w:firstLineChars="0"/>
                    <w:jc w:val="both"/>
                    <w:rPr>
                      <w:color w:val="auto"/>
                    </w:rPr>
                  </w:pPr>
                </w:p>
              </w:tc>
              <w:tc>
                <w:tcPr>
                  <w:tcW w:w="576" w:type="pct"/>
                  <w:gridSpan w:val="2"/>
                  <w:vMerge w:val="continue"/>
                  <w:tcBorders>
                    <w:tl2br w:val="nil"/>
                    <w:tr2bl w:val="nil"/>
                  </w:tcBorders>
                  <w:noWrap w:val="0"/>
                  <w:vAlign w:val="center"/>
                </w:tcPr>
                <w:p w14:paraId="5D4A7C81">
                  <w:pPr>
                    <w:pStyle w:val="20"/>
                    <w:autoSpaceDE w:val="0"/>
                    <w:autoSpaceDN w:val="0"/>
                    <w:spacing w:line="280" w:lineRule="exact"/>
                    <w:ind w:left="0" w:leftChars="0" w:right="0" w:rightChars="0" w:firstLine="0" w:firstLineChars="0"/>
                    <w:jc w:val="center"/>
                    <w:rPr>
                      <w:color w:val="auto"/>
                    </w:rPr>
                  </w:pPr>
                </w:p>
              </w:tc>
              <w:tc>
                <w:tcPr>
                  <w:tcW w:w="2766" w:type="pct"/>
                  <w:gridSpan w:val="3"/>
                  <w:tcBorders>
                    <w:tl2br w:val="nil"/>
                    <w:tr2bl w:val="nil"/>
                  </w:tcBorders>
                  <w:noWrap w:val="0"/>
                  <w:vAlign w:val="center"/>
                </w:tcPr>
                <w:p w14:paraId="48E106A7">
                  <w:pPr>
                    <w:pStyle w:val="20"/>
                    <w:autoSpaceDE w:val="0"/>
                    <w:autoSpaceDN w:val="0"/>
                    <w:spacing w:line="280" w:lineRule="exact"/>
                    <w:ind w:left="0" w:leftChars="0" w:right="0" w:rightChars="0" w:firstLine="0" w:firstLineChars="0"/>
                    <w:jc w:val="left"/>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健全突发环境事件应急预案体系，推进跨区域、跨流域环境应急联动。</w:t>
                  </w:r>
                </w:p>
              </w:tc>
              <w:tc>
                <w:tcPr>
                  <w:tcW w:w="1012" w:type="pct"/>
                  <w:gridSpan w:val="3"/>
                  <w:vMerge w:val="continue"/>
                  <w:tcBorders>
                    <w:tl2br w:val="nil"/>
                    <w:tr2bl w:val="nil"/>
                  </w:tcBorders>
                  <w:noWrap w:val="0"/>
                  <w:vAlign w:val="center"/>
                </w:tcPr>
                <w:p w14:paraId="13443B77">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rPr>
                  </w:pPr>
                </w:p>
              </w:tc>
              <w:tc>
                <w:tcPr>
                  <w:tcW w:w="358" w:type="pct"/>
                  <w:gridSpan w:val="3"/>
                  <w:tcBorders>
                    <w:tl2br w:val="nil"/>
                    <w:tr2bl w:val="nil"/>
                  </w:tcBorders>
                  <w:noWrap w:val="0"/>
                  <w:vAlign w:val="center"/>
                </w:tcPr>
                <w:p w14:paraId="05928751">
                  <w:pPr>
                    <w:pStyle w:val="20"/>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highlight w:val="none"/>
                    </w:rPr>
                    <w:t>符合要求</w:t>
                  </w:r>
                </w:p>
              </w:tc>
            </w:tr>
            <w:tr w14:paraId="6B01FD5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588" w:hRule="atLeast"/>
                <w:jc w:val="center"/>
              </w:trPr>
              <w:tc>
                <w:tcPr>
                  <w:tcW w:w="268" w:type="pct"/>
                  <w:vMerge w:val="restart"/>
                  <w:tcBorders>
                    <w:tl2br w:val="nil"/>
                    <w:tr2bl w:val="nil"/>
                  </w:tcBorders>
                  <w:noWrap w:val="0"/>
                  <w:vAlign w:val="center"/>
                </w:tcPr>
                <w:p w14:paraId="4A002282">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A4</w:t>
                  </w:r>
                </w:p>
                <w:p w14:paraId="55A0707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资源利用效率要求</w:t>
                  </w:r>
                </w:p>
              </w:tc>
              <w:tc>
                <w:tcPr>
                  <w:tcW w:w="576" w:type="pct"/>
                  <w:gridSpan w:val="2"/>
                  <w:vMerge w:val="restart"/>
                  <w:tcBorders>
                    <w:tl2br w:val="nil"/>
                    <w:tr2bl w:val="nil"/>
                  </w:tcBorders>
                  <w:noWrap w:val="0"/>
                  <w:vAlign w:val="center"/>
                </w:tcPr>
                <w:p w14:paraId="2565E4E5">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A4.1</w:t>
                  </w:r>
                </w:p>
                <w:p w14:paraId="1EAE7E73">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能源利用效率总量及效率要求</w:t>
                  </w:r>
                </w:p>
              </w:tc>
              <w:tc>
                <w:tcPr>
                  <w:tcW w:w="2766" w:type="pct"/>
                  <w:gridSpan w:val="3"/>
                  <w:tcBorders>
                    <w:tl2br w:val="nil"/>
                    <w:tr2bl w:val="nil"/>
                  </w:tcBorders>
                  <w:noWrap w:val="0"/>
                  <w:vAlign w:val="center"/>
                </w:tcPr>
                <w:p w14:paraId="7DD71570">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实行煤炭消费总量控制，严控高耗煤行业新增项目。</w:t>
                  </w:r>
                </w:p>
              </w:tc>
              <w:tc>
                <w:tcPr>
                  <w:tcW w:w="1012" w:type="pct"/>
                  <w:gridSpan w:val="3"/>
                  <w:vMerge w:val="restart"/>
                  <w:tcBorders>
                    <w:tl2br w:val="nil"/>
                    <w:tr2bl w:val="nil"/>
                  </w:tcBorders>
                  <w:noWrap w:val="0"/>
                  <w:vAlign w:val="center"/>
                </w:tcPr>
                <w:p w14:paraId="57FA6B0C">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，不涉及</w:t>
                  </w:r>
                </w:p>
              </w:tc>
              <w:tc>
                <w:tcPr>
                  <w:tcW w:w="358" w:type="pct"/>
                  <w:gridSpan w:val="3"/>
                  <w:tcBorders>
                    <w:tl2br w:val="nil"/>
                    <w:tr2bl w:val="nil"/>
                  </w:tcBorders>
                  <w:noWrap w:val="0"/>
                  <w:vAlign w:val="center"/>
                </w:tcPr>
                <w:p w14:paraId="0F315558">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37D6649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857" w:hRule="atLeast"/>
                <w:jc w:val="center"/>
              </w:trPr>
              <w:tc>
                <w:tcPr>
                  <w:tcW w:w="268" w:type="pct"/>
                  <w:vMerge w:val="continue"/>
                  <w:tcBorders>
                    <w:tl2br w:val="nil"/>
                    <w:tr2bl w:val="nil"/>
                  </w:tcBorders>
                  <w:noWrap w:val="0"/>
                  <w:vAlign w:val="center"/>
                </w:tcPr>
                <w:p w14:paraId="79A9AE21">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vMerge w:val="continue"/>
                  <w:tcBorders>
                    <w:tl2br w:val="nil"/>
                    <w:tr2bl w:val="nil"/>
                  </w:tcBorders>
                  <w:noWrap w:val="0"/>
                  <w:vAlign w:val="center"/>
                </w:tcPr>
                <w:p w14:paraId="7C90D34A">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2766" w:type="pct"/>
                  <w:gridSpan w:val="3"/>
                  <w:tcBorders>
                    <w:tl2br w:val="nil"/>
                    <w:tr2bl w:val="nil"/>
                  </w:tcBorders>
                  <w:noWrap w:val="0"/>
                  <w:vAlign w:val="center"/>
                </w:tcPr>
                <w:p w14:paraId="5EF29BA6">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spacing w:val="-2"/>
                      <w:sz w:val="21"/>
                      <w:szCs w:val="21"/>
                    </w:rPr>
                    <w:t>到2025年，全市单位地区生产总值能耗降低基本目标为13%，激励目标为14%</w:t>
                  </w:r>
                  <w:r>
                    <w:rPr>
                      <w:rFonts w:hint="default" w:ascii="Times New Roman" w:hAnsi="Times New Roman" w:eastAsia="宋体" w:cs="Times New Roman"/>
                      <w:color w:val="auto"/>
                      <w:spacing w:val="-2"/>
                      <w:sz w:val="21"/>
                      <w:szCs w:val="21"/>
                      <w:lang w:eastAsia="zh-CN"/>
                    </w:rPr>
                    <w:t>。</w:t>
                  </w:r>
                </w:p>
              </w:tc>
              <w:tc>
                <w:tcPr>
                  <w:tcW w:w="1012" w:type="pct"/>
                  <w:gridSpan w:val="3"/>
                  <w:vMerge w:val="continue"/>
                  <w:tcBorders>
                    <w:tl2br w:val="nil"/>
                    <w:tr2bl w:val="nil"/>
                  </w:tcBorders>
                  <w:noWrap w:val="0"/>
                  <w:vAlign w:val="center"/>
                </w:tcPr>
                <w:p w14:paraId="33DB0068">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rPr>
                  </w:pPr>
                </w:p>
              </w:tc>
              <w:tc>
                <w:tcPr>
                  <w:tcW w:w="358" w:type="pct"/>
                  <w:gridSpan w:val="3"/>
                  <w:tcBorders>
                    <w:tl2br w:val="nil"/>
                    <w:tr2bl w:val="nil"/>
                  </w:tcBorders>
                  <w:noWrap w:val="0"/>
                  <w:vAlign w:val="center"/>
                </w:tcPr>
                <w:p w14:paraId="40C9BEF6">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r w14:paraId="73E0ABC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gridAfter w:val="2"/>
                <w:wAfter w:w="17" w:type="pct"/>
                <w:trHeight w:val="1794" w:hRule="atLeast"/>
                <w:jc w:val="center"/>
              </w:trPr>
              <w:tc>
                <w:tcPr>
                  <w:tcW w:w="268" w:type="pct"/>
                  <w:vMerge w:val="continue"/>
                  <w:tcBorders>
                    <w:tl2br w:val="nil"/>
                    <w:tr2bl w:val="nil"/>
                  </w:tcBorders>
                  <w:noWrap w:val="0"/>
                  <w:vAlign w:val="center"/>
                </w:tcPr>
                <w:p w14:paraId="1F4871AA">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p>
              </w:tc>
              <w:tc>
                <w:tcPr>
                  <w:tcW w:w="576" w:type="pct"/>
                  <w:gridSpan w:val="2"/>
                  <w:tcBorders>
                    <w:tl2br w:val="nil"/>
                    <w:tr2bl w:val="nil"/>
                  </w:tcBorders>
                  <w:noWrap w:val="0"/>
                  <w:vAlign w:val="center"/>
                </w:tcPr>
                <w:p w14:paraId="5AA982B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A4.2</w:t>
                  </w:r>
                </w:p>
                <w:p w14:paraId="6C99F8A6">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lang w:val="zh-CN" w:bidi="zh-CN"/>
                    </w:rPr>
                  </w:pPr>
                  <w:r>
                    <w:rPr>
                      <w:rFonts w:hint="default" w:ascii="Times New Roman" w:hAnsi="Times New Roman" w:eastAsia="宋体" w:cs="Times New Roman"/>
                      <w:color w:val="auto"/>
                      <w:spacing w:val="-2"/>
                      <w:sz w:val="21"/>
                      <w:szCs w:val="21"/>
                    </w:rPr>
                    <w:t>水资源利用总量及效率要求</w:t>
                  </w:r>
                </w:p>
              </w:tc>
              <w:tc>
                <w:tcPr>
                  <w:tcW w:w="2766" w:type="pct"/>
                  <w:gridSpan w:val="3"/>
                  <w:tcBorders>
                    <w:tl2br w:val="nil"/>
                    <w:tr2bl w:val="nil"/>
                  </w:tcBorders>
                  <w:noWrap w:val="0"/>
                  <w:vAlign w:val="center"/>
                </w:tcPr>
                <w:p w14:paraId="3C020405">
                  <w:pPr>
                    <w:pStyle w:val="20"/>
                    <w:autoSpaceDE w:val="0"/>
                    <w:autoSpaceDN w:val="0"/>
                    <w:spacing w:line="280" w:lineRule="exact"/>
                    <w:ind w:firstLine="0" w:firstLineChars="0"/>
                    <w:jc w:val="both"/>
                    <w:rPr>
                      <w:rFonts w:hint="default" w:ascii="Times New Roman" w:hAnsi="Times New Roman" w:eastAsia="宋体" w:cs="Times New Roman"/>
                      <w:color w:val="auto"/>
                      <w:spacing w:val="-2"/>
                      <w:sz w:val="21"/>
                      <w:szCs w:val="21"/>
                      <w:lang w:bidi="zh-CN"/>
                    </w:rPr>
                  </w:pPr>
                  <w:r>
                    <w:rPr>
                      <w:rFonts w:hint="default" w:ascii="Times New Roman" w:hAnsi="Times New Roman" w:eastAsia="宋体" w:cs="Times New Roman"/>
                      <w:color w:val="auto"/>
                      <w:spacing w:val="-2"/>
                      <w:sz w:val="21"/>
                      <w:szCs w:val="21"/>
                      <w:lang w:bidi="zh-CN"/>
                    </w:rPr>
                    <w:t>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1012" w:type="pct"/>
                  <w:gridSpan w:val="3"/>
                  <w:tcBorders>
                    <w:tl2br w:val="nil"/>
                    <w:tr2bl w:val="nil"/>
                  </w:tcBorders>
                  <w:noWrap w:val="0"/>
                  <w:vAlign w:val="center"/>
                </w:tcPr>
                <w:p w14:paraId="4407F8A8">
                  <w:pPr>
                    <w:autoSpaceDE w:val="0"/>
                    <w:autoSpaceDN w:val="0"/>
                    <w:spacing w:line="280" w:lineRule="exact"/>
                    <w:ind w:left="0" w:leftChars="0" w:right="0" w:rightChars="0" w:firstLine="0" w:firstLineChars="0"/>
                    <w:jc w:val="center"/>
                    <w:rPr>
                      <w:rFonts w:hint="default" w:ascii="Times New Roman" w:hAnsi="Times New Roman" w:eastAsia="宋体" w:cs="Times New Roman"/>
                      <w:color w:val="auto"/>
                      <w:spacing w:val="-2"/>
                      <w:sz w:val="21"/>
                      <w:szCs w:val="21"/>
                      <w:highlight w:val="none"/>
                      <w:lang w:val="zh-CN"/>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default" w:ascii="Times New Roman" w:hAnsi="Times New Roman" w:eastAsia="宋体" w:cs="Times New Roman"/>
                      <w:color w:val="auto"/>
                      <w:spacing w:val="-2"/>
                      <w:sz w:val="21"/>
                      <w:szCs w:val="21"/>
                      <w:highlight w:val="none"/>
                    </w:rPr>
                    <w:t>，</w:t>
                  </w:r>
                  <w:r>
                    <w:rPr>
                      <w:rFonts w:hint="eastAsia" w:ascii="Times New Roman" w:hAnsi="Times New Roman" w:eastAsia="宋体" w:cs="Times New Roman"/>
                      <w:color w:val="auto"/>
                      <w:spacing w:val="-2"/>
                      <w:sz w:val="21"/>
                      <w:szCs w:val="21"/>
                      <w:highlight w:val="none"/>
                      <w:lang w:val="en-US" w:eastAsia="zh-CN"/>
                    </w:rPr>
                    <w:t>仅施工期少量用水，用水总量符合控制要求</w:t>
                  </w:r>
                </w:p>
              </w:tc>
              <w:tc>
                <w:tcPr>
                  <w:tcW w:w="358" w:type="pct"/>
                  <w:gridSpan w:val="3"/>
                  <w:tcBorders>
                    <w:tl2br w:val="nil"/>
                    <w:tr2bl w:val="nil"/>
                  </w:tcBorders>
                  <w:noWrap w:val="0"/>
                  <w:vAlign w:val="center"/>
                </w:tcPr>
                <w:p w14:paraId="7169F7BE">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符合要求</w:t>
                  </w:r>
                </w:p>
              </w:tc>
            </w:tr>
          </w:tbl>
          <w:p w14:paraId="5B06871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7"/>
                <w:sz w:val="21"/>
                <w:szCs w:val="21"/>
                <w:lang w:val="zh-CN"/>
              </w:rPr>
            </w:pPr>
            <w:r>
              <w:rPr>
                <w:rFonts w:hint="eastAsia" w:ascii="Times New Roman" w:hAnsi="Times New Roman" w:eastAsia="宋体" w:cs="Times New Roman"/>
                <w:b/>
                <w:bCs/>
                <w:color w:val="auto"/>
                <w:spacing w:val="7"/>
                <w:sz w:val="21"/>
                <w:szCs w:val="21"/>
                <w:lang w:val="en-US" w:eastAsia="zh-CN"/>
              </w:rPr>
              <w:t xml:space="preserve">表1-4  </w:t>
            </w:r>
            <w:r>
              <w:rPr>
                <w:rFonts w:hint="eastAsia" w:ascii="Times New Roman" w:hAnsi="Times New Roman" w:eastAsia="宋体" w:cs="Times New Roman"/>
                <w:b/>
                <w:bCs/>
                <w:color w:val="auto"/>
                <w:spacing w:val="7"/>
                <w:sz w:val="21"/>
                <w:szCs w:val="21"/>
                <w:lang w:val="zh-CN"/>
              </w:rPr>
              <w:t>本项目与</w:t>
            </w:r>
            <w:r>
              <w:rPr>
                <w:rFonts w:hint="eastAsia" w:ascii="Times New Roman" w:hAnsi="Times New Roman" w:eastAsia="宋体" w:cs="Times New Roman"/>
                <w:b/>
                <w:bCs/>
                <w:color w:val="auto"/>
                <w:spacing w:val="7"/>
                <w:sz w:val="21"/>
                <w:szCs w:val="21"/>
                <w:lang w:val="en-US" w:eastAsia="zh-CN"/>
              </w:rPr>
              <w:t>固原市环境管控单元生态</w:t>
            </w:r>
            <w:r>
              <w:rPr>
                <w:rFonts w:hint="eastAsia" w:ascii="Times New Roman" w:hAnsi="Times New Roman" w:eastAsia="宋体" w:cs="Times New Roman"/>
                <w:b/>
                <w:bCs/>
                <w:color w:val="auto"/>
                <w:spacing w:val="7"/>
                <w:sz w:val="21"/>
                <w:szCs w:val="21"/>
                <w:lang w:val="zh-CN"/>
              </w:rPr>
              <w:t>环境准入清单符合性一览表</w:t>
            </w:r>
          </w:p>
          <w:tbl>
            <w:tblPr>
              <w:tblStyle w:val="15"/>
              <w:tblW w:w="76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42"/>
              <w:gridCol w:w="875"/>
              <w:gridCol w:w="3113"/>
              <w:gridCol w:w="2009"/>
            </w:tblGrid>
            <w:tr w14:paraId="012ED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074" w:type="pct"/>
                  <w:tcBorders>
                    <w:tl2br w:val="nil"/>
                    <w:tr2bl w:val="nil"/>
                  </w:tcBorders>
                  <w:noWrap w:val="0"/>
                  <w:vAlign w:val="center"/>
                </w:tcPr>
                <w:p w14:paraId="2439A1DC">
                  <w:pPr>
                    <w:widowControl/>
                    <w:kinsoku w:val="0"/>
                    <w:autoSpaceDE w:val="0"/>
                    <w:autoSpaceDN w:val="0"/>
                    <w:adjustRightInd w:val="0"/>
                    <w:snapToGrid w:val="0"/>
                    <w:spacing w:line="240" w:lineRule="auto"/>
                    <w:ind w:firstLine="0" w:firstLineChars="0"/>
                    <w:jc w:val="center"/>
                    <w:textAlignment w:val="baseline"/>
                    <w:rPr>
                      <w:b/>
                      <w:bCs/>
                      <w:color w:val="auto"/>
                      <w:sz w:val="21"/>
                      <w:szCs w:val="21"/>
                    </w:rPr>
                  </w:pPr>
                  <w:r>
                    <w:rPr>
                      <w:b/>
                      <w:bCs/>
                      <w:color w:val="auto"/>
                      <w:sz w:val="21"/>
                      <w:szCs w:val="21"/>
                    </w:rPr>
                    <w:t>环境管控单元名称</w:t>
                  </w:r>
                </w:p>
              </w:tc>
              <w:tc>
                <w:tcPr>
                  <w:tcW w:w="2610" w:type="pct"/>
                  <w:gridSpan w:val="2"/>
                  <w:tcBorders>
                    <w:tl2br w:val="nil"/>
                    <w:tr2bl w:val="nil"/>
                  </w:tcBorders>
                  <w:noWrap w:val="0"/>
                  <w:vAlign w:val="center"/>
                </w:tcPr>
                <w:p w14:paraId="0FEAF735">
                  <w:pPr>
                    <w:widowControl/>
                    <w:kinsoku w:val="0"/>
                    <w:autoSpaceDE w:val="0"/>
                    <w:autoSpaceDN w:val="0"/>
                    <w:adjustRightInd w:val="0"/>
                    <w:snapToGrid w:val="0"/>
                    <w:spacing w:line="240" w:lineRule="auto"/>
                    <w:ind w:firstLine="0" w:firstLineChars="0"/>
                    <w:jc w:val="center"/>
                    <w:textAlignment w:val="baseline"/>
                    <w:rPr>
                      <w:b/>
                      <w:bCs/>
                      <w:color w:val="auto"/>
                      <w:sz w:val="21"/>
                      <w:szCs w:val="21"/>
                    </w:rPr>
                  </w:pPr>
                  <w:r>
                    <w:rPr>
                      <w:rFonts w:hint="eastAsia"/>
                      <w:b/>
                      <w:bCs/>
                      <w:color w:val="auto"/>
                      <w:sz w:val="21"/>
                      <w:szCs w:val="21"/>
                    </w:rPr>
                    <w:t>“</w:t>
                  </w:r>
                  <w:r>
                    <w:rPr>
                      <w:b/>
                      <w:bCs/>
                      <w:color w:val="auto"/>
                      <w:sz w:val="21"/>
                      <w:szCs w:val="21"/>
                    </w:rPr>
                    <w:t>三线一单</w:t>
                  </w:r>
                  <w:r>
                    <w:rPr>
                      <w:rFonts w:hint="eastAsia"/>
                      <w:b/>
                      <w:bCs/>
                      <w:color w:val="auto"/>
                      <w:sz w:val="21"/>
                      <w:szCs w:val="21"/>
                    </w:rPr>
                    <w:t>”</w:t>
                  </w:r>
                  <w:r>
                    <w:rPr>
                      <w:b/>
                      <w:bCs/>
                      <w:color w:val="auto"/>
                      <w:sz w:val="21"/>
                      <w:szCs w:val="21"/>
                    </w:rPr>
                    <w:t>生态环境准入清单编制要求</w:t>
                  </w:r>
                </w:p>
              </w:tc>
              <w:tc>
                <w:tcPr>
                  <w:tcW w:w="1314" w:type="pct"/>
                  <w:tcBorders>
                    <w:tl2br w:val="nil"/>
                    <w:tr2bl w:val="nil"/>
                  </w:tcBorders>
                  <w:noWrap w:val="0"/>
                  <w:vAlign w:val="center"/>
                </w:tcPr>
                <w:p w14:paraId="74993C06">
                  <w:pPr>
                    <w:widowControl/>
                    <w:kinsoku w:val="0"/>
                    <w:autoSpaceDE w:val="0"/>
                    <w:autoSpaceDN w:val="0"/>
                    <w:adjustRightInd w:val="0"/>
                    <w:snapToGrid w:val="0"/>
                    <w:spacing w:line="240" w:lineRule="auto"/>
                    <w:ind w:firstLine="0" w:firstLineChars="0"/>
                    <w:jc w:val="center"/>
                    <w:textAlignment w:val="baseline"/>
                    <w:rPr>
                      <w:color w:val="auto"/>
                      <w:sz w:val="21"/>
                      <w:szCs w:val="21"/>
                    </w:rPr>
                  </w:pPr>
                  <w:r>
                    <w:rPr>
                      <w:b/>
                      <w:bCs/>
                      <w:color w:val="auto"/>
                      <w:sz w:val="21"/>
                      <w:szCs w:val="21"/>
                    </w:rPr>
                    <w:t>符合性分析</w:t>
                  </w:r>
                </w:p>
              </w:tc>
            </w:tr>
            <w:tr w14:paraId="4DCCAE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63" w:hRule="atLeast"/>
                <w:jc w:val="center"/>
              </w:trPr>
              <w:tc>
                <w:tcPr>
                  <w:tcW w:w="1074" w:type="pct"/>
                  <w:vMerge w:val="restart"/>
                  <w:tcBorders>
                    <w:tl2br w:val="nil"/>
                    <w:tr2bl w:val="nil"/>
                  </w:tcBorders>
                  <w:noWrap w:val="0"/>
                  <w:vAlign w:val="center"/>
                </w:tcPr>
                <w:p w14:paraId="1ECAE22E">
                  <w:pPr>
                    <w:pStyle w:val="20"/>
                    <w:autoSpaceDE w:val="0"/>
                    <w:autoSpaceDN w:val="0"/>
                    <w:spacing w:line="280" w:lineRule="exact"/>
                    <w:ind w:firstLine="0" w:firstLineChars="0"/>
                    <w:rPr>
                      <w:rFonts w:hint="eastAsia" w:ascii="Times New Roman" w:hAnsi="Times New Roman" w:eastAsia="宋体" w:cs="Times New Roman"/>
                      <w:color w:val="auto"/>
                      <w:spacing w:val="-2"/>
                      <w:sz w:val="21"/>
                      <w:szCs w:val="21"/>
                      <w:lang w:val="en-US" w:bidi="zh-CN"/>
                    </w:rPr>
                  </w:pPr>
                  <w:r>
                    <w:rPr>
                      <w:rFonts w:hint="eastAsia" w:ascii="Times New Roman" w:hAnsi="Times New Roman" w:eastAsia="宋体" w:cs="Times New Roman"/>
                      <w:color w:val="auto"/>
                      <w:spacing w:val="-2"/>
                      <w:sz w:val="21"/>
                      <w:szCs w:val="21"/>
                      <w:lang w:val="en-US" w:bidi="zh-CN"/>
                    </w:rPr>
                    <w:t>泾源县优先保护单元6</w:t>
                  </w:r>
                </w:p>
                <w:p w14:paraId="6B74C517">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lang w:val="en-US" w:bidi="zh-CN"/>
                    </w:rPr>
                  </w:pPr>
                  <w:r>
                    <w:rPr>
                      <w:rFonts w:hint="default" w:ascii="Times New Roman" w:hAnsi="Times New Roman" w:eastAsia="宋体" w:cs="Times New Roman"/>
                      <w:color w:val="auto"/>
                      <w:spacing w:val="-2"/>
                      <w:sz w:val="21"/>
                      <w:szCs w:val="21"/>
                      <w:lang w:val="en-US" w:bidi="zh-CN"/>
                    </w:rPr>
                    <w:t>ZH64042410014</w:t>
                  </w:r>
                </w:p>
              </w:tc>
              <w:tc>
                <w:tcPr>
                  <w:tcW w:w="572" w:type="pct"/>
                  <w:tcBorders>
                    <w:tl2br w:val="nil"/>
                    <w:tr2bl w:val="nil"/>
                  </w:tcBorders>
                  <w:noWrap w:val="0"/>
                  <w:vAlign w:val="center"/>
                </w:tcPr>
                <w:p w14:paraId="0C7F1B79">
                  <w:pPr>
                    <w:pStyle w:val="20"/>
                    <w:autoSpaceDE w:val="0"/>
                    <w:autoSpaceDN w:val="0"/>
                    <w:spacing w:line="280" w:lineRule="exact"/>
                    <w:ind w:firstLine="0" w:firstLineChars="0"/>
                    <w:rPr>
                      <w:rFonts w:hint="default" w:ascii="Times New Roman" w:hAnsi="Times New Roman" w:eastAsia="宋体" w:cs="Times New Roman"/>
                      <w:color w:val="auto"/>
                      <w:spacing w:val="-2"/>
                      <w:sz w:val="21"/>
                      <w:szCs w:val="21"/>
                      <w:lang w:val="en-US" w:bidi="zh-CN"/>
                    </w:rPr>
                  </w:pPr>
                  <w:r>
                    <w:rPr>
                      <w:rFonts w:hint="eastAsia" w:ascii="Times New Roman" w:hAnsi="Times New Roman" w:eastAsia="宋体" w:cs="Times New Roman"/>
                      <w:color w:val="auto"/>
                      <w:spacing w:val="-2"/>
                      <w:sz w:val="21"/>
                      <w:szCs w:val="21"/>
                      <w:lang w:val="en-US" w:bidi="zh-CN"/>
                    </w:rPr>
                    <w:t>空间布局约束</w:t>
                  </w:r>
                </w:p>
              </w:tc>
              <w:tc>
                <w:tcPr>
                  <w:tcW w:w="2037" w:type="pct"/>
                  <w:tcBorders>
                    <w:tl2br w:val="nil"/>
                    <w:tr2bl w:val="nil"/>
                  </w:tcBorders>
                  <w:noWrap w:val="0"/>
                  <w:vAlign w:val="center"/>
                </w:tcPr>
                <w:p w14:paraId="5D339BA3">
                  <w:pPr>
                    <w:pStyle w:val="20"/>
                    <w:numPr>
                      <w:ilvl w:val="0"/>
                      <w:numId w:val="0"/>
                    </w:numPr>
                    <w:autoSpaceDE w:val="0"/>
                    <w:autoSpaceDN w:val="0"/>
                    <w:spacing w:line="280" w:lineRule="exact"/>
                    <w:jc w:val="both"/>
                    <w:rPr>
                      <w:rFonts w:hint="default" w:ascii="Times New Roman" w:hAnsi="Times New Roman" w:eastAsia="宋体" w:cs="Times New Roman"/>
                      <w:color w:val="auto"/>
                      <w:spacing w:val="-2"/>
                      <w:sz w:val="21"/>
                      <w:szCs w:val="21"/>
                      <w:highlight w:val="none"/>
                      <w:lang w:bidi="zh-CN"/>
                    </w:rPr>
                  </w:pPr>
                  <w:r>
                    <w:rPr>
                      <w:rFonts w:hint="eastAsia" w:ascii="Times New Roman" w:hAnsi="Times New Roman" w:eastAsia="宋体" w:cs="Times New Roman"/>
                      <w:color w:val="auto"/>
                      <w:spacing w:val="-2"/>
                      <w:sz w:val="21"/>
                      <w:szCs w:val="21"/>
                      <w:highlight w:val="none"/>
                      <w:lang w:val="en-US" w:bidi="zh-CN"/>
                    </w:rPr>
                    <w:t>1.</w:t>
                  </w:r>
                  <w:r>
                    <w:rPr>
                      <w:rFonts w:hint="default" w:ascii="Times New Roman" w:hAnsi="Times New Roman" w:eastAsia="宋体" w:cs="Times New Roman"/>
                      <w:color w:val="auto"/>
                      <w:spacing w:val="-2"/>
                      <w:sz w:val="21"/>
                      <w:szCs w:val="21"/>
                      <w:highlight w:val="none"/>
                      <w:lang w:bidi="zh-CN"/>
                    </w:rPr>
                    <w:t>禁止在二十五度以上陡坡地开垦种植农作物。</w:t>
                  </w:r>
                </w:p>
                <w:p w14:paraId="3047AD75">
                  <w:pPr>
                    <w:pStyle w:val="20"/>
                    <w:numPr>
                      <w:ilvl w:val="0"/>
                      <w:numId w:val="0"/>
                    </w:numPr>
                    <w:autoSpaceDE w:val="0"/>
                    <w:autoSpaceDN w:val="0"/>
                    <w:spacing w:line="280" w:lineRule="exact"/>
                    <w:jc w:val="both"/>
                    <w:rPr>
                      <w:rFonts w:ascii="Times New Roman" w:hAnsi="Times New Roman" w:eastAsia="宋体" w:cs="Times New Roman"/>
                      <w:color w:val="auto"/>
                      <w:spacing w:val="-2"/>
                      <w:sz w:val="21"/>
                      <w:szCs w:val="21"/>
                      <w:highlight w:val="none"/>
                      <w:lang w:bidi="zh-CN"/>
                    </w:rPr>
                  </w:pPr>
                  <w:r>
                    <w:rPr>
                      <w:rFonts w:hint="eastAsia" w:ascii="Times New Roman" w:hAnsi="Times New Roman" w:eastAsia="宋体" w:cs="Times New Roman"/>
                      <w:color w:val="auto"/>
                      <w:spacing w:val="-2"/>
                      <w:sz w:val="21"/>
                      <w:szCs w:val="21"/>
                      <w:highlight w:val="none"/>
                      <w:lang w:val="en-US" w:bidi="zh-CN"/>
                    </w:rPr>
                    <w:t>2.</w:t>
                  </w:r>
                  <w:r>
                    <w:rPr>
                      <w:rFonts w:hint="default" w:ascii="Times New Roman" w:hAnsi="Times New Roman" w:eastAsia="宋体" w:cs="Times New Roman"/>
                      <w:color w:val="auto"/>
                      <w:spacing w:val="-2"/>
                      <w:sz w:val="21"/>
                      <w:szCs w:val="21"/>
                      <w:highlight w:val="none"/>
                      <w:lang w:bidi="zh-CN"/>
                    </w:rPr>
                    <w:t>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养殖项目。</w:t>
                  </w:r>
                </w:p>
              </w:tc>
              <w:tc>
                <w:tcPr>
                  <w:tcW w:w="1314" w:type="pct"/>
                  <w:tcBorders>
                    <w:tl2br w:val="nil"/>
                    <w:tr2bl w:val="nil"/>
                  </w:tcBorders>
                  <w:noWrap w:val="0"/>
                  <w:vAlign w:val="center"/>
                </w:tcPr>
                <w:p w14:paraId="67E5ABFE">
                  <w:pPr>
                    <w:pStyle w:val="20"/>
                    <w:autoSpaceDE w:val="0"/>
                    <w:autoSpaceDN w:val="0"/>
                    <w:spacing w:line="280" w:lineRule="exact"/>
                    <w:ind w:firstLine="0" w:firstLineChars="0"/>
                    <w:jc w:val="both"/>
                    <w:rPr>
                      <w:rFonts w:hint="eastAsia" w:ascii="Times New Roman" w:hAnsi="Times New Roman" w:eastAsia="宋体" w:cs="Times New Roman"/>
                      <w:color w:val="auto"/>
                      <w:spacing w:val="-2"/>
                      <w:sz w:val="21"/>
                      <w:szCs w:val="21"/>
                      <w:highlight w:val="none"/>
                      <w:lang w:bidi="zh-CN"/>
                    </w:rPr>
                  </w:pPr>
                  <w:r>
                    <w:rPr>
                      <w:rFonts w:hint="default" w:ascii="Times New Roman" w:hAnsi="Times New Roman" w:eastAsia="宋体" w:cs="Times New Roman"/>
                      <w:color w:val="auto"/>
                      <w:spacing w:val="-2"/>
                      <w:sz w:val="21"/>
                      <w:szCs w:val="21"/>
                      <w:highlight w:val="none"/>
                    </w:rPr>
                    <w:t>项目为</w:t>
                  </w:r>
                  <w:r>
                    <w:rPr>
                      <w:rFonts w:hint="default" w:ascii="Times New Roman" w:hAnsi="Times New Roman" w:eastAsia="宋体" w:cs="Times New Roman"/>
                      <w:color w:val="auto"/>
                      <w:spacing w:val="-2"/>
                      <w:sz w:val="21"/>
                      <w:szCs w:val="21"/>
                      <w:highlight w:val="none"/>
                      <w:lang w:eastAsia="zh-CN"/>
                    </w:rPr>
                    <w:t>河道</w:t>
                  </w:r>
                  <w:r>
                    <w:rPr>
                      <w:rFonts w:hint="default" w:ascii="Times New Roman" w:hAnsi="Times New Roman" w:eastAsia="宋体" w:cs="Times New Roman"/>
                      <w:color w:val="auto"/>
                      <w:spacing w:val="-2"/>
                      <w:sz w:val="21"/>
                      <w:szCs w:val="21"/>
                      <w:highlight w:val="none"/>
                    </w:rPr>
                    <w:t>治理</w:t>
                  </w:r>
                  <w:r>
                    <w:rPr>
                      <w:rFonts w:hint="eastAsia" w:ascii="Times New Roman" w:hAnsi="Times New Roman" w:eastAsia="宋体" w:cs="Times New Roman"/>
                      <w:color w:val="auto"/>
                      <w:spacing w:val="-2"/>
                      <w:sz w:val="21"/>
                      <w:szCs w:val="21"/>
                      <w:highlight w:val="none"/>
                      <w:lang w:val="en-US" w:eastAsia="zh-CN"/>
                    </w:rPr>
                    <w:t>和防洪排涝</w:t>
                  </w:r>
                  <w:r>
                    <w:rPr>
                      <w:rFonts w:hint="default" w:ascii="Times New Roman" w:hAnsi="Times New Roman" w:eastAsia="宋体" w:cs="Times New Roman"/>
                      <w:color w:val="auto"/>
                      <w:spacing w:val="-2"/>
                      <w:sz w:val="21"/>
                      <w:szCs w:val="21"/>
                      <w:highlight w:val="none"/>
                      <w:lang w:val="en-US" w:eastAsia="zh-CN"/>
                    </w:rPr>
                    <w:t>工程</w:t>
                  </w:r>
                  <w:r>
                    <w:rPr>
                      <w:rFonts w:hint="eastAsia" w:ascii="Times New Roman" w:hAnsi="Times New Roman" w:eastAsia="宋体" w:cs="Times New Roman"/>
                      <w:color w:val="auto"/>
                      <w:spacing w:val="-2"/>
                      <w:sz w:val="21"/>
                      <w:szCs w:val="21"/>
                      <w:highlight w:val="none"/>
                      <w:lang w:bidi="zh-CN"/>
                    </w:rPr>
                    <w:t>，</w:t>
                  </w:r>
                  <w:r>
                    <w:rPr>
                      <w:rFonts w:hint="eastAsia" w:ascii="Times New Roman" w:hAnsi="Times New Roman" w:eastAsia="宋体" w:cs="Times New Roman"/>
                      <w:color w:val="auto"/>
                      <w:spacing w:val="-2"/>
                      <w:sz w:val="21"/>
                      <w:szCs w:val="21"/>
                      <w:highlight w:val="none"/>
                      <w:lang w:val="en-US" w:bidi="zh-CN"/>
                    </w:rPr>
                    <w:t>工程范围占用一般生态空间、</w:t>
                  </w:r>
                  <w:r>
                    <w:rPr>
                      <w:rFonts w:hint="default" w:ascii="Times New Roman" w:hAnsi="Times New Roman" w:eastAsia="宋体" w:cs="Times New Roman"/>
                      <w:color w:val="auto"/>
                      <w:spacing w:val="-2"/>
                      <w:sz w:val="21"/>
                      <w:szCs w:val="21"/>
                      <w:highlight w:val="none"/>
                      <w:lang w:bidi="zh-CN"/>
                    </w:rPr>
                    <w:t>生态保护红线和一般生态空间以外的其他区域</w:t>
                  </w:r>
                  <w:r>
                    <w:rPr>
                      <w:rFonts w:hint="eastAsia" w:ascii="Times New Roman" w:hAnsi="Times New Roman" w:eastAsia="宋体" w:cs="Times New Roman"/>
                      <w:color w:val="auto"/>
                      <w:spacing w:val="-2"/>
                      <w:sz w:val="21"/>
                      <w:szCs w:val="21"/>
                      <w:highlight w:val="none"/>
                      <w:lang w:val="en-US" w:bidi="zh-CN"/>
                    </w:rPr>
                    <w:t>不涉及占用生态保护红线，不涉及开垦种植农作物，</w:t>
                  </w:r>
                  <w:r>
                    <w:rPr>
                      <w:rFonts w:ascii="Times New Roman" w:hAnsi="Times New Roman" w:eastAsia="宋体" w:cs="Times New Roman"/>
                      <w:color w:val="auto"/>
                      <w:spacing w:val="-2"/>
                      <w:sz w:val="21"/>
                      <w:szCs w:val="21"/>
                      <w:highlight w:val="none"/>
                      <w:lang w:bidi="zh-CN"/>
                    </w:rPr>
                    <w:t>不</w:t>
                  </w:r>
                  <w:r>
                    <w:rPr>
                      <w:rFonts w:hint="eastAsia" w:ascii="Times New Roman" w:hAnsi="Times New Roman" w:eastAsia="宋体" w:cs="Times New Roman"/>
                      <w:color w:val="auto"/>
                      <w:spacing w:val="-2"/>
                      <w:sz w:val="21"/>
                      <w:szCs w:val="21"/>
                      <w:highlight w:val="none"/>
                      <w:lang w:val="en-US" w:bidi="zh-CN"/>
                    </w:rPr>
                    <w:t>属于</w:t>
                  </w:r>
                  <w:r>
                    <w:rPr>
                      <w:rFonts w:hint="eastAsia" w:ascii="Times New Roman" w:hAnsi="Times New Roman" w:eastAsia="宋体" w:cs="Times New Roman"/>
                      <w:color w:val="auto"/>
                      <w:spacing w:val="-2"/>
                      <w:sz w:val="21"/>
                      <w:szCs w:val="21"/>
                      <w:highlight w:val="none"/>
                      <w:lang w:bidi="zh-CN"/>
                    </w:rPr>
                    <w:t>开发建设活动，</w:t>
                  </w:r>
                  <w:r>
                    <w:rPr>
                      <w:rFonts w:hint="eastAsia" w:ascii="Times New Roman" w:hAnsi="Times New Roman" w:eastAsia="宋体" w:cs="Times New Roman"/>
                      <w:color w:val="auto"/>
                      <w:spacing w:val="-2"/>
                      <w:sz w:val="21"/>
                      <w:szCs w:val="21"/>
                      <w:highlight w:val="none"/>
                      <w:lang w:val="en-US" w:bidi="zh-CN"/>
                    </w:rPr>
                    <w:t>项目的实施有助于提升河道的水生态质量和生态功能，有助于提高排洪渠的行洪能力，</w:t>
                  </w:r>
                  <w:r>
                    <w:rPr>
                      <w:rFonts w:hint="eastAsia" w:ascii="Times New Roman" w:hAnsi="Times New Roman" w:eastAsia="宋体" w:cs="Times New Roman"/>
                      <w:color w:val="auto"/>
                      <w:spacing w:val="-2"/>
                      <w:sz w:val="21"/>
                      <w:szCs w:val="21"/>
                      <w:highlight w:val="none"/>
                      <w:lang w:bidi="zh-CN"/>
                    </w:rPr>
                    <w:t>符合管控区要求。</w:t>
                  </w:r>
                </w:p>
              </w:tc>
            </w:tr>
            <w:tr w14:paraId="0F181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74" w:type="pct"/>
                  <w:vMerge w:val="continue"/>
                  <w:tcBorders>
                    <w:tl2br w:val="nil"/>
                    <w:tr2bl w:val="nil"/>
                  </w:tcBorders>
                  <w:noWrap w:val="0"/>
                  <w:vAlign w:val="center"/>
                </w:tcPr>
                <w:p w14:paraId="72523924">
                  <w:pPr>
                    <w:pStyle w:val="20"/>
                    <w:autoSpaceDE w:val="0"/>
                    <w:autoSpaceDN w:val="0"/>
                    <w:spacing w:line="280" w:lineRule="exact"/>
                    <w:ind w:firstLine="0" w:firstLineChars="0"/>
                    <w:jc w:val="both"/>
                    <w:rPr>
                      <w:rFonts w:ascii="Times New Roman" w:hAnsi="Times New Roman" w:eastAsia="宋体" w:cs="Times New Roman"/>
                      <w:color w:val="auto"/>
                      <w:spacing w:val="-2"/>
                      <w:sz w:val="21"/>
                      <w:szCs w:val="21"/>
                      <w:lang w:bidi="zh-CN"/>
                    </w:rPr>
                  </w:pPr>
                </w:p>
              </w:tc>
              <w:tc>
                <w:tcPr>
                  <w:tcW w:w="572" w:type="pct"/>
                  <w:tcBorders>
                    <w:tl2br w:val="nil"/>
                    <w:tr2bl w:val="nil"/>
                  </w:tcBorders>
                  <w:noWrap w:val="0"/>
                  <w:vAlign w:val="center"/>
                </w:tcPr>
                <w:p w14:paraId="20D9942C">
                  <w:pPr>
                    <w:pStyle w:val="20"/>
                    <w:autoSpaceDE w:val="0"/>
                    <w:autoSpaceDN w:val="0"/>
                    <w:spacing w:line="280" w:lineRule="exact"/>
                    <w:ind w:firstLine="0" w:firstLineChars="0"/>
                    <w:rPr>
                      <w:rFonts w:ascii="Times New Roman" w:hAnsi="Times New Roman" w:eastAsia="宋体" w:cs="Times New Roman"/>
                      <w:color w:val="auto"/>
                      <w:spacing w:val="-2"/>
                      <w:sz w:val="21"/>
                      <w:szCs w:val="21"/>
                      <w:lang w:bidi="zh-CN"/>
                    </w:rPr>
                  </w:pPr>
                  <w:r>
                    <w:rPr>
                      <w:rFonts w:ascii="Times New Roman" w:hAnsi="Times New Roman" w:eastAsia="宋体" w:cs="Times New Roman"/>
                      <w:color w:val="auto"/>
                      <w:spacing w:val="-2"/>
                      <w:sz w:val="21"/>
                      <w:szCs w:val="21"/>
                      <w:lang w:bidi="zh-CN"/>
                    </w:rPr>
                    <w:t>污染物排放管控</w:t>
                  </w:r>
                </w:p>
              </w:tc>
              <w:tc>
                <w:tcPr>
                  <w:tcW w:w="2037" w:type="pct"/>
                  <w:tcBorders>
                    <w:tl2br w:val="nil"/>
                    <w:tr2bl w:val="nil"/>
                  </w:tcBorders>
                  <w:noWrap w:val="0"/>
                  <w:vAlign w:val="center"/>
                </w:tcPr>
                <w:p w14:paraId="438736F5">
                  <w:pPr>
                    <w:pStyle w:val="20"/>
                    <w:autoSpaceDE w:val="0"/>
                    <w:autoSpaceDN w:val="0"/>
                    <w:spacing w:line="280" w:lineRule="exact"/>
                    <w:ind w:left="0" w:leftChars="0" w:right="0" w:rightChars="0" w:firstLine="0" w:firstLineChars="0"/>
                    <w:jc w:val="center"/>
                    <w:rPr>
                      <w:rFonts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c>
                <w:tcPr>
                  <w:tcW w:w="1314" w:type="pct"/>
                  <w:tcBorders>
                    <w:tl2br w:val="nil"/>
                    <w:tr2bl w:val="nil"/>
                  </w:tcBorders>
                  <w:noWrap w:val="0"/>
                  <w:vAlign w:val="center"/>
                </w:tcPr>
                <w:p w14:paraId="22898D20">
                  <w:pPr>
                    <w:pStyle w:val="20"/>
                    <w:autoSpaceDE w:val="0"/>
                    <w:autoSpaceDN w:val="0"/>
                    <w:spacing w:line="280" w:lineRule="exact"/>
                    <w:ind w:left="0" w:leftChars="0" w:right="0" w:rightChars="0" w:firstLine="0" w:firstLineChars="0"/>
                    <w:jc w:val="center"/>
                    <w:rPr>
                      <w:rFonts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r>
            <w:tr w14:paraId="6F4971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074" w:type="pct"/>
                  <w:vMerge w:val="continue"/>
                  <w:tcBorders>
                    <w:tl2br w:val="nil"/>
                    <w:tr2bl w:val="nil"/>
                  </w:tcBorders>
                  <w:noWrap w:val="0"/>
                  <w:vAlign w:val="center"/>
                </w:tcPr>
                <w:p w14:paraId="21F9483F">
                  <w:pPr>
                    <w:pStyle w:val="20"/>
                    <w:autoSpaceDE w:val="0"/>
                    <w:autoSpaceDN w:val="0"/>
                    <w:spacing w:line="280" w:lineRule="exact"/>
                    <w:ind w:firstLine="0" w:firstLineChars="0"/>
                    <w:jc w:val="both"/>
                    <w:rPr>
                      <w:rFonts w:ascii="Times New Roman" w:hAnsi="Times New Roman" w:eastAsia="宋体" w:cs="Times New Roman"/>
                      <w:color w:val="auto"/>
                      <w:spacing w:val="-2"/>
                      <w:sz w:val="21"/>
                      <w:szCs w:val="21"/>
                      <w:lang w:bidi="zh-CN"/>
                    </w:rPr>
                  </w:pPr>
                </w:p>
              </w:tc>
              <w:tc>
                <w:tcPr>
                  <w:tcW w:w="572" w:type="pct"/>
                  <w:tcBorders>
                    <w:tl2br w:val="nil"/>
                    <w:tr2bl w:val="nil"/>
                  </w:tcBorders>
                  <w:noWrap w:val="0"/>
                  <w:vAlign w:val="center"/>
                </w:tcPr>
                <w:p w14:paraId="4401A7D9">
                  <w:pPr>
                    <w:pStyle w:val="20"/>
                    <w:autoSpaceDE w:val="0"/>
                    <w:autoSpaceDN w:val="0"/>
                    <w:spacing w:line="280" w:lineRule="exact"/>
                    <w:ind w:firstLine="0" w:firstLineChars="0"/>
                    <w:rPr>
                      <w:rFonts w:ascii="Times New Roman" w:hAnsi="Times New Roman" w:eastAsia="宋体" w:cs="Times New Roman"/>
                      <w:color w:val="auto"/>
                      <w:spacing w:val="-2"/>
                      <w:sz w:val="21"/>
                      <w:szCs w:val="21"/>
                      <w:lang w:bidi="zh-CN"/>
                    </w:rPr>
                  </w:pPr>
                  <w:r>
                    <w:rPr>
                      <w:rFonts w:ascii="Times New Roman" w:hAnsi="Times New Roman" w:eastAsia="宋体" w:cs="Times New Roman"/>
                      <w:color w:val="auto"/>
                      <w:spacing w:val="-2"/>
                      <w:sz w:val="21"/>
                      <w:szCs w:val="21"/>
                      <w:lang w:bidi="zh-CN"/>
                    </w:rPr>
                    <w:t>环境风险防控</w:t>
                  </w:r>
                </w:p>
              </w:tc>
              <w:tc>
                <w:tcPr>
                  <w:tcW w:w="2037" w:type="pct"/>
                  <w:tcBorders>
                    <w:tl2br w:val="nil"/>
                    <w:tr2bl w:val="nil"/>
                  </w:tcBorders>
                  <w:noWrap w:val="0"/>
                  <w:vAlign w:val="center"/>
                </w:tcPr>
                <w:p w14:paraId="196E58F8">
                  <w:pPr>
                    <w:pStyle w:val="20"/>
                    <w:autoSpaceDE w:val="0"/>
                    <w:autoSpaceDN w:val="0"/>
                    <w:spacing w:line="280" w:lineRule="exact"/>
                    <w:ind w:left="0" w:leftChars="0" w:right="0" w:rightChars="0" w:firstLine="0" w:firstLineChars="0"/>
                    <w:jc w:val="center"/>
                    <w:rPr>
                      <w:rFonts w:hint="eastAsia"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c>
                <w:tcPr>
                  <w:tcW w:w="1314" w:type="pct"/>
                  <w:tcBorders>
                    <w:tl2br w:val="nil"/>
                    <w:tr2bl w:val="nil"/>
                  </w:tcBorders>
                  <w:noWrap w:val="0"/>
                  <w:vAlign w:val="center"/>
                </w:tcPr>
                <w:p w14:paraId="48944A9F">
                  <w:pPr>
                    <w:pStyle w:val="20"/>
                    <w:autoSpaceDE w:val="0"/>
                    <w:autoSpaceDN w:val="0"/>
                    <w:spacing w:line="280" w:lineRule="exact"/>
                    <w:ind w:left="0" w:leftChars="0" w:right="0" w:rightChars="0" w:firstLine="0" w:firstLineChars="0"/>
                    <w:jc w:val="center"/>
                    <w:rPr>
                      <w:rFonts w:hint="eastAsia"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r>
            <w:tr w14:paraId="0874E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074" w:type="pct"/>
                  <w:vMerge w:val="continue"/>
                  <w:tcBorders>
                    <w:tl2br w:val="nil"/>
                    <w:tr2bl w:val="nil"/>
                  </w:tcBorders>
                  <w:noWrap w:val="0"/>
                  <w:vAlign w:val="center"/>
                </w:tcPr>
                <w:p w14:paraId="5DDD7735">
                  <w:pPr>
                    <w:pStyle w:val="20"/>
                    <w:autoSpaceDE w:val="0"/>
                    <w:autoSpaceDN w:val="0"/>
                    <w:spacing w:line="280" w:lineRule="exact"/>
                    <w:ind w:firstLine="0" w:firstLineChars="0"/>
                    <w:jc w:val="both"/>
                    <w:rPr>
                      <w:rFonts w:ascii="Times New Roman" w:hAnsi="Times New Roman" w:eastAsia="宋体" w:cs="Times New Roman"/>
                      <w:color w:val="auto"/>
                      <w:spacing w:val="-2"/>
                      <w:sz w:val="21"/>
                      <w:szCs w:val="21"/>
                      <w:lang w:bidi="zh-CN"/>
                    </w:rPr>
                  </w:pPr>
                </w:p>
              </w:tc>
              <w:tc>
                <w:tcPr>
                  <w:tcW w:w="572" w:type="pct"/>
                  <w:tcBorders>
                    <w:tl2br w:val="nil"/>
                    <w:tr2bl w:val="nil"/>
                  </w:tcBorders>
                  <w:noWrap w:val="0"/>
                  <w:vAlign w:val="center"/>
                </w:tcPr>
                <w:p w14:paraId="5CF1DFA1">
                  <w:pPr>
                    <w:pStyle w:val="20"/>
                    <w:autoSpaceDE w:val="0"/>
                    <w:autoSpaceDN w:val="0"/>
                    <w:spacing w:line="280" w:lineRule="exact"/>
                    <w:ind w:firstLine="0" w:firstLineChars="0"/>
                    <w:rPr>
                      <w:rFonts w:ascii="Times New Roman" w:hAnsi="Times New Roman" w:eastAsia="宋体" w:cs="Times New Roman"/>
                      <w:color w:val="auto"/>
                      <w:spacing w:val="-2"/>
                      <w:sz w:val="21"/>
                      <w:szCs w:val="21"/>
                      <w:lang w:bidi="zh-CN"/>
                    </w:rPr>
                  </w:pPr>
                  <w:r>
                    <w:rPr>
                      <w:rFonts w:ascii="Times New Roman" w:hAnsi="Times New Roman" w:eastAsia="宋体" w:cs="Times New Roman"/>
                      <w:color w:val="auto"/>
                      <w:spacing w:val="-2"/>
                      <w:sz w:val="21"/>
                      <w:szCs w:val="21"/>
                      <w:lang w:bidi="zh-CN"/>
                    </w:rPr>
                    <w:t>资源开发效率要求</w:t>
                  </w:r>
                </w:p>
              </w:tc>
              <w:tc>
                <w:tcPr>
                  <w:tcW w:w="2037" w:type="pct"/>
                  <w:tcBorders>
                    <w:tl2br w:val="nil"/>
                    <w:tr2bl w:val="nil"/>
                  </w:tcBorders>
                  <w:noWrap w:val="0"/>
                  <w:vAlign w:val="center"/>
                </w:tcPr>
                <w:p w14:paraId="2BAC3C84">
                  <w:pPr>
                    <w:pStyle w:val="20"/>
                    <w:autoSpaceDE w:val="0"/>
                    <w:autoSpaceDN w:val="0"/>
                    <w:spacing w:line="280" w:lineRule="exact"/>
                    <w:ind w:left="0" w:leftChars="0" w:right="0" w:rightChars="0" w:firstLine="0" w:firstLineChars="0"/>
                    <w:jc w:val="center"/>
                    <w:rPr>
                      <w:rFonts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c>
                <w:tcPr>
                  <w:tcW w:w="1314" w:type="pct"/>
                  <w:tcBorders>
                    <w:tl2br w:val="nil"/>
                    <w:tr2bl w:val="nil"/>
                  </w:tcBorders>
                  <w:noWrap w:val="0"/>
                  <w:vAlign w:val="center"/>
                </w:tcPr>
                <w:p w14:paraId="1EB1E09E">
                  <w:pPr>
                    <w:pStyle w:val="20"/>
                    <w:autoSpaceDE w:val="0"/>
                    <w:autoSpaceDN w:val="0"/>
                    <w:spacing w:line="280" w:lineRule="exact"/>
                    <w:ind w:left="0" w:leftChars="0" w:right="0" w:rightChars="0" w:firstLine="0" w:firstLineChars="0"/>
                    <w:jc w:val="center"/>
                    <w:rPr>
                      <w:rFonts w:ascii="Times New Roman" w:hAnsi="Times New Roman" w:eastAsia="宋体" w:cs="Times New Roman"/>
                      <w:color w:val="auto"/>
                      <w:spacing w:val="-2"/>
                      <w:sz w:val="21"/>
                      <w:szCs w:val="21"/>
                      <w:lang w:bidi="zh-CN"/>
                    </w:rPr>
                  </w:pPr>
                  <w:r>
                    <w:rPr>
                      <w:rFonts w:hint="eastAsia" w:ascii="Times New Roman" w:hAnsi="Times New Roman" w:eastAsia="宋体" w:cs="Times New Roman"/>
                      <w:color w:val="auto"/>
                      <w:spacing w:val="-2"/>
                      <w:sz w:val="21"/>
                      <w:szCs w:val="21"/>
                      <w:lang w:bidi="zh-CN"/>
                    </w:rPr>
                    <w:t>/</w:t>
                  </w:r>
                </w:p>
              </w:tc>
            </w:tr>
          </w:tbl>
          <w:p w14:paraId="7ADAE7B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4 与《泾源县国家重点生态功能区产业准入负面清单（试行版）》相符性分析</w:t>
            </w:r>
          </w:p>
          <w:p w14:paraId="17D5763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color w:val="auto"/>
                <w:spacing w:val="-2"/>
              </w:rPr>
            </w:pPr>
            <w:r>
              <w:rPr>
                <w:color w:val="auto"/>
                <w:spacing w:val="-2"/>
              </w:rPr>
              <w:t>根据泾源县人民政府办公室关于印发《泾源县国家重点生态功能区产</w:t>
            </w:r>
            <w:r>
              <w:rPr>
                <w:color w:val="auto"/>
                <w:spacing w:val="10"/>
              </w:rPr>
              <w:t xml:space="preserve"> </w:t>
            </w:r>
            <w:r>
              <w:rPr>
                <w:color w:val="auto"/>
                <w:spacing w:val="-1"/>
              </w:rPr>
              <w:t>业准入负面清单（试行版）》的通知（泾政办发〔</w:t>
            </w:r>
            <w:r>
              <w:rPr>
                <w:rFonts w:ascii="Times New Roman" w:hAnsi="Times New Roman" w:eastAsia="Times New Roman" w:cs="Times New Roman"/>
                <w:color w:val="auto"/>
                <w:spacing w:val="-1"/>
              </w:rPr>
              <w:t>2016</w:t>
            </w:r>
            <w:r>
              <w:rPr>
                <w:color w:val="auto"/>
                <w:spacing w:val="-1"/>
              </w:rPr>
              <w:t>〕</w:t>
            </w:r>
            <w:r>
              <w:rPr>
                <w:rFonts w:ascii="Times New Roman" w:hAnsi="Times New Roman" w:eastAsia="Times New Roman" w:cs="Times New Roman"/>
                <w:color w:val="auto"/>
                <w:spacing w:val="-1"/>
              </w:rPr>
              <w:t>106</w:t>
            </w:r>
            <w:r>
              <w:rPr>
                <w:color w:val="auto"/>
                <w:spacing w:val="-1"/>
              </w:rPr>
              <w:t>号</w:t>
            </w:r>
            <w:r>
              <w:rPr>
                <w:color w:val="auto"/>
                <w:spacing w:val="11"/>
              </w:rPr>
              <w:t>），</w:t>
            </w:r>
            <w:r>
              <w:rPr>
                <w:color w:val="auto"/>
                <w:spacing w:val="-1"/>
              </w:rPr>
              <w:t>泾源</w:t>
            </w:r>
            <w:r>
              <w:rPr>
                <w:color w:val="auto"/>
                <w:spacing w:val="-2"/>
              </w:rPr>
              <w:t>县产业准入负面清单的内容包括《产业结构调整指导目录（</w:t>
            </w:r>
            <w:r>
              <w:rPr>
                <w:rFonts w:ascii="Times New Roman" w:hAnsi="Times New Roman" w:eastAsia="Times New Roman" w:cs="Times New Roman"/>
                <w:color w:val="auto"/>
                <w:spacing w:val="-2"/>
              </w:rPr>
              <w:t>2024</w:t>
            </w:r>
            <w:r>
              <w:rPr>
                <w:color w:val="auto"/>
                <w:spacing w:val="-2"/>
              </w:rPr>
              <w:t>年本）》</w:t>
            </w:r>
            <w:r>
              <w:rPr>
                <w:color w:val="auto"/>
                <w:spacing w:val="4"/>
              </w:rPr>
              <w:t xml:space="preserve"> </w:t>
            </w:r>
            <w:r>
              <w:rPr>
                <w:color w:val="auto"/>
                <w:spacing w:val="-2"/>
              </w:rPr>
              <w:t>中的限制类和禁止类产业。本项目建设内容属于河道</w:t>
            </w:r>
            <w:r>
              <w:rPr>
                <w:rFonts w:hint="eastAsia"/>
                <w:color w:val="auto"/>
                <w:spacing w:val="-2"/>
                <w:lang w:val="en-US" w:eastAsia="zh-CN"/>
              </w:rPr>
              <w:t>治理和防洪除涝</w:t>
            </w:r>
            <w:r>
              <w:rPr>
                <w:color w:val="auto"/>
                <w:spacing w:val="-2"/>
              </w:rPr>
              <w:t>工程。对照</w:t>
            </w:r>
            <w:r>
              <w:rPr>
                <w:color w:val="auto"/>
                <w:spacing w:val="-3"/>
              </w:rPr>
              <w:t>国家发展和改革委员会《产业结构调整指导目录（</w:t>
            </w:r>
            <w:r>
              <w:rPr>
                <w:rFonts w:ascii="Times New Roman" w:hAnsi="Times New Roman" w:eastAsia="Times New Roman" w:cs="Times New Roman"/>
                <w:color w:val="auto"/>
                <w:spacing w:val="-3"/>
              </w:rPr>
              <w:t>2024</w:t>
            </w:r>
            <w:r>
              <w:rPr>
                <w:color w:val="auto"/>
                <w:spacing w:val="-4"/>
              </w:rPr>
              <w:t>年本）》和《泾源</w:t>
            </w:r>
            <w:r>
              <w:rPr>
                <w:color w:val="auto"/>
                <w:spacing w:val="-2"/>
              </w:rPr>
              <w:t>县国家重点生态功能区产业准入负面清单（试行版）》，</w:t>
            </w:r>
            <w:r>
              <w:rPr>
                <w:rFonts w:hint="eastAsia"/>
                <w:color w:val="auto"/>
                <w:spacing w:val="-2"/>
                <w:lang w:val="en-US" w:eastAsia="zh-CN"/>
              </w:rPr>
              <w:t>本</w:t>
            </w:r>
            <w:r>
              <w:rPr>
                <w:color w:val="auto"/>
                <w:spacing w:val="-2"/>
              </w:rPr>
              <w:t>项目</w:t>
            </w:r>
            <w:r>
              <w:rPr>
                <w:color w:val="auto"/>
                <w:spacing w:val="-3"/>
              </w:rPr>
              <w:t>属于鼓励类“二、水利</w:t>
            </w:r>
            <w:r>
              <w:rPr>
                <w:rFonts w:hint="eastAsia"/>
                <w:color w:val="auto"/>
                <w:spacing w:val="-18"/>
                <w:lang w:val="en-US" w:eastAsia="zh-CN"/>
              </w:rPr>
              <w:t>1</w:t>
            </w:r>
            <w:r>
              <w:rPr>
                <w:color w:val="auto"/>
                <w:spacing w:val="-3"/>
              </w:rPr>
              <w:t>、江河湖海堤防建设及河道治理工程”，不属于</w:t>
            </w:r>
            <w:r>
              <w:rPr>
                <w:color w:val="auto"/>
                <w:spacing w:val="-2"/>
              </w:rPr>
              <w:t>禁止类和限制类产业，不属于《泾源县国家重点生态功能区产业准入负面清单（试行版）》中限制类和禁止类项目，因此该项目建设符合要求。</w:t>
            </w:r>
          </w:p>
          <w:p w14:paraId="1E1594E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5 选址及规划符合性分析</w:t>
            </w:r>
          </w:p>
          <w:p w14:paraId="51D43EF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项目建设临时占地，占用河道水域空间，根据《中华人民共和国土地 管理法》第二十三条规定“江河、湖泊综合治理和开发利用规划，应当与 土地利用总体规划相衔接。在江河、湖泊、水库的管理和保护范围以及蓄 洪滞洪区内，土地利用应当符合江河、湖泊综合治理和开发利用规划，符 合河道、湖泊行洪、蓄洪和输水的要求。”</w:t>
            </w:r>
          </w:p>
          <w:p w14:paraId="56AE9A9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根据《中华人民共和国土地管理法实施条例》第二十条规定“建设项  目施工、地质勘查需要临时使用土地的，应当尽量不占或者少占耕地。 ”</w:t>
            </w:r>
          </w:p>
          <w:p w14:paraId="59198DA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本项目为河道治理和防洪除涝工程，选址位于泾源县黄花乡羊槽河（羊槽村段）、红土沟（红土村）、向阳村边沟</w:t>
            </w:r>
            <w:r>
              <w:rPr>
                <w:rFonts w:hint="eastAsia" w:ascii="Times New Roman" w:hAnsi="Times New Roman" w:cs="Times New Roman"/>
                <w:color w:val="auto"/>
                <w:lang w:val="en-US" w:eastAsia="zh-CN"/>
              </w:rPr>
              <w:t>及排洪渠</w:t>
            </w:r>
            <w:r>
              <w:rPr>
                <w:rFonts w:hint="eastAsia" w:ascii="Times New Roman" w:hAnsi="Times New Roman" w:eastAsia="宋体" w:cs="Times New Roman"/>
                <w:color w:val="auto"/>
                <w:lang w:val="en-US" w:eastAsia="zh-CN"/>
              </w:rPr>
              <w:t>的河</w:t>
            </w:r>
            <w:r>
              <w:rPr>
                <w:rFonts w:hint="eastAsia" w:ascii="Times New Roman" w:hAnsi="Times New Roman" w:cs="Times New Roman"/>
                <w:color w:val="auto"/>
                <w:lang w:val="en-US" w:eastAsia="zh-CN"/>
              </w:rPr>
              <w:t>（沟、渠）</w:t>
            </w:r>
            <w:r>
              <w:rPr>
                <w:rFonts w:hint="eastAsia" w:ascii="Times New Roman" w:hAnsi="Times New Roman" w:eastAsia="宋体" w:cs="Times New Roman"/>
                <w:color w:val="auto"/>
                <w:lang w:val="en-US" w:eastAsia="zh-CN"/>
              </w:rPr>
              <w:t>道范围内，项目占地类型为河</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沟、</w:t>
            </w:r>
            <w:r>
              <w:rPr>
                <w:rFonts w:hint="eastAsia" w:ascii="Times New Roman" w:hAnsi="Times New Roman" w:cs="Times New Roman"/>
                <w:color w:val="auto"/>
                <w:lang w:val="en-US" w:eastAsia="zh-CN"/>
              </w:rPr>
              <w:t>渠）道</w:t>
            </w:r>
            <w:r>
              <w:rPr>
                <w:rFonts w:hint="eastAsia" w:ascii="Times New Roman" w:hAnsi="Times New Roman" w:eastAsia="宋体" w:cs="Times New Roman"/>
                <w:color w:val="auto"/>
                <w:lang w:val="en-US" w:eastAsia="zh-CN"/>
              </w:rPr>
              <w:t>范围内用地，临时占地不涉及耕地，选址唯一，不涉及围填海，不涉及新增占地。</w:t>
            </w:r>
          </w:p>
          <w:p w14:paraId="67E3116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color w:val="auto"/>
                <w:spacing w:val="-2"/>
                <w:lang w:val="en-US" w:eastAsia="zh-CN"/>
              </w:rPr>
            </w:pPr>
            <w:r>
              <w:rPr>
                <w:rFonts w:hint="eastAsia" w:ascii="Times New Roman" w:hAnsi="Times New Roman" w:eastAsia="宋体" w:cs="Times New Roman"/>
                <w:color w:val="auto"/>
                <w:lang w:val="en-US" w:eastAsia="zh-CN"/>
              </w:rPr>
              <w:t>因此，本项目建设选址符合要求。</w:t>
            </w:r>
          </w:p>
        </w:tc>
      </w:tr>
    </w:tbl>
    <w:p w14:paraId="1BBF9B25">
      <w:pPr>
        <w:spacing w:before="98" w:line="211" w:lineRule="auto"/>
        <w:ind w:left="3385"/>
        <w:outlineLvl w:val="0"/>
        <w:rPr>
          <w:rFonts w:ascii="黑体" w:hAnsi="黑体" w:eastAsia="黑体" w:cs="黑体"/>
          <w:b/>
          <w:bCs/>
          <w:color w:val="auto"/>
          <w:spacing w:val="-6"/>
          <w:sz w:val="30"/>
          <w:szCs w:val="30"/>
        </w:rPr>
        <w:sectPr>
          <w:footerReference r:id="rId7" w:type="default"/>
          <w:pgSz w:w="11906" w:h="16839"/>
          <w:pgMar w:top="1440" w:right="1803" w:bottom="1440" w:left="1803" w:header="0" w:footer="1181" w:gutter="0"/>
          <w:pgBorders>
            <w:top w:val="none" w:sz="0" w:space="0"/>
            <w:left w:val="none" w:sz="0" w:space="0"/>
            <w:bottom w:val="none" w:sz="0" w:space="0"/>
            <w:right w:val="none" w:sz="0" w:space="0"/>
          </w:pgBorders>
          <w:pgNumType w:fmt="decimal" w:start="1"/>
          <w:cols w:space="720" w:num="1"/>
        </w:sectPr>
      </w:pPr>
    </w:p>
    <w:p w14:paraId="30433F61">
      <w:pPr>
        <w:spacing w:before="98" w:line="211" w:lineRule="auto"/>
        <w:ind w:left="0" w:leftChars="0" w:right="0" w:rightChars="0" w:firstLine="0" w:firstLineChars="0"/>
        <w:jc w:val="center"/>
        <w:outlineLvl w:val="0"/>
        <w:rPr>
          <w:rFonts w:ascii="黑体" w:hAnsi="黑体" w:eastAsia="黑体" w:cs="黑体"/>
          <w:color w:val="auto"/>
          <w:sz w:val="30"/>
          <w:szCs w:val="30"/>
        </w:rPr>
      </w:pPr>
      <w:r>
        <w:rPr>
          <w:rFonts w:ascii="黑体" w:hAnsi="黑体" w:eastAsia="黑体" w:cs="黑体"/>
          <w:b/>
          <w:bCs/>
          <w:color w:val="auto"/>
          <w:spacing w:val="-6"/>
          <w:sz w:val="30"/>
          <w:szCs w:val="30"/>
        </w:rPr>
        <w:t>二、建设内容</w:t>
      </w:r>
    </w:p>
    <w:tbl>
      <w:tblPr>
        <w:tblStyle w:val="18"/>
        <w:tblW w:w="886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8413"/>
      </w:tblGrid>
      <w:tr w14:paraId="42296D1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994" w:hRule="atLeast"/>
          <w:jc w:val="center"/>
        </w:trPr>
        <w:tc>
          <w:tcPr>
            <w:tcW w:w="454" w:type="dxa"/>
            <w:tcBorders>
              <w:tl2br w:val="nil"/>
              <w:tr2bl w:val="nil"/>
            </w:tcBorders>
            <w:vAlign w:val="center"/>
          </w:tcPr>
          <w:p w14:paraId="01087545">
            <w:pPr>
              <w:pStyle w:val="19"/>
              <w:spacing w:before="78" w:line="231" w:lineRule="auto"/>
              <w:ind w:left="0" w:leftChars="0" w:right="0" w:rightChars="0" w:firstLine="0" w:firstLineChars="0"/>
              <w:jc w:val="center"/>
              <w:rPr>
                <w:color w:val="auto"/>
              </w:rPr>
            </w:pPr>
            <w:r>
              <w:rPr>
                <w:rFonts w:ascii="宋体" w:hAnsi="宋体" w:eastAsia="宋体" w:cs="宋体"/>
                <w:b/>
                <w:bCs/>
                <w:color w:val="auto"/>
                <w:spacing w:val="-3"/>
              </w:rPr>
              <w:t>地理位置</w:t>
            </w:r>
          </w:p>
        </w:tc>
        <w:tc>
          <w:tcPr>
            <w:tcW w:w="8413" w:type="dxa"/>
            <w:tcBorders>
              <w:tl2br w:val="nil"/>
              <w:tr2bl w:val="nil"/>
            </w:tcBorders>
            <w:vAlign w:val="top"/>
          </w:tcPr>
          <w:p w14:paraId="02E637A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spacing w:val="-6"/>
                <w:highlight w:val="yellow"/>
              </w:rPr>
            </w:pPr>
            <w:r>
              <w:rPr>
                <w:color w:val="auto"/>
                <w:spacing w:val="-2"/>
              </w:rPr>
              <w:t>本项目</w:t>
            </w:r>
            <w:r>
              <w:rPr>
                <w:rFonts w:hint="eastAsia"/>
                <w:color w:val="auto"/>
                <w:spacing w:val="-2"/>
                <w:lang w:val="en-US" w:eastAsia="zh-CN"/>
              </w:rPr>
              <w:t>建设内容包括羊槽河（羊槽村段）、红土沟和向阳村边沟及排洪渠的生态治理工程</w:t>
            </w:r>
            <w:r>
              <w:rPr>
                <w:color w:val="auto"/>
                <w:spacing w:val="-5"/>
              </w:rPr>
              <w:t>。项</w:t>
            </w:r>
            <w:r>
              <w:rPr>
                <w:color w:val="auto"/>
                <w:spacing w:val="-6"/>
              </w:rPr>
              <w:t>目地理位置图</w:t>
            </w:r>
            <w:r>
              <w:rPr>
                <w:color w:val="auto"/>
                <w:spacing w:val="-6"/>
                <w:highlight w:val="none"/>
              </w:rPr>
              <w:t>见</w:t>
            </w:r>
            <w:r>
              <w:rPr>
                <w:rFonts w:hint="default" w:ascii="Times New Roman" w:hAnsi="Times New Roman" w:cs="Times New Roman"/>
                <w:color w:val="auto"/>
                <w:spacing w:val="-6"/>
                <w:highlight w:val="none"/>
              </w:rPr>
              <w:t>附图</w:t>
            </w:r>
            <w:r>
              <w:rPr>
                <w:rFonts w:hint="eastAsia" w:ascii="Times New Roman" w:hAnsi="Times New Roman" w:cs="Times New Roman"/>
                <w:color w:val="auto"/>
                <w:spacing w:val="-6"/>
                <w:highlight w:val="none"/>
                <w:lang w:val="en-US" w:eastAsia="zh-CN"/>
              </w:rPr>
              <w:t>7，各工程坐标如下：</w:t>
            </w:r>
          </w:p>
          <w:p w14:paraId="007BD92A">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lang w:val="en-US" w:eastAsia="zh-CN"/>
              </w:rPr>
            </w:pPr>
            <w:r>
              <w:rPr>
                <w:rFonts w:hint="eastAsia" w:ascii="Times New Roman" w:hAnsi="Times New Roman" w:cs="Times New Roman"/>
                <w:color w:val="auto"/>
                <w:spacing w:val="2"/>
                <w:lang w:val="en-US" w:eastAsia="zh-CN"/>
              </w:rPr>
              <w:t>一、城乡供水一体化及水土保持（河道治理）：</w:t>
            </w:r>
          </w:p>
          <w:p w14:paraId="4BB1475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（1）</w:t>
            </w:r>
            <w:r>
              <w:rPr>
                <w:rFonts w:hint="default" w:ascii="Times New Roman" w:hAnsi="Times New Roman" w:eastAsia="宋体" w:cs="Times New Roman"/>
                <w:color w:val="auto"/>
                <w:spacing w:val="2"/>
                <w:lang w:val="en-US" w:eastAsia="zh-CN"/>
              </w:rPr>
              <w:t>羊槽河（羊槽村段）</w:t>
            </w:r>
            <w:r>
              <w:rPr>
                <w:rFonts w:hint="default" w:ascii="Times New Roman" w:hAnsi="Times New Roman" w:eastAsia="宋体" w:cs="Times New Roman"/>
                <w:color w:val="auto"/>
                <w:spacing w:val="2"/>
              </w:rPr>
              <w:t>河道治理：</w:t>
            </w:r>
          </w:p>
          <w:p w14:paraId="2D311CB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left"/>
              <w:textAlignment w:val="baseline"/>
              <w:rPr>
                <w:rFonts w:hint="eastAsia"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rPr>
              <w:t>起点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E106°</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7.4</w:t>
            </w:r>
            <w:r>
              <w:rPr>
                <w:rFonts w:hint="eastAsia" w:ascii="Times New Roman" w:hAnsi="Times New Roman" w:cs="Times New Roman"/>
                <w:color w:val="auto"/>
                <w:spacing w:val="2"/>
                <w:u w:val="single"/>
                <w:lang w:val="en-US" w:eastAsia="zh-CN"/>
              </w:rPr>
              <w:t>70</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30</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16.</w:t>
            </w:r>
            <w:r>
              <w:rPr>
                <w:rFonts w:hint="eastAsia" w:ascii="Times New Roman" w:hAnsi="Times New Roman" w:cs="Times New Roman"/>
                <w:color w:val="auto"/>
                <w:spacing w:val="2"/>
                <w:u w:val="single"/>
                <w:lang w:val="en-US" w:eastAsia="zh-CN"/>
              </w:rPr>
              <w:t>646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，终点</w:t>
            </w:r>
            <w:r>
              <w:rPr>
                <w:rFonts w:hint="default" w:ascii="Times New Roman" w:hAnsi="Times New Roman" w:eastAsia="宋体" w:cs="Times New Roman"/>
                <w:color w:val="auto"/>
                <w:spacing w:val="2"/>
                <w:u w:val="single"/>
              </w:rPr>
              <w:t>E106°</w:t>
            </w:r>
            <w:r>
              <w:rPr>
                <w:rFonts w:hint="default" w:ascii="Times New Roman" w:hAnsi="Times New Roman" w:eastAsia="宋体" w:cs="Times New Roman"/>
                <w:color w:val="auto"/>
                <w:spacing w:val="2"/>
                <w:u w:val="single"/>
                <w:lang w:val="en-US" w:eastAsia="zh-CN"/>
              </w:rPr>
              <w:t>26</w:t>
            </w:r>
            <w:r>
              <w:rPr>
                <w:rFonts w:hint="default" w:ascii="Times New Roman" w:hAnsi="Times New Roman" w:eastAsia="宋体" w:cs="Times New Roman"/>
                <w:color w:val="auto"/>
                <w:spacing w:val="2"/>
                <w:u w:val="single"/>
              </w:rPr>
              <w:t>′8.</w:t>
            </w:r>
            <w:r>
              <w:rPr>
                <w:rFonts w:hint="default" w:ascii="Times New Roman" w:hAnsi="Times New Roman" w:eastAsia="宋体" w:cs="Times New Roman"/>
                <w:color w:val="auto"/>
                <w:spacing w:val="2"/>
                <w:u w:val="single"/>
                <w:lang w:val="en-US" w:eastAsia="zh-CN"/>
              </w:rPr>
              <w:t>65</w:t>
            </w:r>
            <w:r>
              <w:rPr>
                <w:rFonts w:hint="eastAsia" w:ascii="Times New Roman" w:hAnsi="Times New Roman" w:cs="Times New Roman"/>
                <w:color w:val="auto"/>
                <w:spacing w:val="2"/>
                <w:u w:val="single"/>
                <w:lang w:val="en-US" w:eastAsia="zh-CN"/>
              </w:rPr>
              <w:t>2</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28</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57.1</w:t>
            </w:r>
            <w:r>
              <w:rPr>
                <w:rFonts w:hint="eastAsia" w:ascii="Times New Roman" w:hAnsi="Times New Roman" w:cs="Times New Roman"/>
                <w:color w:val="auto"/>
                <w:spacing w:val="2"/>
                <w:u w:val="single"/>
                <w:lang w:val="en-US" w:eastAsia="zh-CN"/>
              </w:rPr>
              <w:t>97</w:t>
            </w:r>
            <w:r>
              <w:rPr>
                <w:rFonts w:hint="default" w:ascii="Times New Roman" w:hAnsi="Times New Roman" w:eastAsia="宋体" w:cs="Times New Roman"/>
                <w:color w:val="auto"/>
                <w:spacing w:val="2"/>
                <w:u w:val="single"/>
              </w:rPr>
              <w:t>″</w:t>
            </w:r>
          </w:p>
          <w:p w14:paraId="5B457632">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（2）</w:t>
            </w:r>
            <w:r>
              <w:rPr>
                <w:rFonts w:hint="default" w:ascii="Times New Roman" w:hAnsi="Times New Roman" w:eastAsia="宋体" w:cs="Times New Roman"/>
                <w:color w:val="auto"/>
                <w:spacing w:val="2"/>
                <w:lang w:val="en-US" w:eastAsia="zh-CN"/>
              </w:rPr>
              <w:t>生态沟渠</w:t>
            </w:r>
            <w:r>
              <w:rPr>
                <w:rFonts w:hint="default" w:ascii="Times New Roman" w:hAnsi="Times New Roman" w:eastAsia="宋体" w:cs="Times New Roman"/>
                <w:color w:val="auto"/>
                <w:spacing w:val="2"/>
              </w:rPr>
              <w:t>：</w:t>
            </w:r>
          </w:p>
          <w:p w14:paraId="7713125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lang w:val="en-US" w:eastAsia="zh-CN"/>
              </w:rPr>
              <w:t>①红土沟：</w:t>
            </w:r>
            <w:r>
              <w:rPr>
                <w:rFonts w:hint="default" w:ascii="Times New Roman" w:hAnsi="Times New Roman" w:eastAsia="宋体" w:cs="Times New Roman"/>
                <w:color w:val="auto"/>
                <w:spacing w:val="2"/>
              </w:rPr>
              <w:t>起点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17.1</w:t>
            </w:r>
            <w:r>
              <w:rPr>
                <w:rFonts w:hint="eastAsia" w:ascii="Times New Roman" w:hAnsi="Times New Roman" w:cs="Times New Roman"/>
                <w:color w:val="auto"/>
                <w:spacing w:val="2"/>
                <w:u w:val="single"/>
                <w:lang w:val="en-US" w:eastAsia="zh-CN"/>
              </w:rPr>
              <w:t>07</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31</w:t>
            </w:r>
            <w:r>
              <w:rPr>
                <w:rFonts w:hint="default" w:ascii="Times New Roman" w:hAnsi="Times New Roman" w:eastAsia="宋体" w:cs="Times New Roman"/>
                <w:color w:val="auto"/>
                <w:spacing w:val="2"/>
                <w:u w:val="single"/>
              </w:rPr>
              <w:t>′</w:t>
            </w:r>
            <w:r>
              <w:rPr>
                <w:rFonts w:hint="eastAsia" w:ascii="Times New Roman" w:hAnsi="Times New Roman" w:cs="Times New Roman"/>
                <w:color w:val="auto"/>
                <w:spacing w:val="2"/>
                <w:u w:val="single"/>
                <w:lang w:val="en-US" w:eastAsia="zh-CN"/>
              </w:rPr>
              <w:t>43.223</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w:t>
            </w:r>
          </w:p>
          <w:p w14:paraId="661CED4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1708" w:firstLineChars="7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终点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21.</w:t>
            </w:r>
            <w:r>
              <w:rPr>
                <w:rFonts w:hint="eastAsia" w:ascii="Times New Roman" w:hAnsi="Times New Roman" w:cs="Times New Roman"/>
                <w:color w:val="auto"/>
                <w:spacing w:val="2"/>
                <w:u w:val="single"/>
                <w:lang w:val="en-US" w:eastAsia="zh-CN"/>
              </w:rPr>
              <w:t>954</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30</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12.</w:t>
            </w:r>
            <w:r>
              <w:rPr>
                <w:rFonts w:hint="eastAsia" w:ascii="Times New Roman" w:hAnsi="Times New Roman" w:cs="Times New Roman"/>
                <w:color w:val="auto"/>
                <w:spacing w:val="2"/>
                <w:u w:val="single"/>
                <w:lang w:val="en-US" w:eastAsia="zh-CN"/>
              </w:rPr>
              <w:t>399</w:t>
            </w:r>
            <w:r>
              <w:rPr>
                <w:rFonts w:hint="default" w:ascii="Times New Roman" w:hAnsi="Times New Roman" w:eastAsia="宋体" w:cs="Times New Roman"/>
                <w:color w:val="auto"/>
                <w:spacing w:val="2"/>
                <w:u w:val="single"/>
              </w:rPr>
              <w:t>″</w:t>
            </w:r>
          </w:p>
          <w:p w14:paraId="1B0A82E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8" w:firstLineChars="200"/>
              <w:jc w:val="left"/>
              <w:textAlignment w:val="baseline"/>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lang w:val="en-US" w:eastAsia="zh-CN"/>
              </w:rPr>
              <w:t>②向阳村边沟：</w:t>
            </w:r>
            <w:r>
              <w:rPr>
                <w:rFonts w:hint="default" w:ascii="Times New Roman" w:hAnsi="Times New Roman" w:eastAsia="宋体" w:cs="Times New Roman"/>
                <w:color w:val="auto"/>
                <w:spacing w:val="2"/>
              </w:rPr>
              <w:t>起点</w:t>
            </w:r>
            <w:r>
              <w:rPr>
                <w:rFonts w:hint="default" w:ascii="Times New Roman" w:hAnsi="Times New Roman" w:eastAsia="宋体" w:cs="Times New Roman"/>
                <w:color w:val="auto"/>
                <w:spacing w:val="2"/>
                <w:u w:val="single"/>
              </w:rPr>
              <w:t xml:space="preserve"> 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47.9</w:t>
            </w:r>
            <w:r>
              <w:rPr>
                <w:rFonts w:hint="eastAsia" w:ascii="Times New Roman" w:hAnsi="Times New Roman" w:cs="Times New Roman"/>
                <w:color w:val="auto"/>
                <w:spacing w:val="2"/>
                <w:u w:val="single"/>
                <w:lang w:val="en-US" w:eastAsia="zh-CN"/>
              </w:rPr>
              <w:t>04</w:t>
            </w:r>
            <w:r>
              <w:rPr>
                <w:rFonts w:hint="default" w:ascii="Times New Roman" w:hAnsi="Times New Roman" w:eastAsia="宋体" w:cs="Times New Roman"/>
                <w:color w:val="auto"/>
                <w:spacing w:val="2"/>
                <w:u w:val="single"/>
              </w:rPr>
              <w:t>″ ,N35°</w:t>
            </w:r>
            <w:r>
              <w:rPr>
                <w:rFonts w:hint="default" w:ascii="Times New Roman" w:hAnsi="Times New Roman" w:eastAsia="宋体" w:cs="Times New Roman"/>
                <w:color w:val="auto"/>
                <w:spacing w:val="2"/>
                <w:u w:val="single"/>
                <w:lang w:val="en-US" w:eastAsia="zh-CN"/>
              </w:rPr>
              <w:t>32</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45.</w:t>
            </w:r>
            <w:r>
              <w:rPr>
                <w:rFonts w:hint="eastAsia" w:ascii="Times New Roman" w:hAnsi="Times New Roman" w:cs="Times New Roman"/>
                <w:color w:val="auto"/>
                <w:spacing w:val="2"/>
                <w:u w:val="single"/>
                <w:lang w:val="en-US" w:eastAsia="zh-CN"/>
              </w:rPr>
              <w:t>607</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rPr>
              <w:t>，</w:t>
            </w:r>
          </w:p>
          <w:p w14:paraId="51A4E5C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2196" w:firstLineChars="900"/>
              <w:jc w:val="left"/>
              <w:textAlignment w:val="baseline"/>
              <w:rPr>
                <w:rFonts w:hint="eastAsia"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rPr>
              <w:t>终点</w:t>
            </w:r>
            <w:r>
              <w:rPr>
                <w:rFonts w:hint="eastAsia" w:ascii="Times New Roman" w:hAnsi="Times New Roman" w:eastAsia="宋体" w:cs="Times New Roman"/>
                <w:color w:val="auto"/>
                <w:spacing w:val="2"/>
                <w:lang w:val="en-US" w:eastAsia="zh-CN"/>
              </w:rPr>
              <w:t xml:space="preserve"> </w:t>
            </w:r>
            <w:r>
              <w:rPr>
                <w:rFonts w:hint="default" w:ascii="Times New Roman" w:hAnsi="Times New Roman" w:eastAsia="宋体" w:cs="Times New Roman"/>
                <w:color w:val="auto"/>
                <w:spacing w:val="2"/>
                <w:u w:val="single"/>
              </w:rPr>
              <w:t>E10</w:t>
            </w:r>
            <w:r>
              <w:rPr>
                <w:rFonts w:hint="default" w:ascii="Times New Roman" w:hAnsi="Times New Roman" w:eastAsia="宋体" w:cs="Times New Roman"/>
                <w:color w:val="auto"/>
                <w:spacing w:val="2"/>
                <w:u w:val="single"/>
                <w:lang w:val="en-US" w:eastAsia="zh-CN"/>
              </w:rPr>
              <w:t>6</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24</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49.</w:t>
            </w:r>
            <w:r>
              <w:rPr>
                <w:rFonts w:hint="eastAsia" w:ascii="Times New Roman" w:hAnsi="Times New Roman" w:cs="Times New Roman"/>
                <w:color w:val="auto"/>
                <w:spacing w:val="2"/>
                <w:u w:val="single"/>
                <w:lang w:val="en-US" w:eastAsia="zh-CN"/>
              </w:rPr>
              <w:t>396</w:t>
            </w:r>
            <w:r>
              <w:rPr>
                <w:rFonts w:hint="default" w:ascii="Times New Roman" w:hAnsi="Times New Roman" w:eastAsia="宋体" w:cs="Times New Roman"/>
                <w:color w:val="auto"/>
                <w:spacing w:val="2"/>
                <w:u w:val="single"/>
              </w:rPr>
              <w:t>″,N35°</w:t>
            </w:r>
            <w:r>
              <w:rPr>
                <w:rFonts w:hint="default" w:ascii="Times New Roman" w:hAnsi="Times New Roman" w:eastAsia="宋体" w:cs="Times New Roman"/>
                <w:color w:val="auto"/>
                <w:spacing w:val="2"/>
                <w:u w:val="single"/>
                <w:lang w:val="en-US" w:eastAsia="zh-CN"/>
              </w:rPr>
              <w:t>32</w:t>
            </w:r>
            <w:r>
              <w:rPr>
                <w:rFonts w:hint="default" w:ascii="Times New Roman" w:hAnsi="Times New Roman" w:eastAsia="宋体" w:cs="Times New Roman"/>
                <w:color w:val="auto"/>
                <w:spacing w:val="2"/>
                <w:u w:val="single"/>
              </w:rPr>
              <w:t>′</w:t>
            </w:r>
            <w:r>
              <w:rPr>
                <w:rFonts w:hint="default" w:ascii="Times New Roman" w:hAnsi="Times New Roman" w:eastAsia="宋体" w:cs="Times New Roman"/>
                <w:color w:val="auto"/>
                <w:spacing w:val="2"/>
                <w:u w:val="single"/>
                <w:lang w:val="en-US" w:eastAsia="zh-CN"/>
              </w:rPr>
              <w:t>6.09</w:t>
            </w:r>
            <w:r>
              <w:rPr>
                <w:rFonts w:hint="eastAsia" w:ascii="Times New Roman" w:hAnsi="Times New Roman" w:cs="Times New Roman"/>
                <w:color w:val="auto"/>
                <w:spacing w:val="2"/>
                <w:u w:val="single"/>
                <w:lang w:val="en-US" w:eastAsia="zh-CN"/>
              </w:rPr>
              <w:t>8</w:t>
            </w:r>
            <w:r>
              <w:rPr>
                <w:rFonts w:hint="default" w:ascii="Times New Roman" w:hAnsi="Times New Roman" w:eastAsia="宋体" w:cs="Times New Roman"/>
                <w:color w:val="auto"/>
                <w:spacing w:val="2"/>
                <w:u w:val="single"/>
              </w:rPr>
              <w:t>″</w:t>
            </w:r>
          </w:p>
          <w:p w14:paraId="16EA8EF7">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二、山洪及地质灾害（防洪除涝工程）：</w:t>
            </w:r>
          </w:p>
          <w:p w14:paraId="2882DFF7">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（1）沙塘村（3处）：</w:t>
            </w:r>
          </w:p>
          <w:p w14:paraId="29DA58C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1#沙塘川段起点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106°26′53.802″,</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35°35′14.992″</w:t>
            </w:r>
          </w:p>
          <w:p w14:paraId="2B21F048">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106°26′49.350″,</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35°35′9.990″；</w:t>
            </w:r>
          </w:p>
          <w:p w14:paraId="4C0E391A">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2#沙塘川段</w:t>
            </w:r>
            <w:r>
              <w:rPr>
                <w:rFonts w:hint="eastAsia" w:ascii="Times New Roman" w:hAnsi="Times New Roman" w:cs="Times New Roman"/>
                <w:color w:val="auto"/>
                <w:spacing w:val="2"/>
                <w:u w:val="single"/>
                <w:lang w:val="en-US" w:eastAsia="zh-CN"/>
              </w:rPr>
              <w:t>起点</w:t>
            </w:r>
            <w:r>
              <w:rPr>
                <w:rFonts w:hint="eastAsia" w:ascii="Times New Roman" w:hAnsi="Times New Roman" w:cs="Times New Roman"/>
                <w:color w:val="auto"/>
                <w:spacing w:val="2"/>
                <w:u w:val="none"/>
                <w:lang w:val="en-US" w:eastAsia="zh-CN"/>
              </w:rPr>
              <w:t xml:space="preserve">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106°26′48.544″,</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35°35′7.835″</w:t>
            </w:r>
          </w:p>
          <w:p w14:paraId="277DD557">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106°26′39.530″,</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35°34′51.402″；</w:t>
            </w:r>
          </w:p>
          <w:p w14:paraId="175F87A9">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3#沿川子段</w:t>
            </w:r>
            <w:r>
              <w:rPr>
                <w:rFonts w:hint="eastAsia" w:ascii="Times New Roman" w:hAnsi="Times New Roman" w:cs="Times New Roman"/>
                <w:color w:val="auto"/>
                <w:spacing w:val="2"/>
                <w:u w:val="single"/>
                <w:lang w:val="en-US" w:eastAsia="zh-CN"/>
              </w:rPr>
              <w:t>起点</w:t>
            </w:r>
            <w:r>
              <w:rPr>
                <w:rFonts w:hint="eastAsia" w:ascii="Times New Roman" w:hAnsi="Times New Roman" w:cs="Times New Roman"/>
                <w:color w:val="auto"/>
                <w:spacing w:val="2"/>
                <w:u w:val="none"/>
                <w:lang w:val="en-US" w:eastAsia="zh-CN"/>
              </w:rPr>
              <w:t xml:space="preserve">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106°27′44.698″,</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35°35′8.459″</w:t>
            </w:r>
          </w:p>
          <w:p w14:paraId="01635BB5">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106°27′48.116″,</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35°34′49.031″。</w:t>
            </w:r>
          </w:p>
          <w:p w14:paraId="10A1A5F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（2）红土村（1处）：</w:t>
            </w:r>
          </w:p>
          <w:p w14:paraId="65BF267C">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4#红土村段起点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106°24′22.593″,</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35°31′11.669″</w:t>
            </w:r>
          </w:p>
          <w:p w14:paraId="10398F2C">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106°24′53.048″,</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35°31′11.194″。</w:t>
            </w:r>
          </w:p>
          <w:p w14:paraId="4267BF3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none"/>
                <w:lang w:val="en-US" w:eastAsia="zh-CN"/>
              </w:rPr>
            </w:pPr>
            <w:r>
              <w:rPr>
                <w:rFonts w:hint="eastAsia" w:ascii="Times New Roman" w:hAnsi="Times New Roman" w:cs="Times New Roman"/>
                <w:color w:val="auto"/>
                <w:spacing w:val="2"/>
                <w:u w:val="none"/>
                <w:lang w:val="en-US" w:eastAsia="zh-CN"/>
              </w:rPr>
              <w:t>（3）平凉庄村（2处）：</w:t>
            </w:r>
          </w:p>
          <w:p w14:paraId="06100111">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5#平凉庄村段起点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106°24′4.435″,</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35°30′23.571″</w:t>
            </w:r>
          </w:p>
          <w:p w14:paraId="42C64002">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1708" w:firstLineChars="7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106°24′7.549″,</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35°30′17.039″；</w:t>
            </w:r>
          </w:p>
          <w:p w14:paraId="6E92BD48">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left"/>
              <w:textAlignment w:val="baseline"/>
              <w:rPr>
                <w:rFonts w:hint="eastAsia" w:ascii="Times New Roman" w:hAnsi="Times New Roman" w:cs="Times New Roman"/>
                <w:color w:val="auto"/>
                <w:spacing w:val="2"/>
                <w:u w:val="single"/>
                <w:lang w:val="en-US" w:eastAsia="zh-CN"/>
              </w:rPr>
            </w:pPr>
            <w:r>
              <w:rPr>
                <w:rFonts w:hint="eastAsia" w:ascii="Times New Roman" w:hAnsi="Times New Roman" w:cs="Times New Roman"/>
                <w:color w:val="auto"/>
                <w:spacing w:val="2"/>
                <w:u w:val="none"/>
                <w:lang w:val="en-US" w:eastAsia="zh-CN"/>
              </w:rPr>
              <w:t xml:space="preserve">6#平凉庄村段起点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106°24′29.516″,</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35°30′23.689″</w:t>
            </w:r>
          </w:p>
          <w:p w14:paraId="09A6D5D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1708" w:firstLineChars="700"/>
              <w:jc w:val="left"/>
              <w:textAlignment w:val="baseline"/>
              <w:rPr>
                <w:rFonts w:ascii="Times New Roman" w:hAnsi="Times New Roman" w:eastAsia="Times New Roman" w:cs="Times New Roman"/>
                <w:color w:val="auto"/>
              </w:rPr>
            </w:pPr>
            <w:r>
              <w:rPr>
                <w:rFonts w:hint="eastAsia" w:ascii="Times New Roman" w:hAnsi="Times New Roman" w:cs="Times New Roman"/>
                <w:color w:val="auto"/>
                <w:spacing w:val="2"/>
                <w:u w:val="single"/>
                <w:lang w:val="en-US" w:eastAsia="zh-CN"/>
              </w:rPr>
              <w:t xml:space="preserve">终点 </w:t>
            </w:r>
            <w:r>
              <w:rPr>
                <w:rFonts w:hint="default" w:ascii="Times New Roman" w:hAnsi="Times New Roman" w:eastAsia="宋体" w:cs="Times New Roman"/>
                <w:color w:val="auto"/>
                <w:spacing w:val="2"/>
                <w:u w:val="single"/>
              </w:rPr>
              <w:t>E</w:t>
            </w:r>
            <w:r>
              <w:rPr>
                <w:rFonts w:hint="eastAsia" w:ascii="Times New Roman" w:hAnsi="Times New Roman" w:cs="Times New Roman"/>
                <w:color w:val="auto"/>
                <w:spacing w:val="2"/>
                <w:u w:val="single"/>
                <w:lang w:val="en-US" w:eastAsia="zh-CN"/>
              </w:rPr>
              <w:t>106°24′44.999″,</w:t>
            </w:r>
            <w:r>
              <w:rPr>
                <w:rFonts w:hint="default" w:ascii="Times New Roman" w:hAnsi="Times New Roman" w:eastAsia="宋体" w:cs="Times New Roman"/>
                <w:color w:val="auto"/>
                <w:spacing w:val="2"/>
                <w:u w:val="single"/>
              </w:rPr>
              <w:t>N</w:t>
            </w:r>
            <w:r>
              <w:rPr>
                <w:rFonts w:hint="eastAsia" w:ascii="Times New Roman" w:hAnsi="Times New Roman" w:cs="Times New Roman"/>
                <w:color w:val="auto"/>
                <w:spacing w:val="2"/>
                <w:u w:val="single"/>
                <w:lang w:val="en-US" w:eastAsia="zh-CN"/>
              </w:rPr>
              <w:t>35°30′26.263″。</w:t>
            </w:r>
          </w:p>
        </w:tc>
      </w:tr>
      <w:tr w14:paraId="19DF96F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4" w:type="dxa"/>
            <w:tcBorders>
              <w:tl2br w:val="nil"/>
              <w:tr2bl w:val="nil"/>
            </w:tcBorders>
            <w:vAlign w:val="center"/>
          </w:tcPr>
          <w:p w14:paraId="2E13A25D">
            <w:pPr>
              <w:pStyle w:val="19"/>
              <w:spacing w:before="78" w:line="231" w:lineRule="auto"/>
              <w:ind w:left="0" w:leftChars="0" w:right="0" w:rightChars="0" w:firstLine="0" w:firstLineChars="0"/>
              <w:jc w:val="center"/>
              <w:rPr>
                <w:color w:val="auto"/>
              </w:rPr>
            </w:pPr>
            <w:r>
              <w:rPr>
                <w:rFonts w:ascii="宋体" w:hAnsi="宋体" w:eastAsia="宋体" w:cs="宋体"/>
                <w:b/>
                <w:bCs/>
                <w:color w:val="auto"/>
                <w:spacing w:val="-3"/>
              </w:rPr>
              <w:t>项目组成及规模</w:t>
            </w:r>
          </w:p>
        </w:tc>
        <w:tc>
          <w:tcPr>
            <w:tcW w:w="8413" w:type="dxa"/>
            <w:tcBorders>
              <w:tl2br w:val="nil"/>
              <w:tr2bl w:val="nil"/>
            </w:tcBorders>
            <w:vAlign w:val="top"/>
          </w:tcPr>
          <w:p w14:paraId="500B540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1 实施背景</w:t>
            </w:r>
          </w:p>
          <w:p w14:paraId="70C35A8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cs="Times New Roman"/>
                <w:color w:val="auto"/>
                <w:spacing w:val="-3"/>
                <w:lang w:val="en-US"/>
              </w:rPr>
            </w:pPr>
            <w:r>
              <w:rPr>
                <w:rFonts w:hint="default" w:ascii="Times New Roman" w:hAnsi="Times New Roman" w:cs="Times New Roman"/>
                <w:color w:val="auto"/>
                <w:spacing w:val="-3"/>
                <w:lang w:val="en-US" w:eastAsia="zh-CN"/>
              </w:rPr>
              <w:t>黄花乡（龙房宫片区）属于六盘山重点生态功能区为主的水源涵养区，近年来由于气候变暖、过度放牧、乱挖乱采等因素，导致生态系统退化，草地和森林资源遭受破坏，水源涵养能力下降。由于地形、气候和人类活动等多种因素的影响，黄花乡（龙房宫片区）面临较为严重的问题</w:t>
            </w:r>
            <w:r>
              <w:rPr>
                <w:rFonts w:hint="eastAsia" w:ascii="Times New Roman" w:hAnsi="Times New Roman" w:cs="Times New Roman"/>
                <w:color w:val="auto"/>
                <w:spacing w:val="-3"/>
                <w:lang w:val="en-US" w:eastAsia="zh-CN"/>
              </w:rPr>
              <w:t>有①黄花乡（龙房宫片区）水源涵养功能削弱及水土流失；②黄花乡（龙房宫片区）农村末端供水不稳、管理体制机制不畅和部分出水水质存在安全隐患，水质不达标；③黄花乡（龙房宫片区）农村人居环境整治面临的形势依然严峻；④黄花乡（龙房宫片区）农业面源污染；⑤黄花乡（龙房宫片区）地质灾害隐患；⑥黄花乡（龙房宫片区）清洁取暖改造覆盖不全等问题，仍</w:t>
            </w:r>
            <w:r>
              <w:rPr>
                <w:rFonts w:hint="default" w:ascii="Times New Roman" w:hAnsi="Times New Roman" w:cs="Times New Roman"/>
                <w:color w:val="auto"/>
                <w:spacing w:val="-2"/>
                <w:lang w:val="en-US" w:eastAsia="zh-CN"/>
              </w:rPr>
              <w:t>需要持续加强治理</w:t>
            </w:r>
            <w:r>
              <w:rPr>
                <w:rFonts w:hint="eastAsia" w:ascii="Times New Roman" w:hAnsi="Times New Roman" w:cs="Times New Roman"/>
                <w:color w:val="auto"/>
                <w:spacing w:val="-2"/>
                <w:lang w:val="en-US" w:eastAsia="zh-CN"/>
              </w:rPr>
              <w:t>。为此，国录健康旅游产业发展（宁夏）有限公司拟投资159638万元，在黄花乡实施“宁夏泾源县龙房宫片区生态环境修复与农林文旅康融合开发EOD项目”（以下简称“本项目”），本项目已于2024年11月7日取得宁夏回族自治区企业投资项目备案证（项目代码：2408-640424-04-01-939192）（见附件1），建设内容包括：道路提升、农村垃圾、农文旅配套、农业面源污染、山洪及地质灾害、清洁取暖改造、城乡供水一体化及水土保持、人居环境、“一老一少服务”、农村生活污水；农产品交易、林下经济、文化展示、森林旅游、温泉康养。本次仅对“山洪及地质灾害、城乡供水一体化及水土保持”开展环境影响评价，其余建设内容不在本次评价范围内。</w:t>
            </w:r>
          </w:p>
          <w:p w14:paraId="2C571E6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w:t>
            </w:r>
            <w:r>
              <w:rPr>
                <w:rFonts w:hint="default" w:ascii="Times New Roman" w:hAnsi="Times New Roman" w:eastAsia="Times New Roman" w:cs="Times New Roman"/>
                <w:b/>
                <w:bCs/>
                <w:color w:val="auto"/>
                <w:spacing w:val="-2"/>
                <w:lang w:val="en-US" w:eastAsia="zh-CN"/>
              </w:rPr>
              <w:t xml:space="preserve"> 建设内容</w:t>
            </w:r>
          </w:p>
          <w:p w14:paraId="69A07BB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cs="Times New Roman"/>
                <w:color w:val="auto"/>
                <w:spacing w:val="-2"/>
                <w:lang w:val="en-US" w:eastAsia="zh-CN"/>
              </w:rPr>
            </w:pPr>
            <w:r>
              <w:rPr>
                <w:rFonts w:hint="eastAsia" w:ascii="Times New Roman" w:hAnsi="Times New Roman" w:eastAsia="宋体" w:cs="Times New Roman"/>
                <w:color w:val="auto"/>
                <w:spacing w:val="-2"/>
                <w:lang w:val="en-US" w:eastAsia="zh-CN"/>
              </w:rPr>
              <w:t>本项目建设内容主要为</w:t>
            </w:r>
            <w:r>
              <w:rPr>
                <w:rFonts w:hint="eastAsia" w:ascii="Times New Roman" w:hAnsi="Times New Roman" w:cs="Times New Roman"/>
                <w:color w:val="auto"/>
                <w:spacing w:val="-2"/>
                <w:lang w:val="en-US" w:eastAsia="zh-CN"/>
              </w:rPr>
              <w:t>城乡供水一体化及水土保持</w:t>
            </w:r>
            <w:r>
              <w:rPr>
                <w:rFonts w:hint="default" w:ascii="Times New Roman" w:hAnsi="Times New Roman" w:eastAsia="宋体" w:cs="Times New Roman"/>
                <w:color w:val="auto"/>
                <w:spacing w:val="-2"/>
                <w:lang w:val="en-US" w:eastAsia="zh-CN"/>
              </w:rPr>
              <w:t>和</w:t>
            </w:r>
            <w:r>
              <w:rPr>
                <w:rFonts w:hint="eastAsia" w:ascii="Times New Roman" w:hAnsi="Times New Roman" w:cs="Times New Roman"/>
                <w:color w:val="auto"/>
                <w:spacing w:val="-2"/>
                <w:lang w:val="en-US" w:eastAsia="zh-CN"/>
              </w:rPr>
              <w:t>山洪及地质灾害</w:t>
            </w:r>
            <w:r>
              <w:rPr>
                <w:rFonts w:hint="default" w:ascii="Times New Roman" w:hAnsi="Times New Roman" w:eastAsia="宋体" w:cs="Times New Roman"/>
                <w:color w:val="auto"/>
                <w:spacing w:val="-2"/>
                <w:lang w:val="en-US" w:eastAsia="zh-CN"/>
              </w:rPr>
              <w:t>，</w:t>
            </w:r>
            <w:r>
              <w:rPr>
                <w:rFonts w:hint="eastAsia" w:ascii="Times New Roman" w:hAnsi="Times New Roman" w:cs="Times New Roman"/>
                <w:color w:val="auto"/>
                <w:spacing w:val="-2"/>
                <w:lang w:val="en-US" w:eastAsia="zh-CN"/>
              </w:rPr>
              <w:t>即河道治理和防洪除涝工程。</w:t>
            </w:r>
          </w:p>
          <w:p w14:paraId="6DB425C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2.1 城乡供水一体化及水土保持（河道治理）</w:t>
            </w:r>
          </w:p>
          <w:p w14:paraId="0F4230B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w:t>
            </w:r>
            <w:r>
              <w:rPr>
                <w:rFonts w:hint="default" w:ascii="Times New Roman" w:hAnsi="Times New Roman" w:eastAsia="Times New Roman" w:cs="Times New Roman"/>
                <w:b/>
                <w:bCs/>
                <w:color w:val="auto"/>
                <w:spacing w:val="-2"/>
                <w:lang w:val="en-US" w:eastAsia="zh-CN"/>
              </w:rPr>
              <w:t>.1</w:t>
            </w:r>
            <w:r>
              <w:rPr>
                <w:rFonts w:hint="eastAsia" w:ascii="Times New Roman" w:hAnsi="Times New Roman" w:eastAsia="Times New Roman" w:cs="Times New Roman"/>
                <w:b/>
                <w:bCs/>
                <w:color w:val="auto"/>
                <w:spacing w:val="-2"/>
                <w:lang w:val="en-US" w:eastAsia="zh-CN"/>
              </w:rPr>
              <w:t>.1</w:t>
            </w:r>
            <w:r>
              <w:rPr>
                <w:rFonts w:hint="default" w:ascii="Times New Roman" w:hAnsi="Times New Roman" w:eastAsia="Times New Roman" w:cs="Times New Roman"/>
                <w:b/>
                <w:bCs/>
                <w:color w:val="auto"/>
                <w:spacing w:val="-2"/>
                <w:lang w:val="en-US" w:eastAsia="zh-CN"/>
              </w:rPr>
              <w:t xml:space="preserve"> 泾河支流羊槽河水生态修复</w:t>
            </w:r>
          </w:p>
          <w:p w14:paraId="327E6D7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lang w:val="en-US" w:eastAsia="zh-CN"/>
              </w:rPr>
              <w:t>泾河支流羊漕河（羊漕村段）主要对河道内、岸坡及河岸上采取河道生境构建工程、现状旁路湿地提升改造工程、生态护坡工程、生态步道工程、绿化工程、科普宣教工程等措施，其中：</w:t>
            </w:r>
          </w:p>
          <w:p w14:paraId="7CFD882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（1）</w:t>
            </w:r>
            <w:r>
              <w:rPr>
                <w:rFonts w:hint="default" w:ascii="Times New Roman" w:hAnsi="Times New Roman" w:eastAsia="宋体" w:cs="Times New Roman"/>
                <w:color w:val="auto"/>
                <w:spacing w:val="-2"/>
                <w:lang w:val="en-US" w:eastAsia="zh-CN"/>
              </w:rPr>
              <w:t>河道内主要实施河道生境构建工程，包括清淤与种植水生植物；其中基底改善3021m</w:t>
            </w:r>
            <w:r>
              <w:rPr>
                <w:rFonts w:hint="eastAsia" w:ascii="Times New Roman" w:hAnsi="Times New Roman" w:cs="Times New Roman"/>
                <w:color w:val="auto"/>
                <w:spacing w:val="-2"/>
                <w:vertAlign w:val="superscript"/>
                <w:lang w:val="en-US" w:eastAsia="zh-CN"/>
              </w:rPr>
              <w:t>3</w:t>
            </w:r>
            <w:r>
              <w:rPr>
                <w:rFonts w:hint="default" w:ascii="Times New Roman" w:hAnsi="Times New Roman" w:eastAsia="宋体" w:cs="Times New Roman"/>
                <w:color w:val="auto"/>
                <w:spacing w:val="-2"/>
                <w:lang w:val="en-US" w:eastAsia="zh-CN"/>
              </w:rPr>
              <w:t>；种植水葱、黄菖蒲、睡莲等水生植物2612</w:t>
            </w:r>
            <w:r>
              <w:rPr>
                <w:rFonts w:hint="eastAsia" w:ascii="Times New Roman" w:hAnsi="Times New Roman" w:cs="Times New Roman"/>
                <w:color w:val="auto"/>
                <w:spacing w:val="-2"/>
                <w:lang w:val="en-US" w:eastAsia="zh-CN"/>
              </w:rPr>
              <w:t>m</w:t>
            </w:r>
            <w:r>
              <w:rPr>
                <w:rFonts w:hint="eastAsia" w:ascii="Times New Roman" w:hAnsi="Times New Roman" w:cs="Times New Roman"/>
                <w:color w:val="auto"/>
                <w:spacing w:val="-2"/>
                <w:vertAlign w:val="superscript"/>
                <w:lang w:val="en-US" w:eastAsia="zh-CN"/>
              </w:rPr>
              <w:t>2</w:t>
            </w:r>
            <w:r>
              <w:rPr>
                <w:rFonts w:hint="eastAsia" w:ascii="Times New Roman" w:hAnsi="Times New Roman" w:cs="Times New Roman"/>
                <w:color w:val="auto"/>
                <w:spacing w:val="-2"/>
                <w:lang w:val="en-US" w:eastAsia="zh-CN"/>
              </w:rPr>
              <w:t>。</w:t>
            </w:r>
          </w:p>
          <w:p w14:paraId="623C0B8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（2）</w:t>
            </w:r>
            <w:r>
              <w:rPr>
                <w:rFonts w:hint="default" w:ascii="Times New Roman" w:hAnsi="Times New Roman" w:eastAsia="宋体" w:cs="Times New Roman"/>
                <w:color w:val="auto"/>
                <w:spacing w:val="-2"/>
                <w:lang w:val="en-US" w:eastAsia="zh-CN"/>
              </w:rPr>
              <w:t>岸坡上主要实施生态护坡工程，具体为撒播草籽及现状破损护岸修复。其中撒播草籽10688</w:t>
            </w:r>
            <w:r>
              <w:rPr>
                <w:rFonts w:hint="eastAsia" w:ascii="Times New Roman" w:hAnsi="Times New Roman" w:cs="Times New Roman"/>
                <w:color w:val="auto"/>
                <w:spacing w:val="-2"/>
                <w:lang w:val="en-US" w:eastAsia="zh-CN"/>
              </w:rPr>
              <w:t>m</w:t>
            </w:r>
            <w:r>
              <w:rPr>
                <w:rFonts w:hint="eastAsia" w:ascii="Times New Roman" w:hAnsi="Times New Roman" w:cs="Times New Roman"/>
                <w:color w:val="auto"/>
                <w:spacing w:val="-2"/>
                <w:vertAlign w:val="superscript"/>
                <w:lang w:val="en-US" w:eastAsia="zh-CN"/>
              </w:rPr>
              <w:t>2</w:t>
            </w:r>
            <w:r>
              <w:rPr>
                <w:rFonts w:hint="default" w:ascii="Times New Roman" w:hAnsi="Times New Roman" w:eastAsia="宋体" w:cs="Times New Roman"/>
                <w:color w:val="auto"/>
                <w:spacing w:val="-2"/>
                <w:lang w:val="en-US" w:eastAsia="zh-CN"/>
              </w:rPr>
              <w:t>；现状破损护岸修复528m。</w:t>
            </w:r>
          </w:p>
          <w:p w14:paraId="264F9C8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（3）</w:t>
            </w:r>
            <w:r>
              <w:rPr>
                <w:rFonts w:hint="default" w:ascii="Times New Roman" w:hAnsi="Times New Roman" w:eastAsia="宋体" w:cs="Times New Roman"/>
                <w:color w:val="auto"/>
                <w:spacing w:val="-2"/>
                <w:lang w:val="en-US" w:eastAsia="zh-CN"/>
              </w:rPr>
              <w:t>河岸以上主要实施生态步道工程、绿化工程及科普宣教工程。</w:t>
            </w:r>
            <w:r>
              <w:rPr>
                <w:rFonts w:hint="default" w:ascii="Times New Roman" w:hAnsi="Times New Roman" w:cs="Times New Roman"/>
                <w:color w:val="auto"/>
                <w:spacing w:val="-2"/>
                <w:lang w:val="en-US" w:eastAsia="zh-CN"/>
              </w:rPr>
              <w:t>包括</w:t>
            </w:r>
            <w:r>
              <w:rPr>
                <w:rFonts w:hint="default" w:ascii="Times New Roman" w:hAnsi="Times New Roman" w:eastAsia="宋体" w:cs="Times New Roman"/>
                <w:color w:val="auto"/>
                <w:spacing w:val="-2"/>
                <w:lang w:val="en-US" w:eastAsia="zh-CN"/>
              </w:rPr>
              <w:t>①生态步道工程包括道路硬化、道路面层更换及破损道路路基更换</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其中3米宽混凝土道路硬化1469米</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3米宽道路面层更换（</w:t>
            </w:r>
            <w:r>
              <w:rPr>
                <w:rFonts w:hint="default" w:ascii="Times New Roman" w:hAnsi="Times New Roman" w:cs="Times New Roman"/>
                <w:color w:val="auto"/>
                <w:spacing w:val="-2"/>
                <w:lang w:val="en-US" w:eastAsia="zh-CN"/>
              </w:rPr>
              <w:t>彩色</w:t>
            </w:r>
            <w:r>
              <w:rPr>
                <w:rFonts w:hint="default" w:ascii="Times New Roman" w:hAnsi="Times New Roman" w:eastAsia="宋体" w:cs="Times New Roman"/>
                <w:color w:val="auto"/>
                <w:spacing w:val="-2"/>
                <w:lang w:val="en-US" w:eastAsia="zh-CN"/>
              </w:rPr>
              <w:t>沥青混凝土）2594米</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破损道路路基修缮78米</w:t>
            </w:r>
            <w:r>
              <w:rPr>
                <w:rFonts w:hint="default" w:ascii="Times New Roman" w:hAnsi="Times New Roman" w:cs="Times New Roman"/>
                <w:color w:val="auto"/>
                <w:spacing w:val="-2"/>
                <w:lang w:val="en-US" w:eastAsia="zh-CN"/>
              </w:rPr>
              <w:t>、路肩硬化拆除320m</w:t>
            </w:r>
            <w:r>
              <w:rPr>
                <w:rFonts w:hint="default" w:ascii="Times New Roman" w:hAnsi="Times New Roman" w:eastAsia="宋体" w:cs="Times New Roman"/>
                <w:color w:val="auto"/>
                <w:spacing w:val="-2"/>
                <w:lang w:val="en-US" w:eastAsia="zh-CN"/>
              </w:rPr>
              <w:t>；②绿化工程包括在道路两侧构建乔木+灌木篱+地被复层绿化带、种植土及场地平整</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其中乔木735株，品种为垂柳、旱柳和金叶复叶槭；灌木篱2603.4㎡，品种为四季玫瑰、紫叶矮樱、金银木、红瑞木；地被3037.6㎡，品种为大花萱草、马蔺</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种植土2948m³；场地平整9676㎡</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③科普宣教工程包括布设雕塑小品、标识标牌等内容</w:t>
            </w:r>
            <w:r>
              <w:rPr>
                <w:rFonts w:hint="default" w:ascii="Times New Roman" w:hAnsi="Times New Roman" w:cs="Times New Roman"/>
                <w:color w:val="auto"/>
                <w:spacing w:val="-2"/>
                <w:lang w:val="en-US" w:eastAsia="zh-CN"/>
              </w:rPr>
              <w:t>，</w:t>
            </w:r>
            <w:r>
              <w:rPr>
                <w:rFonts w:hint="default" w:ascii="Times New Roman" w:hAnsi="Times New Roman" w:eastAsia="宋体" w:cs="Times New Roman"/>
                <w:color w:val="auto"/>
                <w:spacing w:val="-2"/>
                <w:lang w:val="en-US" w:eastAsia="zh-CN"/>
              </w:rPr>
              <w:t>其中，放置5组雕塑小品；布设4套标识标牌。</w:t>
            </w:r>
          </w:p>
          <w:p w14:paraId="6607A0E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w:t>
            </w:r>
            <w:r>
              <w:rPr>
                <w:rFonts w:hint="default" w:ascii="Times New Roman" w:hAnsi="Times New Roman" w:eastAsia="Times New Roman" w:cs="Times New Roman"/>
                <w:b/>
                <w:bCs/>
                <w:color w:val="auto"/>
                <w:spacing w:val="-2"/>
                <w:lang w:val="en-US" w:eastAsia="zh-CN"/>
              </w:rPr>
              <w:t>.</w:t>
            </w:r>
            <w:r>
              <w:rPr>
                <w:rFonts w:hint="eastAsia" w:ascii="Times New Roman" w:hAnsi="Times New Roman" w:eastAsia="Times New Roman" w:cs="Times New Roman"/>
                <w:b/>
                <w:bCs/>
                <w:color w:val="auto"/>
                <w:spacing w:val="-2"/>
                <w:lang w:val="en-US" w:eastAsia="zh-CN"/>
              </w:rPr>
              <w:t>1.2</w:t>
            </w:r>
            <w:r>
              <w:rPr>
                <w:rFonts w:hint="default" w:ascii="Times New Roman" w:hAnsi="Times New Roman" w:eastAsia="Times New Roman" w:cs="Times New Roman"/>
                <w:b/>
                <w:bCs/>
                <w:color w:val="auto"/>
                <w:spacing w:val="-2"/>
                <w:lang w:val="en-US" w:eastAsia="zh-CN"/>
              </w:rPr>
              <w:t xml:space="preserve"> 生态沟渠</w:t>
            </w:r>
          </w:p>
          <w:p w14:paraId="477FF49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lang w:val="en-US" w:eastAsia="zh-CN"/>
              </w:rPr>
              <w:t>（1）生态沟渠（红土沟）：主要对3158m的红土沟沟内及沟坡实施水生植物种植工程及生态护坡工程措施，包括①在红土沟沟道内实施水生植物种植工程，共种植177.55m²，主要种植千屈菜、黄菖蒲、菖蒲等植物品种；②在红土沟沟坡主要实施生态护坡工程，共构建植草砖生态护坡和无锈熔接网生态护坡两种护坡，其中植草砖生态护坡314m、无锈熔接网生态护坡2844m。</w:t>
            </w:r>
          </w:p>
          <w:p w14:paraId="594108A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color w:val="auto"/>
                <w:spacing w:val="-2"/>
                <w:lang w:val="en-US" w:eastAsia="zh-CN"/>
              </w:rPr>
              <w:t>（2）生态沟渠（向阳村边沟）：主要对1360m的向阳村边沟实施基底修复工程内容，基底修复主要为清淤，清淤面积4760m²。</w:t>
            </w:r>
          </w:p>
          <w:p w14:paraId="2B07107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 xml:space="preserve">2.2 </w:t>
            </w:r>
            <w:r>
              <w:rPr>
                <w:rFonts w:hint="default" w:ascii="Times New Roman" w:hAnsi="Times New Roman" w:eastAsia="Times New Roman" w:cs="Times New Roman"/>
                <w:b/>
                <w:bCs/>
                <w:color w:val="auto"/>
                <w:spacing w:val="-2"/>
                <w:lang w:val="en-US" w:eastAsia="zh-CN"/>
              </w:rPr>
              <w:t>山洪及地质灾害</w:t>
            </w:r>
            <w:r>
              <w:rPr>
                <w:rFonts w:hint="eastAsia" w:ascii="Times New Roman" w:hAnsi="Times New Roman" w:eastAsia="Times New Roman" w:cs="Times New Roman"/>
                <w:b/>
                <w:bCs/>
                <w:color w:val="auto"/>
                <w:spacing w:val="-2"/>
                <w:lang w:val="en-US" w:eastAsia="zh-CN"/>
              </w:rPr>
              <w:t>（防洪除涝工程）</w:t>
            </w:r>
          </w:p>
          <w:p w14:paraId="573C83B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cs="Times New Roman"/>
                <w:color w:val="auto"/>
                <w:spacing w:val="-2"/>
                <w:lang w:val="en-US" w:eastAsia="zh-CN"/>
              </w:rPr>
            </w:pPr>
            <w:r>
              <w:rPr>
                <w:rFonts w:hint="eastAsia" w:ascii="Times New Roman" w:hAnsi="Times New Roman" w:eastAsia="宋体" w:cs="Times New Roman"/>
                <w:color w:val="auto"/>
                <w:spacing w:val="-2"/>
                <w:lang w:val="en-US" w:eastAsia="zh-CN"/>
              </w:rPr>
              <w:t>山洪及地质灾害治理工程包括6个子项，即山洪引流渠（排洪渠）、地质灾害治理（挡土墙）、建设U型排水渠、坡面撒播植草、新建安全隐患防护栏及挂网喷播</w:t>
            </w:r>
            <w:r>
              <w:rPr>
                <w:rFonts w:hint="eastAsia" w:ascii="Times New Roman" w:hAnsi="Times New Roman" w:cs="Times New Roman"/>
                <w:color w:val="auto"/>
                <w:spacing w:val="-2"/>
                <w:lang w:val="en-US" w:eastAsia="zh-CN"/>
              </w:rPr>
              <w:t>。</w:t>
            </w:r>
          </w:p>
          <w:p w14:paraId="2D7754A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2.2.1 山洪引流渠（排洪渠）</w:t>
            </w:r>
          </w:p>
          <w:p w14:paraId="26FFD31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根据沟道生态环境现状，随坡就势进行自然边坡基质修筑，然后在自然边坡基质修筑的基础上，对河槽凌乱、岸坡滑塌等现状进行浆砌石护坡。本次黄花乡山洪引流渠（排洪渠）共计</w:t>
            </w:r>
            <w:r>
              <w:rPr>
                <w:rFonts w:hint="eastAsia" w:ascii="Times New Roman" w:hAnsi="Times New Roman" w:cs="Times New Roman"/>
                <w:color w:val="auto"/>
                <w:spacing w:val="-2"/>
                <w:lang w:val="en-US" w:eastAsia="zh-CN"/>
              </w:rPr>
              <w:t>2909.91</w:t>
            </w:r>
            <w:r>
              <w:rPr>
                <w:rFonts w:hint="eastAsia" w:ascii="Times New Roman" w:hAnsi="Times New Roman" w:eastAsia="宋体" w:cs="Times New Roman"/>
                <w:color w:val="auto"/>
                <w:spacing w:val="-2"/>
                <w:lang w:val="en-US" w:eastAsia="zh-CN"/>
              </w:rPr>
              <w:t>m，其中平凉庄村排洪渠625m、红土村排洪渠822m、沙塘村排洪渠</w:t>
            </w:r>
            <w:r>
              <w:rPr>
                <w:rFonts w:hint="eastAsia" w:ascii="Times New Roman" w:hAnsi="Times New Roman" w:cs="Times New Roman"/>
                <w:color w:val="auto"/>
                <w:spacing w:val="-2"/>
                <w:lang w:val="en-US" w:eastAsia="zh-CN"/>
              </w:rPr>
              <w:t>1462.91</w:t>
            </w:r>
            <w:r>
              <w:rPr>
                <w:rFonts w:hint="eastAsia" w:ascii="Times New Roman" w:hAnsi="Times New Roman" w:eastAsia="宋体" w:cs="Times New Roman"/>
                <w:color w:val="auto"/>
                <w:spacing w:val="-2"/>
                <w:lang w:val="en-US" w:eastAsia="zh-CN"/>
              </w:rPr>
              <w:t>m。</w:t>
            </w:r>
          </w:p>
          <w:p w14:paraId="75D8DD2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2.2.2 地质灾害治理（挡土墙）</w:t>
            </w:r>
          </w:p>
          <w:p w14:paraId="6F92E93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地质灾害治理工程治理共计18处，总长度2050m，共涉及6个行政村，其中羊槽村1条，62m；沙塘村1条，51m；店堡村1条，52m；上胭村1条，71m；红土村2条，117m；向阳村12条，1450m。</w:t>
            </w:r>
          </w:p>
          <w:p w14:paraId="6F702D1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2.2.3 建设U型排水渠</w:t>
            </w:r>
          </w:p>
          <w:p w14:paraId="39EED72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本工程是在重力式挡土墙底部设置排水渠道，排水出口接项目区现有排水渠道，将地质灾害点处雨水排出，本项目共布置D=40U型排水渠2593m。</w:t>
            </w:r>
          </w:p>
          <w:p w14:paraId="5DB2459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2.2.4 坡面撒播植草</w:t>
            </w:r>
          </w:p>
          <w:p w14:paraId="72AFEFD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本次设计在挡墙上部坡面播撒草籽，播撒草籽种类选用红豆草和紫花苜蓿，播撒标准为每公顷80kg，本项目共播撒草籽面积为332100m</w:t>
            </w:r>
            <w:r>
              <w:rPr>
                <w:rFonts w:hint="eastAsia" w:ascii="Times New Roman" w:hAnsi="Times New Roman" w:eastAsia="宋体" w:cs="Times New Roman"/>
                <w:color w:val="auto"/>
                <w:spacing w:val="-2"/>
                <w:vertAlign w:val="superscript"/>
                <w:lang w:val="en-US" w:eastAsia="zh-CN"/>
              </w:rPr>
              <w:t>2</w:t>
            </w:r>
            <w:r>
              <w:rPr>
                <w:rFonts w:hint="eastAsia" w:ascii="Times New Roman" w:hAnsi="Times New Roman" w:eastAsia="宋体" w:cs="Times New Roman"/>
                <w:color w:val="auto"/>
                <w:spacing w:val="-2"/>
                <w:lang w:val="en-US" w:eastAsia="zh-CN"/>
              </w:rPr>
              <w:t>。</w:t>
            </w:r>
          </w:p>
          <w:p w14:paraId="7297767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2.2.5 新建安全隐患防护栏工程</w:t>
            </w:r>
          </w:p>
          <w:p w14:paraId="1D431BF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本项目安全隐患防护栏工程涉及3个行政村，既羊槽村、平凉庄村及向阳村，总长为2744m，其中羊槽村100m，平凉庄村494m，向阳村2150m。</w:t>
            </w:r>
          </w:p>
          <w:p w14:paraId="2A74A56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2.2.6 挂网喷播</w:t>
            </w:r>
          </w:p>
          <w:p w14:paraId="40C6DEC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lang w:val="en-US" w:eastAsia="zh-CN"/>
              </w:rPr>
            </w:pPr>
            <w:r>
              <w:rPr>
                <w:rFonts w:hint="eastAsia" w:ascii="Times New Roman" w:hAnsi="Times New Roman" w:eastAsia="宋体" w:cs="Times New Roman"/>
                <w:color w:val="auto"/>
                <w:spacing w:val="-2"/>
                <w:lang w:val="en-US" w:eastAsia="zh-CN"/>
              </w:rPr>
              <w:t>本次设计对平凉庄村泾平路与羊槽河交叉口处西侧裸露山体进行挂网喷播，通过裸露陡坎土方工程对坡面裸露石膏硬质岩体及浮土进行清理，清理工程完成后需要对坡面进行复绿，达到美观和恢复植被的效果。本次采用坡面挂网喷播面积3259.2m</w:t>
            </w:r>
            <w:r>
              <w:rPr>
                <w:rFonts w:hint="eastAsia" w:ascii="Times New Roman" w:hAnsi="Times New Roman" w:eastAsia="宋体" w:cs="Times New Roman"/>
                <w:color w:val="auto"/>
                <w:spacing w:val="-2"/>
                <w:vertAlign w:val="superscript"/>
                <w:lang w:val="en-US" w:eastAsia="zh-CN"/>
              </w:rPr>
              <w:t>2</w:t>
            </w:r>
            <w:r>
              <w:rPr>
                <w:rFonts w:hint="eastAsia" w:ascii="Times New Roman" w:hAnsi="Times New Roman" w:eastAsia="宋体" w:cs="Times New Roman"/>
                <w:color w:val="auto"/>
                <w:spacing w:val="-2"/>
                <w:lang w:val="en-US" w:eastAsia="zh-CN"/>
              </w:rPr>
              <w:t>。</w:t>
            </w:r>
          </w:p>
          <w:p w14:paraId="4B8BCED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3</w:t>
            </w:r>
            <w:r>
              <w:rPr>
                <w:rFonts w:hint="default" w:ascii="Times New Roman" w:hAnsi="Times New Roman" w:eastAsia="Times New Roman" w:cs="Times New Roman"/>
                <w:b/>
                <w:bCs/>
                <w:color w:val="auto"/>
                <w:spacing w:val="-2"/>
                <w:lang w:val="en-US" w:eastAsia="zh-CN"/>
              </w:rPr>
              <w:t xml:space="preserve"> 项目组成</w:t>
            </w:r>
          </w:p>
          <w:p w14:paraId="7D28954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default" w:ascii="Times New Roman" w:hAnsi="Times New Roman" w:eastAsia="宋体" w:cs="Times New Roman"/>
                <w:color w:val="auto"/>
                <w:spacing w:val="13"/>
              </w:rPr>
            </w:pPr>
            <w:r>
              <w:rPr>
                <w:rFonts w:hint="default" w:ascii="Times New Roman" w:hAnsi="Times New Roman" w:eastAsia="宋体" w:cs="Times New Roman"/>
                <w:color w:val="auto"/>
                <w:spacing w:val="8"/>
              </w:rPr>
              <w:t>本项目对泾源县黄花乡实施城乡供水一体化及水土保持（河道治理）</w:t>
            </w:r>
            <w:r>
              <w:rPr>
                <w:rFonts w:hint="eastAsia" w:ascii="Times New Roman" w:hAnsi="Times New Roman" w:cs="Times New Roman"/>
                <w:color w:val="auto"/>
                <w:spacing w:val="8"/>
                <w:lang w:val="en-US" w:eastAsia="zh-CN"/>
              </w:rPr>
              <w:t>和</w:t>
            </w:r>
            <w:r>
              <w:rPr>
                <w:rFonts w:hint="default" w:ascii="Times New Roman" w:hAnsi="Times New Roman" w:eastAsia="宋体" w:cs="Times New Roman"/>
                <w:color w:val="auto"/>
                <w:spacing w:val="8"/>
              </w:rPr>
              <w:t>山洪及地质灾害（防洪除涝工程），工程涉及对羊槽河（羊槽村段）、生态沟渠及排洪渠的治理，通过河道生境构建、生态护坡工程、基底修复工程，，减少陆域污染物入河、提高水体保持能力，增强</w:t>
            </w:r>
            <w:r>
              <w:rPr>
                <w:rFonts w:hint="eastAsia" w:ascii="Times New Roman" w:hAnsi="Times New Roman" w:cs="Times New Roman"/>
                <w:color w:val="auto"/>
                <w:spacing w:val="8"/>
                <w:lang w:val="en-US" w:eastAsia="zh-CN"/>
              </w:rPr>
              <w:t>水生态环境健康度和提高</w:t>
            </w:r>
            <w:r>
              <w:rPr>
                <w:rFonts w:hint="default" w:ascii="Times New Roman" w:hAnsi="Times New Roman" w:eastAsia="宋体" w:cs="Times New Roman"/>
                <w:color w:val="auto"/>
                <w:spacing w:val="8"/>
              </w:rPr>
              <w:t>农村防洪排涝能力。</w:t>
            </w:r>
            <w:r>
              <w:rPr>
                <w:rFonts w:hint="eastAsia" w:ascii="Times New Roman" w:hAnsi="Times New Roman" w:cs="Times New Roman"/>
                <w:color w:val="auto"/>
                <w:spacing w:val="8"/>
                <w:lang w:val="en-US" w:eastAsia="zh-CN"/>
              </w:rPr>
              <w:t>本项目</w:t>
            </w:r>
            <w:r>
              <w:rPr>
                <w:rFonts w:hint="default" w:ascii="Times New Roman" w:hAnsi="Times New Roman" w:eastAsia="宋体" w:cs="Times New Roman"/>
                <w:color w:val="auto"/>
                <w:spacing w:val="8"/>
              </w:rPr>
              <w:t>由主体工程</w:t>
            </w:r>
            <w:r>
              <w:rPr>
                <w:rFonts w:hint="default" w:ascii="Times New Roman" w:hAnsi="Times New Roman" w:eastAsia="宋体" w:cs="Times New Roman"/>
                <w:color w:val="auto"/>
                <w:spacing w:val="7"/>
              </w:rPr>
              <w:t>、临时工程、</w:t>
            </w:r>
            <w:r>
              <w:rPr>
                <w:rFonts w:hint="default" w:ascii="Times New Roman" w:hAnsi="Times New Roman" w:eastAsia="宋体" w:cs="Times New Roman"/>
                <w:color w:val="auto"/>
                <w:spacing w:val="13"/>
              </w:rPr>
              <w:t>公用工程以及环保工程等组成，具体项目组成见表</w:t>
            </w:r>
            <w:r>
              <w:rPr>
                <w:rFonts w:hint="default" w:ascii="Times New Roman" w:hAnsi="Times New Roman" w:cs="Times New Roman"/>
                <w:color w:val="auto"/>
                <w:spacing w:val="13"/>
              </w:rPr>
              <w:t>2-</w:t>
            </w:r>
            <w:r>
              <w:rPr>
                <w:rFonts w:hint="default" w:ascii="Times New Roman" w:hAnsi="Times New Roman" w:cs="Times New Roman"/>
                <w:color w:val="auto"/>
                <w:spacing w:val="13"/>
                <w:lang w:val="en-US" w:eastAsia="zh-CN"/>
              </w:rPr>
              <w:t>1</w:t>
            </w:r>
            <w:r>
              <w:rPr>
                <w:rFonts w:hint="default" w:ascii="Times New Roman" w:hAnsi="Times New Roman" w:eastAsia="宋体" w:cs="Times New Roman"/>
                <w:color w:val="auto"/>
                <w:spacing w:val="13"/>
              </w:rPr>
              <w:t>。</w:t>
            </w:r>
          </w:p>
          <w:p w14:paraId="42ACB66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7"/>
                <w:sz w:val="21"/>
                <w:szCs w:val="21"/>
                <w:lang w:val="en-US" w:eastAsia="zh-CN"/>
              </w:rPr>
              <w:t>表2-1  项目组成一览</w:t>
            </w:r>
            <w:r>
              <w:rPr>
                <w:rFonts w:hint="default" w:ascii="Times New Roman" w:hAnsi="Times New Roman" w:eastAsia="宋体" w:cs="Times New Roman"/>
                <w:b/>
                <w:bCs/>
                <w:color w:val="auto"/>
                <w:spacing w:val="6"/>
                <w:sz w:val="21"/>
                <w:szCs w:val="21"/>
              </w:rPr>
              <w:t>表</w:t>
            </w:r>
          </w:p>
          <w:tbl>
            <w:tblPr>
              <w:tblStyle w:val="18"/>
              <w:tblpPr w:leftFromText="180" w:rightFromText="180" w:vertAnchor="text" w:horzAnchor="page" w:tblpX="54" w:tblpY="260"/>
              <w:tblOverlap w:val="never"/>
              <w:tblW w:w="8259" w:type="dxa"/>
              <w:tblInd w:w="11"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350"/>
              <w:gridCol w:w="67"/>
              <w:gridCol w:w="935"/>
              <w:gridCol w:w="5902"/>
            </w:tblGrid>
            <w:tr w14:paraId="141A51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5" w:type="dxa"/>
                  <w:tcBorders>
                    <w:tl2br w:val="nil"/>
                    <w:tr2bl w:val="nil"/>
                  </w:tcBorders>
                  <w:vAlign w:val="center"/>
                </w:tcPr>
                <w:p w14:paraId="47A1E3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1"/>
                      <w:sz w:val="21"/>
                      <w:szCs w:val="21"/>
                      <w:highlight w:val="none"/>
                    </w:rPr>
                    <w:t>工程</w:t>
                  </w:r>
                  <w:r>
                    <w:rPr>
                      <w:rFonts w:hint="default" w:ascii="Times New Roman" w:hAnsi="Times New Roman" w:eastAsia="宋体" w:cs="Times New Roman"/>
                      <w:b/>
                      <w:bCs/>
                      <w:color w:val="auto"/>
                      <w:spacing w:val="12"/>
                      <w:sz w:val="21"/>
                      <w:szCs w:val="21"/>
                      <w:highlight w:val="none"/>
                    </w:rPr>
                    <w:t>类别</w:t>
                  </w:r>
                </w:p>
              </w:tc>
              <w:tc>
                <w:tcPr>
                  <w:tcW w:w="1352" w:type="dxa"/>
                  <w:gridSpan w:val="3"/>
                  <w:tcBorders>
                    <w:tl2br w:val="nil"/>
                    <w:tr2bl w:val="nil"/>
                  </w:tcBorders>
                  <w:vAlign w:val="center"/>
                </w:tcPr>
                <w:p w14:paraId="2F3952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6"/>
                      <w:sz w:val="21"/>
                      <w:szCs w:val="21"/>
                      <w:highlight w:val="none"/>
                    </w:rPr>
                    <w:t>工程名</w:t>
                  </w:r>
                  <w:r>
                    <w:rPr>
                      <w:rFonts w:hint="default" w:ascii="Times New Roman" w:hAnsi="Times New Roman" w:eastAsia="宋体" w:cs="Times New Roman"/>
                      <w:b/>
                      <w:bCs/>
                      <w:color w:val="auto"/>
                      <w:spacing w:val="-1"/>
                      <w:sz w:val="21"/>
                      <w:szCs w:val="21"/>
                      <w:highlight w:val="none"/>
                    </w:rPr>
                    <w:t>称</w:t>
                  </w:r>
                </w:p>
              </w:tc>
              <w:tc>
                <w:tcPr>
                  <w:tcW w:w="5902" w:type="dxa"/>
                  <w:tcBorders>
                    <w:tl2br w:val="nil"/>
                    <w:tr2bl w:val="nil"/>
                  </w:tcBorders>
                  <w:vAlign w:val="center"/>
                </w:tcPr>
                <w:p w14:paraId="0548EC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0"/>
                      <w:sz w:val="21"/>
                      <w:szCs w:val="21"/>
                      <w:highlight w:val="none"/>
                    </w:rPr>
                    <w:t>工程建设内容</w:t>
                  </w:r>
                </w:p>
              </w:tc>
            </w:tr>
            <w:tr w14:paraId="30A07E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75" w:hRule="atLeast"/>
              </w:trPr>
              <w:tc>
                <w:tcPr>
                  <w:tcW w:w="1005" w:type="dxa"/>
                  <w:vMerge w:val="restart"/>
                  <w:tcBorders>
                    <w:tl2br w:val="nil"/>
                    <w:tr2bl w:val="nil"/>
                  </w:tcBorders>
                  <w:vAlign w:val="center"/>
                </w:tcPr>
                <w:p w14:paraId="5A71404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主体</w:t>
                  </w:r>
                </w:p>
                <w:p w14:paraId="192381C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r>
                    <w:rPr>
                      <w:rFonts w:hint="default" w:ascii="Times New Roman" w:hAnsi="Times New Roman" w:eastAsia="宋体" w:cs="Times New Roman"/>
                      <w:b/>
                      <w:bCs/>
                      <w:color w:val="auto"/>
                      <w:spacing w:val="-3"/>
                      <w:sz w:val="21"/>
                      <w:szCs w:val="21"/>
                      <w:highlight w:val="none"/>
                    </w:rPr>
                    <w:t>工程</w:t>
                  </w:r>
                </w:p>
              </w:tc>
              <w:tc>
                <w:tcPr>
                  <w:tcW w:w="417" w:type="dxa"/>
                  <w:gridSpan w:val="2"/>
                  <w:vMerge w:val="restart"/>
                  <w:tcBorders>
                    <w:tl2br w:val="nil"/>
                    <w:tr2bl w:val="nil"/>
                  </w:tcBorders>
                  <w:vAlign w:val="center"/>
                </w:tcPr>
                <w:p w14:paraId="03CB8E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rPr>
                    <w:t>城乡供水一体化及水土保持</w:t>
                  </w:r>
                </w:p>
              </w:tc>
              <w:tc>
                <w:tcPr>
                  <w:tcW w:w="935" w:type="dxa"/>
                  <w:tcBorders>
                    <w:tl2br w:val="nil"/>
                    <w:tr2bl w:val="nil"/>
                  </w:tcBorders>
                  <w:vAlign w:val="center"/>
                </w:tcPr>
                <w:p w14:paraId="7A341C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rPr>
                  </w:pPr>
                  <w:r>
                    <w:rPr>
                      <w:rFonts w:hint="default" w:ascii="Times New Roman" w:hAnsi="Times New Roman" w:eastAsia="宋体" w:cs="Times New Roman"/>
                      <w:color w:val="auto"/>
                      <w:spacing w:val="17"/>
                      <w:sz w:val="21"/>
                      <w:szCs w:val="21"/>
                      <w:highlight w:val="none"/>
                    </w:rPr>
                    <w:t>泾河支流羊漕河水生态修复</w:t>
                  </w:r>
                </w:p>
              </w:tc>
              <w:tc>
                <w:tcPr>
                  <w:tcW w:w="5902" w:type="dxa"/>
                  <w:tcBorders>
                    <w:tl2br w:val="nil"/>
                    <w:tr2bl w:val="nil"/>
                  </w:tcBorders>
                  <w:vAlign w:val="center"/>
                </w:tcPr>
                <w:p w14:paraId="4C23E0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13" w:firstLineChars="50"/>
                    <w:jc w:val="left"/>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包括河道生境构建工程、现状旁路湿地提升改造工程、生态护坡工程、生态步道工程、绿化工程、科普宣教工程等措施。</w:t>
                  </w:r>
                </w:p>
                <w:p w14:paraId="5E6618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13" w:firstLineChars="50"/>
                    <w:jc w:val="left"/>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①河道内主要实施河道生境构建工程，包括清淤与种植水生植物；其中基底改善3021m³；种植水葱、黄菖蒲、睡莲等水生植物2612m</w:t>
                  </w:r>
                  <w:r>
                    <w:rPr>
                      <w:rFonts w:hint="default" w:ascii="Times New Roman" w:hAnsi="Times New Roman" w:eastAsia="宋体" w:cs="Times New Roman"/>
                      <w:color w:val="auto"/>
                      <w:spacing w:val="8"/>
                      <w:sz w:val="21"/>
                      <w:szCs w:val="21"/>
                      <w:highlight w:val="none"/>
                      <w:vertAlign w:val="superscript"/>
                      <w:lang w:val="en-US" w:eastAsia="zh-CN"/>
                    </w:rPr>
                    <w:t>2</w:t>
                  </w:r>
                  <w:r>
                    <w:rPr>
                      <w:rFonts w:hint="default" w:ascii="Times New Roman" w:hAnsi="Times New Roman" w:eastAsia="宋体" w:cs="Times New Roman"/>
                      <w:color w:val="auto"/>
                      <w:spacing w:val="8"/>
                      <w:sz w:val="21"/>
                      <w:szCs w:val="21"/>
                      <w:highlight w:val="none"/>
                      <w:lang w:val="en-US" w:eastAsia="zh-CN"/>
                    </w:rPr>
                    <w:t>；</w:t>
                  </w:r>
                </w:p>
                <w:p w14:paraId="561D7B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13" w:firstLineChars="50"/>
                    <w:jc w:val="left"/>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②岸坡上主要实施生态护坡工程，具体为撒播草籽及现状破损护岸修复。其中撒播草籽10688m</w:t>
                  </w:r>
                  <w:r>
                    <w:rPr>
                      <w:rFonts w:hint="default" w:ascii="Times New Roman" w:hAnsi="Times New Roman" w:eastAsia="宋体" w:cs="Times New Roman"/>
                      <w:color w:val="auto"/>
                      <w:spacing w:val="8"/>
                      <w:sz w:val="21"/>
                      <w:szCs w:val="21"/>
                      <w:highlight w:val="none"/>
                      <w:vertAlign w:val="superscript"/>
                      <w:lang w:val="en-US" w:eastAsia="zh-CN"/>
                    </w:rPr>
                    <w:t>2</w:t>
                  </w:r>
                  <w:r>
                    <w:rPr>
                      <w:rFonts w:hint="default" w:ascii="Times New Roman" w:hAnsi="Times New Roman" w:eastAsia="宋体" w:cs="Times New Roman"/>
                      <w:color w:val="auto"/>
                      <w:spacing w:val="8"/>
                      <w:sz w:val="21"/>
                      <w:szCs w:val="21"/>
                      <w:highlight w:val="none"/>
                      <w:lang w:val="en-US" w:eastAsia="zh-CN"/>
                    </w:rPr>
                    <w:t>；现状破损护岸修复528m。</w:t>
                  </w:r>
                </w:p>
                <w:p w14:paraId="71DA06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13" w:firstLineChars="50"/>
                    <w:jc w:val="left"/>
                    <w:textAlignment w:val="baseline"/>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pacing w:val="8"/>
                      <w:sz w:val="21"/>
                      <w:szCs w:val="21"/>
                      <w:highlight w:val="none"/>
                      <w:lang w:val="en-US" w:eastAsia="zh-CN"/>
                    </w:rPr>
                    <w:t>③河岸以上主要实施生态步道工程、绿化工程及科普宣教工程。</w:t>
                  </w:r>
                </w:p>
              </w:tc>
            </w:tr>
            <w:tr w14:paraId="2E9BE2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1005" w:type="dxa"/>
                  <w:vMerge w:val="continue"/>
                  <w:tcBorders>
                    <w:tl2br w:val="nil"/>
                    <w:tr2bl w:val="nil"/>
                  </w:tcBorders>
                  <w:vAlign w:val="center"/>
                </w:tcPr>
                <w:p w14:paraId="37B43432">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56A22A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5" w:type="dxa"/>
                  <w:tcBorders>
                    <w:tl2br w:val="nil"/>
                    <w:tr2bl w:val="nil"/>
                  </w:tcBorders>
                  <w:vAlign w:val="center"/>
                </w:tcPr>
                <w:p w14:paraId="761294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生态</w:t>
                  </w:r>
                </w:p>
                <w:p w14:paraId="2DD76A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沟渠</w:t>
                  </w:r>
                </w:p>
              </w:tc>
              <w:tc>
                <w:tcPr>
                  <w:tcW w:w="5902" w:type="dxa"/>
                  <w:tcBorders>
                    <w:tl2br w:val="nil"/>
                    <w:tr2bl w:val="nil"/>
                  </w:tcBorders>
                  <w:vAlign w:val="center"/>
                </w:tcPr>
                <w:p w14:paraId="5DB5A7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①红土沟：主要对3158m的红土沟沟内及沟坡实施水生植物种植工程及生态护坡工程措施；</w:t>
                  </w:r>
                </w:p>
                <w:p w14:paraId="2E5323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②向阳村边沟：主要对1360m的向阳村边沟实施基底修复工程内容，基底修复主要为清淤，清淤面积4760m</w:t>
                  </w:r>
                  <w:r>
                    <w:rPr>
                      <w:rFonts w:hint="default" w:ascii="Times New Roman" w:hAnsi="Times New Roman" w:eastAsia="宋体" w:cs="Times New Roman"/>
                      <w:color w:val="auto"/>
                      <w:spacing w:val="17"/>
                      <w:sz w:val="21"/>
                      <w:szCs w:val="21"/>
                      <w:highlight w:val="none"/>
                      <w:vertAlign w:val="superscript"/>
                      <w:lang w:val="en-US" w:eastAsia="zh-CN"/>
                    </w:rPr>
                    <w:t>2</w:t>
                  </w:r>
                  <w:r>
                    <w:rPr>
                      <w:rFonts w:hint="default" w:ascii="Times New Roman" w:hAnsi="Times New Roman" w:eastAsia="宋体" w:cs="Times New Roman"/>
                      <w:color w:val="auto"/>
                      <w:spacing w:val="17"/>
                      <w:sz w:val="21"/>
                      <w:szCs w:val="21"/>
                      <w:highlight w:val="none"/>
                      <w:lang w:val="en-US" w:eastAsia="zh-CN"/>
                    </w:rPr>
                    <w:t>。</w:t>
                  </w:r>
                </w:p>
              </w:tc>
            </w:tr>
            <w:tr w14:paraId="6BBC8A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1005" w:type="dxa"/>
                  <w:vMerge w:val="continue"/>
                  <w:tcBorders>
                    <w:tl2br w:val="nil"/>
                    <w:tr2bl w:val="nil"/>
                  </w:tcBorders>
                  <w:vAlign w:val="center"/>
                </w:tcPr>
                <w:p w14:paraId="3580694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restart"/>
                  <w:tcBorders>
                    <w:tl2br w:val="nil"/>
                    <w:tr2bl w:val="nil"/>
                  </w:tcBorders>
                  <w:vAlign w:val="center"/>
                </w:tcPr>
                <w:p w14:paraId="421E25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山洪及地质灾害</w:t>
                  </w:r>
                </w:p>
              </w:tc>
              <w:tc>
                <w:tcPr>
                  <w:tcW w:w="935" w:type="dxa"/>
                  <w:tcBorders>
                    <w:tl2br w:val="nil"/>
                    <w:tr2bl w:val="nil"/>
                  </w:tcBorders>
                  <w:vAlign w:val="center"/>
                </w:tcPr>
                <w:p w14:paraId="1551A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山洪引流渠（排洪渠）</w:t>
                  </w:r>
                </w:p>
              </w:tc>
              <w:tc>
                <w:tcPr>
                  <w:tcW w:w="5902" w:type="dxa"/>
                  <w:tcBorders>
                    <w:tl2br w:val="nil"/>
                    <w:tr2bl w:val="nil"/>
                  </w:tcBorders>
                  <w:vAlign w:val="center"/>
                </w:tcPr>
                <w:p w14:paraId="5A6104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本次黄花乡山洪引流渠（排洪渠）共计</w:t>
                  </w:r>
                  <w:r>
                    <w:rPr>
                      <w:rFonts w:hint="eastAsia" w:ascii="Times New Roman" w:hAnsi="Times New Roman" w:eastAsia="宋体" w:cs="Times New Roman"/>
                      <w:color w:val="auto"/>
                      <w:spacing w:val="17"/>
                      <w:sz w:val="21"/>
                      <w:szCs w:val="21"/>
                      <w:highlight w:val="none"/>
                      <w:lang w:val="en-US" w:eastAsia="zh-CN"/>
                    </w:rPr>
                    <w:t>2909.91</w:t>
                  </w:r>
                  <w:r>
                    <w:rPr>
                      <w:rFonts w:hint="default" w:ascii="Times New Roman" w:hAnsi="Times New Roman" w:eastAsia="宋体" w:cs="Times New Roman"/>
                      <w:color w:val="auto"/>
                      <w:spacing w:val="17"/>
                      <w:sz w:val="21"/>
                      <w:szCs w:val="21"/>
                      <w:highlight w:val="none"/>
                      <w:lang w:val="en-US" w:eastAsia="zh-CN"/>
                    </w:rPr>
                    <w:t>m，其中平凉庄村排洪渠625m、红土村排洪渠822m、沙塘村排洪渠</w:t>
                  </w:r>
                  <w:r>
                    <w:rPr>
                      <w:rFonts w:hint="eastAsia" w:ascii="Times New Roman" w:hAnsi="Times New Roman" w:eastAsia="宋体" w:cs="Times New Roman"/>
                      <w:color w:val="auto"/>
                      <w:spacing w:val="17"/>
                      <w:sz w:val="21"/>
                      <w:szCs w:val="21"/>
                      <w:highlight w:val="none"/>
                      <w:lang w:val="en-US" w:eastAsia="zh-CN"/>
                    </w:rPr>
                    <w:t>1462.91</w:t>
                  </w:r>
                  <w:r>
                    <w:rPr>
                      <w:rFonts w:hint="default" w:ascii="Times New Roman" w:hAnsi="Times New Roman" w:eastAsia="宋体" w:cs="Times New Roman"/>
                      <w:color w:val="auto"/>
                      <w:spacing w:val="17"/>
                      <w:sz w:val="21"/>
                      <w:szCs w:val="21"/>
                      <w:highlight w:val="none"/>
                      <w:lang w:val="en-US" w:eastAsia="zh-CN"/>
                    </w:rPr>
                    <w:t>m。治理段沟道的宽度基本维持原沟道宽度，沟道的比降维持原自然比降，治理段沟道以砂砾石河床为主取n=0.03，计算护岸高度为设计水深+0.5m，浆砌石护坡采用MU30块石、M7.5水泥砂浆砌筑。</w:t>
                  </w:r>
                </w:p>
              </w:tc>
            </w:tr>
            <w:tr w14:paraId="5B5B4C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1005" w:type="dxa"/>
                  <w:vMerge w:val="continue"/>
                  <w:tcBorders>
                    <w:tl2br w:val="nil"/>
                    <w:tr2bl w:val="nil"/>
                  </w:tcBorders>
                  <w:vAlign w:val="center"/>
                </w:tcPr>
                <w:p w14:paraId="2F2B051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4F63B3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yellow"/>
                    </w:rPr>
                  </w:pPr>
                </w:p>
              </w:tc>
              <w:tc>
                <w:tcPr>
                  <w:tcW w:w="935" w:type="dxa"/>
                  <w:tcBorders>
                    <w:tl2br w:val="nil"/>
                    <w:tr2bl w:val="nil"/>
                  </w:tcBorders>
                  <w:vAlign w:val="center"/>
                </w:tcPr>
                <w:p w14:paraId="57D174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地质灾害治理（挡土墙）</w:t>
                  </w:r>
                </w:p>
              </w:tc>
              <w:tc>
                <w:tcPr>
                  <w:tcW w:w="5902" w:type="dxa"/>
                  <w:tcBorders>
                    <w:tl2br w:val="nil"/>
                    <w:tr2bl w:val="nil"/>
                  </w:tcBorders>
                  <w:vAlign w:val="center"/>
                </w:tcPr>
                <w:p w14:paraId="791864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地质灾害治理工程治理共计18处，总长度2050m，共涉及6个行政村，其中羊槽村1条，62m；沙塘村1条，51m；店堡村1条，52m；上胭村1条，71m；红土村2条，117m；向阳村12条，1450m。重力式挡墙采用C30商品混凝土浇筑。</w:t>
                  </w:r>
                </w:p>
              </w:tc>
            </w:tr>
            <w:tr w14:paraId="507CE8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1005" w:type="dxa"/>
                  <w:vMerge w:val="continue"/>
                  <w:tcBorders>
                    <w:tl2br w:val="nil"/>
                    <w:tr2bl w:val="nil"/>
                  </w:tcBorders>
                  <w:vAlign w:val="center"/>
                </w:tcPr>
                <w:p w14:paraId="54D6115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6715FA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yellow"/>
                    </w:rPr>
                  </w:pPr>
                </w:p>
              </w:tc>
              <w:tc>
                <w:tcPr>
                  <w:tcW w:w="935" w:type="dxa"/>
                  <w:tcBorders>
                    <w:tl2br w:val="nil"/>
                    <w:tr2bl w:val="nil"/>
                  </w:tcBorders>
                  <w:vAlign w:val="center"/>
                </w:tcPr>
                <w:p w14:paraId="6E473E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建设U型排水渠</w:t>
                  </w:r>
                </w:p>
              </w:tc>
              <w:tc>
                <w:tcPr>
                  <w:tcW w:w="5902" w:type="dxa"/>
                  <w:tcBorders>
                    <w:tl2br w:val="nil"/>
                    <w:tr2bl w:val="nil"/>
                  </w:tcBorders>
                  <w:vAlign w:val="center"/>
                </w:tcPr>
                <w:p w14:paraId="2DD5B3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本项目共布置D=40U型排水渠2593m。渠道砌护参照《宁夏灌区支斗农渠定型图集》采用“U”型砼板砌护，糙率取0.016。排水渠砌护采用D=0.4m、板厚5cm的C25机制U型混凝土预制衬砌板，排水渠道排水口采用浆砌石扭面与U型排水边沟道</w:t>
                  </w:r>
                  <w:r>
                    <w:rPr>
                      <w:rFonts w:hint="eastAsia" w:ascii="Times New Roman" w:hAnsi="Times New Roman" w:eastAsia="宋体" w:cs="Times New Roman"/>
                      <w:color w:val="auto"/>
                      <w:spacing w:val="17"/>
                      <w:sz w:val="21"/>
                      <w:szCs w:val="21"/>
                      <w:highlight w:val="none"/>
                      <w:lang w:val="en-US" w:eastAsia="zh-CN"/>
                    </w:rPr>
                    <w:t>连接</w:t>
                  </w:r>
                  <w:r>
                    <w:rPr>
                      <w:rFonts w:hint="default" w:ascii="Times New Roman" w:hAnsi="Times New Roman" w:eastAsia="宋体" w:cs="Times New Roman"/>
                      <w:color w:val="auto"/>
                      <w:spacing w:val="17"/>
                      <w:sz w:val="21"/>
                      <w:szCs w:val="21"/>
                      <w:highlight w:val="none"/>
                      <w:lang w:val="en-US" w:eastAsia="zh-CN"/>
                    </w:rPr>
                    <w:t>。</w:t>
                  </w:r>
                </w:p>
              </w:tc>
            </w:tr>
            <w:tr w14:paraId="6E3E32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005" w:type="dxa"/>
                  <w:vMerge w:val="continue"/>
                  <w:tcBorders>
                    <w:tl2br w:val="nil"/>
                    <w:tr2bl w:val="nil"/>
                  </w:tcBorders>
                  <w:vAlign w:val="center"/>
                </w:tcPr>
                <w:p w14:paraId="059737C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50760F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yellow"/>
                    </w:rPr>
                  </w:pPr>
                </w:p>
              </w:tc>
              <w:tc>
                <w:tcPr>
                  <w:tcW w:w="935" w:type="dxa"/>
                  <w:tcBorders>
                    <w:tl2br w:val="nil"/>
                    <w:tr2bl w:val="nil"/>
                  </w:tcBorders>
                  <w:vAlign w:val="center"/>
                </w:tcPr>
                <w:p w14:paraId="448249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坡面撒播植草</w:t>
                  </w:r>
                </w:p>
              </w:tc>
              <w:tc>
                <w:tcPr>
                  <w:tcW w:w="5902" w:type="dxa"/>
                  <w:tcBorders>
                    <w:tl2br w:val="nil"/>
                    <w:tr2bl w:val="nil"/>
                  </w:tcBorders>
                  <w:vAlign w:val="center"/>
                </w:tcPr>
                <w:p w14:paraId="5010A5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本次设计在挡墙上部坡面播撒草籽，播撒草籽种类选用红豆草和紫花苜蓿，采用混播的播撒形式，其混播比例为1：1，播撒标准为每公顷80kg，本项目共播撒草籽面积为332100m</w:t>
                  </w:r>
                  <w:r>
                    <w:rPr>
                      <w:rFonts w:hint="default" w:ascii="Times New Roman" w:hAnsi="Times New Roman" w:eastAsia="宋体" w:cs="Times New Roman"/>
                      <w:color w:val="auto"/>
                      <w:spacing w:val="17"/>
                      <w:sz w:val="21"/>
                      <w:szCs w:val="21"/>
                      <w:highlight w:val="none"/>
                      <w:vertAlign w:val="superscript"/>
                      <w:lang w:val="en-US" w:eastAsia="zh-CN"/>
                    </w:rPr>
                    <w:t>2</w:t>
                  </w:r>
                  <w:r>
                    <w:rPr>
                      <w:rFonts w:hint="default" w:ascii="Times New Roman" w:hAnsi="Times New Roman" w:eastAsia="宋体" w:cs="Times New Roman"/>
                      <w:color w:val="auto"/>
                      <w:spacing w:val="17"/>
                      <w:sz w:val="21"/>
                      <w:szCs w:val="21"/>
                      <w:highlight w:val="none"/>
                      <w:lang w:val="en-US" w:eastAsia="zh-CN"/>
                    </w:rPr>
                    <w:t>。</w:t>
                  </w:r>
                </w:p>
              </w:tc>
            </w:tr>
            <w:tr w14:paraId="29451F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005" w:type="dxa"/>
                  <w:vMerge w:val="continue"/>
                  <w:tcBorders>
                    <w:tl2br w:val="nil"/>
                    <w:tr2bl w:val="nil"/>
                  </w:tcBorders>
                  <w:vAlign w:val="center"/>
                </w:tcPr>
                <w:p w14:paraId="5D8BCD0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707F54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yellow"/>
                    </w:rPr>
                  </w:pPr>
                </w:p>
              </w:tc>
              <w:tc>
                <w:tcPr>
                  <w:tcW w:w="935" w:type="dxa"/>
                  <w:tcBorders>
                    <w:tl2br w:val="nil"/>
                    <w:tr2bl w:val="nil"/>
                  </w:tcBorders>
                  <w:vAlign w:val="center"/>
                </w:tcPr>
                <w:p w14:paraId="6DB6BA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新建安全隐患防护栏工程</w:t>
                  </w:r>
                </w:p>
              </w:tc>
              <w:tc>
                <w:tcPr>
                  <w:tcW w:w="5902" w:type="dxa"/>
                  <w:tcBorders>
                    <w:tl2br w:val="nil"/>
                    <w:tr2bl w:val="nil"/>
                  </w:tcBorders>
                  <w:vAlign w:val="center"/>
                </w:tcPr>
                <w:p w14:paraId="67AA25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本项目安全隐患防护栏工程涉及3个行政村，即羊槽村、平凉庄村及向阳村，总长为2744m。安全隐患防护栏在重力式挡墙顶部设置1.8m高防护镀锌方管围栏。</w:t>
                  </w:r>
                </w:p>
              </w:tc>
            </w:tr>
            <w:tr w14:paraId="59F94D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05" w:type="dxa"/>
                  <w:vMerge w:val="continue"/>
                  <w:tcBorders>
                    <w:tl2br w:val="nil"/>
                    <w:tr2bl w:val="nil"/>
                  </w:tcBorders>
                  <w:vAlign w:val="center"/>
                </w:tcPr>
                <w:p w14:paraId="08991F5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yellow"/>
                    </w:rPr>
                  </w:pPr>
                </w:p>
              </w:tc>
              <w:tc>
                <w:tcPr>
                  <w:tcW w:w="417" w:type="dxa"/>
                  <w:gridSpan w:val="2"/>
                  <w:vMerge w:val="continue"/>
                  <w:tcBorders>
                    <w:tl2br w:val="nil"/>
                    <w:tr2bl w:val="nil"/>
                  </w:tcBorders>
                  <w:vAlign w:val="center"/>
                </w:tcPr>
                <w:p w14:paraId="200439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yellow"/>
                    </w:rPr>
                  </w:pPr>
                </w:p>
              </w:tc>
              <w:tc>
                <w:tcPr>
                  <w:tcW w:w="935" w:type="dxa"/>
                  <w:tcBorders>
                    <w:tl2br w:val="nil"/>
                    <w:tr2bl w:val="nil"/>
                  </w:tcBorders>
                  <w:vAlign w:val="center"/>
                </w:tcPr>
                <w:p w14:paraId="7B492A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挂网喷播</w:t>
                  </w:r>
                </w:p>
              </w:tc>
              <w:tc>
                <w:tcPr>
                  <w:tcW w:w="5902" w:type="dxa"/>
                  <w:tcBorders>
                    <w:tl2br w:val="nil"/>
                    <w:tr2bl w:val="nil"/>
                  </w:tcBorders>
                  <w:vAlign w:val="center"/>
                </w:tcPr>
                <w:p w14:paraId="6D3477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本次采用坡面挂网喷播面积3259.2m</w:t>
                  </w:r>
                  <w:r>
                    <w:rPr>
                      <w:rFonts w:hint="default" w:ascii="Times New Roman" w:hAnsi="Times New Roman" w:eastAsia="宋体" w:cs="Times New Roman"/>
                      <w:color w:val="auto"/>
                      <w:spacing w:val="17"/>
                      <w:sz w:val="21"/>
                      <w:szCs w:val="21"/>
                      <w:highlight w:val="none"/>
                      <w:vertAlign w:val="superscript"/>
                      <w:lang w:val="en-US" w:eastAsia="zh-CN"/>
                    </w:rPr>
                    <w:t>2</w:t>
                  </w:r>
                  <w:r>
                    <w:rPr>
                      <w:rFonts w:hint="default" w:ascii="Times New Roman" w:hAnsi="Times New Roman" w:eastAsia="宋体" w:cs="Times New Roman"/>
                      <w:color w:val="auto"/>
                      <w:spacing w:val="17"/>
                      <w:sz w:val="21"/>
                      <w:szCs w:val="21"/>
                      <w:highlight w:val="none"/>
                      <w:lang w:val="en-US" w:eastAsia="zh-CN"/>
                    </w:rPr>
                    <w:t>。</w:t>
                  </w:r>
                </w:p>
              </w:tc>
            </w:tr>
            <w:tr w14:paraId="024F7F2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005" w:type="dxa"/>
                  <w:vMerge w:val="restart"/>
                  <w:tcBorders>
                    <w:tl2br w:val="nil"/>
                    <w:tr2bl w:val="nil"/>
                  </w:tcBorders>
                  <w:vAlign w:val="center"/>
                </w:tcPr>
                <w:p w14:paraId="1A6ED6D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临时</w:t>
                  </w:r>
                </w:p>
                <w:p w14:paraId="18DCC0D9">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工程</w:t>
                  </w:r>
                </w:p>
              </w:tc>
              <w:tc>
                <w:tcPr>
                  <w:tcW w:w="1352" w:type="dxa"/>
                  <w:gridSpan w:val="3"/>
                  <w:tcBorders>
                    <w:tl2br w:val="nil"/>
                    <w:tr2bl w:val="nil"/>
                  </w:tcBorders>
                  <w:vAlign w:val="center"/>
                </w:tcPr>
                <w:p w14:paraId="143089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8"/>
                      <w:sz w:val="21"/>
                      <w:szCs w:val="21"/>
                      <w:highlight w:val="none"/>
                    </w:rPr>
                    <w:t>施工</w:t>
                  </w:r>
                  <w:r>
                    <w:rPr>
                      <w:rFonts w:hint="eastAsia" w:ascii="Times New Roman" w:hAnsi="Times New Roman" w:eastAsia="宋体" w:cs="Times New Roman"/>
                      <w:color w:val="auto"/>
                      <w:spacing w:val="18"/>
                      <w:sz w:val="21"/>
                      <w:szCs w:val="21"/>
                      <w:highlight w:val="none"/>
                      <w:lang w:val="en-US" w:eastAsia="zh-CN"/>
                    </w:rPr>
                    <w:t>营地</w:t>
                  </w:r>
                </w:p>
              </w:tc>
              <w:tc>
                <w:tcPr>
                  <w:tcW w:w="5902" w:type="dxa"/>
                  <w:tcBorders>
                    <w:tl2br w:val="nil"/>
                    <w:tr2bl w:val="nil"/>
                  </w:tcBorders>
                  <w:vAlign w:val="center"/>
                </w:tcPr>
                <w:p w14:paraId="606AB9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本项目施工人员全部来自当地居民，施工人员住宿和办公用房租用当地民房，不再新增临时用地。本项目分区域施工，施工现场共布设3处施工营地，总占地面积400m</w:t>
                  </w:r>
                  <w:r>
                    <w:rPr>
                      <w:rFonts w:hint="eastAsia" w:ascii="Times New Roman" w:hAnsi="Times New Roman" w:eastAsia="宋体" w:cs="Times New Roman"/>
                      <w:color w:val="auto"/>
                      <w:spacing w:val="17"/>
                      <w:sz w:val="21"/>
                      <w:szCs w:val="21"/>
                      <w:highlight w:val="none"/>
                      <w:vertAlign w:val="superscript"/>
                      <w:lang w:val="en-US" w:eastAsia="zh-CN"/>
                    </w:rPr>
                    <w:t>2</w:t>
                  </w:r>
                  <w:r>
                    <w:rPr>
                      <w:rFonts w:hint="eastAsia" w:ascii="Times New Roman" w:hAnsi="Times New Roman" w:eastAsia="宋体" w:cs="Times New Roman"/>
                      <w:color w:val="auto"/>
                      <w:spacing w:val="17"/>
                      <w:sz w:val="21"/>
                      <w:szCs w:val="21"/>
                      <w:highlight w:val="none"/>
                      <w:lang w:val="en-US" w:eastAsia="zh-CN"/>
                    </w:rPr>
                    <w:t>，用于放置施工机械设备和施工材料，分别位于平凉庄村（200m</w:t>
                  </w:r>
                  <w:r>
                    <w:rPr>
                      <w:rFonts w:hint="eastAsia" w:ascii="Times New Roman" w:hAnsi="Times New Roman" w:eastAsia="宋体" w:cs="Times New Roman"/>
                      <w:color w:val="auto"/>
                      <w:spacing w:val="17"/>
                      <w:sz w:val="21"/>
                      <w:szCs w:val="21"/>
                      <w:highlight w:val="none"/>
                      <w:vertAlign w:val="superscript"/>
                      <w:lang w:val="en-US" w:eastAsia="zh-CN"/>
                    </w:rPr>
                    <w:t>2</w:t>
                  </w:r>
                  <w:r>
                    <w:rPr>
                      <w:rFonts w:hint="eastAsia" w:ascii="Times New Roman" w:hAnsi="Times New Roman" w:eastAsia="宋体" w:cs="Times New Roman"/>
                      <w:color w:val="auto"/>
                      <w:spacing w:val="17"/>
                      <w:sz w:val="21"/>
                      <w:szCs w:val="21"/>
                      <w:highlight w:val="none"/>
                      <w:lang w:val="en-US" w:eastAsia="zh-CN"/>
                    </w:rPr>
                    <w:t>）、向阳村（100m</w:t>
                  </w:r>
                  <w:r>
                    <w:rPr>
                      <w:rFonts w:hint="eastAsia" w:ascii="Times New Roman" w:hAnsi="Times New Roman" w:eastAsia="宋体" w:cs="Times New Roman"/>
                      <w:color w:val="auto"/>
                      <w:spacing w:val="17"/>
                      <w:sz w:val="21"/>
                      <w:szCs w:val="21"/>
                      <w:highlight w:val="none"/>
                      <w:vertAlign w:val="superscript"/>
                      <w:lang w:val="en-US" w:eastAsia="zh-CN"/>
                    </w:rPr>
                    <w:t>2</w:t>
                  </w:r>
                  <w:r>
                    <w:rPr>
                      <w:rFonts w:hint="eastAsia" w:ascii="Times New Roman" w:hAnsi="Times New Roman" w:eastAsia="宋体" w:cs="Times New Roman"/>
                      <w:color w:val="auto"/>
                      <w:spacing w:val="17"/>
                      <w:sz w:val="21"/>
                      <w:szCs w:val="21"/>
                      <w:highlight w:val="none"/>
                      <w:lang w:val="en-US" w:eastAsia="zh-CN"/>
                    </w:rPr>
                    <w:t>）和沙塘村（100m</w:t>
                  </w:r>
                  <w:r>
                    <w:rPr>
                      <w:rFonts w:hint="eastAsia" w:ascii="Times New Roman" w:hAnsi="Times New Roman" w:eastAsia="宋体" w:cs="Times New Roman"/>
                      <w:color w:val="auto"/>
                      <w:spacing w:val="17"/>
                      <w:sz w:val="21"/>
                      <w:szCs w:val="21"/>
                      <w:highlight w:val="none"/>
                      <w:vertAlign w:val="superscript"/>
                      <w:lang w:val="en-US" w:eastAsia="zh-CN"/>
                    </w:rPr>
                    <w:t>2</w:t>
                  </w:r>
                  <w:r>
                    <w:rPr>
                      <w:rFonts w:hint="eastAsia" w:ascii="Times New Roman" w:hAnsi="Times New Roman" w:eastAsia="宋体" w:cs="Times New Roman"/>
                      <w:color w:val="auto"/>
                      <w:spacing w:val="17"/>
                      <w:sz w:val="21"/>
                      <w:szCs w:val="21"/>
                      <w:highlight w:val="none"/>
                      <w:lang w:val="en-US" w:eastAsia="zh-CN"/>
                    </w:rPr>
                    <w:t>）。施工营地全部设置在河道管理线范围内两侧裸露区域。</w:t>
                  </w:r>
                </w:p>
              </w:tc>
            </w:tr>
            <w:tr w14:paraId="0A0352F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05" w:type="dxa"/>
                  <w:vMerge w:val="continue"/>
                  <w:tcBorders>
                    <w:tl2br w:val="nil"/>
                    <w:tr2bl w:val="nil"/>
                  </w:tcBorders>
                  <w:vAlign w:val="center"/>
                </w:tcPr>
                <w:p w14:paraId="0C53CE2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p>
              </w:tc>
              <w:tc>
                <w:tcPr>
                  <w:tcW w:w="1352" w:type="dxa"/>
                  <w:gridSpan w:val="3"/>
                  <w:tcBorders>
                    <w:tl2br w:val="nil"/>
                    <w:tr2bl w:val="nil"/>
                  </w:tcBorders>
                  <w:vAlign w:val="center"/>
                </w:tcPr>
                <w:p w14:paraId="200C3B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8"/>
                      <w:sz w:val="21"/>
                      <w:szCs w:val="21"/>
                      <w:highlight w:val="none"/>
                    </w:rPr>
                    <w:t>施工便</w:t>
                  </w:r>
                  <w:r>
                    <w:rPr>
                      <w:rFonts w:hint="default" w:ascii="Times New Roman" w:hAnsi="Times New Roman" w:eastAsia="宋体" w:cs="Times New Roman"/>
                      <w:color w:val="auto"/>
                      <w:spacing w:val="1"/>
                      <w:sz w:val="21"/>
                      <w:szCs w:val="21"/>
                      <w:highlight w:val="none"/>
                    </w:rPr>
                    <w:t>道</w:t>
                  </w:r>
                </w:p>
              </w:tc>
              <w:tc>
                <w:tcPr>
                  <w:tcW w:w="5902" w:type="dxa"/>
                  <w:tcBorders>
                    <w:tl2br w:val="nil"/>
                    <w:tr2bl w:val="nil"/>
                  </w:tcBorders>
                  <w:vAlign w:val="center"/>
                </w:tcPr>
                <w:p w14:paraId="67FDEE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本项目沿泾平路、平胭线及乡村小道可通往项目涉及的各治理段，交通便利，无需新修施工便道。</w:t>
                  </w:r>
                </w:p>
              </w:tc>
            </w:tr>
            <w:tr w14:paraId="614CAC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05" w:type="dxa"/>
                  <w:vMerge w:val="continue"/>
                  <w:tcBorders>
                    <w:tl2br w:val="nil"/>
                    <w:tr2bl w:val="nil"/>
                  </w:tcBorders>
                  <w:vAlign w:val="center"/>
                </w:tcPr>
                <w:p w14:paraId="636D4E4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p>
              </w:tc>
              <w:tc>
                <w:tcPr>
                  <w:tcW w:w="1352" w:type="dxa"/>
                  <w:gridSpan w:val="3"/>
                  <w:tcBorders>
                    <w:tl2br w:val="nil"/>
                    <w:tr2bl w:val="nil"/>
                  </w:tcBorders>
                  <w:vAlign w:val="center"/>
                </w:tcPr>
                <w:p w14:paraId="233B92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取、弃土场</w:t>
                  </w:r>
                </w:p>
              </w:tc>
              <w:tc>
                <w:tcPr>
                  <w:tcW w:w="5902" w:type="dxa"/>
                  <w:tcBorders>
                    <w:tl2br w:val="nil"/>
                    <w:tr2bl w:val="nil"/>
                  </w:tcBorders>
                  <w:vAlign w:val="center"/>
                </w:tcPr>
                <w:p w14:paraId="16B2B3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根据项目主体工程设计资料及现场踏勘情况，本项目建设期无弃方，不需设置弃土（石、渣、灰、矸石、尾矿）场。施工产生的多余土方用于主要用于护岸堤身填筑等。</w:t>
                  </w:r>
                </w:p>
              </w:tc>
            </w:tr>
            <w:tr w14:paraId="21D741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05" w:type="dxa"/>
                  <w:vMerge w:val="restart"/>
                  <w:tcBorders>
                    <w:tl2br w:val="nil"/>
                    <w:tr2bl w:val="nil"/>
                  </w:tcBorders>
                  <w:vAlign w:val="center"/>
                </w:tcPr>
                <w:p w14:paraId="61204D0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公用</w:t>
                  </w:r>
                </w:p>
                <w:p w14:paraId="605AB8C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lang w:val="en-US" w:eastAsia="zh-CN"/>
                    </w:rPr>
                  </w:pPr>
                  <w:r>
                    <w:rPr>
                      <w:rFonts w:hint="default" w:ascii="Times New Roman" w:hAnsi="Times New Roman" w:eastAsia="宋体" w:cs="Times New Roman"/>
                      <w:b/>
                      <w:bCs/>
                      <w:color w:val="auto"/>
                      <w:spacing w:val="-3"/>
                      <w:sz w:val="21"/>
                      <w:szCs w:val="21"/>
                      <w:highlight w:val="none"/>
                      <w:lang w:val="en-US" w:eastAsia="zh-CN"/>
                    </w:rPr>
                    <w:t>工程</w:t>
                  </w:r>
                </w:p>
              </w:tc>
              <w:tc>
                <w:tcPr>
                  <w:tcW w:w="1352" w:type="dxa"/>
                  <w:gridSpan w:val="3"/>
                  <w:tcBorders>
                    <w:tl2br w:val="nil"/>
                    <w:tr2bl w:val="nil"/>
                  </w:tcBorders>
                  <w:vAlign w:val="center"/>
                </w:tcPr>
                <w:p w14:paraId="2C2F5D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供水</w:t>
                  </w:r>
                </w:p>
              </w:tc>
              <w:tc>
                <w:tcPr>
                  <w:tcW w:w="5902" w:type="dxa"/>
                  <w:tcBorders>
                    <w:tl2br w:val="nil"/>
                    <w:tr2bl w:val="nil"/>
                  </w:tcBorders>
                  <w:vAlign w:val="center"/>
                </w:tcPr>
                <w:p w14:paraId="2E051A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本工程生产用水量较小，就近取自河道、沟渠。生活用水依托周边村庄用水。</w:t>
                  </w:r>
                </w:p>
              </w:tc>
            </w:tr>
            <w:tr w14:paraId="22FB044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005" w:type="dxa"/>
                  <w:vMerge w:val="continue"/>
                  <w:tcBorders>
                    <w:tl2br w:val="nil"/>
                    <w:tr2bl w:val="nil"/>
                  </w:tcBorders>
                  <w:vAlign w:val="center"/>
                </w:tcPr>
                <w:p w14:paraId="7961815C">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lang w:val="en-US" w:eastAsia="zh-CN"/>
                    </w:rPr>
                  </w:pPr>
                </w:p>
              </w:tc>
              <w:tc>
                <w:tcPr>
                  <w:tcW w:w="1352" w:type="dxa"/>
                  <w:gridSpan w:val="3"/>
                  <w:tcBorders>
                    <w:tl2br w:val="nil"/>
                    <w:tr2bl w:val="nil"/>
                  </w:tcBorders>
                  <w:vAlign w:val="center"/>
                </w:tcPr>
                <w:p w14:paraId="3D97F6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r>
                    <w:rPr>
                      <w:rFonts w:hint="default" w:ascii="Times New Roman" w:hAnsi="Times New Roman" w:eastAsia="宋体" w:cs="Times New Roman"/>
                      <w:color w:val="auto"/>
                      <w:spacing w:val="13"/>
                      <w:sz w:val="21"/>
                      <w:szCs w:val="21"/>
                      <w:highlight w:val="none"/>
                      <w:lang w:val="en-US" w:eastAsia="zh-CN"/>
                    </w:rPr>
                    <w:t>供电</w:t>
                  </w:r>
                </w:p>
              </w:tc>
              <w:tc>
                <w:tcPr>
                  <w:tcW w:w="5902" w:type="dxa"/>
                  <w:tcBorders>
                    <w:tl2br w:val="nil"/>
                    <w:tr2bl w:val="nil"/>
                  </w:tcBorders>
                  <w:vAlign w:val="center"/>
                </w:tcPr>
                <w:p w14:paraId="79D992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工程用电负荷较小，可就近接用附近电网。</w:t>
                  </w:r>
                </w:p>
              </w:tc>
            </w:tr>
            <w:tr w14:paraId="3F5987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05" w:type="dxa"/>
                  <w:vMerge w:val="restart"/>
                  <w:tcBorders>
                    <w:tl2br w:val="nil"/>
                    <w:tr2bl w:val="nil"/>
                  </w:tcBorders>
                  <w:vAlign w:val="center"/>
                </w:tcPr>
                <w:p w14:paraId="339284D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lang w:val="en-US" w:eastAsia="zh-CN"/>
                    </w:rPr>
                  </w:pPr>
                  <w:r>
                    <w:rPr>
                      <w:rFonts w:hint="default" w:ascii="Times New Roman" w:hAnsi="Times New Roman" w:eastAsia="宋体" w:cs="Times New Roman"/>
                      <w:b/>
                      <w:bCs/>
                      <w:color w:val="auto"/>
                      <w:spacing w:val="-3"/>
                      <w:sz w:val="21"/>
                      <w:szCs w:val="21"/>
                      <w:highlight w:val="none"/>
                      <w:lang w:val="en-US" w:eastAsia="zh-CN"/>
                    </w:rPr>
                    <w:t>环保</w:t>
                  </w:r>
                </w:p>
                <w:p w14:paraId="07C2DAF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3"/>
                      <w:sz w:val="21"/>
                      <w:szCs w:val="21"/>
                      <w:highlight w:val="none"/>
                      <w:lang w:val="en-US" w:eastAsia="zh-CN"/>
                    </w:rPr>
                  </w:pPr>
                  <w:r>
                    <w:rPr>
                      <w:rFonts w:hint="default" w:ascii="Times New Roman" w:hAnsi="Times New Roman" w:eastAsia="宋体" w:cs="Times New Roman"/>
                      <w:b/>
                      <w:bCs/>
                      <w:color w:val="auto"/>
                      <w:spacing w:val="-3"/>
                      <w:sz w:val="21"/>
                      <w:szCs w:val="21"/>
                      <w:highlight w:val="none"/>
                      <w:lang w:val="en-US" w:eastAsia="zh-CN"/>
                    </w:rPr>
                    <w:t>工程</w:t>
                  </w:r>
                </w:p>
              </w:tc>
              <w:tc>
                <w:tcPr>
                  <w:tcW w:w="350" w:type="dxa"/>
                  <w:vMerge w:val="restart"/>
                  <w:tcBorders>
                    <w:tl2br w:val="nil"/>
                    <w:tr2bl w:val="nil"/>
                  </w:tcBorders>
                  <w:vAlign w:val="center"/>
                </w:tcPr>
                <w:p w14:paraId="5B18D4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施</w:t>
                  </w:r>
                </w:p>
                <w:p w14:paraId="4E44B7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工</w:t>
                  </w:r>
                </w:p>
                <w:p w14:paraId="03CD25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期</w:t>
                  </w:r>
                </w:p>
              </w:tc>
              <w:tc>
                <w:tcPr>
                  <w:tcW w:w="1002" w:type="dxa"/>
                  <w:gridSpan w:val="2"/>
                  <w:vMerge w:val="restart"/>
                  <w:tcBorders>
                    <w:tl2br w:val="nil"/>
                    <w:tr2bl w:val="nil"/>
                  </w:tcBorders>
                  <w:vAlign w:val="center"/>
                </w:tcPr>
                <w:p w14:paraId="5AEECC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废水治理</w:t>
                  </w:r>
                </w:p>
              </w:tc>
              <w:tc>
                <w:tcPr>
                  <w:tcW w:w="5902" w:type="dxa"/>
                  <w:tcBorders>
                    <w:tl2br w:val="nil"/>
                    <w:tr2bl w:val="nil"/>
                  </w:tcBorders>
                  <w:vAlign w:val="center"/>
                </w:tcPr>
                <w:p w14:paraId="0CC5CB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施工人员居住租用周边民居，生活污水排放依托租用周边民居的现有设施。</w:t>
                  </w:r>
                </w:p>
              </w:tc>
            </w:tr>
            <w:tr w14:paraId="2579FD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05" w:type="dxa"/>
                  <w:vMerge w:val="continue"/>
                  <w:tcBorders>
                    <w:tl2br w:val="nil"/>
                    <w:tr2bl w:val="nil"/>
                  </w:tcBorders>
                  <w:vAlign w:val="center"/>
                </w:tcPr>
                <w:p w14:paraId="65D757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350" w:type="dxa"/>
                  <w:vMerge w:val="continue"/>
                  <w:tcBorders>
                    <w:tl2br w:val="nil"/>
                    <w:tr2bl w:val="nil"/>
                  </w:tcBorders>
                  <w:vAlign w:val="center"/>
                </w:tcPr>
                <w:p w14:paraId="17AA68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1002" w:type="dxa"/>
                  <w:gridSpan w:val="2"/>
                  <w:vMerge w:val="continue"/>
                  <w:tcBorders>
                    <w:tl2br w:val="nil"/>
                    <w:tr2bl w:val="nil"/>
                  </w:tcBorders>
                  <w:vAlign w:val="center"/>
                </w:tcPr>
                <w:p w14:paraId="3EBA64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5902" w:type="dxa"/>
                  <w:tcBorders>
                    <w:tl2br w:val="nil"/>
                    <w:tr2bl w:val="nil"/>
                  </w:tcBorders>
                  <w:vAlign w:val="center"/>
                </w:tcPr>
                <w:p w14:paraId="6C181F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3处施工营地各设置一座沉淀池，施工废水沉淀后回用于项目区洒水抑尘，不外排。</w:t>
                  </w:r>
                </w:p>
              </w:tc>
            </w:tr>
            <w:tr w14:paraId="140EF4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05" w:type="dxa"/>
                  <w:vMerge w:val="continue"/>
                  <w:tcBorders>
                    <w:tl2br w:val="nil"/>
                    <w:tr2bl w:val="nil"/>
                  </w:tcBorders>
                  <w:vAlign w:val="center"/>
                </w:tcPr>
                <w:p w14:paraId="1ED2A5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p>
              </w:tc>
              <w:tc>
                <w:tcPr>
                  <w:tcW w:w="350" w:type="dxa"/>
                  <w:vMerge w:val="continue"/>
                  <w:tcBorders>
                    <w:tl2br w:val="nil"/>
                    <w:tr2bl w:val="nil"/>
                  </w:tcBorders>
                  <w:vAlign w:val="center"/>
                </w:tcPr>
                <w:p w14:paraId="797C4B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002" w:type="dxa"/>
                  <w:gridSpan w:val="2"/>
                  <w:vMerge w:val="restart"/>
                  <w:tcBorders>
                    <w:tl2br w:val="nil"/>
                    <w:tr2bl w:val="nil"/>
                  </w:tcBorders>
                  <w:vAlign w:val="center"/>
                </w:tcPr>
                <w:p w14:paraId="05F46C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废气治理</w:t>
                  </w:r>
                </w:p>
              </w:tc>
              <w:tc>
                <w:tcPr>
                  <w:tcW w:w="5902" w:type="dxa"/>
                  <w:tcBorders>
                    <w:tl2br w:val="nil"/>
                    <w:tr2bl w:val="nil"/>
                  </w:tcBorders>
                  <w:vAlign w:val="center"/>
                </w:tcPr>
                <w:p w14:paraId="03EEA7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施工场地设置施工围挡、土方开挖采用湿法作业、及时洒水降尘、运输车辆加盖篷布、车辆驶离工地前应在洗车平台清洗轮胎、不得带泥上路等。</w:t>
                  </w:r>
                </w:p>
              </w:tc>
            </w:tr>
            <w:tr w14:paraId="080D12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05" w:type="dxa"/>
                  <w:vMerge w:val="continue"/>
                  <w:tcBorders>
                    <w:tl2br w:val="nil"/>
                    <w:tr2bl w:val="nil"/>
                  </w:tcBorders>
                  <w:vAlign w:val="center"/>
                </w:tcPr>
                <w:p w14:paraId="69E07D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350" w:type="dxa"/>
                  <w:vMerge w:val="continue"/>
                  <w:tcBorders>
                    <w:tl2br w:val="nil"/>
                    <w:tr2bl w:val="nil"/>
                  </w:tcBorders>
                  <w:vAlign w:val="center"/>
                </w:tcPr>
                <w:p w14:paraId="217A71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1002" w:type="dxa"/>
                  <w:gridSpan w:val="2"/>
                  <w:vMerge w:val="continue"/>
                  <w:tcBorders>
                    <w:tl2br w:val="nil"/>
                    <w:tr2bl w:val="nil"/>
                  </w:tcBorders>
                  <w:vAlign w:val="center"/>
                </w:tcPr>
                <w:p w14:paraId="7C94C2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5902" w:type="dxa"/>
                  <w:tcBorders>
                    <w:tl2br w:val="nil"/>
                    <w:tr2bl w:val="nil"/>
                  </w:tcBorders>
                  <w:vAlign w:val="center"/>
                </w:tcPr>
                <w:p w14:paraId="3C7E70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施工机械废气：加强施工机械的使用管理和保养维修，合理降低使用次数，优化机械设备。</w:t>
                  </w:r>
                </w:p>
              </w:tc>
            </w:tr>
            <w:tr w14:paraId="3FAF63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05" w:type="dxa"/>
                  <w:vMerge w:val="continue"/>
                  <w:tcBorders>
                    <w:tl2br w:val="nil"/>
                    <w:tr2bl w:val="nil"/>
                  </w:tcBorders>
                  <w:vAlign w:val="center"/>
                </w:tcPr>
                <w:p w14:paraId="412226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350" w:type="dxa"/>
                  <w:vMerge w:val="continue"/>
                  <w:tcBorders>
                    <w:tl2br w:val="nil"/>
                    <w:tr2bl w:val="nil"/>
                  </w:tcBorders>
                  <w:vAlign w:val="center"/>
                </w:tcPr>
                <w:p w14:paraId="6C6ECC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1002" w:type="dxa"/>
                  <w:gridSpan w:val="2"/>
                  <w:vMerge w:val="continue"/>
                  <w:tcBorders>
                    <w:tl2br w:val="nil"/>
                    <w:tr2bl w:val="nil"/>
                  </w:tcBorders>
                  <w:vAlign w:val="center"/>
                </w:tcPr>
                <w:p w14:paraId="32EDCF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5902" w:type="dxa"/>
                  <w:tcBorders>
                    <w:tl2br w:val="nil"/>
                    <w:tr2bl w:val="nil"/>
                  </w:tcBorders>
                  <w:vAlign w:val="center"/>
                </w:tcPr>
                <w:p w14:paraId="4B2796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清淤臭味：向沟道淤泥层投加功能微生物抑制剂，减小淤泥散发的臭味。</w:t>
                  </w:r>
                </w:p>
              </w:tc>
            </w:tr>
            <w:tr w14:paraId="7B6291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005" w:type="dxa"/>
                  <w:vMerge w:val="continue"/>
                  <w:tcBorders>
                    <w:tl2br w:val="nil"/>
                    <w:tr2bl w:val="nil"/>
                  </w:tcBorders>
                  <w:vAlign w:val="center"/>
                </w:tcPr>
                <w:p w14:paraId="73BA83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350" w:type="dxa"/>
                  <w:vMerge w:val="continue"/>
                  <w:tcBorders>
                    <w:tl2br w:val="nil"/>
                    <w:tr2bl w:val="nil"/>
                  </w:tcBorders>
                  <w:vAlign w:val="center"/>
                </w:tcPr>
                <w:p w14:paraId="570B05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002" w:type="dxa"/>
                  <w:gridSpan w:val="2"/>
                  <w:tcBorders>
                    <w:tl2br w:val="nil"/>
                    <w:tr2bl w:val="nil"/>
                  </w:tcBorders>
                  <w:vAlign w:val="center"/>
                </w:tcPr>
                <w:p w14:paraId="7E4833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噪声治理</w:t>
                  </w:r>
                </w:p>
              </w:tc>
              <w:tc>
                <w:tcPr>
                  <w:tcW w:w="5902" w:type="dxa"/>
                  <w:tcBorders>
                    <w:tl2br w:val="nil"/>
                    <w:tr2bl w:val="nil"/>
                  </w:tcBorders>
                  <w:vAlign w:val="center"/>
                </w:tcPr>
                <w:p w14:paraId="798EC7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施工期合理安排施工时间，选用低噪声设备。</w:t>
                  </w:r>
                </w:p>
              </w:tc>
            </w:tr>
            <w:tr w14:paraId="74E798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05" w:type="dxa"/>
                  <w:vMerge w:val="continue"/>
                  <w:tcBorders>
                    <w:tl2br w:val="nil"/>
                    <w:tr2bl w:val="nil"/>
                  </w:tcBorders>
                  <w:vAlign w:val="center"/>
                </w:tcPr>
                <w:p w14:paraId="24F8F6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350" w:type="dxa"/>
                  <w:vMerge w:val="continue"/>
                  <w:tcBorders>
                    <w:tl2br w:val="nil"/>
                    <w:tr2bl w:val="nil"/>
                  </w:tcBorders>
                  <w:vAlign w:val="center"/>
                </w:tcPr>
                <w:p w14:paraId="7A8E43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002" w:type="dxa"/>
                  <w:gridSpan w:val="2"/>
                  <w:vMerge w:val="restart"/>
                  <w:tcBorders>
                    <w:tl2br w:val="nil"/>
                    <w:tr2bl w:val="nil"/>
                  </w:tcBorders>
                  <w:vAlign w:val="center"/>
                </w:tcPr>
                <w:p w14:paraId="27321F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固废</w:t>
                  </w:r>
                </w:p>
              </w:tc>
              <w:tc>
                <w:tcPr>
                  <w:tcW w:w="5902" w:type="dxa"/>
                  <w:tcBorders>
                    <w:tl2br w:val="nil"/>
                    <w:tr2bl w:val="nil"/>
                  </w:tcBorders>
                  <w:vAlign w:val="center"/>
                </w:tcPr>
                <w:p w14:paraId="025472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生活垃圾：项目区不设置施工生活营地，施工生活营地依托周边村庄，项目施工区生活垃圾在施工现场集中分类收集送至临近村庄生活垃圾收集点，由当地环卫部门统一清运处理。</w:t>
                  </w:r>
                </w:p>
              </w:tc>
            </w:tr>
            <w:tr w14:paraId="20A828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05" w:type="dxa"/>
                  <w:vMerge w:val="continue"/>
                  <w:tcBorders>
                    <w:tl2br w:val="nil"/>
                    <w:tr2bl w:val="nil"/>
                  </w:tcBorders>
                  <w:vAlign w:val="center"/>
                </w:tcPr>
                <w:p w14:paraId="2F76D1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350" w:type="dxa"/>
                  <w:vMerge w:val="continue"/>
                  <w:tcBorders>
                    <w:tl2br w:val="nil"/>
                    <w:tr2bl w:val="nil"/>
                  </w:tcBorders>
                  <w:vAlign w:val="center"/>
                </w:tcPr>
                <w:p w14:paraId="0EF50F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1002" w:type="dxa"/>
                  <w:gridSpan w:val="2"/>
                  <w:vMerge w:val="continue"/>
                  <w:tcBorders>
                    <w:tl2br w:val="nil"/>
                    <w:tr2bl w:val="nil"/>
                  </w:tcBorders>
                  <w:vAlign w:val="center"/>
                </w:tcPr>
                <w:p w14:paraId="7AAA21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5902" w:type="dxa"/>
                  <w:tcBorders>
                    <w:tl2br w:val="nil"/>
                    <w:tr2bl w:val="nil"/>
                  </w:tcBorders>
                  <w:vAlign w:val="center"/>
                </w:tcPr>
                <w:p w14:paraId="31C0FA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建筑垃圾：拆除废物、建筑垃圾定期运至环卫部门指定的建筑垃圾填埋场进行处置。</w:t>
                  </w:r>
                </w:p>
              </w:tc>
            </w:tr>
            <w:tr w14:paraId="732AB4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05" w:type="dxa"/>
                  <w:vMerge w:val="continue"/>
                  <w:tcBorders>
                    <w:tl2br w:val="nil"/>
                    <w:tr2bl w:val="nil"/>
                  </w:tcBorders>
                  <w:vAlign w:val="center"/>
                </w:tcPr>
                <w:p w14:paraId="0612DB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350" w:type="dxa"/>
                  <w:vMerge w:val="continue"/>
                  <w:tcBorders>
                    <w:tl2br w:val="nil"/>
                    <w:tr2bl w:val="nil"/>
                  </w:tcBorders>
                  <w:vAlign w:val="center"/>
                </w:tcPr>
                <w:p w14:paraId="1896A3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1002" w:type="dxa"/>
                  <w:gridSpan w:val="2"/>
                  <w:vMerge w:val="continue"/>
                  <w:tcBorders>
                    <w:tl2br w:val="nil"/>
                    <w:tr2bl w:val="nil"/>
                  </w:tcBorders>
                  <w:vAlign w:val="center"/>
                </w:tcPr>
                <w:p w14:paraId="5AF9E3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5902" w:type="dxa"/>
                  <w:tcBorders>
                    <w:tl2br w:val="nil"/>
                    <w:tr2bl w:val="nil"/>
                  </w:tcBorders>
                  <w:vAlign w:val="center"/>
                </w:tcPr>
                <w:p w14:paraId="109CF0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多余土方和沟道淤泥：多余土方主要用于护岸堤身填筑；根据底泥检测结果可知，底泥各评价因子监测值均符合《土壤环境质量农用地土壤污染风险管控标准（试行）（GB15618-2018）》表1农用地土壤污染风险筛选值（基本项目）的标准限值，因此淤泥干化后，直接由运输车辆送至本项目河道生境构建工程（用于植被恢复）、生态步道工程（绿化工程用于种植土补充和场地平整）等综合利用。</w:t>
                  </w:r>
                </w:p>
              </w:tc>
            </w:tr>
            <w:tr w14:paraId="1EF726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005" w:type="dxa"/>
                  <w:vMerge w:val="continue"/>
                  <w:tcBorders>
                    <w:tl2br w:val="nil"/>
                    <w:tr2bl w:val="nil"/>
                  </w:tcBorders>
                  <w:vAlign w:val="center"/>
                </w:tcPr>
                <w:p w14:paraId="59CF5F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yellow"/>
                      <w:lang w:val="en-US" w:eastAsia="zh-CN"/>
                    </w:rPr>
                  </w:pPr>
                </w:p>
              </w:tc>
              <w:tc>
                <w:tcPr>
                  <w:tcW w:w="350" w:type="dxa"/>
                  <w:vMerge w:val="continue"/>
                  <w:tcBorders>
                    <w:tl2br w:val="nil"/>
                    <w:tr2bl w:val="nil"/>
                  </w:tcBorders>
                  <w:vAlign w:val="center"/>
                </w:tcPr>
                <w:p w14:paraId="6A6031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none"/>
                      <w:lang w:val="en-US" w:eastAsia="zh-CN"/>
                    </w:rPr>
                  </w:pPr>
                </w:p>
              </w:tc>
              <w:tc>
                <w:tcPr>
                  <w:tcW w:w="1002" w:type="dxa"/>
                  <w:gridSpan w:val="2"/>
                  <w:tcBorders>
                    <w:tl2br w:val="nil"/>
                    <w:tr2bl w:val="nil"/>
                  </w:tcBorders>
                  <w:vAlign w:val="center"/>
                </w:tcPr>
                <w:p w14:paraId="2C1538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3"/>
                      <w:sz w:val="21"/>
                      <w:szCs w:val="21"/>
                      <w:highlight w:val="none"/>
                      <w:lang w:val="en-US" w:eastAsia="zh-CN"/>
                    </w:rPr>
                  </w:pPr>
                  <w:r>
                    <w:rPr>
                      <w:rFonts w:hint="eastAsia" w:ascii="Times New Roman" w:hAnsi="Times New Roman" w:eastAsia="宋体" w:cs="Times New Roman"/>
                      <w:color w:val="auto"/>
                      <w:spacing w:val="13"/>
                      <w:sz w:val="21"/>
                      <w:szCs w:val="21"/>
                      <w:highlight w:val="none"/>
                      <w:lang w:val="en-US" w:eastAsia="zh-CN"/>
                    </w:rPr>
                    <w:t>生态恢复</w:t>
                  </w:r>
                </w:p>
              </w:tc>
              <w:tc>
                <w:tcPr>
                  <w:tcW w:w="5902" w:type="dxa"/>
                  <w:tcBorders>
                    <w:tl2br w:val="nil"/>
                    <w:tr2bl w:val="nil"/>
                  </w:tcBorders>
                  <w:vAlign w:val="center"/>
                </w:tcPr>
                <w:p w14:paraId="357F2B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施工期分段施工、植被及时恢复。</w:t>
                  </w:r>
                </w:p>
              </w:tc>
            </w:tr>
            <w:tr w14:paraId="28F320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005" w:type="dxa"/>
                  <w:vMerge w:val="continue"/>
                  <w:tcBorders>
                    <w:tl2br w:val="nil"/>
                    <w:tr2bl w:val="nil"/>
                  </w:tcBorders>
                  <w:vAlign w:val="center"/>
                </w:tcPr>
                <w:p w14:paraId="646FE4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3"/>
                      <w:sz w:val="21"/>
                      <w:szCs w:val="21"/>
                      <w:highlight w:val="yellow"/>
                      <w:lang w:val="en-US" w:eastAsia="zh-CN"/>
                    </w:rPr>
                  </w:pPr>
                </w:p>
              </w:tc>
              <w:tc>
                <w:tcPr>
                  <w:tcW w:w="1352" w:type="dxa"/>
                  <w:gridSpan w:val="3"/>
                  <w:tcBorders>
                    <w:tl2br w:val="nil"/>
                    <w:tr2bl w:val="nil"/>
                  </w:tcBorders>
                  <w:vAlign w:val="center"/>
                </w:tcPr>
                <w:p w14:paraId="3819BD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3"/>
                      <w:sz w:val="21"/>
                      <w:szCs w:val="21"/>
                      <w:highlight w:val="none"/>
                      <w:lang w:val="en-US" w:eastAsia="zh-CN"/>
                    </w:rPr>
                  </w:pPr>
                  <w:r>
                    <w:rPr>
                      <w:rFonts w:hint="eastAsia" w:ascii="Times New Roman" w:hAnsi="Times New Roman" w:eastAsia="宋体" w:cs="Times New Roman"/>
                      <w:color w:val="auto"/>
                      <w:spacing w:val="13"/>
                      <w:sz w:val="21"/>
                      <w:szCs w:val="21"/>
                      <w:highlight w:val="none"/>
                      <w:lang w:val="en-US" w:eastAsia="zh-CN"/>
                    </w:rPr>
                    <w:t>环境监测</w:t>
                  </w:r>
                </w:p>
              </w:tc>
              <w:tc>
                <w:tcPr>
                  <w:tcW w:w="5902" w:type="dxa"/>
                  <w:tcBorders>
                    <w:tl2br w:val="nil"/>
                    <w:tr2bl w:val="nil"/>
                  </w:tcBorders>
                  <w:vAlign w:val="center"/>
                </w:tcPr>
                <w:p w14:paraId="684C5E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2" w:firstLineChars="50"/>
                    <w:jc w:val="left"/>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施工期开展大气、噪声、固废监测；运营期开展生态监测。</w:t>
                  </w:r>
                </w:p>
              </w:tc>
            </w:tr>
          </w:tbl>
          <w:p w14:paraId="4086318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4 项目方案</w:t>
            </w:r>
          </w:p>
          <w:p w14:paraId="4739528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 xml:space="preserve">4.1 </w:t>
            </w:r>
            <w:r>
              <w:rPr>
                <w:rFonts w:hint="default" w:ascii="Times New Roman" w:hAnsi="Times New Roman" w:eastAsia="Times New Roman" w:cs="Times New Roman"/>
                <w:b/>
                <w:bCs/>
                <w:color w:val="auto"/>
                <w:spacing w:val="-2"/>
                <w:lang w:val="en-US" w:eastAsia="zh-CN"/>
              </w:rPr>
              <w:t>城乡供水一体化及水土保持</w:t>
            </w:r>
            <w:r>
              <w:rPr>
                <w:rFonts w:hint="eastAsia" w:ascii="Times New Roman" w:hAnsi="Times New Roman" w:eastAsia="Times New Roman" w:cs="Times New Roman"/>
                <w:b/>
                <w:bCs/>
                <w:color w:val="auto"/>
                <w:spacing w:val="-2"/>
                <w:lang w:val="en-US" w:eastAsia="zh-CN"/>
              </w:rPr>
              <w:t>（河道治理）</w:t>
            </w:r>
          </w:p>
          <w:p w14:paraId="7339E76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城乡供水一体化及水土保持包括</w:t>
            </w:r>
            <w:r>
              <w:rPr>
                <w:rFonts w:hint="eastAsia" w:ascii="Times New Roman" w:hAnsi="Times New Roman" w:eastAsia="宋体" w:cs="Times New Roman"/>
                <w:snapToGrid w:val="0"/>
                <w:color w:val="auto"/>
                <w:spacing w:val="8"/>
                <w:kern w:val="0"/>
                <w:sz w:val="24"/>
                <w:szCs w:val="24"/>
                <w:lang w:val="en-US" w:eastAsia="en-US" w:bidi="ar-SA"/>
              </w:rPr>
              <w:t>泾河支流羊漕河水生态修复</w:t>
            </w:r>
            <w:r>
              <w:rPr>
                <w:rFonts w:hint="eastAsia" w:ascii="Times New Roman" w:hAnsi="Times New Roman" w:eastAsia="宋体" w:cs="Times New Roman"/>
                <w:snapToGrid w:val="0"/>
                <w:color w:val="auto"/>
                <w:spacing w:val="8"/>
                <w:kern w:val="0"/>
                <w:sz w:val="24"/>
                <w:szCs w:val="24"/>
                <w:lang w:val="en-US" w:eastAsia="zh-CN" w:bidi="ar-SA"/>
              </w:rPr>
              <w:t>及生态沟渠的水生态治理。</w:t>
            </w:r>
          </w:p>
          <w:p w14:paraId="4826F36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4.1.1 泾河支流羊漕河水生态修复</w:t>
            </w:r>
          </w:p>
          <w:p w14:paraId="6E0CDE8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（1）河道生境构建工程</w:t>
            </w:r>
          </w:p>
          <w:p w14:paraId="35B4E6A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河道生境构建工程，包括清淤与种植水生植物。</w:t>
            </w:r>
          </w:p>
          <w:p w14:paraId="4B0B987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①河道清淤：河道底泥一方面易导致水体返臭，降低透明度；另一方面，底部厌氧发酵对植物生长造成影响，因此需进行基底改善。底泥清理主要工艺通过机械干挖方式清理底泥，施工时序选择在枯水期，羊槽河（羊槽村段）河道治理长度为3.926km，沟底宽度约4-6m，沟底清淤平均深度按照0.4m考虑，基底改善3021m</w:t>
            </w:r>
            <w:r>
              <w:rPr>
                <w:rFonts w:hint="eastAsia" w:ascii="Times New Roman" w:hAnsi="Times New Roman" w:eastAsia="宋体" w:cs="Times New Roman"/>
                <w:snapToGrid w:val="0"/>
                <w:color w:val="auto"/>
                <w:spacing w:val="8"/>
                <w:kern w:val="0"/>
                <w:sz w:val="24"/>
                <w:szCs w:val="24"/>
                <w:vertAlign w:val="superscript"/>
                <w:lang w:val="en-US" w:eastAsia="zh-CN" w:bidi="ar-SA"/>
              </w:rPr>
              <w:t>3</w:t>
            </w:r>
            <w:r>
              <w:rPr>
                <w:rFonts w:hint="eastAsia" w:ascii="Times New Roman" w:hAnsi="Times New Roman" w:eastAsia="宋体" w:cs="Times New Roman"/>
                <w:snapToGrid w:val="0"/>
                <w:color w:val="auto"/>
                <w:spacing w:val="8"/>
                <w:kern w:val="0"/>
                <w:sz w:val="24"/>
                <w:szCs w:val="24"/>
                <w:lang w:val="en-US" w:eastAsia="zh-CN" w:bidi="ar-SA"/>
              </w:rPr>
              <w:t>。</w:t>
            </w:r>
          </w:p>
          <w:p w14:paraId="62A903B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②种植水生植物：</w:t>
            </w:r>
            <w:r>
              <w:rPr>
                <w:rFonts w:hint="default" w:ascii="Times New Roman" w:hAnsi="Times New Roman" w:eastAsia="宋体" w:cs="Times New Roman"/>
                <w:snapToGrid w:val="0"/>
                <w:color w:val="auto"/>
                <w:spacing w:val="8"/>
                <w:kern w:val="0"/>
                <w:sz w:val="24"/>
                <w:szCs w:val="24"/>
                <w:lang w:val="en-US" w:eastAsia="zh-CN" w:bidi="ar-SA"/>
              </w:rPr>
              <w:t>因沟渠宽度较小、日常蓄水量不多且需有一定的排水功能，故不设置浮叶植物，水生植物种植以挺水植物和沉水植物为主，在沟底两侧坡脚处种植挺水植物，单侧种植宽度≤3m，主要发挥植物净化功能</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同一批种植的植物植株应大小均匀，种植时间应根据植物生长特性确定，一般在春季或初夏，必要时也可在夏季、秋季种植，但应采取保证成活率的措施。应根据植物种类与工艺类型合理确定种植密度，挺水植物宜为9株/m</w:t>
            </w:r>
            <w:r>
              <w:rPr>
                <w:rFonts w:hint="default"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25株/m</w:t>
            </w:r>
            <w:r>
              <w:rPr>
                <w:rFonts w:hint="default" w:ascii="Times New Roman" w:hAnsi="Times New Roman" w:eastAsia="宋体" w:cs="Times New Roman"/>
                <w:snapToGrid w:val="0"/>
                <w:color w:val="auto"/>
                <w:spacing w:val="8"/>
                <w:kern w:val="0"/>
                <w:sz w:val="24"/>
                <w:szCs w:val="24"/>
                <w:vertAlign w:val="superscript"/>
                <w:lang w:val="en-US" w:eastAsia="zh-CN" w:bidi="ar-SA"/>
              </w:rPr>
              <w:t>2</w:t>
            </w:r>
            <w:r>
              <w:rPr>
                <w:rFonts w:hint="default" w:ascii="Times New Roman" w:hAnsi="Times New Roman" w:eastAsia="宋体" w:cs="Times New Roman"/>
                <w:snapToGrid w:val="0"/>
                <w:color w:val="auto"/>
                <w:spacing w:val="8"/>
                <w:kern w:val="0"/>
                <w:sz w:val="24"/>
                <w:szCs w:val="24"/>
                <w:lang w:val="en-US" w:eastAsia="zh-CN" w:bidi="ar-SA"/>
              </w:rPr>
              <w:t>。</w:t>
            </w:r>
            <w:r>
              <w:rPr>
                <w:rFonts w:hint="eastAsia" w:ascii="Times New Roman" w:hAnsi="Times New Roman" w:eastAsia="宋体" w:cs="Times New Roman"/>
                <w:snapToGrid w:val="0"/>
                <w:color w:val="auto"/>
                <w:spacing w:val="8"/>
                <w:kern w:val="0"/>
                <w:sz w:val="24"/>
                <w:szCs w:val="24"/>
                <w:lang w:val="en-US" w:eastAsia="zh-CN" w:bidi="ar-SA"/>
              </w:rPr>
              <w:t>本项目种植水葱、黄菖蒲、睡莲等水生植物2612</w:t>
            </w:r>
            <w:r>
              <w:rPr>
                <w:rFonts w:hint="default" w:ascii="Times New Roman" w:hAnsi="Times New Roman" w:eastAsia="宋体" w:cs="Times New Roman"/>
                <w:snapToGrid w:val="0"/>
                <w:color w:val="auto"/>
                <w:spacing w:val="8"/>
                <w:kern w:val="0"/>
                <w:sz w:val="24"/>
                <w:szCs w:val="24"/>
                <w:lang w:val="en-US" w:eastAsia="zh-CN" w:bidi="ar-SA"/>
              </w:rPr>
              <w:t>m</w:t>
            </w:r>
            <w:r>
              <w:rPr>
                <w:rFonts w:hint="default"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p>
          <w:p w14:paraId="4DA90C7E">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（2）生态护坡工程</w:t>
            </w:r>
          </w:p>
          <w:p w14:paraId="0260961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本工程</w:t>
            </w:r>
            <w:r>
              <w:rPr>
                <w:rFonts w:hint="eastAsia" w:ascii="Times New Roman" w:hAnsi="Times New Roman" w:eastAsia="宋体" w:cs="Times New Roman"/>
                <w:snapToGrid w:val="0"/>
                <w:color w:val="auto"/>
                <w:spacing w:val="8"/>
                <w:kern w:val="0"/>
                <w:sz w:val="24"/>
                <w:szCs w:val="24"/>
                <w:lang w:val="en-US" w:eastAsia="zh-CN" w:bidi="ar-SA"/>
              </w:rPr>
              <w:t>共修复现状破损</w:t>
            </w:r>
            <w:r>
              <w:rPr>
                <w:rFonts w:hint="default" w:ascii="Times New Roman" w:hAnsi="Times New Roman" w:eastAsia="宋体" w:cs="Times New Roman"/>
                <w:snapToGrid w:val="0"/>
                <w:color w:val="auto"/>
                <w:spacing w:val="8"/>
                <w:kern w:val="0"/>
                <w:sz w:val="24"/>
                <w:szCs w:val="24"/>
                <w:lang w:val="en-US" w:eastAsia="zh-CN" w:bidi="ar-SA"/>
              </w:rPr>
              <w:t>生态护岸共计</w:t>
            </w:r>
            <w:r>
              <w:rPr>
                <w:rFonts w:hint="eastAsia" w:ascii="Times New Roman" w:hAnsi="Times New Roman" w:eastAsia="宋体" w:cs="Times New Roman"/>
                <w:snapToGrid w:val="0"/>
                <w:color w:val="auto"/>
                <w:spacing w:val="8"/>
                <w:kern w:val="0"/>
                <w:sz w:val="24"/>
                <w:szCs w:val="24"/>
                <w:lang w:val="en-US" w:eastAsia="zh-CN" w:bidi="ar-SA"/>
              </w:rPr>
              <w:t>528</w:t>
            </w:r>
            <w:r>
              <w:rPr>
                <w:rFonts w:hint="default" w:ascii="Times New Roman" w:hAnsi="Times New Roman" w:eastAsia="宋体" w:cs="Times New Roman"/>
                <w:snapToGrid w:val="0"/>
                <w:color w:val="auto"/>
                <w:spacing w:val="8"/>
                <w:kern w:val="0"/>
                <w:sz w:val="24"/>
                <w:szCs w:val="24"/>
                <w:lang w:val="en-US" w:eastAsia="zh-CN" w:bidi="ar-SA"/>
              </w:rPr>
              <w:t>m</w:t>
            </w:r>
            <w:r>
              <w:rPr>
                <w:rFonts w:hint="eastAsia" w:ascii="Times New Roman" w:hAnsi="Times New Roman" w:eastAsia="宋体" w:cs="Times New Roman"/>
                <w:snapToGrid w:val="0"/>
                <w:color w:val="auto"/>
                <w:spacing w:val="8"/>
                <w:kern w:val="0"/>
                <w:sz w:val="24"/>
                <w:szCs w:val="24"/>
                <w:lang w:val="en-US" w:eastAsia="zh-CN" w:bidi="ar-SA"/>
              </w:rPr>
              <w:t>，撒播草籽10688m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护坡+基础采用格宾网垫+生态袋+格宾网箱砌护，格宾网丝采用锌-10%铝-稀土合金镀层低碳钢丝。为防止洪水将坝体内壤土带出，在护坡石笼与土体之间设针刺短丝无纺土工布反滤层，土工布规格为250g/m</w:t>
            </w:r>
            <w:r>
              <w:rPr>
                <w:rFonts w:hint="default" w:ascii="Times New Roman" w:hAnsi="Times New Roman" w:eastAsia="宋体" w:cs="Times New Roman"/>
                <w:snapToGrid w:val="0"/>
                <w:color w:val="auto"/>
                <w:spacing w:val="8"/>
                <w:kern w:val="0"/>
                <w:sz w:val="24"/>
                <w:szCs w:val="24"/>
                <w:vertAlign w:val="superscript"/>
                <w:lang w:val="en-US" w:eastAsia="zh-CN" w:bidi="ar-SA"/>
              </w:rPr>
              <w:t>2</w:t>
            </w:r>
            <w:r>
              <w:rPr>
                <w:rFonts w:hint="default" w:ascii="Times New Roman" w:hAnsi="Times New Roman" w:eastAsia="宋体" w:cs="Times New Roman"/>
                <w:snapToGrid w:val="0"/>
                <w:color w:val="auto"/>
                <w:spacing w:val="8"/>
                <w:kern w:val="0"/>
                <w:sz w:val="24"/>
                <w:szCs w:val="24"/>
                <w:lang w:val="en-US" w:eastAsia="zh-CN" w:bidi="ar-SA"/>
              </w:rPr>
              <w:t>，断裂强力&gt;8.0knm，顶破强力&gt;1.2KN，撕破强力&gt;0.2KN，厚度&gt;2.1mm。</w:t>
            </w:r>
          </w:p>
          <w:p w14:paraId="3CE9DAB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基础采用结构，为格宾网箱基础。铺设宽度参考国内同类工程及相关试验数据，基础厚度多为1.0m，基础铺设宽度一般为冲刷深度（河床至设计洪水冲刷线的深度）+0.5米，设计基础厚度取1.0m铺设宽度取冲深+0.5米，考虑到护脚体运行期受到冲刷后头部会下倾设计分两层砌筑，即总厚度1.0m，宽度1.5m，受洪水冲刷护脚体下倾，上部石笼下滑后总宽度极限宽度可达2倍冲深。</w:t>
            </w:r>
          </w:p>
          <w:p w14:paraId="55C7BC58">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color w:val="auto"/>
                <w:kern w:val="2"/>
                <w:sz w:val="24"/>
                <w:szCs w:val="24"/>
              </w:rPr>
            </w:pPr>
            <w:r>
              <w:rPr>
                <w:rFonts w:hint="default" w:ascii="Times New Roman" w:hAnsi="Times New Roman" w:eastAsia="宋体" w:cs="Times New Roman"/>
                <w:b/>
                <w:snapToGrid w:val="0"/>
                <w:color w:val="auto"/>
                <w:kern w:val="2"/>
                <w:sz w:val="21"/>
                <w:szCs w:val="21"/>
                <w:lang w:val="en-US" w:eastAsia="zh-CN" w:bidi="ar"/>
              </w:rPr>
              <w:drawing>
                <wp:inline distT="0" distB="0" distL="114300" distR="114300">
                  <wp:extent cx="5021580" cy="2298700"/>
                  <wp:effectExtent l="19050" t="19050" r="26670" b="25400"/>
                  <wp:docPr id="532" name="图片 1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134" descr="IMG_258"/>
                          <pic:cNvPicPr>
                            <a:picLocks noChangeAspect="1"/>
                          </pic:cNvPicPr>
                        </pic:nvPicPr>
                        <pic:blipFill>
                          <a:blip r:embed="rId13"/>
                          <a:srcRect t="7106" b="5486"/>
                          <a:stretch>
                            <a:fillRect/>
                          </a:stretch>
                        </pic:blipFill>
                        <pic:spPr>
                          <a:xfrm>
                            <a:off x="0" y="0"/>
                            <a:ext cx="5021580" cy="2298700"/>
                          </a:xfrm>
                          <a:prstGeom prst="rect">
                            <a:avLst/>
                          </a:prstGeom>
                          <a:noFill/>
                          <a:ln w="19050">
                            <a:solidFill>
                              <a:schemeClr val="tx1"/>
                            </a:solidFill>
                          </a:ln>
                        </pic:spPr>
                      </pic:pic>
                    </a:graphicData>
                  </a:graphic>
                </wp:inline>
              </w:drawing>
            </w:r>
          </w:p>
          <w:p w14:paraId="19063F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图2-1  羊槽河（羊槽村段）</w:t>
            </w:r>
            <w:r>
              <w:rPr>
                <w:rFonts w:hint="default" w:ascii="Times New Roman" w:hAnsi="Times New Roman" w:eastAsia="宋体" w:cs="Times New Roman"/>
                <w:b/>
                <w:bCs/>
                <w:snapToGrid w:val="0"/>
                <w:color w:val="auto"/>
                <w:spacing w:val="7"/>
                <w:kern w:val="0"/>
                <w:sz w:val="21"/>
                <w:szCs w:val="21"/>
                <w:lang w:val="en-US" w:eastAsia="zh-CN" w:bidi="ar-SA"/>
              </w:rPr>
              <w:t>生态护岸标准横断面图</w:t>
            </w:r>
          </w:p>
          <w:p w14:paraId="08BD4CFE">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（3）生态步道工程、绿化工程及科普宣教工程</w:t>
            </w:r>
          </w:p>
          <w:p w14:paraId="68304CA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①生态步道工程包括道路硬化、道路面层更换及破损道路路基更换。其中3米宽混凝土道路硬化1469m；3米宽道路面层更换（彩色沥青混凝土）2594m；破损道路路基修缮78m；路肩硬化拆除320m。</w:t>
            </w:r>
          </w:p>
          <w:p w14:paraId="673735C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②绿化工程包括在道路两侧构建乔木+灌木篱+地被覆层绿化带、种植土及场地平整。其中乔木735株，品种为垂柳、旱柳和金叶复叶槭；灌木篱2603.4m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，品种为四季玫瑰、紫叶矮樱、金银木、红瑞木；地被3037.6m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，品种为大花萱草、马蔺。种植土2948m</w:t>
            </w:r>
            <w:r>
              <w:rPr>
                <w:rFonts w:hint="eastAsia" w:ascii="Times New Roman" w:hAnsi="Times New Roman" w:eastAsia="宋体" w:cs="Times New Roman"/>
                <w:snapToGrid w:val="0"/>
                <w:color w:val="auto"/>
                <w:spacing w:val="8"/>
                <w:kern w:val="0"/>
                <w:sz w:val="24"/>
                <w:szCs w:val="24"/>
                <w:vertAlign w:val="superscript"/>
                <w:lang w:val="en-US" w:eastAsia="zh-CN" w:bidi="ar-SA"/>
              </w:rPr>
              <w:t>3</w:t>
            </w:r>
            <w:r>
              <w:rPr>
                <w:rFonts w:hint="eastAsia" w:ascii="Times New Roman" w:hAnsi="Times New Roman" w:eastAsia="宋体" w:cs="Times New Roman"/>
                <w:snapToGrid w:val="0"/>
                <w:color w:val="auto"/>
                <w:spacing w:val="8"/>
                <w:kern w:val="0"/>
                <w:sz w:val="24"/>
                <w:szCs w:val="24"/>
                <w:lang w:val="en-US" w:eastAsia="zh-CN" w:bidi="ar-SA"/>
              </w:rPr>
              <w:t>；场地平整9676m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p>
          <w:p w14:paraId="5B2308E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③科普宣教工程包括布设雕塑小品、标识标牌等内容。其中，放置5组雕塑小品；布设4个标识标牌。</w:t>
            </w:r>
          </w:p>
          <w:p w14:paraId="74C837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4.1.2 生态沟渠</w:t>
            </w:r>
          </w:p>
          <w:p w14:paraId="20A8B6E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①生态沟渠（红土沟）：主要对3158m的红土沟沟内及沟坡实施水生植物种植工程及生态护坡工程措施。a.水生植物种植工程，共种植177.55m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，主要种植千屈菜、黄菖蒲、菖蒲等植物品种；b.生态护坡工程，共构建植草砖生态护坡和无锈熔接网生态护坡两种护坡，其中植草砖生态护坡314m、无锈熔接网生态护坡2844m。</w:t>
            </w:r>
          </w:p>
          <w:p w14:paraId="3019153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②生态沟渠（向阳村边沟）：主要对1360m的向阳村边沟实施基底修复工程内容，基底修复主要为清淤，清淤面积4760m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p>
          <w:p w14:paraId="004587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 xml:space="preserve">4.2 </w:t>
            </w:r>
            <w:r>
              <w:rPr>
                <w:rFonts w:hint="default" w:ascii="Times New Roman" w:hAnsi="Times New Roman" w:eastAsia="Times New Roman" w:cs="Times New Roman"/>
                <w:b/>
                <w:bCs/>
                <w:snapToGrid w:val="0"/>
                <w:color w:val="auto"/>
                <w:spacing w:val="-2"/>
                <w:kern w:val="0"/>
                <w:sz w:val="24"/>
                <w:szCs w:val="24"/>
                <w:lang w:val="en-US" w:eastAsia="zh-CN" w:bidi="ar-SA"/>
              </w:rPr>
              <w:t>山洪及地质灾害</w:t>
            </w:r>
            <w:r>
              <w:rPr>
                <w:rFonts w:hint="eastAsia" w:ascii="Times New Roman" w:hAnsi="Times New Roman" w:eastAsia="Times New Roman" w:cs="Times New Roman"/>
                <w:b/>
                <w:bCs/>
                <w:snapToGrid w:val="0"/>
                <w:color w:val="auto"/>
                <w:spacing w:val="-2"/>
                <w:kern w:val="0"/>
                <w:sz w:val="24"/>
                <w:szCs w:val="24"/>
                <w:lang w:val="en-US" w:eastAsia="zh-CN" w:bidi="ar-SA"/>
              </w:rPr>
              <w:t>（防洪除涝工程）</w:t>
            </w:r>
          </w:p>
          <w:p w14:paraId="3EC573C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山洪及地质灾害治理工程包括6个子项，即山洪引流渠（排洪渠）、地质灾害治理（挡土墙）、建设U型排水渠、坡面撒播植草、新建安全隐患防护栏及挂网喷播，具体工程量及建设地点详见表2-2。</w:t>
            </w:r>
          </w:p>
          <w:p w14:paraId="22EAD2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 xml:space="preserve">表2-2  </w:t>
            </w:r>
            <w:r>
              <w:rPr>
                <w:rFonts w:hint="default" w:ascii="Times New Roman" w:hAnsi="Times New Roman" w:eastAsia="宋体" w:cs="Times New Roman"/>
                <w:b/>
                <w:bCs/>
                <w:snapToGrid w:val="0"/>
                <w:color w:val="auto"/>
                <w:spacing w:val="7"/>
                <w:kern w:val="0"/>
                <w:sz w:val="21"/>
                <w:szCs w:val="21"/>
                <w:lang w:val="en-US" w:eastAsia="zh-CN" w:bidi="ar-SA"/>
              </w:rPr>
              <w:t>山洪及地质灾害治理工程</w:t>
            </w:r>
            <w:r>
              <w:rPr>
                <w:rFonts w:hint="eastAsia" w:ascii="Times New Roman" w:hAnsi="Times New Roman" w:eastAsia="宋体" w:cs="Times New Roman"/>
                <w:b/>
                <w:bCs/>
                <w:snapToGrid w:val="0"/>
                <w:color w:val="auto"/>
                <w:spacing w:val="7"/>
                <w:kern w:val="0"/>
                <w:sz w:val="21"/>
                <w:szCs w:val="21"/>
                <w:lang w:val="en-US" w:eastAsia="zh-CN" w:bidi="ar-SA"/>
              </w:rPr>
              <w:t>建设内容</w:t>
            </w:r>
          </w:p>
          <w:tbl>
            <w:tblPr>
              <w:tblStyle w:val="15"/>
              <w:tblW w:w="831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355"/>
              <w:gridCol w:w="899"/>
              <w:gridCol w:w="1125"/>
              <w:gridCol w:w="1290"/>
              <w:gridCol w:w="1125"/>
              <w:gridCol w:w="1200"/>
              <w:gridCol w:w="1365"/>
              <w:gridCol w:w="960"/>
            </w:tblGrid>
            <w:tr w14:paraId="4C195B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63" w:hRule="atLeast"/>
                <w:jc w:val="center"/>
              </w:trPr>
              <w:tc>
                <w:tcPr>
                  <w:tcW w:w="1254" w:type="dxa"/>
                  <w:gridSpan w:val="2"/>
                  <w:tcBorders>
                    <w:tl2br w:val="nil"/>
                    <w:tr2bl w:val="nil"/>
                  </w:tcBorders>
                  <w:shd w:val="clear" w:color="auto" w:fill="auto"/>
                  <w:vAlign w:val="center"/>
                </w:tcPr>
                <w:p w14:paraId="71C24A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rPr>
                  </w:pPr>
                  <w:r>
                    <w:rPr>
                      <w:rFonts w:hint="default" w:ascii="Times New Roman" w:hAnsi="Times New Roman" w:eastAsia="宋体" w:cs="Times New Roman"/>
                      <w:b/>
                      <w:bCs/>
                      <w:color w:val="auto"/>
                      <w:spacing w:val="16"/>
                      <w:sz w:val="21"/>
                      <w:szCs w:val="21"/>
                      <w:highlight w:val="none"/>
                      <w:lang w:val="en-US" w:eastAsia="zh-CN"/>
                    </w:rPr>
                    <w:t>类别</w:t>
                  </w:r>
                </w:p>
              </w:tc>
              <w:tc>
                <w:tcPr>
                  <w:tcW w:w="7065" w:type="dxa"/>
                  <w:gridSpan w:val="6"/>
                  <w:tcBorders>
                    <w:tl2br w:val="nil"/>
                    <w:tr2bl w:val="nil"/>
                  </w:tcBorders>
                  <w:shd w:val="clear" w:color="auto" w:fill="auto"/>
                  <w:vAlign w:val="center"/>
                </w:tcPr>
                <w:p w14:paraId="48D434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rPr>
                  </w:pPr>
                  <w:r>
                    <w:rPr>
                      <w:rFonts w:hint="default" w:ascii="Times New Roman" w:hAnsi="Times New Roman" w:eastAsia="宋体" w:cs="Times New Roman"/>
                      <w:b/>
                      <w:bCs/>
                      <w:color w:val="auto"/>
                      <w:spacing w:val="16"/>
                      <w:sz w:val="21"/>
                      <w:szCs w:val="21"/>
                      <w:highlight w:val="none"/>
                      <w:lang w:val="en-US" w:eastAsia="zh-CN"/>
                    </w:rPr>
                    <w:t>山洪及地质灾害治理</w:t>
                  </w:r>
                </w:p>
              </w:tc>
            </w:tr>
            <w:tr w14:paraId="6B3F0A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29" w:hRule="atLeast"/>
                <w:jc w:val="center"/>
              </w:trPr>
              <w:tc>
                <w:tcPr>
                  <w:tcW w:w="1254" w:type="dxa"/>
                  <w:gridSpan w:val="2"/>
                  <w:tcBorders>
                    <w:tl2br w:val="nil"/>
                    <w:tr2bl w:val="nil"/>
                  </w:tcBorders>
                  <w:shd w:val="clear" w:color="auto" w:fill="auto"/>
                  <w:vAlign w:val="center"/>
                </w:tcPr>
                <w:p w14:paraId="30CC41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建设</w:t>
                  </w:r>
                </w:p>
                <w:p w14:paraId="171389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内容</w:t>
                  </w:r>
                </w:p>
              </w:tc>
              <w:tc>
                <w:tcPr>
                  <w:tcW w:w="1125" w:type="dxa"/>
                  <w:tcBorders>
                    <w:tl2br w:val="nil"/>
                    <w:tr2bl w:val="nil"/>
                  </w:tcBorders>
                  <w:shd w:val="clear" w:color="auto" w:fill="auto"/>
                  <w:vAlign w:val="center"/>
                </w:tcPr>
                <w:p w14:paraId="06DEDC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山洪引流渠（排洪渠）</w:t>
                  </w:r>
                </w:p>
              </w:tc>
              <w:tc>
                <w:tcPr>
                  <w:tcW w:w="1290" w:type="dxa"/>
                  <w:tcBorders>
                    <w:tl2br w:val="nil"/>
                    <w:tr2bl w:val="nil"/>
                  </w:tcBorders>
                  <w:shd w:val="clear" w:color="auto" w:fill="auto"/>
                  <w:vAlign w:val="center"/>
                </w:tcPr>
                <w:p w14:paraId="3486C7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地质灾害治理（挡土墙）</w:t>
                  </w:r>
                </w:p>
              </w:tc>
              <w:tc>
                <w:tcPr>
                  <w:tcW w:w="1125" w:type="dxa"/>
                  <w:tcBorders>
                    <w:tl2br w:val="nil"/>
                    <w:tr2bl w:val="nil"/>
                  </w:tcBorders>
                  <w:shd w:val="clear" w:color="auto" w:fill="auto"/>
                  <w:vAlign w:val="center"/>
                </w:tcPr>
                <w:p w14:paraId="3EB07D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建设U型排水渠</w:t>
                  </w:r>
                </w:p>
              </w:tc>
              <w:tc>
                <w:tcPr>
                  <w:tcW w:w="1200" w:type="dxa"/>
                  <w:tcBorders>
                    <w:tl2br w:val="nil"/>
                    <w:tr2bl w:val="nil"/>
                  </w:tcBorders>
                  <w:shd w:val="clear" w:color="auto" w:fill="auto"/>
                  <w:vAlign w:val="center"/>
                </w:tcPr>
                <w:p w14:paraId="406A84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坡面撒播植草</w:t>
                  </w:r>
                </w:p>
              </w:tc>
              <w:tc>
                <w:tcPr>
                  <w:tcW w:w="1365" w:type="dxa"/>
                  <w:tcBorders>
                    <w:tl2br w:val="nil"/>
                    <w:tr2bl w:val="nil"/>
                  </w:tcBorders>
                  <w:shd w:val="clear" w:color="auto" w:fill="auto"/>
                  <w:vAlign w:val="center"/>
                </w:tcPr>
                <w:p w14:paraId="2495A8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新建安全隐患防护栏</w:t>
                  </w:r>
                </w:p>
              </w:tc>
              <w:tc>
                <w:tcPr>
                  <w:tcW w:w="960" w:type="dxa"/>
                  <w:tcBorders>
                    <w:tl2br w:val="nil"/>
                    <w:tr2bl w:val="nil"/>
                  </w:tcBorders>
                  <w:shd w:val="clear" w:color="auto" w:fill="auto"/>
                  <w:vAlign w:val="center"/>
                </w:tcPr>
                <w:p w14:paraId="45A7CD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挂网</w:t>
                  </w:r>
                </w:p>
                <w:p w14:paraId="38DEF3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喷播</w:t>
                  </w:r>
                </w:p>
              </w:tc>
            </w:tr>
            <w:tr w14:paraId="681FA9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1254" w:type="dxa"/>
                  <w:gridSpan w:val="2"/>
                  <w:tcBorders>
                    <w:tl2br w:val="nil"/>
                    <w:tr2bl w:val="nil"/>
                  </w:tcBorders>
                  <w:shd w:val="clear" w:color="auto" w:fill="auto"/>
                  <w:noWrap/>
                  <w:vAlign w:val="center"/>
                </w:tcPr>
                <w:p w14:paraId="27BDAB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单位</w:t>
                  </w:r>
                </w:p>
              </w:tc>
              <w:tc>
                <w:tcPr>
                  <w:tcW w:w="1125" w:type="dxa"/>
                  <w:tcBorders>
                    <w:tl2br w:val="nil"/>
                    <w:tr2bl w:val="nil"/>
                  </w:tcBorders>
                  <w:shd w:val="clear" w:color="auto" w:fill="auto"/>
                  <w:noWrap/>
                  <w:vAlign w:val="center"/>
                </w:tcPr>
                <w:p w14:paraId="76F4A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m</w:t>
                  </w:r>
                </w:p>
              </w:tc>
              <w:tc>
                <w:tcPr>
                  <w:tcW w:w="1290" w:type="dxa"/>
                  <w:tcBorders>
                    <w:tl2br w:val="nil"/>
                    <w:tr2bl w:val="nil"/>
                  </w:tcBorders>
                  <w:shd w:val="clear" w:color="auto" w:fill="auto"/>
                  <w:noWrap/>
                  <w:vAlign w:val="center"/>
                </w:tcPr>
                <w:p w14:paraId="245A54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m</w:t>
                  </w:r>
                </w:p>
              </w:tc>
              <w:tc>
                <w:tcPr>
                  <w:tcW w:w="1125" w:type="dxa"/>
                  <w:tcBorders>
                    <w:tl2br w:val="nil"/>
                    <w:tr2bl w:val="nil"/>
                  </w:tcBorders>
                  <w:shd w:val="clear" w:color="auto" w:fill="auto"/>
                  <w:noWrap/>
                  <w:vAlign w:val="center"/>
                </w:tcPr>
                <w:p w14:paraId="74763A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m</w:t>
                  </w:r>
                </w:p>
              </w:tc>
              <w:tc>
                <w:tcPr>
                  <w:tcW w:w="1200" w:type="dxa"/>
                  <w:tcBorders>
                    <w:tl2br w:val="nil"/>
                    <w:tr2bl w:val="nil"/>
                  </w:tcBorders>
                  <w:shd w:val="clear" w:color="auto" w:fill="auto"/>
                  <w:noWrap/>
                  <w:vAlign w:val="center"/>
                </w:tcPr>
                <w:p w14:paraId="65188C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m</w:t>
                  </w:r>
                  <w:r>
                    <w:rPr>
                      <w:rFonts w:hint="eastAsia" w:ascii="Times New Roman" w:hAnsi="Times New Roman" w:eastAsia="宋体" w:cs="Times New Roman"/>
                      <w:color w:val="auto"/>
                      <w:spacing w:val="17"/>
                      <w:sz w:val="21"/>
                      <w:szCs w:val="21"/>
                      <w:highlight w:val="none"/>
                      <w:vertAlign w:val="superscript"/>
                      <w:lang w:val="en-US" w:eastAsia="zh-CN"/>
                    </w:rPr>
                    <w:t>2</w:t>
                  </w:r>
                </w:p>
              </w:tc>
              <w:tc>
                <w:tcPr>
                  <w:tcW w:w="1365" w:type="dxa"/>
                  <w:tcBorders>
                    <w:tl2br w:val="nil"/>
                    <w:tr2bl w:val="nil"/>
                  </w:tcBorders>
                  <w:shd w:val="clear" w:color="auto" w:fill="auto"/>
                  <w:noWrap/>
                  <w:vAlign w:val="center"/>
                </w:tcPr>
                <w:p w14:paraId="3C9DCC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m</w:t>
                  </w:r>
                </w:p>
              </w:tc>
              <w:tc>
                <w:tcPr>
                  <w:tcW w:w="960" w:type="dxa"/>
                  <w:tcBorders>
                    <w:tl2br w:val="nil"/>
                    <w:tr2bl w:val="nil"/>
                  </w:tcBorders>
                  <w:shd w:val="clear" w:color="auto" w:fill="auto"/>
                  <w:noWrap/>
                  <w:vAlign w:val="center"/>
                </w:tcPr>
                <w:p w14:paraId="293D76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m</w:t>
                  </w:r>
                  <w:r>
                    <w:rPr>
                      <w:rFonts w:hint="eastAsia" w:ascii="Times New Roman" w:hAnsi="Times New Roman" w:eastAsia="宋体" w:cs="Times New Roman"/>
                      <w:color w:val="auto"/>
                      <w:spacing w:val="17"/>
                      <w:sz w:val="21"/>
                      <w:szCs w:val="21"/>
                      <w:highlight w:val="none"/>
                      <w:vertAlign w:val="superscript"/>
                      <w:lang w:val="en-US" w:eastAsia="zh-CN"/>
                    </w:rPr>
                    <w:t>2</w:t>
                  </w:r>
                </w:p>
              </w:tc>
            </w:tr>
            <w:tr w14:paraId="5B91FA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restart"/>
                  <w:tcBorders>
                    <w:tl2br w:val="nil"/>
                    <w:tr2bl w:val="nil"/>
                  </w:tcBorders>
                  <w:shd w:val="clear" w:color="auto" w:fill="auto"/>
                  <w:noWrap/>
                  <w:vAlign w:val="center"/>
                </w:tcPr>
                <w:p w14:paraId="0400C8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涉及村庄</w:t>
                  </w:r>
                </w:p>
              </w:tc>
              <w:tc>
                <w:tcPr>
                  <w:tcW w:w="899" w:type="dxa"/>
                  <w:tcBorders>
                    <w:tl2br w:val="nil"/>
                    <w:tr2bl w:val="nil"/>
                  </w:tcBorders>
                  <w:shd w:val="clear" w:color="auto" w:fill="auto"/>
                  <w:noWrap/>
                  <w:vAlign w:val="center"/>
                </w:tcPr>
                <w:p w14:paraId="615085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羊槽村</w:t>
                  </w:r>
                </w:p>
              </w:tc>
              <w:tc>
                <w:tcPr>
                  <w:tcW w:w="1125" w:type="dxa"/>
                  <w:tcBorders>
                    <w:tl2br w:val="nil"/>
                    <w:tr2bl w:val="nil"/>
                  </w:tcBorders>
                  <w:shd w:val="clear" w:color="auto" w:fill="auto"/>
                  <w:noWrap/>
                  <w:vAlign w:val="center"/>
                </w:tcPr>
                <w:p w14:paraId="1AFEBF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7D477B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62</w:t>
                  </w:r>
                </w:p>
              </w:tc>
              <w:tc>
                <w:tcPr>
                  <w:tcW w:w="1125" w:type="dxa"/>
                  <w:tcBorders>
                    <w:tl2br w:val="nil"/>
                    <w:tr2bl w:val="nil"/>
                  </w:tcBorders>
                  <w:shd w:val="clear" w:color="auto" w:fill="auto"/>
                  <w:noWrap/>
                  <w:vAlign w:val="center"/>
                </w:tcPr>
                <w:p w14:paraId="459C4B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112</w:t>
                  </w:r>
                </w:p>
              </w:tc>
              <w:tc>
                <w:tcPr>
                  <w:tcW w:w="1200" w:type="dxa"/>
                  <w:tcBorders>
                    <w:tl2br w:val="nil"/>
                    <w:tr2bl w:val="nil"/>
                  </w:tcBorders>
                  <w:shd w:val="clear" w:color="auto" w:fill="auto"/>
                  <w:noWrap/>
                  <w:vAlign w:val="center"/>
                </w:tcPr>
                <w:p w14:paraId="36BD1B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10044</w:t>
                  </w:r>
                </w:p>
              </w:tc>
              <w:tc>
                <w:tcPr>
                  <w:tcW w:w="1365" w:type="dxa"/>
                  <w:tcBorders>
                    <w:tl2br w:val="nil"/>
                    <w:tr2bl w:val="nil"/>
                  </w:tcBorders>
                  <w:shd w:val="clear" w:color="auto" w:fill="auto"/>
                  <w:noWrap/>
                  <w:vAlign w:val="center"/>
                </w:tcPr>
                <w:p w14:paraId="62F87D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100</w:t>
                  </w:r>
                </w:p>
              </w:tc>
              <w:tc>
                <w:tcPr>
                  <w:tcW w:w="960" w:type="dxa"/>
                  <w:tcBorders>
                    <w:tl2br w:val="nil"/>
                    <w:tr2bl w:val="nil"/>
                  </w:tcBorders>
                  <w:shd w:val="clear" w:color="auto" w:fill="auto"/>
                  <w:noWrap/>
                  <w:vAlign w:val="center"/>
                </w:tcPr>
                <w:p w14:paraId="78EBD7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065057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62CAC5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1932D9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平凉庄村</w:t>
                  </w:r>
                </w:p>
              </w:tc>
              <w:tc>
                <w:tcPr>
                  <w:tcW w:w="1125" w:type="dxa"/>
                  <w:tcBorders>
                    <w:tl2br w:val="nil"/>
                    <w:tr2bl w:val="nil"/>
                  </w:tcBorders>
                  <w:shd w:val="clear" w:color="auto" w:fill="auto"/>
                  <w:noWrap/>
                  <w:vAlign w:val="center"/>
                </w:tcPr>
                <w:p w14:paraId="3DC559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625</w:t>
                  </w:r>
                </w:p>
              </w:tc>
              <w:tc>
                <w:tcPr>
                  <w:tcW w:w="1290" w:type="dxa"/>
                  <w:tcBorders>
                    <w:tl2br w:val="nil"/>
                    <w:tr2bl w:val="nil"/>
                  </w:tcBorders>
                  <w:shd w:val="clear" w:color="auto" w:fill="auto"/>
                  <w:noWrap/>
                  <w:vAlign w:val="center"/>
                </w:tcPr>
                <w:p w14:paraId="32FA8F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247</w:t>
                  </w:r>
                </w:p>
              </w:tc>
              <w:tc>
                <w:tcPr>
                  <w:tcW w:w="1125" w:type="dxa"/>
                  <w:tcBorders>
                    <w:tl2br w:val="nil"/>
                    <w:tr2bl w:val="nil"/>
                  </w:tcBorders>
                  <w:shd w:val="clear" w:color="auto" w:fill="auto"/>
                  <w:noWrap/>
                  <w:vAlign w:val="center"/>
                </w:tcPr>
                <w:p w14:paraId="731BCC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445</w:t>
                  </w:r>
                </w:p>
              </w:tc>
              <w:tc>
                <w:tcPr>
                  <w:tcW w:w="1200" w:type="dxa"/>
                  <w:tcBorders>
                    <w:tl2br w:val="nil"/>
                    <w:tr2bl w:val="nil"/>
                  </w:tcBorders>
                  <w:shd w:val="clear" w:color="auto" w:fill="auto"/>
                  <w:noWrap/>
                  <w:vAlign w:val="center"/>
                </w:tcPr>
                <w:p w14:paraId="184428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40014</w:t>
                  </w:r>
                </w:p>
              </w:tc>
              <w:tc>
                <w:tcPr>
                  <w:tcW w:w="1365" w:type="dxa"/>
                  <w:tcBorders>
                    <w:tl2br w:val="nil"/>
                    <w:tr2bl w:val="nil"/>
                  </w:tcBorders>
                  <w:shd w:val="clear" w:color="auto" w:fill="auto"/>
                  <w:noWrap/>
                  <w:vAlign w:val="center"/>
                </w:tcPr>
                <w:p w14:paraId="44FABA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494</w:t>
                  </w:r>
                </w:p>
              </w:tc>
              <w:tc>
                <w:tcPr>
                  <w:tcW w:w="960" w:type="dxa"/>
                  <w:tcBorders>
                    <w:tl2br w:val="nil"/>
                    <w:tr2bl w:val="nil"/>
                  </w:tcBorders>
                  <w:shd w:val="clear" w:color="auto" w:fill="auto"/>
                  <w:noWrap/>
                  <w:vAlign w:val="center"/>
                </w:tcPr>
                <w:p w14:paraId="65D505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3259.2</w:t>
                  </w:r>
                </w:p>
              </w:tc>
            </w:tr>
            <w:tr w14:paraId="177F39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C860B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2D2A85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店堡村</w:t>
                  </w:r>
                </w:p>
              </w:tc>
              <w:tc>
                <w:tcPr>
                  <w:tcW w:w="1125" w:type="dxa"/>
                  <w:tcBorders>
                    <w:tl2br w:val="nil"/>
                    <w:tr2bl w:val="nil"/>
                  </w:tcBorders>
                  <w:shd w:val="clear" w:color="auto" w:fill="auto"/>
                  <w:noWrap/>
                  <w:vAlign w:val="center"/>
                </w:tcPr>
                <w:p w14:paraId="07CD41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5743E8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52</w:t>
                  </w:r>
                </w:p>
              </w:tc>
              <w:tc>
                <w:tcPr>
                  <w:tcW w:w="1125" w:type="dxa"/>
                  <w:tcBorders>
                    <w:tl2br w:val="nil"/>
                    <w:tr2bl w:val="nil"/>
                  </w:tcBorders>
                  <w:shd w:val="clear" w:color="auto" w:fill="auto"/>
                  <w:noWrap/>
                  <w:vAlign w:val="center"/>
                </w:tcPr>
                <w:p w14:paraId="2912C4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94</w:t>
                  </w:r>
                </w:p>
              </w:tc>
              <w:tc>
                <w:tcPr>
                  <w:tcW w:w="1200" w:type="dxa"/>
                  <w:tcBorders>
                    <w:tl2br w:val="nil"/>
                    <w:tr2bl w:val="nil"/>
                  </w:tcBorders>
                  <w:shd w:val="clear" w:color="auto" w:fill="auto"/>
                  <w:noWrap/>
                  <w:vAlign w:val="center"/>
                </w:tcPr>
                <w:p w14:paraId="070D6C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8424</w:t>
                  </w:r>
                </w:p>
              </w:tc>
              <w:tc>
                <w:tcPr>
                  <w:tcW w:w="1365" w:type="dxa"/>
                  <w:tcBorders>
                    <w:tl2br w:val="nil"/>
                    <w:tr2bl w:val="nil"/>
                  </w:tcBorders>
                  <w:shd w:val="clear" w:color="auto" w:fill="auto"/>
                  <w:noWrap/>
                  <w:vAlign w:val="center"/>
                </w:tcPr>
                <w:p w14:paraId="351EF9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45691D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35C073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34004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1B988C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华兴村</w:t>
                  </w:r>
                </w:p>
              </w:tc>
              <w:tc>
                <w:tcPr>
                  <w:tcW w:w="1125" w:type="dxa"/>
                  <w:tcBorders>
                    <w:tl2br w:val="nil"/>
                    <w:tr2bl w:val="nil"/>
                  </w:tcBorders>
                  <w:shd w:val="clear" w:color="auto" w:fill="auto"/>
                  <w:noWrap/>
                  <w:vAlign w:val="center"/>
                </w:tcPr>
                <w:p w14:paraId="7728D1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63AA9D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125" w:type="dxa"/>
                  <w:tcBorders>
                    <w:tl2br w:val="nil"/>
                    <w:tr2bl w:val="nil"/>
                  </w:tcBorders>
                  <w:shd w:val="clear" w:color="auto" w:fill="auto"/>
                  <w:noWrap/>
                  <w:vAlign w:val="center"/>
                </w:tcPr>
                <w:p w14:paraId="66631B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00" w:type="dxa"/>
                  <w:tcBorders>
                    <w:tl2br w:val="nil"/>
                    <w:tr2bl w:val="nil"/>
                  </w:tcBorders>
                  <w:shd w:val="clear" w:color="auto" w:fill="auto"/>
                  <w:noWrap/>
                  <w:vAlign w:val="center"/>
                </w:tcPr>
                <w:p w14:paraId="004147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365" w:type="dxa"/>
                  <w:tcBorders>
                    <w:tl2br w:val="nil"/>
                    <w:tr2bl w:val="nil"/>
                  </w:tcBorders>
                  <w:shd w:val="clear" w:color="auto" w:fill="auto"/>
                  <w:noWrap/>
                  <w:vAlign w:val="center"/>
                </w:tcPr>
                <w:p w14:paraId="28A145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06ABED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160FCB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53D3AA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3836A7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庙湾村</w:t>
                  </w:r>
                </w:p>
              </w:tc>
              <w:tc>
                <w:tcPr>
                  <w:tcW w:w="1125" w:type="dxa"/>
                  <w:tcBorders>
                    <w:tl2br w:val="nil"/>
                    <w:tr2bl w:val="nil"/>
                  </w:tcBorders>
                  <w:shd w:val="clear" w:color="auto" w:fill="auto"/>
                  <w:noWrap/>
                  <w:vAlign w:val="center"/>
                </w:tcPr>
                <w:p w14:paraId="446BD0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69E845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125" w:type="dxa"/>
                  <w:tcBorders>
                    <w:tl2br w:val="nil"/>
                    <w:tr2bl w:val="nil"/>
                  </w:tcBorders>
                  <w:shd w:val="clear" w:color="auto" w:fill="auto"/>
                  <w:noWrap/>
                  <w:vAlign w:val="center"/>
                </w:tcPr>
                <w:p w14:paraId="2BCC4A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00" w:type="dxa"/>
                  <w:tcBorders>
                    <w:tl2br w:val="nil"/>
                    <w:tr2bl w:val="nil"/>
                  </w:tcBorders>
                  <w:shd w:val="clear" w:color="auto" w:fill="auto"/>
                  <w:noWrap/>
                  <w:vAlign w:val="center"/>
                </w:tcPr>
                <w:p w14:paraId="38DB46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365" w:type="dxa"/>
                  <w:tcBorders>
                    <w:tl2br w:val="nil"/>
                    <w:tr2bl w:val="nil"/>
                  </w:tcBorders>
                  <w:shd w:val="clear" w:color="auto" w:fill="auto"/>
                  <w:noWrap/>
                  <w:vAlign w:val="center"/>
                </w:tcPr>
                <w:p w14:paraId="3CA9F7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641E11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501EE7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C2135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00DC69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上胭村</w:t>
                  </w:r>
                </w:p>
              </w:tc>
              <w:tc>
                <w:tcPr>
                  <w:tcW w:w="1125" w:type="dxa"/>
                  <w:tcBorders>
                    <w:tl2br w:val="nil"/>
                    <w:tr2bl w:val="nil"/>
                  </w:tcBorders>
                  <w:shd w:val="clear" w:color="auto" w:fill="auto"/>
                  <w:noWrap/>
                  <w:vAlign w:val="center"/>
                </w:tcPr>
                <w:p w14:paraId="198830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72790E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71</w:t>
                  </w:r>
                </w:p>
              </w:tc>
              <w:tc>
                <w:tcPr>
                  <w:tcW w:w="1125" w:type="dxa"/>
                  <w:tcBorders>
                    <w:tl2br w:val="nil"/>
                    <w:tr2bl w:val="nil"/>
                  </w:tcBorders>
                  <w:shd w:val="clear" w:color="auto" w:fill="auto"/>
                  <w:noWrap/>
                  <w:vAlign w:val="center"/>
                </w:tcPr>
                <w:p w14:paraId="5839C6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128</w:t>
                  </w:r>
                </w:p>
              </w:tc>
              <w:tc>
                <w:tcPr>
                  <w:tcW w:w="1200" w:type="dxa"/>
                  <w:tcBorders>
                    <w:tl2br w:val="nil"/>
                    <w:tr2bl w:val="nil"/>
                  </w:tcBorders>
                  <w:shd w:val="clear" w:color="auto" w:fill="auto"/>
                  <w:noWrap/>
                  <w:vAlign w:val="center"/>
                </w:tcPr>
                <w:p w14:paraId="62510B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11502</w:t>
                  </w:r>
                </w:p>
              </w:tc>
              <w:tc>
                <w:tcPr>
                  <w:tcW w:w="1365" w:type="dxa"/>
                  <w:tcBorders>
                    <w:tl2br w:val="nil"/>
                    <w:tr2bl w:val="nil"/>
                  </w:tcBorders>
                  <w:shd w:val="clear" w:color="auto" w:fill="auto"/>
                  <w:noWrap/>
                  <w:vAlign w:val="center"/>
                </w:tcPr>
                <w:p w14:paraId="47C228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18F7C3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7A5605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442BB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016900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下胭村</w:t>
                  </w:r>
                </w:p>
              </w:tc>
              <w:tc>
                <w:tcPr>
                  <w:tcW w:w="1125" w:type="dxa"/>
                  <w:tcBorders>
                    <w:tl2br w:val="nil"/>
                    <w:tr2bl w:val="nil"/>
                  </w:tcBorders>
                  <w:shd w:val="clear" w:color="auto" w:fill="auto"/>
                  <w:noWrap/>
                  <w:vAlign w:val="center"/>
                </w:tcPr>
                <w:p w14:paraId="70D419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3BD64C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125" w:type="dxa"/>
                  <w:tcBorders>
                    <w:tl2br w:val="nil"/>
                    <w:tr2bl w:val="nil"/>
                  </w:tcBorders>
                  <w:shd w:val="clear" w:color="auto" w:fill="auto"/>
                  <w:noWrap/>
                  <w:vAlign w:val="center"/>
                </w:tcPr>
                <w:p w14:paraId="47ADAB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00" w:type="dxa"/>
                  <w:tcBorders>
                    <w:tl2br w:val="nil"/>
                    <w:tr2bl w:val="nil"/>
                  </w:tcBorders>
                  <w:shd w:val="clear" w:color="auto" w:fill="auto"/>
                  <w:noWrap/>
                  <w:vAlign w:val="center"/>
                </w:tcPr>
                <w:p w14:paraId="7A1481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365" w:type="dxa"/>
                  <w:tcBorders>
                    <w:tl2br w:val="nil"/>
                    <w:tr2bl w:val="nil"/>
                  </w:tcBorders>
                  <w:shd w:val="clear" w:color="auto" w:fill="auto"/>
                  <w:noWrap/>
                  <w:vAlign w:val="center"/>
                </w:tcPr>
                <w:p w14:paraId="38DE69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5C2C42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084E91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189B54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743A10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胜利村</w:t>
                  </w:r>
                </w:p>
              </w:tc>
              <w:tc>
                <w:tcPr>
                  <w:tcW w:w="1125" w:type="dxa"/>
                  <w:tcBorders>
                    <w:tl2br w:val="nil"/>
                    <w:tr2bl w:val="nil"/>
                  </w:tcBorders>
                  <w:shd w:val="clear" w:color="auto" w:fill="auto"/>
                  <w:noWrap/>
                  <w:vAlign w:val="center"/>
                </w:tcPr>
                <w:p w14:paraId="0A7970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0E2063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125" w:type="dxa"/>
                  <w:tcBorders>
                    <w:tl2br w:val="nil"/>
                    <w:tr2bl w:val="nil"/>
                  </w:tcBorders>
                  <w:shd w:val="clear" w:color="auto" w:fill="auto"/>
                  <w:noWrap/>
                  <w:vAlign w:val="center"/>
                </w:tcPr>
                <w:p w14:paraId="2B66FC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00" w:type="dxa"/>
                  <w:tcBorders>
                    <w:tl2br w:val="nil"/>
                    <w:tr2bl w:val="nil"/>
                  </w:tcBorders>
                  <w:shd w:val="clear" w:color="auto" w:fill="auto"/>
                  <w:noWrap/>
                  <w:vAlign w:val="center"/>
                </w:tcPr>
                <w:p w14:paraId="21E236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365" w:type="dxa"/>
                  <w:tcBorders>
                    <w:tl2br w:val="nil"/>
                    <w:tr2bl w:val="nil"/>
                  </w:tcBorders>
                  <w:shd w:val="clear" w:color="auto" w:fill="auto"/>
                  <w:noWrap/>
                  <w:vAlign w:val="center"/>
                </w:tcPr>
                <w:p w14:paraId="654D4B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345377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719B0C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35799B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3B5622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红土村</w:t>
                  </w:r>
                </w:p>
              </w:tc>
              <w:tc>
                <w:tcPr>
                  <w:tcW w:w="1125" w:type="dxa"/>
                  <w:tcBorders>
                    <w:tl2br w:val="nil"/>
                    <w:tr2bl w:val="nil"/>
                  </w:tcBorders>
                  <w:shd w:val="clear" w:color="auto" w:fill="auto"/>
                  <w:noWrap/>
                  <w:vAlign w:val="center"/>
                </w:tcPr>
                <w:p w14:paraId="14B4DA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822</w:t>
                  </w:r>
                </w:p>
              </w:tc>
              <w:tc>
                <w:tcPr>
                  <w:tcW w:w="1290" w:type="dxa"/>
                  <w:tcBorders>
                    <w:tl2br w:val="nil"/>
                    <w:tr2bl w:val="nil"/>
                  </w:tcBorders>
                  <w:shd w:val="clear" w:color="auto" w:fill="auto"/>
                  <w:noWrap/>
                  <w:vAlign w:val="center"/>
                </w:tcPr>
                <w:p w14:paraId="3B84C6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117</w:t>
                  </w:r>
                </w:p>
              </w:tc>
              <w:tc>
                <w:tcPr>
                  <w:tcW w:w="1125" w:type="dxa"/>
                  <w:tcBorders>
                    <w:tl2br w:val="nil"/>
                    <w:tr2bl w:val="nil"/>
                  </w:tcBorders>
                  <w:shd w:val="clear" w:color="auto" w:fill="auto"/>
                  <w:noWrap/>
                  <w:vAlign w:val="center"/>
                </w:tcPr>
                <w:p w14:paraId="1EB0EB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211</w:t>
                  </w:r>
                </w:p>
              </w:tc>
              <w:tc>
                <w:tcPr>
                  <w:tcW w:w="1200" w:type="dxa"/>
                  <w:tcBorders>
                    <w:tl2br w:val="nil"/>
                    <w:tr2bl w:val="nil"/>
                  </w:tcBorders>
                  <w:shd w:val="clear" w:color="auto" w:fill="auto"/>
                  <w:noWrap/>
                  <w:vAlign w:val="center"/>
                </w:tcPr>
                <w:p w14:paraId="322895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18954</w:t>
                  </w:r>
                </w:p>
              </w:tc>
              <w:tc>
                <w:tcPr>
                  <w:tcW w:w="1365" w:type="dxa"/>
                  <w:tcBorders>
                    <w:tl2br w:val="nil"/>
                    <w:tr2bl w:val="nil"/>
                  </w:tcBorders>
                  <w:shd w:val="clear" w:color="auto" w:fill="auto"/>
                  <w:noWrap/>
                  <w:vAlign w:val="center"/>
                </w:tcPr>
                <w:p w14:paraId="24B3C9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6AAD60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0EB7E7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8D374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7012AE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向阳村</w:t>
                  </w:r>
                </w:p>
              </w:tc>
              <w:tc>
                <w:tcPr>
                  <w:tcW w:w="1125" w:type="dxa"/>
                  <w:tcBorders>
                    <w:tl2br w:val="nil"/>
                    <w:tr2bl w:val="nil"/>
                  </w:tcBorders>
                  <w:shd w:val="clear" w:color="auto" w:fill="auto"/>
                  <w:noWrap/>
                  <w:vAlign w:val="center"/>
                </w:tcPr>
                <w:p w14:paraId="45F986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1290" w:type="dxa"/>
                  <w:tcBorders>
                    <w:tl2br w:val="nil"/>
                    <w:tr2bl w:val="nil"/>
                  </w:tcBorders>
                  <w:shd w:val="clear" w:color="auto" w:fill="auto"/>
                  <w:noWrap/>
                  <w:vAlign w:val="center"/>
                </w:tcPr>
                <w:p w14:paraId="19A2B7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1450</w:t>
                  </w:r>
                </w:p>
              </w:tc>
              <w:tc>
                <w:tcPr>
                  <w:tcW w:w="1125" w:type="dxa"/>
                  <w:tcBorders>
                    <w:tl2br w:val="nil"/>
                    <w:tr2bl w:val="nil"/>
                  </w:tcBorders>
                  <w:shd w:val="clear" w:color="auto" w:fill="auto"/>
                  <w:noWrap/>
                  <w:vAlign w:val="center"/>
                </w:tcPr>
                <w:p w14:paraId="39EBB5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2610</w:t>
                  </w:r>
                </w:p>
              </w:tc>
              <w:tc>
                <w:tcPr>
                  <w:tcW w:w="1200" w:type="dxa"/>
                  <w:tcBorders>
                    <w:tl2br w:val="nil"/>
                    <w:tr2bl w:val="nil"/>
                  </w:tcBorders>
                  <w:shd w:val="clear" w:color="auto" w:fill="auto"/>
                  <w:noWrap/>
                  <w:vAlign w:val="center"/>
                </w:tcPr>
                <w:p w14:paraId="7F8382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234900</w:t>
                  </w:r>
                </w:p>
              </w:tc>
              <w:tc>
                <w:tcPr>
                  <w:tcW w:w="1365" w:type="dxa"/>
                  <w:tcBorders>
                    <w:tl2br w:val="nil"/>
                    <w:tr2bl w:val="nil"/>
                  </w:tcBorders>
                  <w:shd w:val="clear" w:color="auto" w:fill="auto"/>
                  <w:noWrap/>
                  <w:vAlign w:val="center"/>
                </w:tcPr>
                <w:p w14:paraId="69D52B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2150</w:t>
                  </w:r>
                </w:p>
              </w:tc>
              <w:tc>
                <w:tcPr>
                  <w:tcW w:w="960" w:type="dxa"/>
                  <w:tcBorders>
                    <w:tl2br w:val="nil"/>
                    <w:tr2bl w:val="nil"/>
                  </w:tcBorders>
                  <w:shd w:val="clear" w:color="auto" w:fill="auto"/>
                  <w:noWrap/>
                  <w:vAlign w:val="center"/>
                </w:tcPr>
                <w:p w14:paraId="099CA5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0B52CF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jc w:val="center"/>
              </w:trPr>
              <w:tc>
                <w:tcPr>
                  <w:tcW w:w="355" w:type="dxa"/>
                  <w:vMerge w:val="continue"/>
                  <w:tcBorders>
                    <w:tl2br w:val="nil"/>
                    <w:tr2bl w:val="nil"/>
                  </w:tcBorders>
                  <w:shd w:val="clear" w:color="auto" w:fill="auto"/>
                  <w:noWrap/>
                  <w:vAlign w:val="center"/>
                </w:tcPr>
                <w:p w14:paraId="79F928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899" w:type="dxa"/>
                  <w:tcBorders>
                    <w:tl2br w:val="nil"/>
                    <w:tr2bl w:val="nil"/>
                  </w:tcBorders>
                  <w:shd w:val="clear" w:color="auto" w:fill="auto"/>
                  <w:noWrap/>
                  <w:vAlign w:val="center"/>
                </w:tcPr>
                <w:p w14:paraId="1962D0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沙塘村</w:t>
                  </w:r>
                </w:p>
              </w:tc>
              <w:tc>
                <w:tcPr>
                  <w:tcW w:w="1125" w:type="dxa"/>
                  <w:tcBorders>
                    <w:tl2br w:val="nil"/>
                    <w:tr2bl w:val="nil"/>
                  </w:tcBorders>
                  <w:shd w:val="clear" w:color="auto" w:fill="auto"/>
                  <w:noWrap/>
                  <w:vAlign w:val="center"/>
                </w:tcPr>
                <w:p w14:paraId="545F54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1462.91</w:t>
                  </w:r>
                </w:p>
              </w:tc>
              <w:tc>
                <w:tcPr>
                  <w:tcW w:w="1290" w:type="dxa"/>
                  <w:tcBorders>
                    <w:tl2br w:val="nil"/>
                    <w:tr2bl w:val="nil"/>
                  </w:tcBorders>
                  <w:shd w:val="clear" w:color="auto" w:fill="auto"/>
                  <w:noWrap/>
                  <w:vAlign w:val="center"/>
                </w:tcPr>
                <w:p w14:paraId="524566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51</w:t>
                  </w:r>
                </w:p>
              </w:tc>
              <w:tc>
                <w:tcPr>
                  <w:tcW w:w="1125" w:type="dxa"/>
                  <w:tcBorders>
                    <w:tl2br w:val="nil"/>
                    <w:tr2bl w:val="nil"/>
                  </w:tcBorders>
                  <w:shd w:val="clear" w:color="auto" w:fill="auto"/>
                  <w:noWrap/>
                  <w:vAlign w:val="center"/>
                </w:tcPr>
                <w:p w14:paraId="7ADFF5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92</w:t>
                  </w:r>
                </w:p>
              </w:tc>
              <w:tc>
                <w:tcPr>
                  <w:tcW w:w="1200" w:type="dxa"/>
                  <w:tcBorders>
                    <w:tl2br w:val="nil"/>
                    <w:tr2bl w:val="nil"/>
                  </w:tcBorders>
                  <w:shd w:val="clear" w:color="auto" w:fill="auto"/>
                  <w:noWrap/>
                  <w:vAlign w:val="center"/>
                </w:tcPr>
                <w:p w14:paraId="1CD8A5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8262</w:t>
                  </w:r>
                </w:p>
              </w:tc>
              <w:tc>
                <w:tcPr>
                  <w:tcW w:w="1365" w:type="dxa"/>
                  <w:tcBorders>
                    <w:tl2br w:val="nil"/>
                    <w:tr2bl w:val="nil"/>
                  </w:tcBorders>
                  <w:shd w:val="clear" w:color="auto" w:fill="auto"/>
                  <w:noWrap/>
                  <w:vAlign w:val="center"/>
                </w:tcPr>
                <w:p w14:paraId="330B98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c>
                <w:tcPr>
                  <w:tcW w:w="960" w:type="dxa"/>
                  <w:tcBorders>
                    <w:tl2br w:val="nil"/>
                    <w:tr2bl w:val="nil"/>
                  </w:tcBorders>
                  <w:shd w:val="clear" w:color="auto" w:fill="auto"/>
                  <w:noWrap/>
                  <w:vAlign w:val="center"/>
                </w:tcPr>
                <w:p w14:paraId="55DAD9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p>
              </w:tc>
            </w:tr>
            <w:tr w14:paraId="055258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3" w:hRule="atLeast"/>
                <w:jc w:val="center"/>
              </w:trPr>
              <w:tc>
                <w:tcPr>
                  <w:tcW w:w="1254" w:type="dxa"/>
                  <w:gridSpan w:val="2"/>
                  <w:tcBorders>
                    <w:tl2br w:val="nil"/>
                    <w:tr2bl w:val="nil"/>
                  </w:tcBorders>
                  <w:shd w:val="clear" w:color="auto" w:fill="auto"/>
                  <w:noWrap/>
                  <w:vAlign w:val="center"/>
                </w:tcPr>
                <w:p w14:paraId="7CEDC2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合计</w:t>
                  </w:r>
                </w:p>
              </w:tc>
              <w:tc>
                <w:tcPr>
                  <w:tcW w:w="1125" w:type="dxa"/>
                  <w:tcBorders>
                    <w:tl2br w:val="nil"/>
                    <w:tr2bl w:val="nil"/>
                  </w:tcBorders>
                  <w:shd w:val="clear" w:color="auto" w:fill="auto"/>
                  <w:noWrap/>
                  <w:vAlign w:val="center"/>
                </w:tcPr>
                <w:p w14:paraId="38CCB7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2909.91</w:t>
                  </w:r>
                </w:p>
              </w:tc>
              <w:tc>
                <w:tcPr>
                  <w:tcW w:w="1290" w:type="dxa"/>
                  <w:tcBorders>
                    <w:tl2br w:val="nil"/>
                    <w:tr2bl w:val="nil"/>
                  </w:tcBorders>
                  <w:shd w:val="clear" w:color="auto" w:fill="auto"/>
                  <w:noWrap/>
                  <w:vAlign w:val="center"/>
                </w:tcPr>
                <w:p w14:paraId="21266E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2050</w:t>
                  </w:r>
                </w:p>
              </w:tc>
              <w:tc>
                <w:tcPr>
                  <w:tcW w:w="1125" w:type="dxa"/>
                  <w:tcBorders>
                    <w:tl2br w:val="nil"/>
                    <w:tr2bl w:val="nil"/>
                  </w:tcBorders>
                  <w:shd w:val="clear" w:color="auto" w:fill="auto"/>
                  <w:noWrap/>
                  <w:vAlign w:val="center"/>
                </w:tcPr>
                <w:p w14:paraId="79432C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3690.4</w:t>
                  </w:r>
                </w:p>
              </w:tc>
              <w:tc>
                <w:tcPr>
                  <w:tcW w:w="1200" w:type="dxa"/>
                  <w:tcBorders>
                    <w:tl2br w:val="nil"/>
                    <w:tr2bl w:val="nil"/>
                  </w:tcBorders>
                  <w:shd w:val="clear" w:color="auto" w:fill="auto"/>
                  <w:noWrap/>
                  <w:vAlign w:val="center"/>
                </w:tcPr>
                <w:p w14:paraId="7577B1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332100</w:t>
                  </w:r>
                </w:p>
              </w:tc>
              <w:tc>
                <w:tcPr>
                  <w:tcW w:w="1365" w:type="dxa"/>
                  <w:tcBorders>
                    <w:tl2br w:val="nil"/>
                    <w:tr2bl w:val="nil"/>
                  </w:tcBorders>
                  <w:shd w:val="clear" w:color="auto" w:fill="auto"/>
                  <w:noWrap/>
                  <w:vAlign w:val="center"/>
                </w:tcPr>
                <w:p w14:paraId="4B05D8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2744</w:t>
                  </w:r>
                </w:p>
              </w:tc>
              <w:tc>
                <w:tcPr>
                  <w:tcW w:w="960" w:type="dxa"/>
                  <w:tcBorders>
                    <w:tl2br w:val="nil"/>
                    <w:tr2bl w:val="nil"/>
                  </w:tcBorders>
                  <w:shd w:val="clear" w:color="auto" w:fill="auto"/>
                  <w:noWrap/>
                  <w:vAlign w:val="center"/>
                </w:tcPr>
                <w:p w14:paraId="5690F1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default" w:ascii="Times New Roman" w:hAnsi="Times New Roman" w:eastAsia="宋体" w:cs="Times New Roman"/>
                      <w:color w:val="auto"/>
                      <w:spacing w:val="17"/>
                      <w:sz w:val="21"/>
                      <w:szCs w:val="21"/>
                      <w:highlight w:val="none"/>
                      <w:lang w:val="en-US" w:eastAsia="zh-CN"/>
                    </w:rPr>
                    <w:t>3259.2</w:t>
                  </w:r>
                </w:p>
              </w:tc>
            </w:tr>
          </w:tbl>
          <w:p w14:paraId="3C28907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4.2.1 山洪引流渠（排洪渠）</w:t>
            </w:r>
          </w:p>
          <w:p w14:paraId="5053FBB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根据沟道生态环境现状，随坡就势进行自然边坡基质修筑，然后在自然边坡基质修筑的基础上，对河槽凌乱、岸坡滑塌等现状进行浆砌石护坡。本次黄花乡山洪引流渠（排洪渠）共计2909.91m，其中平凉庄村排洪渠625m、红土村排洪渠822m、沙塘村排洪渠1462.91m。</w:t>
            </w:r>
          </w:p>
          <w:p w14:paraId="4C98899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（1）沟道设计水位</w:t>
            </w:r>
          </w:p>
          <w:p w14:paraId="044ECDE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设计水位一般采用恒定非均匀流方法计算，同时要考虑农田排水流量的影响。治理段沟道的宽度基本维持原沟道宽度，沟道的比降维持原自然比降，治理段沟道以砂砾石河床为主取n=0.03。根据河床走向及两岸地形、地貌特征分段进行设计。</w:t>
            </w:r>
          </w:p>
          <w:p w14:paraId="40BC5BA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（2）护岸高度确定</w:t>
            </w:r>
          </w:p>
          <w:p w14:paraId="587F7B0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根据《中小河流治理工程初步设计指导意见》，护岸工程上部护坡顶部高程应超过设计水位0.5m，本工程护岸安全超高取0.5m，则计算护岸高度为设计水深+0.5m。</w:t>
            </w:r>
          </w:p>
          <w:p w14:paraId="6D3B243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（3）护岸结构形式</w:t>
            </w:r>
          </w:p>
          <w:p w14:paraId="5EFBCF6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护坡结构（浆砌石）：浆砌石护坡采用MU30块石、M7.5水泥砂浆砌筑，底宽0.6m、顶宽0.3m，砌护高度2m，设计砌护内坡比1:0.5；每10米设伸缩缝1道，缝宽30mm，伸缩缝采用苯板和聚乙烯油膏填缝；中等腐蚀水环境要求</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基础结构采用浆砌石基础；浆砌石基础采用MU30块石、M7.5水泥砂浆砌筑，基础尺寸为：顶宽0.6m、高1.0m矩形基础</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浆砌石护坡砌护根据现状边坡位置，上下游平顺砌护；沟道坡面削坡按设计边坡进行施工，若按设计边坡削坡条件不够，则按实际情况削至原有沟堤线；削坡采用人工与机械削坡结合施工。</w:t>
            </w:r>
          </w:p>
          <w:p w14:paraId="516B5E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（4）护岸工程抗滑稳定计算</w:t>
            </w:r>
          </w:p>
          <w:p w14:paraId="4170CEB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spacing w:val="8"/>
                <w:kern w:val="0"/>
                <w:sz w:val="24"/>
                <w:szCs w:val="24"/>
                <w:lang w:val="en-US" w:eastAsia="zh-CN" w:bidi="ar-SA"/>
              </w:rPr>
            </w:pPr>
            <w:r>
              <w:rPr>
                <w:color w:val="auto"/>
              </w:rPr>
              <w:drawing>
                <wp:inline distT="0" distB="0" distL="114300" distR="114300">
                  <wp:extent cx="5251450" cy="1550035"/>
                  <wp:effectExtent l="0" t="0" r="6350"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5251450" cy="1550035"/>
                          </a:xfrm>
                          <a:prstGeom prst="rect">
                            <a:avLst/>
                          </a:prstGeom>
                          <a:noFill/>
                          <a:ln>
                            <a:noFill/>
                          </a:ln>
                        </pic:spPr>
                      </pic:pic>
                    </a:graphicData>
                  </a:graphic>
                </wp:inline>
              </w:drawing>
            </w:r>
          </w:p>
          <w:p w14:paraId="46AA2B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图2-2  山洪引流渠（排洪渠）护岸断面图</w:t>
            </w:r>
          </w:p>
          <w:p w14:paraId="076F589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护岸工程抗滑稳定安全系数：</w:t>
            </w:r>
            <w:r>
              <w:rPr>
                <w:rFonts w:hint="default" w:ascii="Times New Roman" w:hAnsi="Times New Roman" w:eastAsia="宋体" w:cs="Times New Roman"/>
                <w:snapToGrid w:val="0"/>
                <w:color w:val="auto"/>
                <w:spacing w:val="8"/>
                <w:kern w:val="0"/>
                <w:sz w:val="24"/>
                <w:szCs w:val="24"/>
                <w:lang w:val="en-US" w:eastAsia="zh-CN" w:bidi="ar-SA"/>
              </w:rPr>
              <w:object>
                <v:shape id="_x0000_i1025" o:spt="75" type="#_x0000_t75" style="height:20pt;width:94pt;" o:ole="t" filled="f" o:preferrelative="t" stroked="f" coordsize="21600,21600">
                  <v:path/>
                  <v:fill on="f" focussize="0,0"/>
                  <v:stroke on="f"/>
                  <v:imagedata r:id="rId16" o:title=""/>
                  <o:lock v:ext="edit" grouping="f" rotation="f" text="f" aspectratio="t"/>
                  <w10:wrap type="none"/>
                  <w10:anchorlock/>
                </v:shape>
                <o:OLEObject Type="Embed" ProgID="Equation.3" ShapeID="_x0000_i1025" DrawAspect="Content" ObjectID="_1468075725" r:id="rId15">
                  <o:LockedField>false</o:LockedField>
                </o:OLEObject>
              </w:object>
            </w:r>
          </w:p>
          <w:p w14:paraId="2749C3D6">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其中：∑G—作用在基础上全部垂直于水平面的荷载，kN，护坡、护脚采用块石重度γ=16.8KN/m³。</w:t>
            </w:r>
          </w:p>
          <w:p w14:paraId="0856C88F">
            <w:pPr>
              <w:keepNext w:val="0"/>
              <w:keepLines w:val="0"/>
              <w:pageBreakBefore w:val="0"/>
              <w:widowControl/>
              <w:kinsoku w:val="0"/>
              <w:wordWrap/>
              <w:overflowPunct/>
              <w:topLinePunct w:val="0"/>
              <w:autoSpaceDE w:val="0"/>
              <w:autoSpaceDN w:val="0"/>
              <w:bidi w:val="0"/>
              <w:adjustRightInd w:val="0"/>
              <w:snapToGrid w:val="0"/>
              <w:spacing w:line="360" w:lineRule="auto"/>
              <w:ind w:firstLine="1280" w:firstLineChars="5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∑H—作用在基础上全部平行于基底面的荷载，kN；</w:t>
            </w:r>
          </w:p>
          <w:p w14:paraId="1543FD90">
            <w:pPr>
              <w:keepNext w:val="0"/>
              <w:keepLines w:val="0"/>
              <w:pageBreakBefore w:val="0"/>
              <w:widowControl/>
              <w:kinsoku w:val="0"/>
              <w:wordWrap/>
              <w:overflowPunct/>
              <w:topLinePunct w:val="0"/>
              <w:autoSpaceDE w:val="0"/>
              <w:autoSpaceDN w:val="0"/>
              <w:bidi w:val="0"/>
              <w:adjustRightInd w:val="0"/>
              <w:snapToGrid w:val="0"/>
              <w:spacing w:line="360" w:lineRule="auto"/>
              <w:ind w:firstLine="1280" w:firstLineChars="5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f—基底与地基之间摩擦系数，格宾与壤土间的摩擦系数μ=0.31。</w:t>
            </w:r>
          </w:p>
          <w:p w14:paraId="6617D03F">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经计算，治理段基础高1.0m，Kc=1.36&gt;[Kc]=1.15，满足抗滑稳定要求。</w:t>
            </w:r>
          </w:p>
          <w:p w14:paraId="0BC297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4.2.2 地质灾害治理（挡土墙）</w:t>
            </w:r>
          </w:p>
          <w:p w14:paraId="7495DC9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地质灾害治理工程治理共计18处，总长度2050m，共涉及6个行政村，其中羊槽村1条，62m；沙塘村1条，51m；店堡村1条，52m；上胭村1条，71m；红土村2条，117m；向阳村12条，1450m。其周边撂荒地地形地貌破碎，影响村庄村容村貌，威胁当地居民生命财产安全</w:t>
            </w:r>
            <w:r>
              <w:rPr>
                <w:rFonts w:hint="default" w:ascii="Times New Roman" w:hAnsi="Times New Roman" w:eastAsia="宋体" w:cs="Times New Roman"/>
                <w:snapToGrid w:val="0"/>
                <w:color w:val="auto"/>
                <w:spacing w:val="8"/>
                <w:kern w:val="0"/>
                <w:sz w:val="24"/>
                <w:szCs w:val="24"/>
                <w:lang w:val="en-US" w:eastAsia="zh-CN" w:bidi="ar-SA"/>
              </w:rPr>
              <w:t>。</w:t>
            </w:r>
          </w:p>
          <w:p w14:paraId="4819D9B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重力式挡墙采用C30商品混凝土浇筑。具体施工工艺：按照图纸设计开挖线进行开挖断面→基础换填600mm厚3:7灰土垫层→铺设150mm厚C25商品混凝土垫层（基础处理根据地勘资料所确定）→现浇C30商品混凝土挡土墙→土方回填夯实。挡墙纵向每隔3m设置Dn90PVC-U排水管，沿线布设土工布（400g）及级配反滤料，挡墙每隔10m设置一道伸缩缝，伸缩缝宽30mm，伸缩缝填充材料从上至下依次为30mm厚聚乙烯油膏+塑聚苯乙烯板</w:t>
            </w:r>
            <w:r>
              <w:rPr>
                <w:rFonts w:hint="eastAsia" w:ascii="Times New Roman" w:hAnsi="Times New Roman" w:eastAsia="宋体" w:cs="Times New Roman"/>
                <w:snapToGrid w:val="0"/>
                <w:color w:val="auto"/>
                <w:spacing w:val="8"/>
                <w:kern w:val="0"/>
                <w:sz w:val="24"/>
                <w:szCs w:val="24"/>
                <w:lang w:val="en-US" w:eastAsia="zh-CN" w:bidi="ar-SA"/>
              </w:rPr>
              <w:t>。</w:t>
            </w:r>
          </w:p>
          <w:p w14:paraId="420766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olor w:val="auto"/>
                <w:lang w:val="en-US" w:eastAsia="zh-CN"/>
              </w:rPr>
            </w:pPr>
            <w:r>
              <w:rPr>
                <w:rFonts w:hint="eastAsia"/>
                <w:color w:val="auto"/>
                <w:lang w:val="en-US" w:eastAsia="zh-CN"/>
              </w:rPr>
              <w:drawing>
                <wp:inline distT="0" distB="0" distL="114300" distR="114300">
                  <wp:extent cx="4145915" cy="3665220"/>
                  <wp:effectExtent l="0" t="0" r="6985" b="11430"/>
                  <wp:docPr id="190" name="图片 19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图片3"/>
                          <pic:cNvPicPr>
                            <a:picLocks noChangeAspect="1"/>
                          </pic:cNvPicPr>
                        </pic:nvPicPr>
                        <pic:blipFill>
                          <a:blip r:embed="rId17"/>
                          <a:stretch>
                            <a:fillRect/>
                          </a:stretch>
                        </pic:blipFill>
                        <pic:spPr>
                          <a:xfrm>
                            <a:off x="0" y="0"/>
                            <a:ext cx="4145915" cy="3665220"/>
                          </a:xfrm>
                          <a:prstGeom prst="rect">
                            <a:avLst/>
                          </a:prstGeom>
                        </pic:spPr>
                      </pic:pic>
                    </a:graphicData>
                  </a:graphic>
                </wp:inline>
              </w:drawing>
            </w:r>
          </w:p>
          <w:p w14:paraId="23B16D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图2-3  重力式挡土墙结构设计图</w:t>
            </w:r>
          </w:p>
          <w:p w14:paraId="58C2CD4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olor w:val="auto"/>
                <w:lang w:val="en-US" w:eastAsia="zh-CN"/>
              </w:rPr>
            </w:pPr>
            <w:r>
              <w:rPr>
                <w:rFonts w:hint="eastAsia"/>
                <w:color w:val="auto"/>
                <w:lang w:val="en-US" w:eastAsia="zh-CN"/>
              </w:rPr>
              <w:drawing>
                <wp:inline distT="0" distB="0" distL="114300" distR="114300">
                  <wp:extent cx="4118610" cy="4182110"/>
                  <wp:effectExtent l="0" t="0" r="15240" b="8890"/>
                  <wp:docPr id="191" name="图片 19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图片4"/>
                          <pic:cNvPicPr>
                            <a:picLocks noChangeAspect="1"/>
                          </pic:cNvPicPr>
                        </pic:nvPicPr>
                        <pic:blipFill>
                          <a:blip r:embed="rId18"/>
                          <a:stretch>
                            <a:fillRect/>
                          </a:stretch>
                        </pic:blipFill>
                        <pic:spPr>
                          <a:xfrm>
                            <a:off x="0" y="0"/>
                            <a:ext cx="4118610" cy="4182110"/>
                          </a:xfrm>
                          <a:prstGeom prst="rect">
                            <a:avLst/>
                          </a:prstGeom>
                        </pic:spPr>
                      </pic:pic>
                    </a:graphicData>
                  </a:graphic>
                </wp:inline>
              </w:drawing>
            </w:r>
          </w:p>
          <w:p w14:paraId="69129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图2-4  重力式挡土墙配筋图</w:t>
            </w:r>
          </w:p>
          <w:p w14:paraId="207F05E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4.2.3 建设U型排水渠</w:t>
            </w:r>
          </w:p>
          <w:p w14:paraId="378681B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本工程是在重力式挡土墙底部设置排水渠道，排水出口接项目区现有排水渠道，将地质灾害点处雨水排出，本项目共布置D=40U型排水渠2593m。</w:t>
            </w:r>
          </w:p>
          <w:p w14:paraId="76F808F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（1）断面型式</w:t>
            </w:r>
          </w:p>
          <w:p w14:paraId="0C0E053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“U”型渠道具有水力条件好、过水能力强、整体强、抗冻胀能力强、防渗节水效果好、养护费用低等优点，因此本项目排水渠道选用U型断面形式。</w:t>
            </w:r>
          </w:p>
          <w:p w14:paraId="1225875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渠道砌护参照《宁夏灌区支斗农渠定型图集》采用“U”型砼板砌护，糙率取0.016。</w:t>
            </w:r>
          </w:p>
          <w:p w14:paraId="1DB934F2">
            <w:pPr>
              <w:pStyle w:val="19"/>
              <w:spacing w:before="44" w:line="220" w:lineRule="auto"/>
              <w:ind w:left="0" w:leftChars="0" w:right="0" w:rightChars="0" w:firstLine="0" w:firstLineChars="0"/>
              <w:jc w:val="center"/>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表2-3  U形渠道断面结构尺寸表</w:t>
            </w:r>
          </w:p>
          <w:tbl>
            <w:tblPr>
              <w:tblStyle w:val="15"/>
              <w:tblW w:w="492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50"/>
              <w:gridCol w:w="1065"/>
              <w:gridCol w:w="1518"/>
              <w:gridCol w:w="1612"/>
              <w:gridCol w:w="1205"/>
              <w:gridCol w:w="1613"/>
            </w:tblGrid>
            <w:tr w14:paraId="7247A1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7" w:hRule="exact"/>
                <w:tblHeader/>
                <w:jc w:val="center"/>
              </w:trPr>
              <w:tc>
                <w:tcPr>
                  <w:tcW w:w="755" w:type="pct"/>
                  <w:vMerge w:val="restart"/>
                  <w:tcBorders>
                    <w:tl2br w:val="nil"/>
                    <w:tr2bl w:val="nil"/>
                  </w:tcBorders>
                  <w:noWrap w:val="0"/>
                  <w:vAlign w:val="center"/>
                </w:tcPr>
                <w:p w14:paraId="29FEAE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渠道分类</w:t>
                  </w:r>
                </w:p>
              </w:tc>
              <w:tc>
                <w:tcPr>
                  <w:tcW w:w="2538" w:type="pct"/>
                  <w:gridSpan w:val="3"/>
                  <w:tcBorders>
                    <w:tl2br w:val="nil"/>
                    <w:tr2bl w:val="nil"/>
                  </w:tcBorders>
                  <w:noWrap w:val="0"/>
                  <w:vAlign w:val="center"/>
                </w:tcPr>
                <w:p w14:paraId="68FBE6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断面尺寸(mm)</w:t>
                  </w:r>
                </w:p>
              </w:tc>
              <w:tc>
                <w:tcPr>
                  <w:tcW w:w="729" w:type="pct"/>
                  <w:vMerge w:val="restart"/>
                  <w:tcBorders>
                    <w:tl2br w:val="nil"/>
                    <w:tr2bl w:val="nil"/>
                  </w:tcBorders>
                  <w:noWrap w:val="0"/>
                  <w:vAlign w:val="center"/>
                </w:tcPr>
                <w:p w14:paraId="363F2F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外倾角α</w:t>
                  </w:r>
                </w:p>
                <w:p w14:paraId="191C29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w:t>
                  </w:r>
                </w:p>
              </w:tc>
              <w:tc>
                <w:tcPr>
                  <w:tcW w:w="976" w:type="pct"/>
                  <w:vMerge w:val="restart"/>
                  <w:tcBorders>
                    <w:tl2br w:val="nil"/>
                    <w:tr2bl w:val="nil"/>
                  </w:tcBorders>
                  <w:noWrap w:val="0"/>
                  <w:vAlign w:val="center"/>
                </w:tcPr>
                <w:p w14:paraId="3C951A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板厚（mm）</w:t>
                  </w:r>
                </w:p>
              </w:tc>
            </w:tr>
            <w:tr w14:paraId="660E72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7" w:hRule="exact"/>
                <w:tblHeader/>
                <w:jc w:val="center"/>
              </w:trPr>
              <w:tc>
                <w:tcPr>
                  <w:tcW w:w="755" w:type="pct"/>
                  <w:vMerge w:val="continue"/>
                  <w:tcBorders>
                    <w:tl2br w:val="nil"/>
                    <w:tr2bl w:val="nil"/>
                  </w:tcBorders>
                  <w:noWrap w:val="0"/>
                  <w:vAlign w:val="center"/>
                </w:tcPr>
                <w:p w14:paraId="0EC9CC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p>
              </w:tc>
              <w:tc>
                <w:tcPr>
                  <w:tcW w:w="644" w:type="pct"/>
                  <w:tcBorders>
                    <w:tl2br w:val="nil"/>
                    <w:tr2bl w:val="nil"/>
                  </w:tcBorders>
                  <w:noWrap w:val="0"/>
                  <w:vAlign w:val="center"/>
                </w:tcPr>
                <w:p w14:paraId="6F7E72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半径</w:t>
                  </w:r>
                </w:p>
              </w:tc>
              <w:tc>
                <w:tcPr>
                  <w:tcW w:w="918" w:type="pct"/>
                  <w:tcBorders>
                    <w:tl2br w:val="nil"/>
                    <w:tr2bl w:val="nil"/>
                  </w:tcBorders>
                  <w:noWrap w:val="0"/>
                  <w:vAlign w:val="center"/>
                </w:tcPr>
                <w:p w14:paraId="60D8A5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上口宽B</w:t>
                  </w:r>
                </w:p>
              </w:tc>
              <w:tc>
                <w:tcPr>
                  <w:tcW w:w="975" w:type="pct"/>
                  <w:tcBorders>
                    <w:tl2br w:val="nil"/>
                    <w:tr2bl w:val="nil"/>
                  </w:tcBorders>
                  <w:noWrap w:val="0"/>
                  <w:vAlign w:val="center"/>
                </w:tcPr>
                <w:p w14:paraId="53E97C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渠深H</w:t>
                  </w:r>
                </w:p>
              </w:tc>
              <w:tc>
                <w:tcPr>
                  <w:tcW w:w="729" w:type="pct"/>
                  <w:vMerge w:val="continue"/>
                  <w:tcBorders>
                    <w:tl2br w:val="nil"/>
                    <w:tr2bl w:val="nil"/>
                  </w:tcBorders>
                  <w:noWrap w:val="0"/>
                  <w:vAlign w:val="center"/>
                </w:tcPr>
                <w:p w14:paraId="48825488">
                  <w:pPr>
                    <w:spacing w:line="240" w:lineRule="auto"/>
                    <w:ind w:firstLine="0" w:firstLineChars="0"/>
                    <w:jc w:val="center"/>
                    <w:rPr>
                      <w:rFonts w:hint="eastAsia" w:ascii="宋体" w:hAnsi="宋体" w:eastAsia="宋体" w:cs="宋体"/>
                      <w:b/>
                      <w:bCs/>
                      <w:color w:val="auto"/>
                      <w:sz w:val="21"/>
                      <w:szCs w:val="21"/>
                    </w:rPr>
                  </w:pPr>
                </w:p>
              </w:tc>
              <w:tc>
                <w:tcPr>
                  <w:tcW w:w="976" w:type="pct"/>
                  <w:vMerge w:val="continue"/>
                  <w:tcBorders>
                    <w:tl2br w:val="nil"/>
                    <w:tr2bl w:val="nil"/>
                  </w:tcBorders>
                  <w:noWrap w:val="0"/>
                  <w:vAlign w:val="center"/>
                </w:tcPr>
                <w:p w14:paraId="1EE14B93">
                  <w:pPr>
                    <w:spacing w:line="240" w:lineRule="auto"/>
                    <w:ind w:firstLine="0" w:firstLineChars="0"/>
                    <w:jc w:val="center"/>
                    <w:rPr>
                      <w:rFonts w:hint="eastAsia" w:ascii="宋体" w:hAnsi="宋体" w:eastAsia="宋体" w:cs="宋体"/>
                      <w:b/>
                      <w:bCs/>
                      <w:color w:val="auto"/>
                      <w:sz w:val="21"/>
                      <w:szCs w:val="21"/>
                    </w:rPr>
                  </w:pPr>
                </w:p>
              </w:tc>
            </w:tr>
            <w:tr w14:paraId="60D091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5" w:hRule="exact"/>
                <w:jc w:val="center"/>
              </w:trPr>
              <w:tc>
                <w:tcPr>
                  <w:tcW w:w="755" w:type="pct"/>
                  <w:tcBorders>
                    <w:tl2br w:val="nil"/>
                    <w:tr2bl w:val="nil"/>
                  </w:tcBorders>
                  <w:noWrap w:val="0"/>
                  <w:vAlign w:val="center"/>
                </w:tcPr>
                <w:p w14:paraId="111F96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D40渠道</w:t>
                  </w:r>
                </w:p>
              </w:tc>
              <w:tc>
                <w:tcPr>
                  <w:tcW w:w="644" w:type="pct"/>
                  <w:tcBorders>
                    <w:tl2br w:val="nil"/>
                    <w:tr2bl w:val="nil"/>
                  </w:tcBorders>
                  <w:noWrap w:val="0"/>
                  <w:vAlign w:val="center"/>
                </w:tcPr>
                <w:p w14:paraId="0199CF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200</w:t>
                  </w:r>
                </w:p>
              </w:tc>
              <w:tc>
                <w:tcPr>
                  <w:tcW w:w="918" w:type="pct"/>
                  <w:tcBorders>
                    <w:tl2br w:val="nil"/>
                    <w:tr2bl w:val="nil"/>
                  </w:tcBorders>
                  <w:noWrap w:val="0"/>
                  <w:vAlign w:val="center"/>
                </w:tcPr>
                <w:p w14:paraId="3EA3B8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548</w:t>
                  </w:r>
                </w:p>
              </w:tc>
              <w:tc>
                <w:tcPr>
                  <w:tcW w:w="975" w:type="pct"/>
                  <w:tcBorders>
                    <w:tl2br w:val="nil"/>
                    <w:tr2bl w:val="nil"/>
                  </w:tcBorders>
                  <w:noWrap w:val="0"/>
                  <w:vAlign w:val="center"/>
                </w:tcPr>
                <w:p w14:paraId="03DBFA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450</w:t>
                  </w:r>
                </w:p>
              </w:tc>
              <w:tc>
                <w:tcPr>
                  <w:tcW w:w="729" w:type="pct"/>
                  <w:tcBorders>
                    <w:tl2br w:val="nil"/>
                    <w:tr2bl w:val="nil"/>
                  </w:tcBorders>
                  <w:noWrap w:val="0"/>
                  <w:vAlign w:val="center"/>
                </w:tcPr>
                <w:p w14:paraId="081D44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22</w:t>
                  </w:r>
                </w:p>
              </w:tc>
              <w:tc>
                <w:tcPr>
                  <w:tcW w:w="976" w:type="pct"/>
                  <w:tcBorders>
                    <w:tl2br w:val="nil"/>
                    <w:tr2bl w:val="nil"/>
                  </w:tcBorders>
                  <w:noWrap w:val="0"/>
                  <w:vAlign w:val="center"/>
                </w:tcPr>
                <w:p w14:paraId="64F884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50</w:t>
                  </w:r>
                </w:p>
              </w:tc>
            </w:tr>
          </w:tbl>
          <w:p w14:paraId="46C5BFB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（2）渠道冻胀设计</w:t>
            </w:r>
          </w:p>
          <w:p w14:paraId="5F8E24C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设计渠道的工程等别为Ⅴ等，水工建筑物工程级别为5级。项目区地处宁夏南部寒冷地区，砌护渠道设计中需考虑防冻胀破坏。根据该规范的规定，寒冷地区混凝土最小砌护厚度50cm，混凝土性能指标应强度（C）应不低于10MPa、抗冻（F）应不低于150次冻融循环次数、防渗（W）应不低于0.6MPa，结合本项目的实际特点选择预制砼强度等级C25，抗冻等级F150，抗渗等级W6。</w:t>
            </w:r>
          </w:p>
          <w:p w14:paraId="20A1D807">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（3）渠道砌护</w:t>
            </w:r>
          </w:p>
          <w:p w14:paraId="3FB03E1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根据《灌溉排水渠系设计规划》要求，渠道横断面设计采用明渠均流公式计算渠道水力要素，结合近年来灌区改造渠道砌护经验，抗冻防渗及边坡稳定性，经过最优过水断面分析，项目区排水渠道采用砼板断面。</w:t>
            </w:r>
          </w:p>
          <w:p w14:paraId="5B2701C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排水渠砌护采用D=0.4m、板厚5cm的C25机制U型混凝土预制衬砌板，板缝宽5cm，全部采用C25细石混凝土填缝，并掺入10%膨胀剂，表面要抹光，渠顶素土夯实超过混凝土板10cm。沿水流方向每7.6m设置1条伸缩缝，缝宽3cm，用聚乙烯油膏填塞。具体形式详见下图。</w:t>
            </w:r>
          </w:p>
          <w:p w14:paraId="412C8ABC">
            <w:pPr>
              <w:pStyle w:val="19"/>
              <w:spacing w:before="44" w:line="220" w:lineRule="auto"/>
              <w:ind w:left="0" w:leftChars="0" w:right="0" w:rightChars="0" w:firstLine="0" w:firstLineChars="0"/>
              <w:jc w:val="center"/>
              <w:rPr>
                <w:color w:val="auto"/>
              </w:rPr>
            </w:pPr>
            <w:r>
              <w:rPr>
                <w:color w:val="auto"/>
              </w:rPr>
              <w:drawing>
                <wp:inline distT="0" distB="0" distL="114300" distR="114300">
                  <wp:extent cx="3320415" cy="2369185"/>
                  <wp:effectExtent l="0" t="0" r="13335" b="1206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3320415" cy="2369185"/>
                          </a:xfrm>
                          <a:prstGeom prst="rect">
                            <a:avLst/>
                          </a:prstGeom>
                          <a:noFill/>
                          <a:ln>
                            <a:noFill/>
                          </a:ln>
                        </pic:spPr>
                      </pic:pic>
                    </a:graphicData>
                  </a:graphic>
                </wp:inline>
              </w:drawing>
            </w:r>
          </w:p>
          <w:p w14:paraId="55946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图2-5  D=40U型排水渠道</w:t>
            </w:r>
          </w:p>
          <w:p w14:paraId="11F13AB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（4）排水口设计</w:t>
            </w:r>
          </w:p>
          <w:p w14:paraId="17FE10C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排水渠道排水口采用浆砌石扭面与U型排水边沟道连接，材料为：混凝土标号为C25，浆砌石采用Mu30毛料石，M7.5水泥砂浆砌筑，具体结构详见下图。</w:t>
            </w:r>
          </w:p>
          <w:p w14:paraId="38BE2CFD">
            <w:pPr>
              <w:pStyle w:val="19"/>
              <w:spacing w:before="44" w:line="220" w:lineRule="auto"/>
              <w:ind w:left="0" w:leftChars="0" w:right="0" w:rightChars="0" w:firstLine="0" w:firstLineChars="0"/>
              <w:jc w:val="center"/>
              <w:rPr>
                <w:color w:val="auto"/>
              </w:rPr>
            </w:pPr>
            <w:r>
              <w:rPr>
                <w:color w:val="auto"/>
              </w:rPr>
              <w:drawing>
                <wp:inline distT="0" distB="0" distL="114300" distR="114300">
                  <wp:extent cx="5064125" cy="1423035"/>
                  <wp:effectExtent l="0" t="0" r="3175" b="571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0"/>
                          <a:stretch>
                            <a:fillRect/>
                          </a:stretch>
                        </pic:blipFill>
                        <pic:spPr>
                          <a:xfrm>
                            <a:off x="0" y="0"/>
                            <a:ext cx="5064125" cy="1423035"/>
                          </a:xfrm>
                          <a:prstGeom prst="rect">
                            <a:avLst/>
                          </a:prstGeom>
                          <a:noFill/>
                          <a:ln>
                            <a:noFill/>
                          </a:ln>
                        </pic:spPr>
                      </pic:pic>
                    </a:graphicData>
                  </a:graphic>
                </wp:inline>
              </w:drawing>
            </w:r>
          </w:p>
          <w:p w14:paraId="40A878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图2-6  排水渠道出水口断面图</w:t>
            </w:r>
          </w:p>
          <w:p w14:paraId="6354C5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4.2.4 坡面撒播植草</w:t>
            </w:r>
          </w:p>
          <w:p w14:paraId="230D601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为了使地质灾害点治理后坡面与其周边环境相协调及使边坡更加稳固，本次设计在挡墙上部坡面播撒草籽，播撒草籽种类选用红豆草和紫花苜蓿，播撒标准为每公顷80kg，本项目共播撒草籽面积为332100m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w:t>
            </w:r>
          </w:p>
          <w:p w14:paraId="23C6EFBE">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草种选择:根据泾源县地理环境条件，选用本地草种，即红豆草和紫花苜蓿，采用混播的播撒形式，其混播比例为1：1。</w:t>
            </w:r>
          </w:p>
          <w:p w14:paraId="6B84125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4.2.5 新建安全隐患防护栏工程</w:t>
            </w:r>
          </w:p>
          <w:p w14:paraId="614DF94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本项目安全隐患防护栏工程涉及3个行政村，既羊槽村、平凉庄村及向阳村，总长为2744m，其中羊槽村100m，平凉庄村494m，向阳村2150m。</w:t>
            </w:r>
          </w:p>
          <w:p w14:paraId="3D187AA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安全隐患防护栏</w:t>
            </w:r>
            <w:r>
              <w:rPr>
                <w:rFonts w:hint="eastAsia" w:ascii="Times New Roman" w:hAnsi="Times New Roman" w:eastAsia="宋体" w:cs="Times New Roman"/>
                <w:snapToGrid w:val="0"/>
                <w:color w:val="auto"/>
                <w:spacing w:val="8"/>
                <w:kern w:val="0"/>
                <w:sz w:val="24"/>
                <w:szCs w:val="24"/>
                <w:lang w:val="en-US" w:eastAsia="zh-CN" w:bidi="ar-SA"/>
              </w:rPr>
              <w:t>在重力式挡墙</w:t>
            </w:r>
            <w:r>
              <w:rPr>
                <w:rFonts w:hint="default" w:ascii="Times New Roman" w:hAnsi="Times New Roman" w:eastAsia="宋体" w:cs="Times New Roman"/>
                <w:snapToGrid w:val="0"/>
                <w:color w:val="auto"/>
                <w:spacing w:val="8"/>
                <w:kern w:val="0"/>
                <w:sz w:val="24"/>
                <w:szCs w:val="24"/>
                <w:lang w:val="en-US" w:eastAsia="zh-CN" w:bidi="ar-SA"/>
              </w:rPr>
              <w:t>顶部设置1.8m高防护镀锌方管围栏</w:t>
            </w:r>
            <w:r>
              <w:rPr>
                <w:rFonts w:hint="eastAsia" w:ascii="Times New Roman" w:hAnsi="Times New Roman" w:eastAsia="宋体" w:cs="Times New Roman"/>
                <w:snapToGrid w:val="0"/>
                <w:color w:val="auto"/>
                <w:spacing w:val="8"/>
                <w:kern w:val="0"/>
                <w:sz w:val="24"/>
                <w:szCs w:val="24"/>
                <w:lang w:val="en-US" w:eastAsia="zh-CN" w:bidi="ar-SA"/>
              </w:rPr>
              <w:t>。</w:t>
            </w:r>
            <w:r>
              <w:rPr>
                <w:rFonts w:hint="default" w:ascii="Times New Roman" w:hAnsi="Times New Roman" w:eastAsia="宋体" w:cs="Times New Roman"/>
                <w:snapToGrid w:val="0"/>
                <w:color w:val="auto"/>
                <w:spacing w:val="8"/>
                <w:kern w:val="0"/>
                <w:sz w:val="24"/>
                <w:szCs w:val="24"/>
                <w:lang w:val="en-US" w:eastAsia="zh-CN" w:bidi="ar-SA"/>
              </w:rPr>
              <w:t>安全隐患防护栏选用镀锌方管围栏，高1.8m，规格为：立柱厚1.2mm；横管4cm×4cm，厚1.4mm；竖管4cm×2cm，厚0.8mm，间距为13cm。基础为C25混凝土基础，规格为0.3×0.4m，具体结构形式详见下图。</w:t>
            </w:r>
          </w:p>
          <w:p w14:paraId="6FE433DD">
            <w:pPr>
              <w:bidi w:val="0"/>
              <w:ind w:left="0" w:leftChars="0" w:right="0" w:rightChars="0" w:firstLine="0" w:firstLine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4972050" cy="1544955"/>
                  <wp:effectExtent l="0" t="0" r="0" b="1714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21"/>
                          <a:stretch>
                            <a:fillRect/>
                          </a:stretch>
                        </pic:blipFill>
                        <pic:spPr>
                          <a:xfrm>
                            <a:off x="0" y="0"/>
                            <a:ext cx="4972050" cy="1544955"/>
                          </a:xfrm>
                          <a:prstGeom prst="rect">
                            <a:avLst/>
                          </a:prstGeom>
                        </pic:spPr>
                      </pic:pic>
                    </a:graphicData>
                  </a:graphic>
                </wp:inline>
              </w:drawing>
            </w:r>
          </w:p>
          <w:p w14:paraId="626595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 xml:space="preserve">图2-7  </w:t>
            </w:r>
            <w:r>
              <w:rPr>
                <w:rFonts w:hint="default" w:ascii="Times New Roman" w:hAnsi="Times New Roman" w:eastAsia="宋体" w:cs="Times New Roman"/>
                <w:b/>
                <w:bCs/>
                <w:snapToGrid w:val="0"/>
                <w:color w:val="auto"/>
                <w:spacing w:val="7"/>
                <w:kern w:val="0"/>
                <w:sz w:val="21"/>
                <w:szCs w:val="21"/>
                <w:lang w:val="en-US" w:eastAsia="zh-CN" w:bidi="ar-SA"/>
              </w:rPr>
              <w:t>防护围栏设计图</w:t>
            </w:r>
          </w:p>
          <w:p w14:paraId="57A59E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4.2.6 挂网喷播</w:t>
            </w:r>
          </w:p>
          <w:p w14:paraId="58C6ED5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次设计对平凉庄村泾平路与羊槽河交叉口处西侧裸露山体进行挂网喷播，通过裸露陡坎土方工程对坡面裸露石膏硬质岩体及浮土进行清理，清理工程完成后需要对坡面进行复绿，达到美观和恢复植被的效果。本次采用坡面挂网喷播面积3259.2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植生喷混绿化工程是先铺一层机编双纽结镀锌铁丝网，再用锚杆固定铁丝网，以增加坡面稳定性和形成若干个小的草床后，再喷含有草籽的植生混合料的方法，其核心是植生混凝土配合比。植生混凝土是根据边坡地理位置、边坡角度、岩石性质、绿化要求等来确定水泥、种植土、腐植质、保水剂、长效肥、绿化添加剂、混合植绿种子和水组成比例。绿化添加剂的作用是增加护坡强度和抗冲刷能力，而且使植生混凝土层不产生龟裂，又可以改变植生混凝土酸碱特性，从而创造出较好的植物生长环境。</w:t>
            </w:r>
          </w:p>
          <w:p w14:paraId="2DD00A94">
            <w:pPr>
              <w:keepNext w:val="0"/>
              <w:keepLines w:val="0"/>
              <w:pageBreakBefore w:val="0"/>
              <w:widowControl/>
              <w:kinsoku w:val="0"/>
              <w:wordWrap/>
              <w:overflowPunct/>
              <w:topLinePunct w:val="0"/>
              <w:autoSpaceDE w:val="0"/>
              <w:autoSpaceDN w:val="0"/>
              <w:bidi w:val="0"/>
              <w:adjustRightInd w:val="0"/>
              <w:snapToGrid w:val="0"/>
              <w:spacing w:line="360" w:lineRule="auto"/>
              <w:ind w:firstLine="514" w:firstLineChars="200"/>
              <w:textAlignment w:val="baseline"/>
              <w:rPr>
                <w:rFonts w:hint="eastAsia" w:ascii="Times New Roman" w:hAnsi="Times New Roman" w:eastAsia="宋体" w:cs="Times New Roman"/>
                <w:b/>
                <w:bCs/>
                <w:snapToGrid w:val="0"/>
                <w:color w:val="auto"/>
                <w:spacing w:val="8"/>
                <w:kern w:val="0"/>
                <w:sz w:val="24"/>
                <w:szCs w:val="24"/>
                <w:lang w:val="en-US" w:eastAsia="zh-CN" w:bidi="ar-SA"/>
              </w:rPr>
            </w:pPr>
            <w:r>
              <w:rPr>
                <w:rFonts w:hint="eastAsia" w:ascii="Times New Roman" w:hAnsi="Times New Roman" w:eastAsia="宋体" w:cs="Times New Roman"/>
                <w:b/>
                <w:bCs/>
                <w:snapToGrid w:val="0"/>
                <w:color w:val="auto"/>
                <w:spacing w:val="8"/>
                <w:kern w:val="0"/>
                <w:sz w:val="24"/>
                <w:szCs w:val="24"/>
                <w:lang w:val="en-US" w:eastAsia="zh-CN" w:bidi="ar-SA"/>
              </w:rPr>
              <w:t>5 土石方平衡</w:t>
            </w:r>
          </w:p>
          <w:p w14:paraId="16F22E8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本项目多余土方回用于护岸堤身填筑；淤泥干化后，直接由运输车辆送至本项目河道生境构建工程（用于植被恢复）、生态步道工程（绿化工程用于种植土补充和场地平整）等综合利用。土石方平衡见表2-4。</w:t>
            </w:r>
          </w:p>
          <w:p w14:paraId="7CBB728B">
            <w:pPr>
              <w:pStyle w:val="19"/>
              <w:spacing w:before="44" w:line="220" w:lineRule="auto"/>
              <w:ind w:left="0" w:leftChars="0" w:right="0" w:rightChars="0" w:firstLine="0" w:firstLineChars="0"/>
              <w:jc w:val="center"/>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cs="Times New Roman"/>
                <w:b/>
                <w:bCs/>
                <w:snapToGrid w:val="0"/>
                <w:color w:val="auto"/>
                <w:spacing w:val="7"/>
                <w:kern w:val="0"/>
                <w:sz w:val="21"/>
                <w:szCs w:val="21"/>
                <w:lang w:val="en-US" w:eastAsia="zh-CN" w:bidi="ar-SA"/>
              </w:rPr>
              <w:t xml:space="preserve">                      </w:t>
            </w:r>
            <w:r>
              <w:rPr>
                <w:rFonts w:hint="eastAsia" w:ascii="Times New Roman" w:hAnsi="Times New Roman" w:eastAsia="宋体" w:cs="Times New Roman"/>
                <w:b/>
                <w:bCs/>
                <w:snapToGrid w:val="0"/>
                <w:color w:val="auto"/>
                <w:spacing w:val="7"/>
                <w:kern w:val="0"/>
                <w:sz w:val="21"/>
                <w:szCs w:val="21"/>
                <w:lang w:val="en-US" w:eastAsia="zh-CN" w:bidi="ar-SA"/>
              </w:rPr>
              <w:t>表2-4  项目土石方平衡表</w:t>
            </w:r>
            <w:r>
              <w:rPr>
                <w:rFonts w:hint="eastAsia" w:ascii="Times New Roman" w:hAnsi="Times New Roman" w:cs="Times New Roman"/>
                <w:b/>
                <w:bCs/>
                <w:snapToGrid w:val="0"/>
                <w:color w:val="auto"/>
                <w:spacing w:val="7"/>
                <w:kern w:val="0"/>
                <w:sz w:val="21"/>
                <w:szCs w:val="21"/>
                <w:lang w:val="en-US" w:eastAsia="zh-CN" w:bidi="ar-SA"/>
              </w:rPr>
              <w:t xml:space="preserve">           （单位：m</w:t>
            </w:r>
            <w:r>
              <w:rPr>
                <w:rFonts w:hint="eastAsia" w:ascii="Times New Roman" w:hAnsi="Times New Roman" w:cs="Times New Roman"/>
                <w:b/>
                <w:bCs/>
                <w:snapToGrid w:val="0"/>
                <w:color w:val="auto"/>
                <w:spacing w:val="7"/>
                <w:kern w:val="0"/>
                <w:sz w:val="21"/>
                <w:szCs w:val="21"/>
                <w:vertAlign w:val="superscript"/>
                <w:lang w:val="en-US" w:eastAsia="zh-CN" w:bidi="ar-SA"/>
              </w:rPr>
              <w:t>3</w:t>
            </w:r>
            <w:r>
              <w:rPr>
                <w:rFonts w:hint="eastAsia" w:ascii="Times New Roman" w:hAnsi="Times New Roman" w:cs="Times New Roman"/>
                <w:b/>
                <w:bCs/>
                <w:snapToGrid w:val="0"/>
                <w:color w:val="auto"/>
                <w:spacing w:val="7"/>
                <w:kern w:val="0"/>
                <w:sz w:val="21"/>
                <w:szCs w:val="21"/>
                <w:lang w:val="en-US" w:eastAsia="zh-CN" w:bidi="ar-SA"/>
              </w:rPr>
              <w:t>）</w:t>
            </w:r>
          </w:p>
          <w:tbl>
            <w:tblPr>
              <w:tblStyle w:val="15"/>
              <w:tblW w:w="79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7"/>
              <w:gridCol w:w="1988"/>
              <w:gridCol w:w="1075"/>
              <w:gridCol w:w="1037"/>
              <w:gridCol w:w="963"/>
              <w:gridCol w:w="695"/>
              <w:gridCol w:w="1055"/>
              <w:gridCol w:w="678"/>
            </w:tblGrid>
            <w:tr w14:paraId="2AF18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2415" w:type="dxa"/>
                  <w:gridSpan w:val="2"/>
                  <w:vMerge w:val="restart"/>
                  <w:tcBorders>
                    <w:top w:val="single" w:color="000000" w:sz="12" w:space="0"/>
                    <w:left w:val="nil"/>
                    <w:bottom w:val="single" w:color="000000" w:sz="8" w:space="0"/>
                    <w:right w:val="single" w:color="000000" w:sz="8" w:space="0"/>
                  </w:tcBorders>
                  <w:shd w:val="clear" w:color="auto" w:fill="auto"/>
                  <w:vAlign w:val="center"/>
                </w:tcPr>
                <w:p w14:paraId="5193277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项目组成</w:t>
                  </w:r>
                </w:p>
              </w:tc>
              <w:tc>
                <w:tcPr>
                  <w:tcW w:w="1075"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5A79FF8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挖方</w:t>
                  </w:r>
                </w:p>
              </w:tc>
              <w:tc>
                <w:tcPr>
                  <w:tcW w:w="1037" w:type="dxa"/>
                  <w:vMerge w:val="restart"/>
                  <w:tcBorders>
                    <w:top w:val="single" w:color="000000" w:sz="12" w:space="0"/>
                    <w:left w:val="single" w:color="000000" w:sz="8" w:space="0"/>
                    <w:bottom w:val="single" w:color="000000" w:sz="8" w:space="0"/>
                    <w:right w:val="single" w:color="000000" w:sz="8" w:space="0"/>
                  </w:tcBorders>
                  <w:shd w:val="clear" w:color="auto" w:fill="auto"/>
                  <w:vAlign w:val="center"/>
                </w:tcPr>
                <w:p w14:paraId="64B5387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填方</w:t>
                  </w:r>
                </w:p>
              </w:tc>
              <w:tc>
                <w:tcPr>
                  <w:tcW w:w="3391" w:type="dxa"/>
                  <w:gridSpan w:val="4"/>
                  <w:tcBorders>
                    <w:top w:val="single" w:color="000000" w:sz="12" w:space="0"/>
                    <w:left w:val="single" w:color="000000" w:sz="8" w:space="0"/>
                    <w:bottom w:val="single" w:color="000000" w:sz="8" w:space="0"/>
                    <w:right w:val="nil"/>
                  </w:tcBorders>
                  <w:shd w:val="clear" w:color="auto" w:fill="auto"/>
                  <w:vAlign w:val="center"/>
                </w:tcPr>
                <w:p w14:paraId="1C935D8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区间调配</w:t>
                  </w:r>
                </w:p>
              </w:tc>
            </w:tr>
            <w:tr w14:paraId="185A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2415" w:type="dxa"/>
                  <w:gridSpan w:val="2"/>
                  <w:vMerge w:val="continue"/>
                  <w:tcBorders>
                    <w:top w:val="single" w:color="000000" w:sz="12" w:space="0"/>
                    <w:left w:val="nil"/>
                    <w:bottom w:val="single" w:color="000000" w:sz="8" w:space="0"/>
                    <w:right w:val="single" w:color="000000" w:sz="8" w:space="0"/>
                  </w:tcBorders>
                  <w:shd w:val="clear" w:color="auto" w:fill="auto"/>
                  <w:vAlign w:val="center"/>
                </w:tcPr>
                <w:p w14:paraId="67D85B07">
                  <w:pPr>
                    <w:jc w:val="center"/>
                    <w:rPr>
                      <w:rFonts w:hint="default" w:ascii="Times New Roman" w:hAnsi="Times New Roman" w:eastAsia="宋体" w:cs="Times New Roman"/>
                      <w:b/>
                      <w:bCs/>
                      <w:i w:val="0"/>
                      <w:iCs w:val="0"/>
                      <w:color w:val="auto"/>
                      <w:sz w:val="21"/>
                      <w:szCs w:val="21"/>
                      <w:u w:val="none"/>
                    </w:rPr>
                  </w:pPr>
                </w:p>
              </w:tc>
              <w:tc>
                <w:tcPr>
                  <w:tcW w:w="107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0718A23A">
                  <w:pPr>
                    <w:jc w:val="center"/>
                    <w:rPr>
                      <w:rFonts w:hint="default" w:ascii="Times New Roman" w:hAnsi="Times New Roman" w:eastAsia="宋体" w:cs="Times New Roman"/>
                      <w:b/>
                      <w:bCs/>
                      <w:i w:val="0"/>
                      <w:iCs w:val="0"/>
                      <w:color w:val="auto"/>
                      <w:sz w:val="21"/>
                      <w:szCs w:val="21"/>
                      <w:u w:val="none"/>
                    </w:rPr>
                  </w:pPr>
                </w:p>
              </w:tc>
              <w:tc>
                <w:tcPr>
                  <w:tcW w:w="103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2B54FE18">
                  <w:pPr>
                    <w:jc w:val="center"/>
                    <w:rPr>
                      <w:rFonts w:hint="default" w:ascii="Times New Roman" w:hAnsi="Times New Roman" w:eastAsia="宋体" w:cs="Times New Roman"/>
                      <w:b/>
                      <w:bCs/>
                      <w:i w:val="0"/>
                      <w:iCs w:val="0"/>
                      <w:color w:val="auto"/>
                      <w:sz w:val="21"/>
                      <w:szCs w:val="21"/>
                      <w:u w:val="none"/>
                    </w:rPr>
                  </w:pPr>
                </w:p>
              </w:tc>
              <w:tc>
                <w:tcPr>
                  <w:tcW w:w="1658"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E93FB1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调入</w:t>
                  </w:r>
                </w:p>
              </w:tc>
              <w:tc>
                <w:tcPr>
                  <w:tcW w:w="1733" w:type="dxa"/>
                  <w:gridSpan w:val="2"/>
                  <w:tcBorders>
                    <w:top w:val="single" w:color="000000" w:sz="8" w:space="0"/>
                    <w:left w:val="single" w:color="000000" w:sz="8" w:space="0"/>
                    <w:bottom w:val="single" w:color="000000" w:sz="8" w:space="0"/>
                    <w:right w:val="nil"/>
                  </w:tcBorders>
                  <w:shd w:val="clear" w:color="auto" w:fill="auto"/>
                  <w:vAlign w:val="center"/>
                </w:tcPr>
                <w:p w14:paraId="028A202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调出</w:t>
                  </w:r>
                </w:p>
              </w:tc>
            </w:tr>
            <w:tr w14:paraId="678F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2415" w:type="dxa"/>
                  <w:gridSpan w:val="2"/>
                  <w:vMerge w:val="continue"/>
                  <w:tcBorders>
                    <w:top w:val="single" w:color="000000" w:sz="12" w:space="0"/>
                    <w:left w:val="nil"/>
                    <w:bottom w:val="single" w:color="000000" w:sz="8" w:space="0"/>
                    <w:right w:val="single" w:color="000000" w:sz="8" w:space="0"/>
                  </w:tcBorders>
                  <w:shd w:val="clear" w:color="auto" w:fill="auto"/>
                  <w:vAlign w:val="center"/>
                </w:tcPr>
                <w:p w14:paraId="3063BDD6">
                  <w:pPr>
                    <w:jc w:val="center"/>
                    <w:rPr>
                      <w:rFonts w:hint="default" w:ascii="Times New Roman" w:hAnsi="Times New Roman" w:eastAsia="宋体" w:cs="Times New Roman"/>
                      <w:b/>
                      <w:bCs/>
                      <w:i w:val="0"/>
                      <w:iCs w:val="0"/>
                      <w:color w:val="auto"/>
                      <w:sz w:val="21"/>
                      <w:szCs w:val="21"/>
                      <w:u w:val="none"/>
                    </w:rPr>
                  </w:pPr>
                </w:p>
              </w:tc>
              <w:tc>
                <w:tcPr>
                  <w:tcW w:w="1075"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3C03EFE3">
                  <w:pPr>
                    <w:jc w:val="center"/>
                    <w:rPr>
                      <w:rFonts w:hint="default" w:ascii="Times New Roman" w:hAnsi="Times New Roman" w:eastAsia="宋体" w:cs="Times New Roman"/>
                      <w:b/>
                      <w:bCs/>
                      <w:i w:val="0"/>
                      <w:iCs w:val="0"/>
                      <w:color w:val="auto"/>
                      <w:sz w:val="21"/>
                      <w:szCs w:val="21"/>
                      <w:u w:val="none"/>
                    </w:rPr>
                  </w:pPr>
                </w:p>
              </w:tc>
              <w:tc>
                <w:tcPr>
                  <w:tcW w:w="1037" w:type="dxa"/>
                  <w:vMerge w:val="continue"/>
                  <w:tcBorders>
                    <w:top w:val="single" w:color="000000" w:sz="12" w:space="0"/>
                    <w:left w:val="single" w:color="000000" w:sz="8" w:space="0"/>
                    <w:bottom w:val="single" w:color="000000" w:sz="8" w:space="0"/>
                    <w:right w:val="single" w:color="000000" w:sz="8" w:space="0"/>
                  </w:tcBorders>
                  <w:shd w:val="clear" w:color="auto" w:fill="auto"/>
                  <w:vAlign w:val="center"/>
                </w:tcPr>
                <w:p w14:paraId="285EB7FF">
                  <w:pPr>
                    <w:jc w:val="center"/>
                    <w:rPr>
                      <w:rFonts w:hint="default" w:ascii="Times New Roman" w:hAnsi="Times New Roman" w:eastAsia="宋体" w:cs="Times New Roman"/>
                      <w:b/>
                      <w:bCs/>
                      <w:i w:val="0"/>
                      <w:iCs w:val="0"/>
                      <w:color w:val="auto"/>
                      <w:sz w:val="21"/>
                      <w:szCs w:val="21"/>
                      <w:u w:val="none"/>
                    </w:rPr>
                  </w:pP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879F0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数量</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5CED0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来源</w:t>
                  </w: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C7A08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数量</w:t>
                  </w:r>
                </w:p>
              </w:tc>
              <w:tc>
                <w:tcPr>
                  <w:tcW w:w="678" w:type="dxa"/>
                  <w:tcBorders>
                    <w:top w:val="single" w:color="000000" w:sz="8" w:space="0"/>
                    <w:left w:val="single" w:color="000000" w:sz="8" w:space="0"/>
                    <w:bottom w:val="single" w:color="000000" w:sz="8" w:space="0"/>
                    <w:right w:val="nil"/>
                  </w:tcBorders>
                  <w:shd w:val="clear" w:color="auto" w:fill="auto"/>
                  <w:vAlign w:val="center"/>
                </w:tcPr>
                <w:p w14:paraId="1B0A89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去向</w:t>
                  </w:r>
                </w:p>
              </w:tc>
            </w:tr>
            <w:tr w14:paraId="66EEF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427" w:type="dxa"/>
                  <w:vMerge w:val="restart"/>
                  <w:tcBorders>
                    <w:top w:val="single" w:color="000000" w:sz="8" w:space="0"/>
                    <w:left w:val="nil"/>
                    <w:bottom w:val="single" w:color="000000" w:sz="8" w:space="0"/>
                    <w:right w:val="single" w:color="000000" w:sz="8" w:space="0"/>
                  </w:tcBorders>
                  <w:shd w:val="clear" w:color="auto" w:fill="auto"/>
                  <w:vAlign w:val="center"/>
                </w:tcPr>
                <w:p w14:paraId="52128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沟道治理</w:t>
                  </w: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3AC9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①</w:t>
                  </w:r>
                  <w:r>
                    <w:rPr>
                      <w:rStyle w:val="31"/>
                      <w:rFonts w:hint="default" w:ascii="Times New Roman" w:hAnsi="Times New Roman" w:eastAsia="宋体" w:cs="Times New Roman"/>
                      <w:snapToGrid w:val="0"/>
                      <w:color w:val="auto"/>
                      <w:sz w:val="21"/>
                      <w:szCs w:val="21"/>
                      <w:lang w:val="en-US" w:eastAsia="zh-CN" w:bidi="ar"/>
                    </w:rPr>
                    <w:t>羊槽河（羊槽村段）生境构建（水生植物种植）</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6F9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6332.26</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E020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5237.41</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116A21">
                  <w:pPr>
                    <w:jc w:val="center"/>
                    <w:rPr>
                      <w:rFonts w:hint="default" w:ascii="Times New Roman" w:hAnsi="Times New Roman" w:eastAsia="宋体" w:cs="Times New Roman"/>
                      <w:i w:val="0"/>
                      <w:iCs w:val="0"/>
                      <w:color w:val="auto"/>
                      <w:sz w:val="21"/>
                      <w:szCs w:val="21"/>
                      <w:u w:val="none"/>
                    </w:rPr>
                  </w:pP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11304E">
                  <w:pPr>
                    <w:jc w:val="center"/>
                    <w:rPr>
                      <w:rFonts w:hint="default" w:ascii="Times New Roman" w:hAnsi="Times New Roman" w:eastAsia="宋体" w:cs="Times New Roman"/>
                      <w:i w:val="0"/>
                      <w:iCs w:val="0"/>
                      <w:color w:val="auto"/>
                      <w:sz w:val="21"/>
                      <w:szCs w:val="21"/>
                      <w:u w:val="none"/>
                    </w:rPr>
                  </w:pP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2C9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1094.85</w:t>
                  </w:r>
                </w:p>
              </w:tc>
              <w:tc>
                <w:tcPr>
                  <w:tcW w:w="678" w:type="dxa"/>
                  <w:tcBorders>
                    <w:top w:val="single" w:color="000000" w:sz="8" w:space="0"/>
                    <w:left w:val="single" w:color="000000" w:sz="8" w:space="0"/>
                    <w:bottom w:val="single" w:color="000000" w:sz="8" w:space="0"/>
                    <w:right w:val="nil"/>
                  </w:tcBorders>
                  <w:shd w:val="clear" w:color="auto" w:fill="auto"/>
                  <w:vAlign w:val="center"/>
                </w:tcPr>
                <w:p w14:paraId="4B5606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③</w:t>
                  </w:r>
                </w:p>
              </w:tc>
            </w:tr>
            <w:tr w14:paraId="5656E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427" w:type="dxa"/>
                  <w:vMerge w:val="continue"/>
                  <w:tcBorders>
                    <w:top w:val="single" w:color="000000" w:sz="8" w:space="0"/>
                    <w:left w:val="nil"/>
                    <w:bottom w:val="single" w:color="000000" w:sz="8" w:space="0"/>
                    <w:right w:val="single" w:color="000000" w:sz="8" w:space="0"/>
                  </w:tcBorders>
                  <w:shd w:val="clear" w:color="auto" w:fill="auto"/>
                  <w:vAlign w:val="center"/>
                </w:tcPr>
                <w:p w14:paraId="7196AA7E">
                  <w:pPr>
                    <w:jc w:val="center"/>
                    <w:rPr>
                      <w:rFonts w:hint="default" w:ascii="Times New Roman" w:hAnsi="Times New Roman" w:eastAsia="宋体" w:cs="Times New Roman"/>
                      <w:i w:val="0"/>
                      <w:iCs w:val="0"/>
                      <w:color w:val="auto"/>
                      <w:sz w:val="21"/>
                      <w:szCs w:val="21"/>
                      <w:u w:val="none"/>
                    </w:rPr>
                  </w:pP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1F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②</w:t>
                  </w:r>
                  <w:r>
                    <w:rPr>
                      <w:rStyle w:val="31"/>
                      <w:rFonts w:hint="default" w:ascii="Times New Roman" w:hAnsi="Times New Roman" w:eastAsia="宋体" w:cs="Times New Roman"/>
                      <w:snapToGrid w:val="0"/>
                      <w:color w:val="auto"/>
                      <w:sz w:val="21"/>
                      <w:szCs w:val="21"/>
                      <w:lang w:val="en-US" w:eastAsia="zh-CN" w:bidi="ar"/>
                    </w:rPr>
                    <w:t>生态沟渠（红土沟）生境构建（水生植物种植）</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B618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4858.46</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2DBE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3217.53</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E17047">
                  <w:pPr>
                    <w:jc w:val="center"/>
                    <w:rPr>
                      <w:rFonts w:hint="default" w:ascii="Times New Roman" w:hAnsi="Times New Roman" w:eastAsia="宋体" w:cs="Times New Roman"/>
                      <w:i w:val="0"/>
                      <w:iCs w:val="0"/>
                      <w:color w:val="auto"/>
                      <w:sz w:val="21"/>
                      <w:szCs w:val="21"/>
                      <w:u w:val="none"/>
                    </w:rPr>
                  </w:pP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A2F79E">
                  <w:pPr>
                    <w:jc w:val="center"/>
                    <w:rPr>
                      <w:rFonts w:hint="default" w:ascii="Times New Roman" w:hAnsi="Times New Roman" w:eastAsia="宋体" w:cs="Times New Roman"/>
                      <w:i w:val="0"/>
                      <w:iCs w:val="0"/>
                      <w:color w:val="auto"/>
                      <w:sz w:val="21"/>
                      <w:szCs w:val="21"/>
                      <w:u w:val="none"/>
                    </w:rPr>
                  </w:pP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F5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1640.93</w:t>
                  </w:r>
                </w:p>
              </w:tc>
              <w:tc>
                <w:tcPr>
                  <w:tcW w:w="678" w:type="dxa"/>
                  <w:tcBorders>
                    <w:top w:val="single" w:color="000000" w:sz="8" w:space="0"/>
                    <w:left w:val="single" w:color="000000" w:sz="8" w:space="0"/>
                    <w:bottom w:val="single" w:color="000000" w:sz="8" w:space="0"/>
                    <w:right w:val="nil"/>
                  </w:tcBorders>
                  <w:shd w:val="clear" w:color="auto" w:fill="auto"/>
                  <w:vAlign w:val="center"/>
                </w:tcPr>
                <w:p w14:paraId="30C559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④</w:t>
                  </w:r>
                </w:p>
              </w:tc>
            </w:tr>
            <w:tr w14:paraId="6F609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427" w:type="dxa"/>
                  <w:vMerge w:val="restart"/>
                  <w:tcBorders>
                    <w:top w:val="single" w:color="000000" w:sz="8" w:space="0"/>
                    <w:left w:val="nil"/>
                    <w:bottom w:val="single" w:color="000000" w:sz="8" w:space="0"/>
                    <w:right w:val="single" w:color="000000" w:sz="8" w:space="0"/>
                  </w:tcBorders>
                  <w:shd w:val="clear" w:color="auto" w:fill="auto"/>
                  <w:vAlign w:val="center"/>
                </w:tcPr>
                <w:p w14:paraId="7AEF51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生态护坡</w:t>
                  </w: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452A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③羊槽河（羊槽村段）护坡</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6D44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6337.64</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B808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6905.2</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DC73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567.56</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5AE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①</w:t>
                  </w: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87E733">
                  <w:pPr>
                    <w:jc w:val="center"/>
                    <w:rPr>
                      <w:rFonts w:hint="default" w:ascii="Times New Roman" w:hAnsi="Times New Roman" w:eastAsia="宋体" w:cs="Times New Roman"/>
                      <w:i w:val="0"/>
                      <w:iCs w:val="0"/>
                      <w:color w:val="auto"/>
                      <w:sz w:val="21"/>
                      <w:szCs w:val="21"/>
                      <w:u w:val="none"/>
                    </w:rPr>
                  </w:pPr>
                </w:p>
              </w:tc>
              <w:tc>
                <w:tcPr>
                  <w:tcW w:w="678" w:type="dxa"/>
                  <w:tcBorders>
                    <w:top w:val="single" w:color="000000" w:sz="8" w:space="0"/>
                    <w:left w:val="single" w:color="000000" w:sz="8" w:space="0"/>
                    <w:bottom w:val="single" w:color="000000" w:sz="8" w:space="0"/>
                    <w:right w:val="nil"/>
                  </w:tcBorders>
                  <w:shd w:val="clear" w:color="auto" w:fill="auto"/>
                  <w:vAlign w:val="center"/>
                </w:tcPr>
                <w:p w14:paraId="11E7D260">
                  <w:pPr>
                    <w:jc w:val="center"/>
                    <w:rPr>
                      <w:rFonts w:hint="default" w:ascii="Times New Roman" w:hAnsi="Times New Roman" w:eastAsia="宋体" w:cs="Times New Roman"/>
                      <w:i w:val="0"/>
                      <w:iCs w:val="0"/>
                      <w:color w:val="auto"/>
                      <w:sz w:val="21"/>
                      <w:szCs w:val="21"/>
                      <w:u w:val="none"/>
                    </w:rPr>
                  </w:pPr>
                </w:p>
              </w:tc>
            </w:tr>
            <w:tr w14:paraId="4F6D7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427" w:type="dxa"/>
                  <w:vMerge w:val="continue"/>
                  <w:tcBorders>
                    <w:top w:val="single" w:color="000000" w:sz="8" w:space="0"/>
                    <w:left w:val="nil"/>
                    <w:bottom w:val="single" w:color="000000" w:sz="8" w:space="0"/>
                    <w:right w:val="single" w:color="000000" w:sz="8" w:space="0"/>
                  </w:tcBorders>
                  <w:shd w:val="clear" w:color="auto" w:fill="auto"/>
                  <w:vAlign w:val="center"/>
                </w:tcPr>
                <w:p w14:paraId="3F9C550A">
                  <w:pPr>
                    <w:jc w:val="center"/>
                    <w:rPr>
                      <w:rFonts w:hint="default" w:ascii="Times New Roman" w:hAnsi="Times New Roman" w:eastAsia="宋体" w:cs="Times New Roman"/>
                      <w:i w:val="0"/>
                      <w:iCs w:val="0"/>
                      <w:color w:val="auto"/>
                      <w:sz w:val="21"/>
                      <w:szCs w:val="21"/>
                      <w:u w:val="none"/>
                    </w:rPr>
                  </w:pP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284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④</w:t>
                  </w:r>
                  <w:r>
                    <w:rPr>
                      <w:rFonts w:hint="default" w:ascii="Times New Roman" w:hAnsi="Times New Roman" w:eastAsia="宋体" w:cs="Times New Roman"/>
                      <w:i w:val="0"/>
                      <w:iCs w:val="0"/>
                      <w:snapToGrid w:val="0"/>
                      <w:color w:val="auto"/>
                      <w:kern w:val="0"/>
                      <w:sz w:val="21"/>
                      <w:szCs w:val="21"/>
                      <w:u w:val="none"/>
                      <w:lang w:val="en-US" w:eastAsia="zh-CN" w:bidi="ar"/>
                    </w:rPr>
                    <w:t>生态沟渠（红土沟）护坡工程</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80DE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3224.47</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3551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4359.87 </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E89A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1135.4</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1B8B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②</w:t>
                  </w: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0A6133">
                  <w:pPr>
                    <w:jc w:val="center"/>
                    <w:rPr>
                      <w:rFonts w:hint="default" w:ascii="Times New Roman" w:hAnsi="Times New Roman" w:eastAsia="宋体" w:cs="Times New Roman"/>
                      <w:i w:val="0"/>
                      <w:iCs w:val="0"/>
                      <w:color w:val="auto"/>
                      <w:sz w:val="21"/>
                      <w:szCs w:val="21"/>
                      <w:u w:val="none"/>
                    </w:rPr>
                  </w:pPr>
                </w:p>
              </w:tc>
              <w:tc>
                <w:tcPr>
                  <w:tcW w:w="678" w:type="dxa"/>
                  <w:tcBorders>
                    <w:top w:val="single" w:color="000000" w:sz="8" w:space="0"/>
                    <w:left w:val="single" w:color="000000" w:sz="8" w:space="0"/>
                    <w:bottom w:val="single" w:color="000000" w:sz="8" w:space="0"/>
                    <w:right w:val="nil"/>
                  </w:tcBorders>
                  <w:shd w:val="clear" w:color="auto" w:fill="auto"/>
                  <w:vAlign w:val="center"/>
                </w:tcPr>
                <w:p w14:paraId="15266075">
                  <w:pPr>
                    <w:jc w:val="center"/>
                    <w:rPr>
                      <w:rFonts w:hint="default" w:ascii="Times New Roman" w:hAnsi="Times New Roman" w:eastAsia="宋体" w:cs="Times New Roman"/>
                      <w:i w:val="0"/>
                      <w:iCs w:val="0"/>
                      <w:color w:val="auto"/>
                      <w:sz w:val="21"/>
                      <w:szCs w:val="21"/>
                      <w:u w:val="none"/>
                    </w:rPr>
                  </w:pPr>
                </w:p>
              </w:tc>
            </w:tr>
            <w:tr w14:paraId="7DE6F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27" w:type="dxa"/>
                  <w:vMerge w:val="restart"/>
                  <w:tcBorders>
                    <w:top w:val="single" w:color="000000" w:sz="8" w:space="0"/>
                    <w:left w:val="nil"/>
                    <w:bottom w:val="single" w:color="000000" w:sz="8" w:space="0"/>
                    <w:right w:val="single" w:color="000000" w:sz="8" w:space="0"/>
                  </w:tcBorders>
                  <w:shd w:val="clear" w:color="auto" w:fill="auto"/>
                  <w:vAlign w:val="center"/>
                </w:tcPr>
                <w:p w14:paraId="140413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基底改善</w:t>
                  </w:r>
                </w:p>
              </w:tc>
              <w:tc>
                <w:tcPr>
                  <w:tcW w:w="198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E9055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⑤</w:t>
                  </w:r>
                  <w:r>
                    <w:rPr>
                      <w:rFonts w:hint="default" w:ascii="Times New Roman" w:hAnsi="Times New Roman" w:eastAsia="宋体" w:cs="Times New Roman"/>
                      <w:i w:val="0"/>
                      <w:iCs w:val="0"/>
                      <w:snapToGrid w:val="0"/>
                      <w:color w:val="auto"/>
                      <w:kern w:val="0"/>
                      <w:sz w:val="21"/>
                      <w:szCs w:val="21"/>
                      <w:u w:val="none"/>
                      <w:lang w:val="en-US" w:eastAsia="zh-CN" w:bidi="ar"/>
                    </w:rPr>
                    <w:t>羊槽河（羊槽村段）基底改善</w:t>
                  </w:r>
                </w:p>
              </w:tc>
              <w:tc>
                <w:tcPr>
                  <w:tcW w:w="107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6DA02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1021.05</w:t>
                  </w:r>
                </w:p>
              </w:tc>
              <w:tc>
                <w:tcPr>
                  <w:tcW w:w="103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521A43F">
                  <w:pPr>
                    <w:jc w:val="center"/>
                    <w:rPr>
                      <w:rFonts w:hint="default" w:ascii="Times New Roman" w:hAnsi="Times New Roman" w:eastAsia="宋体" w:cs="Times New Roman"/>
                      <w:i w:val="0"/>
                      <w:iCs w:val="0"/>
                      <w:color w:val="auto"/>
                      <w:sz w:val="21"/>
                      <w:szCs w:val="21"/>
                      <w:u w:val="none"/>
                    </w:rPr>
                  </w:pPr>
                </w:p>
              </w:tc>
              <w:tc>
                <w:tcPr>
                  <w:tcW w:w="96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521BB2B">
                  <w:pPr>
                    <w:jc w:val="center"/>
                    <w:rPr>
                      <w:rFonts w:hint="default" w:ascii="Times New Roman" w:hAnsi="Times New Roman" w:eastAsia="宋体" w:cs="Times New Roman"/>
                      <w:i w:val="0"/>
                      <w:iCs w:val="0"/>
                      <w:color w:val="auto"/>
                      <w:sz w:val="21"/>
                      <w:szCs w:val="21"/>
                      <w:u w:val="none"/>
                    </w:rPr>
                  </w:pPr>
                </w:p>
              </w:tc>
              <w:tc>
                <w:tcPr>
                  <w:tcW w:w="69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39E356D">
                  <w:pPr>
                    <w:jc w:val="center"/>
                    <w:rPr>
                      <w:rFonts w:hint="default" w:ascii="Times New Roman" w:hAnsi="Times New Roman" w:eastAsia="宋体" w:cs="Times New Roman"/>
                      <w:i w:val="0"/>
                      <w:iCs w:val="0"/>
                      <w:color w:val="auto"/>
                      <w:sz w:val="21"/>
                      <w:szCs w:val="21"/>
                      <w:u w:val="none"/>
                    </w:rPr>
                  </w:pPr>
                </w:p>
              </w:tc>
              <w:tc>
                <w:tcPr>
                  <w:tcW w:w="105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49C6A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1021.05</w:t>
                  </w:r>
                </w:p>
              </w:tc>
              <w:tc>
                <w:tcPr>
                  <w:tcW w:w="678" w:type="dxa"/>
                  <w:vMerge w:val="restart"/>
                  <w:tcBorders>
                    <w:top w:val="single" w:color="000000" w:sz="8" w:space="0"/>
                    <w:left w:val="single" w:color="000000" w:sz="8" w:space="0"/>
                    <w:bottom w:val="single" w:color="000000" w:sz="8" w:space="0"/>
                    <w:right w:val="nil"/>
                  </w:tcBorders>
                  <w:shd w:val="clear" w:color="auto" w:fill="auto"/>
                  <w:vAlign w:val="center"/>
                </w:tcPr>
                <w:p w14:paraId="79DE440A">
                  <w:pPr>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⑦</w:t>
                  </w:r>
                </w:p>
              </w:tc>
            </w:tr>
            <w:tr w14:paraId="3BB2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27" w:type="dxa"/>
                  <w:vMerge w:val="continue"/>
                  <w:tcBorders>
                    <w:top w:val="single" w:color="000000" w:sz="8" w:space="0"/>
                    <w:left w:val="nil"/>
                    <w:bottom w:val="single" w:color="000000" w:sz="8" w:space="0"/>
                    <w:right w:val="single" w:color="000000" w:sz="8" w:space="0"/>
                  </w:tcBorders>
                  <w:shd w:val="clear" w:color="auto" w:fill="auto"/>
                  <w:vAlign w:val="center"/>
                </w:tcPr>
                <w:p w14:paraId="0C247C47">
                  <w:pPr>
                    <w:jc w:val="center"/>
                    <w:rPr>
                      <w:rFonts w:hint="default" w:ascii="Times New Roman" w:hAnsi="Times New Roman" w:eastAsia="宋体" w:cs="Times New Roman"/>
                      <w:i w:val="0"/>
                      <w:iCs w:val="0"/>
                      <w:color w:val="auto"/>
                      <w:sz w:val="21"/>
                      <w:szCs w:val="21"/>
                      <w:u w:val="none"/>
                    </w:rPr>
                  </w:pPr>
                </w:p>
              </w:tc>
              <w:tc>
                <w:tcPr>
                  <w:tcW w:w="198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F1BAE35">
                  <w:pPr>
                    <w:jc w:val="center"/>
                    <w:rPr>
                      <w:rFonts w:hint="default" w:ascii="Times New Roman" w:hAnsi="Times New Roman" w:eastAsia="宋体" w:cs="Times New Roman"/>
                      <w:i w:val="0"/>
                      <w:iCs w:val="0"/>
                      <w:color w:val="auto"/>
                      <w:sz w:val="21"/>
                      <w:szCs w:val="21"/>
                      <w:u w:val="none"/>
                    </w:rPr>
                  </w:pPr>
                </w:p>
              </w:tc>
              <w:tc>
                <w:tcPr>
                  <w:tcW w:w="107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457D553">
                  <w:pPr>
                    <w:jc w:val="center"/>
                    <w:rPr>
                      <w:rFonts w:hint="default" w:ascii="Times New Roman" w:hAnsi="Times New Roman" w:eastAsia="宋体" w:cs="Times New Roman"/>
                      <w:i w:val="0"/>
                      <w:iCs w:val="0"/>
                      <w:color w:val="auto"/>
                      <w:sz w:val="21"/>
                      <w:szCs w:val="21"/>
                      <w:u w:val="none"/>
                    </w:rPr>
                  </w:pPr>
                </w:p>
              </w:tc>
              <w:tc>
                <w:tcPr>
                  <w:tcW w:w="103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A65E37C">
                  <w:pPr>
                    <w:jc w:val="center"/>
                    <w:rPr>
                      <w:rFonts w:hint="default" w:ascii="Times New Roman" w:hAnsi="Times New Roman" w:eastAsia="宋体" w:cs="Times New Roman"/>
                      <w:i w:val="0"/>
                      <w:iCs w:val="0"/>
                      <w:color w:val="auto"/>
                      <w:sz w:val="21"/>
                      <w:szCs w:val="21"/>
                      <w:u w:val="none"/>
                    </w:rPr>
                  </w:pPr>
                </w:p>
              </w:tc>
              <w:tc>
                <w:tcPr>
                  <w:tcW w:w="96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05A5612">
                  <w:pPr>
                    <w:jc w:val="center"/>
                    <w:rPr>
                      <w:rFonts w:hint="default" w:ascii="Times New Roman" w:hAnsi="Times New Roman" w:eastAsia="宋体" w:cs="Times New Roman"/>
                      <w:i w:val="0"/>
                      <w:iCs w:val="0"/>
                      <w:color w:val="auto"/>
                      <w:sz w:val="21"/>
                      <w:szCs w:val="21"/>
                      <w:u w:val="none"/>
                    </w:rPr>
                  </w:pPr>
                </w:p>
              </w:tc>
              <w:tc>
                <w:tcPr>
                  <w:tcW w:w="69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E84442">
                  <w:pPr>
                    <w:jc w:val="center"/>
                    <w:rPr>
                      <w:rFonts w:hint="default" w:ascii="Times New Roman" w:hAnsi="Times New Roman" w:eastAsia="宋体" w:cs="Times New Roman"/>
                      <w:i w:val="0"/>
                      <w:iCs w:val="0"/>
                      <w:color w:val="auto"/>
                      <w:sz w:val="21"/>
                      <w:szCs w:val="21"/>
                      <w:u w:val="none"/>
                    </w:rPr>
                  </w:pPr>
                </w:p>
              </w:tc>
              <w:tc>
                <w:tcPr>
                  <w:tcW w:w="105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90116B5">
                  <w:pPr>
                    <w:jc w:val="center"/>
                    <w:rPr>
                      <w:rFonts w:hint="default" w:ascii="Times New Roman" w:hAnsi="Times New Roman" w:eastAsia="宋体" w:cs="Times New Roman"/>
                      <w:i w:val="0"/>
                      <w:iCs w:val="0"/>
                      <w:color w:val="auto"/>
                      <w:sz w:val="21"/>
                      <w:szCs w:val="21"/>
                      <w:u w:val="none"/>
                    </w:rPr>
                  </w:pPr>
                </w:p>
              </w:tc>
              <w:tc>
                <w:tcPr>
                  <w:tcW w:w="678" w:type="dxa"/>
                  <w:vMerge w:val="continue"/>
                  <w:tcBorders>
                    <w:top w:val="single" w:color="000000" w:sz="8" w:space="0"/>
                    <w:left w:val="single" w:color="000000" w:sz="8" w:space="0"/>
                    <w:bottom w:val="single" w:color="000000" w:sz="8" w:space="0"/>
                    <w:right w:val="nil"/>
                  </w:tcBorders>
                  <w:shd w:val="clear" w:color="auto" w:fill="auto"/>
                  <w:vAlign w:val="center"/>
                </w:tcPr>
                <w:p w14:paraId="393EC07A">
                  <w:pPr>
                    <w:jc w:val="center"/>
                    <w:rPr>
                      <w:rFonts w:hint="default" w:ascii="Times New Roman" w:hAnsi="Times New Roman" w:eastAsia="宋体" w:cs="Times New Roman"/>
                      <w:i w:val="0"/>
                      <w:iCs w:val="0"/>
                      <w:color w:val="auto"/>
                      <w:sz w:val="21"/>
                      <w:szCs w:val="21"/>
                      <w:u w:val="none"/>
                    </w:rPr>
                  </w:pPr>
                </w:p>
              </w:tc>
            </w:tr>
            <w:tr w14:paraId="6B4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27" w:type="dxa"/>
                  <w:vMerge w:val="continue"/>
                  <w:tcBorders>
                    <w:top w:val="single" w:color="000000" w:sz="8" w:space="0"/>
                    <w:left w:val="nil"/>
                    <w:bottom w:val="single" w:color="000000" w:sz="8" w:space="0"/>
                    <w:right w:val="single" w:color="000000" w:sz="8" w:space="0"/>
                  </w:tcBorders>
                  <w:shd w:val="clear" w:color="auto" w:fill="auto"/>
                  <w:vAlign w:val="center"/>
                </w:tcPr>
                <w:p w14:paraId="33DC9F56">
                  <w:pPr>
                    <w:jc w:val="center"/>
                    <w:rPr>
                      <w:rFonts w:hint="default" w:ascii="Times New Roman" w:hAnsi="Times New Roman" w:eastAsia="宋体" w:cs="Times New Roman"/>
                      <w:i w:val="0"/>
                      <w:iCs w:val="0"/>
                      <w:color w:val="auto"/>
                      <w:sz w:val="21"/>
                      <w:szCs w:val="21"/>
                      <w:u w:val="none"/>
                    </w:rPr>
                  </w:pP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FA0F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⑥</w:t>
                  </w:r>
                  <w:r>
                    <w:rPr>
                      <w:rFonts w:hint="default" w:ascii="Times New Roman" w:hAnsi="Times New Roman" w:eastAsia="宋体" w:cs="Times New Roman"/>
                      <w:i w:val="0"/>
                      <w:iCs w:val="0"/>
                      <w:snapToGrid w:val="0"/>
                      <w:color w:val="auto"/>
                      <w:kern w:val="0"/>
                      <w:sz w:val="21"/>
                      <w:szCs w:val="21"/>
                      <w:u w:val="none"/>
                      <w:lang w:val="en-US" w:eastAsia="zh-CN" w:bidi="ar"/>
                    </w:rPr>
                    <w:t>生态沟渠（向阳村边沟）基底改善</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7E9D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3760.47</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34B884">
                  <w:pPr>
                    <w:jc w:val="center"/>
                    <w:rPr>
                      <w:rFonts w:hint="default" w:ascii="Times New Roman" w:hAnsi="Times New Roman" w:eastAsia="宋体" w:cs="Times New Roman"/>
                      <w:i w:val="0"/>
                      <w:iCs w:val="0"/>
                      <w:color w:val="auto"/>
                      <w:sz w:val="21"/>
                      <w:szCs w:val="21"/>
                      <w:u w:val="none"/>
                    </w:rPr>
                  </w:pP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CC89B3">
                  <w:pPr>
                    <w:jc w:val="center"/>
                    <w:rPr>
                      <w:rFonts w:hint="default" w:ascii="Times New Roman" w:hAnsi="Times New Roman" w:eastAsia="宋体" w:cs="Times New Roman"/>
                      <w:i w:val="0"/>
                      <w:iCs w:val="0"/>
                      <w:color w:val="auto"/>
                      <w:sz w:val="21"/>
                      <w:szCs w:val="21"/>
                      <w:u w:val="none"/>
                    </w:rPr>
                  </w:pP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A0F7BB">
                  <w:pPr>
                    <w:jc w:val="center"/>
                    <w:rPr>
                      <w:rFonts w:hint="default" w:ascii="Times New Roman" w:hAnsi="Times New Roman" w:eastAsia="宋体" w:cs="Times New Roman"/>
                      <w:i w:val="0"/>
                      <w:iCs w:val="0"/>
                      <w:color w:val="auto"/>
                      <w:sz w:val="21"/>
                      <w:szCs w:val="21"/>
                      <w:u w:val="none"/>
                    </w:rPr>
                  </w:pP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F570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3760.47</w:t>
                  </w:r>
                </w:p>
              </w:tc>
              <w:tc>
                <w:tcPr>
                  <w:tcW w:w="678" w:type="dxa"/>
                  <w:tcBorders>
                    <w:top w:val="single" w:color="000000" w:sz="8" w:space="0"/>
                    <w:left w:val="single" w:color="000000" w:sz="8" w:space="0"/>
                    <w:bottom w:val="single" w:color="000000" w:sz="8" w:space="0"/>
                    <w:right w:val="nil"/>
                  </w:tcBorders>
                  <w:shd w:val="clear" w:color="auto" w:fill="auto"/>
                  <w:vAlign w:val="center"/>
                </w:tcPr>
                <w:p w14:paraId="19FC0713">
                  <w:pPr>
                    <w:jc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sz w:val="21"/>
                      <w:szCs w:val="21"/>
                      <w:u w:val="none"/>
                      <w:lang w:val="en-US" w:eastAsia="zh-CN"/>
                    </w:rPr>
                    <w:t>⑦⑧</w:t>
                  </w:r>
                </w:p>
              </w:tc>
            </w:tr>
            <w:tr w14:paraId="65F34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427" w:type="dxa"/>
                  <w:tcBorders>
                    <w:top w:val="single" w:color="000000" w:sz="8" w:space="0"/>
                    <w:left w:val="nil"/>
                    <w:bottom w:val="single" w:color="000000" w:sz="8" w:space="0"/>
                    <w:right w:val="single" w:color="000000" w:sz="8" w:space="0"/>
                  </w:tcBorders>
                  <w:shd w:val="clear" w:color="auto" w:fill="auto"/>
                  <w:vAlign w:val="center"/>
                </w:tcPr>
                <w:p w14:paraId="5FF53B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其他</w:t>
                  </w: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534E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⑦</w:t>
                  </w:r>
                  <w:r>
                    <w:rPr>
                      <w:rFonts w:hint="default" w:ascii="Times New Roman" w:hAnsi="Times New Roman" w:eastAsia="宋体" w:cs="Times New Roman"/>
                      <w:i w:val="0"/>
                      <w:iCs w:val="0"/>
                      <w:snapToGrid w:val="0"/>
                      <w:color w:val="auto"/>
                      <w:kern w:val="0"/>
                      <w:sz w:val="21"/>
                      <w:szCs w:val="21"/>
                      <w:u w:val="none"/>
                      <w:lang w:val="en-US" w:eastAsia="zh-CN" w:bidi="ar"/>
                    </w:rPr>
                    <w:t>羊槽河（羊槽村段）生态步道工程</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F94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1898.30 </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54CB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3509.05</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3C00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1610.75</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1E48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①②⑤⑥</w:t>
                  </w: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132117">
                  <w:pPr>
                    <w:jc w:val="center"/>
                    <w:rPr>
                      <w:rFonts w:hint="default" w:ascii="Times New Roman" w:hAnsi="Times New Roman" w:eastAsia="宋体" w:cs="Times New Roman"/>
                      <w:i w:val="0"/>
                      <w:iCs w:val="0"/>
                      <w:color w:val="auto"/>
                      <w:sz w:val="21"/>
                      <w:szCs w:val="21"/>
                      <w:u w:val="none"/>
                    </w:rPr>
                  </w:pPr>
                </w:p>
              </w:tc>
              <w:tc>
                <w:tcPr>
                  <w:tcW w:w="678" w:type="dxa"/>
                  <w:tcBorders>
                    <w:top w:val="single" w:color="000000" w:sz="8" w:space="0"/>
                    <w:left w:val="single" w:color="000000" w:sz="8" w:space="0"/>
                    <w:bottom w:val="single" w:color="000000" w:sz="8" w:space="0"/>
                    <w:right w:val="nil"/>
                  </w:tcBorders>
                  <w:shd w:val="clear" w:color="auto" w:fill="auto"/>
                  <w:vAlign w:val="center"/>
                </w:tcPr>
                <w:p w14:paraId="4984E91B">
                  <w:pPr>
                    <w:jc w:val="center"/>
                    <w:rPr>
                      <w:rFonts w:hint="default" w:ascii="Times New Roman" w:hAnsi="Times New Roman" w:eastAsia="宋体" w:cs="Times New Roman"/>
                      <w:i w:val="0"/>
                      <w:iCs w:val="0"/>
                      <w:color w:val="auto"/>
                      <w:sz w:val="21"/>
                      <w:szCs w:val="21"/>
                      <w:u w:val="none"/>
                    </w:rPr>
                  </w:pPr>
                </w:p>
              </w:tc>
            </w:tr>
            <w:tr w14:paraId="18EB1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427" w:type="dxa"/>
                  <w:tcBorders>
                    <w:top w:val="single" w:color="000000" w:sz="8" w:space="0"/>
                    <w:left w:val="nil"/>
                    <w:bottom w:val="single" w:color="000000" w:sz="8" w:space="0"/>
                    <w:right w:val="single" w:color="000000" w:sz="8" w:space="0"/>
                  </w:tcBorders>
                  <w:shd w:val="clear" w:color="auto" w:fill="auto"/>
                  <w:vAlign w:val="center"/>
                </w:tcPr>
                <w:p w14:paraId="4A943EBD">
                  <w:pPr>
                    <w:jc w:val="center"/>
                    <w:rPr>
                      <w:rFonts w:hint="default" w:ascii="Times New Roman" w:hAnsi="Times New Roman" w:eastAsia="宋体" w:cs="Times New Roman"/>
                      <w:i w:val="0"/>
                      <w:iCs w:val="0"/>
                      <w:color w:val="auto"/>
                      <w:sz w:val="21"/>
                      <w:szCs w:val="21"/>
                      <w:u w:val="none"/>
                    </w:rPr>
                  </w:pPr>
                </w:p>
              </w:tc>
              <w:tc>
                <w:tcPr>
                  <w:tcW w:w="19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B609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⑧</w:t>
                  </w:r>
                  <w:r>
                    <w:rPr>
                      <w:rFonts w:hint="default" w:ascii="Times New Roman" w:hAnsi="Times New Roman" w:eastAsia="宋体" w:cs="Times New Roman"/>
                      <w:i w:val="0"/>
                      <w:iCs w:val="0"/>
                      <w:snapToGrid w:val="0"/>
                      <w:color w:val="auto"/>
                      <w:kern w:val="0"/>
                      <w:sz w:val="21"/>
                      <w:szCs w:val="21"/>
                      <w:u w:val="none"/>
                      <w:lang w:val="en-US" w:eastAsia="zh-CN" w:bidi="ar"/>
                    </w:rPr>
                    <w:t>羊槽河（羊槽村段）绿化工程</w:t>
                  </w:r>
                </w:p>
              </w:tc>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0E9B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1948.25</w:t>
                  </w:r>
                </w:p>
              </w:tc>
              <w:tc>
                <w:tcPr>
                  <w:tcW w:w="10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3D34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6151.84</w:t>
                  </w:r>
                </w:p>
              </w:tc>
              <w:tc>
                <w:tcPr>
                  <w:tcW w:w="96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07D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4203.59</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7C61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⑥⑦</w:t>
                  </w:r>
                </w:p>
              </w:tc>
              <w:tc>
                <w:tcPr>
                  <w:tcW w:w="10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33DBC0">
                  <w:pPr>
                    <w:jc w:val="center"/>
                    <w:rPr>
                      <w:rFonts w:hint="default" w:ascii="Times New Roman" w:hAnsi="Times New Roman" w:eastAsia="宋体" w:cs="Times New Roman"/>
                      <w:i w:val="0"/>
                      <w:iCs w:val="0"/>
                      <w:color w:val="auto"/>
                      <w:sz w:val="21"/>
                      <w:szCs w:val="21"/>
                      <w:u w:val="none"/>
                    </w:rPr>
                  </w:pPr>
                </w:p>
              </w:tc>
              <w:tc>
                <w:tcPr>
                  <w:tcW w:w="678" w:type="dxa"/>
                  <w:tcBorders>
                    <w:top w:val="single" w:color="000000" w:sz="8" w:space="0"/>
                    <w:left w:val="single" w:color="000000" w:sz="8" w:space="0"/>
                    <w:bottom w:val="single" w:color="000000" w:sz="8" w:space="0"/>
                    <w:right w:val="nil"/>
                  </w:tcBorders>
                  <w:shd w:val="clear" w:color="auto" w:fill="auto"/>
                  <w:vAlign w:val="center"/>
                </w:tcPr>
                <w:p w14:paraId="318E553A">
                  <w:pPr>
                    <w:jc w:val="center"/>
                    <w:rPr>
                      <w:rFonts w:hint="default" w:ascii="Times New Roman" w:hAnsi="Times New Roman" w:eastAsia="宋体" w:cs="Times New Roman"/>
                      <w:i w:val="0"/>
                      <w:iCs w:val="0"/>
                      <w:color w:val="auto"/>
                      <w:sz w:val="21"/>
                      <w:szCs w:val="21"/>
                      <w:u w:val="none"/>
                    </w:rPr>
                  </w:pPr>
                </w:p>
              </w:tc>
            </w:tr>
            <w:tr w14:paraId="5959D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2415" w:type="dxa"/>
                  <w:gridSpan w:val="2"/>
                  <w:tcBorders>
                    <w:top w:val="single" w:color="000000" w:sz="8" w:space="0"/>
                    <w:left w:val="nil"/>
                    <w:bottom w:val="single" w:color="000000" w:sz="12" w:space="0"/>
                    <w:right w:val="single" w:color="000000" w:sz="8" w:space="0"/>
                  </w:tcBorders>
                  <w:shd w:val="clear" w:color="auto" w:fill="auto"/>
                  <w:vAlign w:val="center"/>
                </w:tcPr>
                <w:p w14:paraId="15CE01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合计</w:t>
                  </w:r>
                </w:p>
              </w:tc>
              <w:tc>
                <w:tcPr>
                  <w:tcW w:w="1075"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7B745A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29380.9</w:t>
                  </w:r>
                </w:p>
              </w:tc>
              <w:tc>
                <w:tcPr>
                  <w:tcW w:w="1037"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3EEA10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29380.9</w:t>
                  </w:r>
                </w:p>
              </w:tc>
              <w:tc>
                <w:tcPr>
                  <w:tcW w:w="963"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7E187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7517.3</w:t>
                  </w:r>
                </w:p>
              </w:tc>
              <w:tc>
                <w:tcPr>
                  <w:tcW w:w="695"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7B6B7ED6">
                  <w:pPr>
                    <w:jc w:val="center"/>
                    <w:rPr>
                      <w:rFonts w:hint="default" w:ascii="Times New Roman" w:hAnsi="Times New Roman" w:eastAsia="宋体" w:cs="Times New Roman"/>
                      <w:i w:val="0"/>
                      <w:iCs w:val="0"/>
                      <w:color w:val="auto"/>
                      <w:sz w:val="21"/>
                      <w:szCs w:val="21"/>
                      <w:u w:val="none"/>
                    </w:rPr>
                  </w:pPr>
                </w:p>
              </w:tc>
              <w:tc>
                <w:tcPr>
                  <w:tcW w:w="1055"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1236BF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snapToGrid w:val="0"/>
                      <w:color w:val="auto"/>
                      <w:kern w:val="0"/>
                      <w:sz w:val="21"/>
                      <w:szCs w:val="21"/>
                      <w:u w:val="none"/>
                      <w:lang w:val="en-US" w:eastAsia="zh-CN" w:bidi="ar"/>
                    </w:rPr>
                    <w:t>7517.3</w:t>
                  </w:r>
                </w:p>
              </w:tc>
              <w:tc>
                <w:tcPr>
                  <w:tcW w:w="678" w:type="dxa"/>
                  <w:tcBorders>
                    <w:top w:val="single" w:color="000000" w:sz="8" w:space="0"/>
                    <w:left w:val="single" w:color="000000" w:sz="8" w:space="0"/>
                    <w:bottom w:val="single" w:color="000000" w:sz="12" w:space="0"/>
                    <w:right w:val="nil"/>
                  </w:tcBorders>
                  <w:shd w:val="clear" w:color="auto" w:fill="auto"/>
                  <w:noWrap/>
                  <w:vAlign w:val="center"/>
                </w:tcPr>
                <w:p w14:paraId="029E732A">
                  <w:pPr>
                    <w:rPr>
                      <w:rFonts w:hint="default" w:ascii="Times New Roman" w:hAnsi="Times New Roman" w:eastAsia="宋体" w:cs="Times New Roman"/>
                      <w:i w:val="0"/>
                      <w:iCs w:val="0"/>
                      <w:color w:val="auto"/>
                      <w:sz w:val="21"/>
                      <w:szCs w:val="21"/>
                      <w:u w:val="none"/>
                    </w:rPr>
                  </w:pPr>
                </w:p>
              </w:tc>
            </w:tr>
          </w:tbl>
          <w:p w14:paraId="5343FB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7"/>
                <w:kern w:val="0"/>
                <w:sz w:val="20"/>
                <w:szCs w:val="20"/>
                <w:lang w:val="en-US" w:eastAsia="zh-CN" w:bidi="ar-SA"/>
              </w:rPr>
            </w:pPr>
          </w:p>
        </w:tc>
      </w:tr>
      <w:tr w14:paraId="6D680A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4" w:type="dxa"/>
            <w:tcBorders>
              <w:tl2br w:val="nil"/>
              <w:tr2bl w:val="nil"/>
            </w:tcBorders>
            <w:shd w:val="clear" w:color="auto" w:fill="auto"/>
            <w:vAlign w:val="center"/>
          </w:tcPr>
          <w:p w14:paraId="5C67C77A">
            <w:pPr>
              <w:pStyle w:val="19"/>
              <w:spacing w:before="78" w:line="231" w:lineRule="auto"/>
              <w:ind w:left="0" w:leftChars="0" w:right="0" w:rightChars="0" w:firstLine="0" w:firstLineChars="0"/>
              <w:jc w:val="center"/>
              <w:rPr>
                <w:rFonts w:hint="default" w:ascii="Arial" w:hAnsi="宋体" w:eastAsia="宋体" w:cs="宋体"/>
                <w:snapToGrid w:val="0"/>
                <w:color w:val="auto"/>
                <w:kern w:val="0"/>
                <w:sz w:val="21"/>
                <w:szCs w:val="24"/>
                <w:lang w:val="en-US" w:eastAsia="zh-CN" w:bidi="ar-SA"/>
              </w:rPr>
            </w:pPr>
            <w:r>
              <w:rPr>
                <w:rFonts w:hint="eastAsia" w:ascii="宋体" w:hAnsi="宋体" w:eastAsia="宋体" w:cs="宋体"/>
                <w:b/>
                <w:bCs/>
                <w:color w:val="auto"/>
                <w:spacing w:val="-3"/>
                <w:lang w:val="en-US" w:eastAsia="zh-CN"/>
              </w:rPr>
              <w:t>总平面及现场布置</w:t>
            </w:r>
          </w:p>
        </w:tc>
        <w:tc>
          <w:tcPr>
            <w:tcW w:w="8413" w:type="dxa"/>
            <w:tcBorders>
              <w:tl2br w:val="nil"/>
              <w:tr2bl w:val="nil"/>
            </w:tcBorders>
            <w:shd w:val="clear" w:color="auto" w:fill="auto"/>
            <w:vAlign w:val="top"/>
          </w:tcPr>
          <w:p w14:paraId="4FD575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1 总平面布置</w:t>
            </w:r>
          </w:p>
          <w:p w14:paraId="5D76B3FE">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项目羊槽河（羊槽村段）河道治理长度为3.926km，生态沟渠长度为4.518km；排洪渠治理总长度2.90991km。本次工程设计保持河道、沟道及排洪渠现状形态，河道、沟道及排洪渠护岸根据现状岸坡走向布置，保持原河道、沟道、排洪渠底宽。</w:t>
            </w:r>
          </w:p>
          <w:p w14:paraId="35CE184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工程总体布局根据河道、沟道、排洪渠沿岸的地形、地貌、地质状况、</w:t>
            </w:r>
            <w:r>
              <w:rPr>
                <w:rFonts w:hint="eastAsia" w:ascii="Times New Roman" w:hAnsi="Times New Roman" w:eastAsia="宋体" w:cs="Times New Roman"/>
                <w:snapToGrid w:val="0"/>
                <w:color w:val="auto"/>
                <w:spacing w:val="8"/>
                <w:kern w:val="0"/>
                <w:sz w:val="24"/>
                <w:szCs w:val="24"/>
                <w:highlight w:val="none"/>
                <w:lang w:val="en-US" w:eastAsia="zh-CN" w:bidi="ar-SA"/>
              </w:rPr>
              <w:t>天然流向，从安全合理、经济实用等方面出发，进一步减少土方量、水土流失情况和污染物排放，符合环保要求，总平面布局合理。总体平面布置见附图8。</w:t>
            </w:r>
          </w:p>
          <w:p w14:paraId="46686A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2 施工现场布置</w:t>
            </w:r>
          </w:p>
          <w:p w14:paraId="6A3BA83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对泾源县黄花乡实施城乡供水一体化及水土保持（河道治理）、山洪及地质灾害（防洪除涝工程），工程涉及对羊槽河（羊槽村段）、生态沟渠及排洪渠的治理，通过河道生境构建、生态护坡工程、基底修复工程，施工区域位于河（沟）道、排洪渠范围内，对施工各项设施统筹安排布置，并做好分区域施工的相互协调，紧密衔接，保证工程顺利完成。项目主体工程基本采用机械化施工，需配备驾驶、操作和辅助劳力。</w:t>
            </w:r>
          </w:p>
          <w:p w14:paraId="2CEB0D2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（1）施工交通</w:t>
            </w:r>
          </w:p>
          <w:p w14:paraId="6A62BC3C">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本项目区临近平胭线、泾平路及现状巡河路和乡村小道，对外交通、运输便利，可直接到达项目区。</w:t>
            </w:r>
          </w:p>
          <w:p w14:paraId="18173E3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（2）供水、供电情况</w:t>
            </w:r>
          </w:p>
          <w:p w14:paraId="36B7BEC6">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施工用水：本工程生产用水量较小，就近取自河道、沟渠。生活用水依托周边村庄用水。</w:t>
            </w:r>
          </w:p>
          <w:p w14:paraId="08EB249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施工用电：本工程无大型用电设备，施工现场从附近变电站引入动力电缆，沿施工区域设多级配电箱接至设备即可，或自备柴油发电机发电。</w:t>
            </w:r>
          </w:p>
          <w:p w14:paraId="41074C8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（3）施工营地</w:t>
            </w:r>
          </w:p>
          <w:p w14:paraId="76E415CD">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本项目施工人员全部来自当地居民，施工人员住宿和办公用房租用当地民房，不再新</w:t>
            </w:r>
            <w:r>
              <w:rPr>
                <w:rFonts w:hint="eastAsia" w:ascii="Times New Roman" w:hAnsi="Times New Roman" w:eastAsia="宋体" w:cs="Times New Roman"/>
                <w:snapToGrid w:val="0"/>
                <w:color w:val="auto"/>
                <w:spacing w:val="8"/>
                <w:kern w:val="0"/>
                <w:sz w:val="24"/>
                <w:szCs w:val="24"/>
                <w:highlight w:val="none"/>
                <w:lang w:val="en-US" w:eastAsia="zh-CN" w:bidi="ar-SA"/>
              </w:rPr>
              <w:t>增临时用地。本项目分区域施工，施工现场共布设3处施工营地，总占地面积400m</w:t>
            </w:r>
            <w:r>
              <w:rPr>
                <w:rFonts w:hint="eastAsia" w:ascii="Times New Roman" w:hAnsi="Times New Roman" w:eastAsia="宋体" w:cs="Times New Roman"/>
                <w:snapToGrid w:val="0"/>
                <w:color w:val="auto"/>
                <w:spacing w:val="8"/>
                <w:kern w:val="0"/>
                <w:sz w:val="24"/>
                <w:szCs w:val="24"/>
                <w:highlight w:val="none"/>
                <w:vertAlign w:val="superscript"/>
                <w:lang w:val="en-US" w:eastAsia="zh-CN" w:bidi="ar-SA"/>
              </w:rPr>
              <w:t>2</w:t>
            </w:r>
            <w:r>
              <w:rPr>
                <w:rFonts w:hint="eastAsia" w:ascii="Times New Roman" w:hAnsi="Times New Roman" w:eastAsia="宋体" w:cs="Times New Roman"/>
                <w:snapToGrid w:val="0"/>
                <w:color w:val="auto"/>
                <w:spacing w:val="8"/>
                <w:kern w:val="0"/>
                <w:sz w:val="24"/>
                <w:szCs w:val="24"/>
                <w:highlight w:val="none"/>
                <w:lang w:val="en-US" w:eastAsia="zh-CN" w:bidi="ar-SA"/>
              </w:rPr>
              <w:t>，分别位于平凉庄村、向阳村和沙塘村，施工营地全部设置在河道管理线范围内两侧裸露区域，用于放置施工机械设备和施工材料。施工营地设置见附图9。</w:t>
            </w:r>
          </w:p>
          <w:p w14:paraId="2CA853C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（4）施工便道</w:t>
            </w:r>
          </w:p>
          <w:p w14:paraId="3E68CC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本项目沿泾平路、平胭线、现状巡河路和乡村小道可通往项目涉及的各治理段，交通便利，无需新修施工便道。</w:t>
            </w:r>
          </w:p>
        </w:tc>
      </w:tr>
      <w:tr w14:paraId="14B8E51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4" w:type="dxa"/>
            <w:tcBorders>
              <w:tl2br w:val="nil"/>
              <w:tr2bl w:val="nil"/>
            </w:tcBorders>
            <w:shd w:val="clear" w:color="auto" w:fill="auto"/>
            <w:vAlign w:val="center"/>
          </w:tcPr>
          <w:p w14:paraId="7C407885">
            <w:pPr>
              <w:pStyle w:val="19"/>
              <w:spacing w:before="78" w:line="231" w:lineRule="auto"/>
              <w:ind w:left="0" w:leftChars="0" w:right="0" w:rightChars="0" w:firstLine="0" w:firstLineChars="0"/>
              <w:jc w:val="center"/>
              <w:rPr>
                <w:rFonts w:hint="eastAsia" w:ascii="Arial" w:hAnsi="宋体" w:eastAsia="宋体" w:cs="宋体"/>
                <w:snapToGrid w:val="0"/>
                <w:color w:val="auto"/>
                <w:kern w:val="0"/>
                <w:sz w:val="21"/>
                <w:szCs w:val="24"/>
                <w:lang w:val="en-US" w:eastAsia="zh-CN" w:bidi="ar-SA"/>
              </w:rPr>
            </w:pPr>
            <w:r>
              <w:rPr>
                <w:rFonts w:hint="eastAsia" w:ascii="宋体" w:hAnsi="宋体" w:eastAsia="宋体" w:cs="宋体"/>
                <w:b/>
                <w:bCs/>
                <w:color w:val="auto"/>
                <w:spacing w:val="-3"/>
                <w:lang w:val="en-US" w:eastAsia="zh-CN"/>
              </w:rPr>
              <w:t>施工方案</w:t>
            </w:r>
          </w:p>
        </w:tc>
        <w:tc>
          <w:tcPr>
            <w:tcW w:w="8413" w:type="dxa"/>
            <w:tcBorders>
              <w:tl2br w:val="nil"/>
              <w:tr2bl w:val="nil"/>
            </w:tcBorders>
            <w:shd w:val="clear" w:color="auto" w:fill="auto"/>
            <w:vAlign w:val="top"/>
          </w:tcPr>
          <w:p w14:paraId="0A2B84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1 施工方法和工艺</w:t>
            </w:r>
          </w:p>
          <w:p w14:paraId="6DCD208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highlight w:val="none"/>
                <w:lang w:val="en-US" w:eastAsia="zh-CN" w:bidi="ar-SA"/>
              </w:rPr>
            </w:pPr>
            <w:r>
              <w:rPr>
                <w:rFonts w:hint="eastAsia" w:ascii="Times New Roman" w:hAnsi="Times New Roman" w:eastAsia="宋体" w:cs="Times New Roman"/>
                <w:snapToGrid w:val="0"/>
                <w:color w:val="auto"/>
                <w:spacing w:val="8"/>
                <w:kern w:val="0"/>
                <w:sz w:val="24"/>
                <w:szCs w:val="24"/>
                <w:highlight w:val="none"/>
                <w:lang w:val="en-US" w:eastAsia="zh-CN" w:bidi="ar-SA"/>
              </w:rPr>
              <w:t>施工方法：土方填筑采用装载机载运，8t自卸汽车和农用车运输，碾压机具应使用12t～15t平碾碾压。土方开挖以挖掘机为主，人工为辅。砂石料采用8t自卸汽车和农用车拉运，砌石工程均采用人工砌筑。河道疏浚以机械施工为主。</w:t>
            </w:r>
          </w:p>
          <w:p w14:paraId="3FC5E6A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施工工艺：根据各工程点的施工定位图，按坐标进行放线，确定护岸轴线位置，再按设计断面确定工程轮廓线及开挖线。土方填筑按设计断面要求分层碾压，土基填筑完成后，按设计断面进行砌护脚、护坡砌筑。</w:t>
            </w:r>
          </w:p>
          <w:p w14:paraId="47B079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1.1 施工导截流</w:t>
            </w:r>
          </w:p>
          <w:p w14:paraId="6188096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本项目生态护岸工程需施工围堰导流。</w:t>
            </w:r>
          </w:p>
          <w:p w14:paraId="4A5F17A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施工围堰属临时建筑物，为Ⅴ等5级建筑物，设计洪水标准为5年一遇。依据《水利水电工程围堰设计规范》(SL</w:t>
            </w:r>
            <w:r>
              <w:rPr>
                <w:rFonts w:hint="eastAsia" w:ascii="Times New Roman" w:hAnsi="Times New Roman" w:eastAsia="宋体" w:cs="Times New Roman"/>
                <w:snapToGrid w:val="0"/>
                <w:color w:val="auto"/>
                <w:spacing w:val="8"/>
                <w:kern w:val="0"/>
                <w:sz w:val="24"/>
                <w:szCs w:val="24"/>
                <w:lang w:val="en-US" w:eastAsia="zh-CN" w:bidi="ar-SA"/>
              </w:rPr>
              <w:t xml:space="preserve"> </w:t>
            </w:r>
            <w:r>
              <w:rPr>
                <w:rFonts w:hint="default" w:ascii="Times New Roman" w:hAnsi="Times New Roman" w:eastAsia="宋体" w:cs="Times New Roman"/>
                <w:snapToGrid w:val="0"/>
                <w:color w:val="auto"/>
                <w:spacing w:val="8"/>
                <w:kern w:val="0"/>
                <w:sz w:val="24"/>
                <w:szCs w:val="24"/>
                <w:lang w:val="en-US" w:eastAsia="zh-CN" w:bidi="ar-SA"/>
              </w:rPr>
              <w:t>645-2013）和计算的河道平均水深（1.2m），本次围堰设计高度为1.5m（安全超高取0.3m），顶宽4.0m，内外边坡为1:2.0，长2.5km。</w:t>
            </w:r>
          </w:p>
          <w:p w14:paraId="1CD8089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河道施工在枯水期，河水流量较小，且施工应采用单侧施工，在施工时设置围堰将河道内流水导入下游河道，防止对河道运行造成影响。</w:t>
            </w:r>
          </w:p>
          <w:p w14:paraId="459B67D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（2）施工排水</w:t>
            </w:r>
          </w:p>
          <w:p w14:paraId="6C5C5ABF">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堤基础位于地下水位以下，施工时需做好排水。施工过程中的基坑积（渗）水以挖排水沟、集水坑泵排的形式及时排至施工场外的河道中，以保持基坑相对干燥利于施工。施工时可采用单级功率11-17（kW）离心水泵对基坑内水进行抽排。</w:t>
            </w:r>
          </w:p>
          <w:p w14:paraId="3F1330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1.2 主体工程</w:t>
            </w:r>
          </w:p>
          <w:p w14:paraId="0E38943F">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default" w:ascii="Times New Roman" w:hAnsi="Times New Roman" w:eastAsia="宋体" w:cs="Times New Roman"/>
                <w:snapToGrid w:val="0"/>
                <w:color w:val="auto"/>
                <w:spacing w:val="8"/>
                <w:kern w:val="0"/>
                <w:sz w:val="24"/>
                <w:szCs w:val="24"/>
                <w:lang w:val="en-US" w:eastAsia="zh-CN" w:bidi="ar-SA"/>
              </w:rPr>
              <w:t>本项目施工涉及土方转运、苗木绿化种植、格宾石笼护坡等方面的施工规范和规定，因此各项目的施工技术措施和施工方法必须符合以上有关规范和规定的要求，以保证施工质量。施工作业带宽度为项目涉及的河道宽度。</w:t>
            </w:r>
          </w:p>
          <w:p w14:paraId="0963971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olor w:val="auto"/>
              </w:rPr>
            </w:pPr>
            <w:r>
              <w:rPr>
                <w:rFonts w:hint="eastAsia"/>
                <w:color w:val="auto"/>
              </w:rPr>
              <w:drawing>
                <wp:inline distT="0" distB="0" distL="114300" distR="114300">
                  <wp:extent cx="5011420" cy="1654175"/>
                  <wp:effectExtent l="0" t="0" r="17780" b="3175"/>
                  <wp:docPr id="8" name="图片 4" descr="施工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施工工艺流程图"/>
                          <pic:cNvPicPr>
                            <a:picLocks noChangeAspect="1"/>
                          </pic:cNvPicPr>
                        </pic:nvPicPr>
                        <pic:blipFill>
                          <a:blip r:embed="rId22"/>
                          <a:srcRect t="8072" b="5037"/>
                          <a:stretch>
                            <a:fillRect/>
                          </a:stretch>
                        </pic:blipFill>
                        <pic:spPr>
                          <a:xfrm>
                            <a:off x="0" y="0"/>
                            <a:ext cx="5011420" cy="1654175"/>
                          </a:xfrm>
                          <a:prstGeom prst="rect">
                            <a:avLst/>
                          </a:prstGeom>
                          <a:noFill/>
                          <a:ln>
                            <a:noFill/>
                          </a:ln>
                        </pic:spPr>
                      </pic:pic>
                    </a:graphicData>
                  </a:graphic>
                </wp:inline>
              </w:drawing>
            </w:r>
          </w:p>
          <w:p w14:paraId="11545F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图2-8  工程施工工艺及产污环节图</w:t>
            </w:r>
          </w:p>
          <w:p w14:paraId="1FC94736">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（1）临时工程施工</w:t>
            </w:r>
          </w:p>
          <w:p w14:paraId="2F4725E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主要为主体工程施工所做的准备，包括临时施工营地等的装备过程。</w:t>
            </w:r>
          </w:p>
          <w:p w14:paraId="07B63397">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（2）土方开挖</w:t>
            </w:r>
          </w:p>
          <w:p w14:paraId="0324D0C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土方开挖主要为在羊槽河（羊槽村段）、生态沟渠的清淤、生态步道的路面换层及绿化工程中种植土的平整等。清基土方开挖料采用推土机推运，采用自卸汽车运输。土方开挖采用反铲挖掘机和推土机施工为主，人工开挖施工为辅。土方开挖均堆存附近用于自身回填。</w:t>
            </w:r>
          </w:p>
          <w:p w14:paraId="6180E58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（3）主体工程施工</w:t>
            </w:r>
          </w:p>
          <w:p w14:paraId="13EE760C">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主要包括河道生境构建工程、生态护坡工程、基地修复工程、生态步道工程及绿化工程。</w:t>
            </w:r>
          </w:p>
          <w:p w14:paraId="6684247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护岸由土基、护坡和护脚组成。其施工方法均为旱地施工。</w:t>
            </w:r>
          </w:p>
          <w:p w14:paraId="047EA39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土基是填筑土料选用壤土或碎石土，要求分层碾压。用壤土填筑如用推土机碾压，铺土层厚20～30cm，碾压遍数6～7遍，压实度不小于0.92；用角砾混合土填筑时，尽量选择振动碾压实，铺土厚度不大于30cm，其相对密度不小于0.65。</w:t>
            </w:r>
          </w:p>
          <w:p w14:paraId="22199F7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（4）土方回填</w:t>
            </w:r>
          </w:p>
          <w:p w14:paraId="70E557A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回填、夯填土方前，应彻底清除基地表面草皮、垃圾、树根、表面浮土、孔洞、裂隙、井等，应对填方基地和已完成隐蔽工程进行检查和中间验收。</w:t>
            </w:r>
          </w:p>
          <w:p w14:paraId="1E0AAB1F">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填方施工前，应根据工程特点、填料种类、设计压实系数、施工条件等合理选择压实机具，并根据实验确定含水量范围、铺土厚度及压实遍数等。填土前应检验含水量是否在控制范围内，如含水量偏高，可采用翻松、晾晒、均匀掺入干土等措施；如含水量偏低，可采用预先洒水湿润、增加压实遍数或使用大功率压实机械等措施，碾压时轮（夯）迹应相互搭接，防止漏压。填方每层土厚度：平碾200～300mm，碾压6～8遍；羊足碾200～350mm，碾压8～16遍；蛙式打夯机200～250mm，碾压3～4；人工打夯不大于200mm，碾压3～4遍；土块粒径不大于5cm，土堤回填边坡不小于1：1.5。</w:t>
            </w:r>
          </w:p>
          <w:p w14:paraId="49C39B9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分段填筑时，每层接缝处应做成斜坡形，碾迹重叠0.5～1.0m，上下层 接缝应错开不小于1.0m，填方可根据工程性质、填方高度、填料种类、压实系数和地基情况预留沉降量，沉降量一般不超过高度的3％。填方取土应在填方体坡脚线30m以外取料，取土坑的坡度应根据土质而定。</w:t>
            </w:r>
          </w:p>
          <w:p w14:paraId="67B0D5F6">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（5）路面恢复</w:t>
            </w:r>
          </w:p>
          <w:p w14:paraId="2D3D1EBA">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对占用的临时施工道路进行恢复。</w:t>
            </w:r>
          </w:p>
          <w:p w14:paraId="50EBF74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（6）设备退场、场地清理</w:t>
            </w:r>
          </w:p>
          <w:p w14:paraId="158496D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主要为设备退场、临时施工场地清理等扫尾工作。</w:t>
            </w:r>
          </w:p>
          <w:p w14:paraId="6D339E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2 施工周期</w:t>
            </w:r>
          </w:p>
          <w:p w14:paraId="14EE54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2.1 施工时序</w:t>
            </w:r>
          </w:p>
          <w:p w14:paraId="7B538E96">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本项目河道治理、防洪除涝工程安排在非汛期（7~9月）施工，项目建设周期为6个月，工程施工进度见表2-5。</w:t>
            </w:r>
          </w:p>
          <w:p w14:paraId="3B8F7AE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7"/>
                <w:kern w:val="0"/>
                <w:sz w:val="21"/>
                <w:szCs w:val="21"/>
                <w:lang w:val="en-US" w:eastAsia="zh-CN" w:bidi="ar-SA"/>
              </w:rPr>
            </w:pPr>
            <w:r>
              <w:rPr>
                <w:rFonts w:hint="eastAsia" w:ascii="Times New Roman" w:hAnsi="Times New Roman" w:eastAsia="宋体" w:cs="Times New Roman"/>
                <w:b/>
                <w:bCs/>
                <w:snapToGrid w:val="0"/>
                <w:color w:val="auto"/>
                <w:spacing w:val="7"/>
                <w:kern w:val="0"/>
                <w:sz w:val="21"/>
                <w:szCs w:val="21"/>
                <w:lang w:val="en-US" w:eastAsia="zh-CN" w:bidi="ar-SA"/>
              </w:rPr>
              <w:t>表2-5  施工时序一览表</w:t>
            </w:r>
          </w:p>
          <w:tbl>
            <w:tblPr>
              <w:tblStyle w:val="15"/>
              <w:tblW w:w="8259"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21"/>
              <w:gridCol w:w="839"/>
              <w:gridCol w:w="839"/>
              <w:gridCol w:w="839"/>
              <w:gridCol w:w="839"/>
              <w:gridCol w:w="843"/>
              <w:gridCol w:w="839"/>
            </w:tblGrid>
            <w:tr w14:paraId="2CE89A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3221" w:type="dxa"/>
                  <w:vMerge w:val="restart"/>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14:paraId="087019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p>
                <w:p w14:paraId="423274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mc:AlternateContent>
                      <mc:Choice Requires="wpsCustomData">
                        <wpsCustomData:diagonalParaType/>
                      </mc:Choice>
                    </mc:AlternateContent>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工序</w:t>
                  </w:r>
                </w:p>
                <w:p w14:paraId="7CF410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时间</w:t>
                  </w:r>
                </w:p>
              </w:tc>
              <w:tc>
                <w:tcPr>
                  <w:tcW w:w="2517" w:type="dxa"/>
                  <w:gridSpan w:val="3"/>
                  <w:noWrap w:val="0"/>
                  <w:vAlign w:val="center"/>
                </w:tcPr>
                <w:p w14:paraId="10999C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2025年</w:t>
                  </w:r>
                </w:p>
              </w:tc>
              <w:tc>
                <w:tcPr>
                  <w:tcW w:w="2521" w:type="dxa"/>
                  <w:gridSpan w:val="3"/>
                  <w:noWrap w:val="0"/>
                  <w:vAlign w:val="center"/>
                </w:tcPr>
                <w:p w14:paraId="0BA578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2026年</w:t>
                  </w:r>
                </w:p>
              </w:tc>
            </w:tr>
            <w:tr w14:paraId="576C495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3221" w:type="dxa"/>
                  <w:vMerge w:val="continue"/>
                  <w:noWrap w:val="0"/>
                  <w:vAlign w:val="center"/>
                </w:tcPr>
                <w:p w14:paraId="5593D7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16"/>
                      <w:sz w:val="21"/>
                      <w:szCs w:val="21"/>
                      <w:highlight w:val="none"/>
                      <w:lang w:val="en-US" w:eastAsia="zh-CN"/>
                    </w:rPr>
                  </w:pPr>
                </w:p>
              </w:tc>
              <w:tc>
                <w:tcPr>
                  <w:tcW w:w="839" w:type="dxa"/>
                  <w:noWrap w:val="0"/>
                  <w:vAlign w:val="center"/>
                </w:tcPr>
                <w:p w14:paraId="4B7098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10</w:t>
                  </w:r>
                </w:p>
              </w:tc>
              <w:tc>
                <w:tcPr>
                  <w:tcW w:w="839" w:type="dxa"/>
                  <w:noWrap w:val="0"/>
                  <w:vAlign w:val="center"/>
                </w:tcPr>
                <w:p w14:paraId="650071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11</w:t>
                  </w:r>
                </w:p>
              </w:tc>
              <w:tc>
                <w:tcPr>
                  <w:tcW w:w="839" w:type="dxa"/>
                  <w:noWrap w:val="0"/>
                  <w:vAlign w:val="center"/>
                </w:tcPr>
                <w:p w14:paraId="7FCE6B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12</w:t>
                  </w:r>
                </w:p>
              </w:tc>
              <w:tc>
                <w:tcPr>
                  <w:tcW w:w="839" w:type="dxa"/>
                  <w:noWrap w:val="0"/>
                  <w:vAlign w:val="center"/>
                </w:tcPr>
                <w:p w14:paraId="535D03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1</w:t>
                  </w:r>
                </w:p>
              </w:tc>
              <w:tc>
                <w:tcPr>
                  <w:tcW w:w="843" w:type="dxa"/>
                  <w:noWrap w:val="0"/>
                  <w:vAlign w:val="center"/>
                </w:tcPr>
                <w:p w14:paraId="07871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2</w:t>
                  </w:r>
                </w:p>
              </w:tc>
              <w:tc>
                <w:tcPr>
                  <w:tcW w:w="839" w:type="dxa"/>
                  <w:noWrap w:val="0"/>
                  <w:vAlign w:val="center"/>
                </w:tcPr>
                <w:p w14:paraId="6021C9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16"/>
                      <w:sz w:val="21"/>
                      <w:szCs w:val="21"/>
                      <w:highlight w:val="none"/>
                      <w:lang w:val="en-US" w:eastAsia="zh-CN"/>
                    </w:rPr>
                  </w:pPr>
                  <w:r>
                    <w:rPr>
                      <w:rFonts w:hint="eastAsia" w:ascii="Times New Roman" w:hAnsi="Times New Roman" w:eastAsia="宋体" w:cs="Times New Roman"/>
                      <w:b/>
                      <w:bCs/>
                      <w:color w:val="auto"/>
                      <w:spacing w:val="16"/>
                      <w:sz w:val="21"/>
                      <w:szCs w:val="21"/>
                      <w:highlight w:val="none"/>
                      <w:lang w:val="en-US" w:eastAsia="zh-CN"/>
                    </w:rPr>
                    <w:t>3</w:t>
                  </w:r>
                </w:p>
              </w:tc>
            </w:tr>
            <w:tr w14:paraId="526A811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1A790C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前期准备工作</w:t>
                  </w:r>
                </w:p>
              </w:tc>
              <w:tc>
                <w:tcPr>
                  <w:tcW w:w="839" w:type="dxa"/>
                  <w:shd w:val="clear" w:color="auto" w:fill="7E7E7E" w:themeFill="background1" w:themeFillShade="7F"/>
                  <w:noWrap w:val="0"/>
                  <w:vAlign w:val="center"/>
                </w:tcPr>
                <w:p w14:paraId="2D8302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478691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2998C4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48085C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3A1F41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69B8DF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5257CA4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179E36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临时工程施工</w:t>
                  </w:r>
                </w:p>
              </w:tc>
              <w:tc>
                <w:tcPr>
                  <w:tcW w:w="839" w:type="dxa"/>
                  <w:shd w:val="clear" w:color="auto" w:fill="7E7E7E" w:themeFill="background1" w:themeFillShade="7F"/>
                  <w:noWrap w:val="0"/>
                  <w:vAlign w:val="center"/>
                </w:tcPr>
                <w:p w14:paraId="4A4FA0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0CC482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6FD323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6D5B52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2B0AC7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13A90C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227BCF9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17972C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土方开挖</w:t>
                  </w:r>
                </w:p>
              </w:tc>
              <w:tc>
                <w:tcPr>
                  <w:tcW w:w="839" w:type="dxa"/>
                  <w:shd w:val="clear" w:color="auto" w:fill="auto"/>
                  <w:noWrap w:val="0"/>
                  <w:vAlign w:val="center"/>
                </w:tcPr>
                <w:p w14:paraId="1ED29F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7E7E7E" w:themeFill="background1" w:themeFillShade="7F"/>
                  <w:noWrap w:val="0"/>
                  <w:vAlign w:val="center"/>
                </w:tcPr>
                <w:p w14:paraId="77FA01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33AE45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5DCAAE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05E8DC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7B74F8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1E1BE57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46C880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主体工程施工</w:t>
                  </w:r>
                </w:p>
              </w:tc>
              <w:tc>
                <w:tcPr>
                  <w:tcW w:w="839" w:type="dxa"/>
                  <w:shd w:val="clear" w:color="auto" w:fill="auto"/>
                  <w:noWrap w:val="0"/>
                  <w:vAlign w:val="center"/>
                </w:tcPr>
                <w:p w14:paraId="264E33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362C1D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7E7E7E" w:themeFill="background1" w:themeFillShade="7F"/>
                  <w:noWrap w:val="0"/>
                  <w:vAlign w:val="center"/>
                </w:tcPr>
                <w:p w14:paraId="3D5034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7E7E7E" w:themeFill="background1" w:themeFillShade="7F"/>
                  <w:noWrap w:val="0"/>
                  <w:vAlign w:val="center"/>
                </w:tcPr>
                <w:p w14:paraId="4CF4D7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24074B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7DBD19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4C2E7E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369D7F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土方回填</w:t>
                  </w:r>
                </w:p>
              </w:tc>
              <w:tc>
                <w:tcPr>
                  <w:tcW w:w="839" w:type="dxa"/>
                  <w:shd w:val="clear" w:color="auto" w:fill="auto"/>
                  <w:noWrap w:val="0"/>
                  <w:vAlign w:val="center"/>
                </w:tcPr>
                <w:p w14:paraId="3507F8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7854F5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042200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7E7E7E" w:themeFill="background1" w:themeFillShade="7F"/>
                  <w:noWrap w:val="0"/>
                  <w:vAlign w:val="center"/>
                </w:tcPr>
                <w:p w14:paraId="50D6E9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76BF18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5B3B99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62870E7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3221" w:type="dxa"/>
                  <w:shd w:val="clear" w:color="auto" w:fill="auto"/>
                  <w:noWrap w:val="0"/>
                  <w:vAlign w:val="center"/>
                </w:tcPr>
                <w:p w14:paraId="442A44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路面恢复</w:t>
                  </w:r>
                </w:p>
              </w:tc>
              <w:tc>
                <w:tcPr>
                  <w:tcW w:w="839" w:type="dxa"/>
                  <w:shd w:val="clear" w:color="auto" w:fill="auto"/>
                  <w:noWrap w:val="0"/>
                  <w:vAlign w:val="center"/>
                </w:tcPr>
                <w:p w14:paraId="622108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45460F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0C4F2F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59E59C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7E7E7E" w:themeFill="background1" w:themeFillShade="7F"/>
                  <w:noWrap w:val="0"/>
                  <w:vAlign w:val="center"/>
                </w:tcPr>
                <w:p w14:paraId="479721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59867A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r w14:paraId="4BC4E8C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221" w:type="dxa"/>
                  <w:shd w:val="clear" w:color="auto" w:fill="auto"/>
                  <w:noWrap w:val="0"/>
                  <w:vAlign w:val="center"/>
                </w:tcPr>
                <w:p w14:paraId="6D840A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r>
                    <w:rPr>
                      <w:rFonts w:hint="eastAsia" w:ascii="Times New Roman" w:hAnsi="Times New Roman" w:eastAsia="宋体" w:cs="Times New Roman"/>
                      <w:color w:val="auto"/>
                      <w:spacing w:val="17"/>
                      <w:sz w:val="21"/>
                      <w:szCs w:val="21"/>
                      <w:highlight w:val="none"/>
                      <w:lang w:val="en-US" w:eastAsia="zh-CN"/>
                    </w:rPr>
                    <w:t>设备退场、场地清理</w:t>
                  </w:r>
                </w:p>
              </w:tc>
              <w:tc>
                <w:tcPr>
                  <w:tcW w:w="839" w:type="dxa"/>
                  <w:shd w:val="clear" w:color="auto" w:fill="auto"/>
                  <w:noWrap w:val="0"/>
                  <w:vAlign w:val="center"/>
                </w:tcPr>
                <w:p w14:paraId="48711E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132690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17D262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auto"/>
                  <w:noWrap w:val="0"/>
                  <w:vAlign w:val="center"/>
                </w:tcPr>
                <w:p w14:paraId="093414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43" w:type="dxa"/>
                  <w:shd w:val="clear" w:color="auto" w:fill="auto"/>
                  <w:noWrap w:val="0"/>
                  <w:vAlign w:val="center"/>
                </w:tcPr>
                <w:p w14:paraId="3D870D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c>
                <w:tcPr>
                  <w:tcW w:w="839" w:type="dxa"/>
                  <w:shd w:val="clear" w:color="auto" w:fill="7E7E7E" w:themeFill="background1" w:themeFillShade="7F"/>
                  <w:noWrap w:val="0"/>
                  <w:vAlign w:val="center"/>
                </w:tcPr>
                <w:p w14:paraId="24C8AD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17"/>
                      <w:sz w:val="21"/>
                      <w:szCs w:val="21"/>
                      <w:highlight w:val="none"/>
                      <w:lang w:val="en-US" w:eastAsia="zh-CN"/>
                    </w:rPr>
                  </w:pPr>
                </w:p>
              </w:tc>
            </w:tr>
          </w:tbl>
          <w:p w14:paraId="38FBF5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2.2 施工周期</w:t>
            </w:r>
          </w:p>
          <w:p w14:paraId="0BB958E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根据工程建设内容和工程量，施工工期为6个月，计划于2025年10月初开工，2026年3月底完工。</w:t>
            </w:r>
          </w:p>
          <w:p w14:paraId="7F34CF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Times New Roman" w:cs="Times New Roman"/>
                <w:b/>
                <w:bCs/>
                <w:snapToGrid w:val="0"/>
                <w:color w:val="auto"/>
                <w:spacing w:val="-2"/>
                <w:kern w:val="0"/>
                <w:sz w:val="24"/>
                <w:szCs w:val="24"/>
                <w:lang w:val="en-US" w:eastAsia="zh-CN" w:bidi="ar-SA"/>
              </w:rPr>
              <w:t>3 工程占地情况</w:t>
            </w:r>
          </w:p>
          <w:p w14:paraId="2571F1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（1）永久占地</w:t>
            </w:r>
          </w:p>
          <w:p w14:paraId="2B749B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本项目为</w:t>
            </w:r>
            <w:r>
              <w:rPr>
                <w:rFonts w:hint="default" w:ascii="Times New Roman" w:hAnsi="Times New Roman" w:eastAsia="宋体" w:cs="Times New Roman"/>
                <w:color w:val="auto"/>
                <w:spacing w:val="14"/>
                <w:sz w:val="24"/>
                <w:szCs w:val="24"/>
                <w:lang w:val="en-US" w:eastAsia="zh-CN"/>
              </w:rPr>
              <w:t>宁夏泾源县龙房宫片区生态环境修复与农林文旅康融合开发EOD项目</w:t>
            </w:r>
            <w:r>
              <w:rPr>
                <w:rFonts w:hint="eastAsia" w:ascii="Times New Roman" w:hAnsi="Times New Roman" w:eastAsia="宋体" w:cs="Times New Roman"/>
                <w:color w:val="auto"/>
                <w:spacing w:val="14"/>
                <w:sz w:val="24"/>
                <w:szCs w:val="24"/>
                <w:lang w:val="en-US" w:eastAsia="zh-CN"/>
              </w:rPr>
              <w:t>中城乡供水一体化及水土保持（河道治理）和山洪及地质灾害（防洪排涝工程）</w:t>
            </w:r>
            <w:r>
              <w:rPr>
                <w:rFonts w:hint="eastAsia" w:ascii="Times New Roman" w:hAnsi="Times New Roman" w:eastAsia="宋体" w:cs="Times New Roman"/>
                <w:snapToGrid w:val="0"/>
                <w:color w:val="auto"/>
                <w:spacing w:val="8"/>
                <w:kern w:val="0"/>
                <w:sz w:val="24"/>
                <w:szCs w:val="24"/>
                <w:lang w:val="en-US" w:eastAsia="zh-CN" w:bidi="ar-SA"/>
              </w:rPr>
              <w:t>。其中，河道治理长度8.444km，排洪渠治理长度2.90991m，均为永久占地，不涉及新增永久占地。</w:t>
            </w:r>
          </w:p>
          <w:p w14:paraId="299E12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（2）临时占地</w:t>
            </w:r>
          </w:p>
          <w:p w14:paraId="244C87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12" w:firstLineChars="200"/>
              <w:textAlignment w:val="baseline"/>
              <w:rPr>
                <w:rFonts w:hint="default"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本项目临时占地主要为施工营地，施工期计划在平凉庄村（200m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）、向阳村（100m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）和沙塘村（100m</w:t>
            </w:r>
            <w:r>
              <w:rPr>
                <w:rFonts w:hint="eastAsia" w:ascii="Times New Roman" w:hAnsi="Times New Roman" w:eastAsia="宋体" w:cs="Times New Roman"/>
                <w:snapToGrid w:val="0"/>
                <w:color w:val="auto"/>
                <w:spacing w:val="8"/>
                <w:kern w:val="0"/>
                <w:sz w:val="24"/>
                <w:szCs w:val="24"/>
                <w:vertAlign w:val="superscript"/>
                <w:lang w:val="en-US" w:eastAsia="zh-CN" w:bidi="ar-SA"/>
              </w:rPr>
              <w:t>2</w:t>
            </w:r>
            <w:r>
              <w:rPr>
                <w:rFonts w:hint="eastAsia" w:ascii="Times New Roman" w:hAnsi="Times New Roman" w:eastAsia="宋体" w:cs="Times New Roman"/>
                <w:snapToGrid w:val="0"/>
                <w:color w:val="auto"/>
                <w:spacing w:val="8"/>
                <w:kern w:val="0"/>
                <w:sz w:val="24"/>
                <w:szCs w:val="24"/>
                <w:lang w:val="en-US" w:eastAsia="zh-CN" w:bidi="ar-SA"/>
              </w:rPr>
              <w:t>）各设置1处施工营地，施工营地全部设置在河道管理线范围内两侧裸露区域，用于放置施工机械设备和施工材料。</w:t>
            </w:r>
          </w:p>
          <w:p w14:paraId="7643096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宋体" w:cs="Times New Roman"/>
                <w:snapToGrid w:val="0"/>
                <w:color w:val="auto"/>
                <w:spacing w:val="8"/>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项目区紧邻平胭线、泾平路以及各村道和巡河道路，对外交通、运输便利，可直接到达项目区，无需新修施工便道。</w:t>
            </w:r>
          </w:p>
          <w:p w14:paraId="0CEE6A7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hint="eastAsia" w:ascii="Times New Roman" w:hAnsi="Times New Roman" w:eastAsia="Times New Roman" w:cs="Times New Roman"/>
                <w:b/>
                <w:bCs/>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本项目施工人员均来自附近居民，施工人员住宿和办公用房租用当地民房，不再新增临时用地。</w:t>
            </w:r>
          </w:p>
        </w:tc>
      </w:tr>
      <w:tr w14:paraId="55B77E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250" w:hRule="atLeast"/>
          <w:jc w:val="center"/>
        </w:trPr>
        <w:tc>
          <w:tcPr>
            <w:tcW w:w="454" w:type="dxa"/>
            <w:tcBorders>
              <w:tl2br w:val="nil"/>
              <w:tr2bl w:val="nil"/>
            </w:tcBorders>
            <w:shd w:val="clear" w:color="auto" w:fill="auto"/>
            <w:vAlign w:val="center"/>
          </w:tcPr>
          <w:p w14:paraId="78851470">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其</w:t>
            </w:r>
          </w:p>
          <w:p w14:paraId="45AFDFD6">
            <w:pPr>
              <w:pStyle w:val="19"/>
              <w:spacing w:before="78" w:line="231" w:lineRule="auto"/>
              <w:ind w:left="0" w:leftChars="0" w:right="0" w:rightChars="0" w:firstLine="0" w:firstLineChars="0"/>
              <w:jc w:val="center"/>
              <w:rPr>
                <w:rFonts w:hint="eastAsia" w:ascii="Arial" w:hAnsi="宋体" w:eastAsia="宋体" w:cs="宋体"/>
                <w:snapToGrid w:val="0"/>
                <w:color w:val="auto"/>
                <w:kern w:val="0"/>
                <w:sz w:val="21"/>
                <w:szCs w:val="24"/>
                <w:lang w:val="en-US" w:eastAsia="zh-CN" w:bidi="ar-SA"/>
              </w:rPr>
            </w:pPr>
            <w:r>
              <w:rPr>
                <w:rFonts w:hint="eastAsia" w:ascii="宋体" w:hAnsi="宋体" w:eastAsia="宋体" w:cs="宋体"/>
                <w:b/>
                <w:bCs/>
                <w:color w:val="auto"/>
                <w:spacing w:val="-3"/>
                <w:lang w:val="en-US" w:eastAsia="zh-CN"/>
              </w:rPr>
              <w:t>他</w:t>
            </w:r>
          </w:p>
        </w:tc>
        <w:tc>
          <w:tcPr>
            <w:tcW w:w="8413" w:type="dxa"/>
            <w:tcBorders>
              <w:tl2br w:val="nil"/>
              <w:tr2bl w:val="nil"/>
            </w:tcBorders>
            <w:shd w:val="clear" w:color="auto" w:fill="auto"/>
            <w:vAlign w:val="center"/>
          </w:tcPr>
          <w:p w14:paraId="18F3F4A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eastAsia" w:ascii="Arial" w:hAnsi="Arial" w:eastAsia="宋体" w:cs="Arial"/>
                <w:snapToGrid w:val="0"/>
                <w:color w:val="auto"/>
                <w:kern w:val="0"/>
                <w:sz w:val="20"/>
                <w:szCs w:val="20"/>
                <w:lang w:val="en-US" w:eastAsia="zh-CN" w:bidi="ar-SA"/>
              </w:rPr>
            </w:pPr>
            <w:r>
              <w:rPr>
                <w:rFonts w:hint="eastAsia" w:ascii="Times New Roman" w:hAnsi="Times New Roman" w:eastAsia="宋体" w:cs="Times New Roman"/>
                <w:snapToGrid w:val="0"/>
                <w:color w:val="auto"/>
                <w:spacing w:val="8"/>
                <w:kern w:val="0"/>
                <w:sz w:val="24"/>
                <w:szCs w:val="24"/>
                <w:lang w:val="en-US" w:eastAsia="zh-CN" w:bidi="ar-SA"/>
              </w:rPr>
              <w:t>无</w:t>
            </w:r>
          </w:p>
        </w:tc>
      </w:tr>
    </w:tbl>
    <w:p w14:paraId="31463107">
      <w:pPr>
        <w:pStyle w:val="8"/>
        <w:rPr>
          <w:color w:val="auto"/>
        </w:rPr>
      </w:pPr>
    </w:p>
    <w:p w14:paraId="47BC3CB9">
      <w:pPr>
        <w:rPr>
          <w:color w:val="auto"/>
        </w:rPr>
        <w:sectPr>
          <w:pgSz w:w="11906" w:h="16839"/>
          <w:pgMar w:top="1440" w:right="1803" w:bottom="1440" w:left="1803" w:header="0" w:footer="1181" w:gutter="0"/>
          <w:pgBorders>
            <w:top w:val="none" w:sz="0" w:space="0"/>
            <w:left w:val="none" w:sz="0" w:space="0"/>
            <w:bottom w:val="none" w:sz="0" w:space="0"/>
            <w:right w:val="none" w:sz="0" w:space="0"/>
          </w:pgBorders>
          <w:pgNumType w:fmt="decimal"/>
          <w:cols w:space="720" w:num="1"/>
        </w:sectPr>
      </w:pPr>
    </w:p>
    <w:p w14:paraId="3C748432">
      <w:pPr>
        <w:bidi w:val="0"/>
        <w:rPr>
          <w:color w:val="auto"/>
        </w:rPr>
      </w:pPr>
    </w:p>
    <w:p w14:paraId="4417D872">
      <w:pPr>
        <w:spacing w:before="98" w:line="211" w:lineRule="auto"/>
        <w:ind w:left="0" w:leftChars="0" w:right="0" w:rightChars="0" w:firstLine="0" w:firstLineChars="0"/>
        <w:jc w:val="center"/>
        <w:outlineLvl w:val="0"/>
        <w:rPr>
          <w:rFonts w:ascii="黑体" w:hAnsi="黑体" w:eastAsia="黑体" w:cs="黑体"/>
          <w:b/>
          <w:bCs/>
          <w:color w:val="auto"/>
          <w:spacing w:val="-6"/>
          <w:sz w:val="30"/>
          <w:szCs w:val="30"/>
        </w:rPr>
      </w:pPr>
      <w:r>
        <w:rPr>
          <w:rFonts w:ascii="黑体" w:hAnsi="黑体" w:eastAsia="黑体" w:cs="黑体"/>
          <w:b/>
          <w:bCs/>
          <w:color w:val="auto"/>
          <w:spacing w:val="-6"/>
          <w:sz w:val="30"/>
          <w:szCs w:val="30"/>
        </w:rPr>
        <w:t>三、生态环境现状、保护目标及评价标准</w:t>
      </w:r>
    </w:p>
    <w:tbl>
      <w:tblPr>
        <w:tblStyle w:val="18"/>
        <w:tblW w:w="8519" w:type="dxa"/>
        <w:tblInd w:w="1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66"/>
        <w:gridCol w:w="8053"/>
      </w:tblGrid>
      <w:tr w14:paraId="7D74E8F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466" w:type="dxa"/>
            <w:tcBorders>
              <w:tl2br w:val="nil"/>
              <w:tr2bl w:val="nil"/>
            </w:tcBorders>
            <w:textDirection w:val="tbRlV"/>
            <w:vAlign w:val="top"/>
          </w:tcPr>
          <w:p w14:paraId="23C13C8D">
            <w:pPr>
              <w:pStyle w:val="19"/>
              <w:spacing w:before="78" w:line="231" w:lineRule="auto"/>
              <w:ind w:left="0" w:leftChars="0" w:right="0" w:rightChars="0" w:firstLine="0" w:firstLineChars="0"/>
              <w:jc w:val="center"/>
              <w:rPr>
                <w:color w:val="auto"/>
              </w:rPr>
            </w:pPr>
            <w:r>
              <w:rPr>
                <w:rFonts w:hint="eastAsia" w:ascii="宋体" w:hAnsi="宋体" w:eastAsia="宋体" w:cs="宋体"/>
                <w:b/>
                <w:bCs/>
                <w:color w:val="auto"/>
                <w:spacing w:val="-3"/>
                <w:lang w:val="en-US" w:eastAsia="zh-CN"/>
              </w:rPr>
              <w:t>生 态 环 境 现 状</w:t>
            </w:r>
          </w:p>
        </w:tc>
        <w:tc>
          <w:tcPr>
            <w:tcW w:w="8053" w:type="dxa"/>
            <w:tcBorders>
              <w:tl2br w:val="nil"/>
              <w:tr2bl w:val="nil"/>
            </w:tcBorders>
            <w:vAlign w:val="top"/>
          </w:tcPr>
          <w:p w14:paraId="1BF4DAC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color w:val="auto"/>
              </w:rPr>
            </w:pPr>
            <w:r>
              <w:rPr>
                <w:rFonts w:ascii="Times New Roman" w:hAnsi="Times New Roman" w:eastAsia="Times New Roman" w:cs="Times New Roman"/>
                <w:b/>
                <w:bCs/>
                <w:color w:val="auto"/>
                <w:spacing w:val="-3"/>
              </w:rPr>
              <w:t xml:space="preserve">1 </w:t>
            </w:r>
            <w:r>
              <w:rPr>
                <w:b/>
                <w:bCs/>
                <w:color w:val="auto"/>
                <w:spacing w:val="-3"/>
              </w:rPr>
              <w:t>环境空气质量现状</w:t>
            </w:r>
          </w:p>
          <w:p w14:paraId="3D1FBE2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spacing w:val="-4"/>
              </w:rPr>
              <w:t>根据《环境影响评价技术导则 大气环境》（</w:t>
            </w:r>
            <w:r>
              <w:rPr>
                <w:rFonts w:hint="default" w:ascii="Times New Roman" w:hAnsi="Times New Roman" w:eastAsia="Times New Roman" w:cs="Times New Roman"/>
                <w:color w:val="auto"/>
                <w:spacing w:val="-4"/>
              </w:rPr>
              <w:t>HJ</w:t>
            </w:r>
            <w:r>
              <w:rPr>
                <w:rFonts w:hint="eastAsia" w:ascii="Times New Roman" w:hAnsi="Times New Roman" w:eastAsia="宋体" w:cs="Times New Roman"/>
                <w:color w:val="auto"/>
                <w:spacing w:val="-4"/>
                <w:lang w:val="en-US" w:eastAsia="zh-CN"/>
              </w:rPr>
              <w:t xml:space="preserve"> </w:t>
            </w:r>
            <w:r>
              <w:rPr>
                <w:rFonts w:hint="default" w:ascii="Times New Roman" w:hAnsi="Times New Roman" w:eastAsia="Times New Roman" w:cs="Times New Roman"/>
                <w:color w:val="auto"/>
                <w:spacing w:val="-4"/>
              </w:rPr>
              <w:t>2.2-2018</w:t>
            </w:r>
            <w:r>
              <w:rPr>
                <w:rFonts w:hint="default" w:ascii="Times New Roman" w:hAnsi="Times New Roman" w:cs="Times New Roman"/>
                <w:color w:val="auto"/>
                <w:spacing w:val="-4"/>
              </w:rPr>
              <w:t>）的规定，项目</w:t>
            </w:r>
            <w:r>
              <w:rPr>
                <w:rFonts w:hint="default" w:ascii="Times New Roman" w:hAnsi="Times New Roman" w:cs="Times New Roman"/>
                <w:color w:val="auto"/>
                <w:spacing w:val="-3"/>
              </w:rPr>
              <w:t>所在区域环境空气质量达标判定，优先采用国家或地方生态环境主管部门公开发布的评价基准年环境质量公告或环境质量报告中的数据或结论。本次采</w:t>
            </w:r>
            <w:r>
              <w:rPr>
                <w:rFonts w:hint="default" w:ascii="Times New Roman" w:hAnsi="Times New Roman" w:cs="Times New Roman"/>
                <w:color w:val="auto"/>
                <w:spacing w:val="3"/>
              </w:rPr>
              <w:t>用《</w:t>
            </w:r>
            <w:r>
              <w:rPr>
                <w:rFonts w:hint="default" w:ascii="Times New Roman" w:hAnsi="Times New Roman" w:eastAsia="Times New Roman" w:cs="Times New Roman"/>
                <w:color w:val="auto"/>
                <w:spacing w:val="3"/>
              </w:rPr>
              <w:t>202</w:t>
            </w:r>
            <w:r>
              <w:rPr>
                <w:rFonts w:hint="eastAsia" w:ascii="Times New Roman" w:hAnsi="Times New Roman" w:cs="Times New Roman"/>
                <w:color w:val="auto"/>
                <w:spacing w:val="3"/>
                <w:lang w:val="en-US" w:eastAsia="zh-CN"/>
              </w:rPr>
              <w:t>3</w:t>
            </w:r>
            <w:r>
              <w:rPr>
                <w:rFonts w:hint="default" w:ascii="Times New Roman" w:hAnsi="Times New Roman" w:cs="Times New Roman"/>
                <w:color w:val="auto"/>
                <w:spacing w:val="3"/>
              </w:rPr>
              <w:t>年固原市环境质量状况》中泾源县的环境空</w:t>
            </w:r>
            <w:r>
              <w:rPr>
                <w:rFonts w:hint="default" w:ascii="Times New Roman" w:hAnsi="Times New Roman" w:cs="Times New Roman"/>
                <w:color w:val="auto"/>
                <w:spacing w:val="2"/>
              </w:rPr>
              <w:t>气质量</w:t>
            </w:r>
            <w:r>
              <w:rPr>
                <w:rFonts w:hint="default" w:ascii="Times New Roman" w:hAnsi="Times New Roman" w:cs="Times New Roman"/>
                <w:color w:val="auto"/>
                <w:spacing w:val="2"/>
                <w:lang w:val="en-US" w:eastAsia="zh-CN"/>
              </w:rPr>
              <w:t>状况</w:t>
            </w:r>
            <w:r>
              <w:rPr>
                <w:rFonts w:hint="default" w:ascii="Times New Roman" w:hAnsi="Times New Roman" w:cs="Times New Roman"/>
                <w:color w:val="auto"/>
                <w:spacing w:val="2"/>
              </w:rPr>
              <w:t>数据作为</w:t>
            </w:r>
            <w:r>
              <w:rPr>
                <w:rFonts w:hint="default" w:ascii="Times New Roman" w:hAnsi="Times New Roman" w:cs="Times New Roman"/>
                <w:color w:val="auto"/>
                <w:spacing w:val="-1"/>
              </w:rPr>
              <w:t>评价区域达标情况的依据。具体数据见下表。</w:t>
            </w:r>
          </w:p>
          <w:p w14:paraId="7E78B619">
            <w:pPr>
              <w:pStyle w:val="19"/>
              <w:spacing w:before="33" w:line="221" w:lineRule="auto"/>
              <w:ind w:left="812" w:firstLine="446" w:firstLineChars="200"/>
              <w:rPr>
                <w:b/>
                <w:bCs/>
                <w:color w:val="auto"/>
                <w:spacing w:val="6"/>
                <w:sz w:val="21"/>
                <w:szCs w:val="21"/>
              </w:rPr>
            </w:pPr>
            <w:r>
              <w:rPr>
                <w:b/>
                <w:bCs/>
                <w:color w:val="auto"/>
                <w:spacing w:val="6"/>
                <w:sz w:val="21"/>
                <w:szCs w:val="21"/>
              </w:rPr>
              <w:t>表</w:t>
            </w:r>
            <w:r>
              <w:rPr>
                <w:rFonts w:ascii="Times New Roman" w:hAnsi="Times New Roman" w:eastAsia="Times New Roman" w:cs="Times New Roman"/>
                <w:b/>
                <w:bCs/>
                <w:color w:val="auto"/>
                <w:spacing w:val="6"/>
                <w:sz w:val="21"/>
                <w:szCs w:val="21"/>
              </w:rPr>
              <w:t xml:space="preserve">3-1  </w:t>
            </w:r>
            <w:r>
              <w:rPr>
                <w:b/>
                <w:bCs/>
                <w:color w:val="auto"/>
                <w:spacing w:val="6"/>
                <w:sz w:val="21"/>
                <w:szCs w:val="21"/>
              </w:rPr>
              <w:t>环境空气质量</w:t>
            </w:r>
            <w:r>
              <w:rPr>
                <w:rFonts w:hint="eastAsia"/>
                <w:b/>
                <w:bCs/>
                <w:color w:val="auto"/>
                <w:spacing w:val="6"/>
                <w:sz w:val="21"/>
                <w:szCs w:val="21"/>
                <w:lang w:val="en-US" w:eastAsia="zh-CN"/>
              </w:rPr>
              <w:t>状况</w:t>
            </w:r>
            <w:r>
              <w:rPr>
                <w:b/>
                <w:bCs/>
                <w:color w:val="auto"/>
                <w:spacing w:val="6"/>
                <w:sz w:val="21"/>
                <w:szCs w:val="21"/>
              </w:rPr>
              <w:t>一览表</w:t>
            </w:r>
            <w:r>
              <w:rPr>
                <w:color w:val="auto"/>
                <w:spacing w:val="6"/>
                <w:sz w:val="21"/>
                <w:szCs w:val="21"/>
              </w:rPr>
              <w:t xml:space="preserve">  </w:t>
            </w:r>
            <w:r>
              <w:rPr>
                <w:b/>
                <w:bCs/>
                <w:color w:val="auto"/>
                <w:spacing w:val="6"/>
                <w:sz w:val="21"/>
                <w:szCs w:val="21"/>
              </w:rPr>
              <w:t>单位：</w:t>
            </w:r>
            <w:r>
              <w:rPr>
                <w:color w:val="auto"/>
                <w:spacing w:val="-76"/>
                <w:sz w:val="21"/>
                <w:szCs w:val="21"/>
              </w:rPr>
              <w:t xml:space="preserve"> </w:t>
            </w:r>
            <w:r>
              <w:rPr>
                <w:rFonts w:ascii="Times New Roman" w:hAnsi="Times New Roman" w:eastAsia="Times New Roman" w:cs="Times New Roman"/>
                <w:b/>
                <w:bCs/>
                <w:color w:val="auto"/>
                <w:spacing w:val="6"/>
                <w:sz w:val="21"/>
                <w:szCs w:val="21"/>
              </w:rPr>
              <w:t>μg/m</w:t>
            </w:r>
            <w:r>
              <w:rPr>
                <w:rFonts w:hint="eastAsia" w:ascii="Times New Roman" w:hAnsi="Times New Roman" w:eastAsia="宋体" w:cs="Times New Roman"/>
                <w:b/>
                <w:bCs/>
                <w:color w:val="auto"/>
                <w:spacing w:val="-11"/>
                <w:sz w:val="21"/>
                <w:szCs w:val="21"/>
                <w:vertAlign w:val="superscript"/>
                <w:lang w:val="en-US" w:eastAsia="zh-CN"/>
              </w:rPr>
              <w:t>3</w:t>
            </w:r>
            <w:r>
              <w:rPr>
                <w:b/>
                <w:bCs/>
                <w:color w:val="auto"/>
                <w:spacing w:val="6"/>
                <w:sz w:val="21"/>
                <w:szCs w:val="21"/>
              </w:rPr>
              <w:t>（</w:t>
            </w:r>
            <w:r>
              <w:rPr>
                <w:rFonts w:ascii="Times New Roman" w:hAnsi="Times New Roman" w:eastAsia="Times New Roman" w:cs="Times New Roman"/>
                <w:b/>
                <w:bCs/>
                <w:color w:val="auto"/>
                <w:sz w:val="21"/>
                <w:szCs w:val="21"/>
              </w:rPr>
              <w:t>CO</w:t>
            </w:r>
            <w:r>
              <w:rPr>
                <w:b/>
                <w:bCs/>
                <w:color w:val="auto"/>
                <w:spacing w:val="6"/>
                <w:sz w:val="21"/>
                <w:szCs w:val="21"/>
              </w:rPr>
              <w:t>：</w:t>
            </w:r>
            <w:r>
              <w:rPr>
                <w:rFonts w:ascii="Times New Roman" w:hAnsi="Times New Roman" w:eastAsia="Times New Roman" w:cs="Times New Roman"/>
                <w:b/>
                <w:bCs/>
                <w:color w:val="auto"/>
                <w:sz w:val="21"/>
                <w:szCs w:val="21"/>
              </w:rPr>
              <w:t>mg</w:t>
            </w:r>
            <w:r>
              <w:rPr>
                <w:rFonts w:ascii="Times New Roman" w:hAnsi="Times New Roman" w:eastAsia="Times New Roman" w:cs="Times New Roman"/>
                <w:b/>
                <w:bCs/>
                <w:color w:val="auto"/>
                <w:spacing w:val="6"/>
                <w:sz w:val="21"/>
                <w:szCs w:val="21"/>
              </w:rPr>
              <w:t>/m</w:t>
            </w:r>
            <w:r>
              <w:rPr>
                <w:rFonts w:hint="eastAsia" w:ascii="Times New Roman" w:hAnsi="Times New Roman" w:eastAsia="宋体" w:cs="Times New Roman"/>
                <w:b/>
                <w:bCs/>
                <w:color w:val="auto"/>
                <w:spacing w:val="-11"/>
                <w:sz w:val="21"/>
                <w:szCs w:val="21"/>
                <w:vertAlign w:val="superscript"/>
                <w:lang w:val="en-US" w:eastAsia="zh-CN"/>
              </w:rPr>
              <w:t>3</w:t>
            </w:r>
            <w:r>
              <w:rPr>
                <w:b/>
                <w:bCs/>
                <w:color w:val="auto"/>
                <w:spacing w:val="6"/>
                <w:sz w:val="21"/>
                <w:szCs w:val="21"/>
              </w:rPr>
              <w:t>）</w:t>
            </w:r>
          </w:p>
          <w:tbl>
            <w:tblPr>
              <w:tblStyle w:val="18"/>
              <w:tblW w:w="7876"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66"/>
              <w:gridCol w:w="2483"/>
              <w:gridCol w:w="1239"/>
              <w:gridCol w:w="1221"/>
              <w:gridCol w:w="1074"/>
              <w:gridCol w:w="1093"/>
            </w:tblGrid>
            <w:tr w14:paraId="7306FD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766" w:type="dxa"/>
                  <w:tcBorders>
                    <w:tl2br w:val="nil"/>
                    <w:tr2bl w:val="nil"/>
                  </w:tcBorders>
                  <w:vAlign w:val="center"/>
                </w:tcPr>
                <w:p w14:paraId="321774C9">
                  <w:pPr>
                    <w:spacing w:before="171"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污染物</w:t>
                  </w:r>
                </w:p>
              </w:tc>
              <w:tc>
                <w:tcPr>
                  <w:tcW w:w="2483" w:type="dxa"/>
                  <w:tcBorders>
                    <w:tl2br w:val="nil"/>
                    <w:tr2bl w:val="nil"/>
                  </w:tcBorders>
                  <w:vAlign w:val="center"/>
                </w:tcPr>
                <w:p w14:paraId="3710D76B">
                  <w:pPr>
                    <w:spacing w:before="171" w:line="226"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年评价指标</w:t>
                  </w:r>
                </w:p>
              </w:tc>
              <w:tc>
                <w:tcPr>
                  <w:tcW w:w="1239" w:type="dxa"/>
                  <w:tcBorders>
                    <w:tl2br w:val="nil"/>
                    <w:tr2bl w:val="nil"/>
                  </w:tcBorders>
                  <w:vAlign w:val="center"/>
                </w:tcPr>
                <w:p w14:paraId="0AD42573">
                  <w:pPr>
                    <w:spacing w:before="37"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监测浓度</w:t>
                  </w:r>
                </w:p>
                <w:p w14:paraId="582FAAC2">
                  <w:pPr>
                    <w:spacing w:before="24" w:line="214"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w:t>
                  </w:r>
                  <w:r>
                    <w:rPr>
                      <w:rFonts w:hint="default" w:ascii="Times New Roman" w:hAnsi="Times New Roman" w:eastAsia="Times New Roman" w:cs="Times New Roman"/>
                      <w:b/>
                      <w:bCs/>
                      <w:color w:val="auto"/>
                      <w:spacing w:val="1"/>
                      <w:sz w:val="21"/>
                      <w:szCs w:val="21"/>
                    </w:rPr>
                    <w:t>μg/m</w:t>
                  </w:r>
                  <w:r>
                    <w:rPr>
                      <w:rFonts w:hint="default" w:ascii="Times New Roman" w:hAnsi="Times New Roman" w:eastAsia="Times New Roman" w:cs="Times New Roman"/>
                      <w:b/>
                      <w:bCs/>
                      <w:color w:val="auto"/>
                      <w:spacing w:val="1"/>
                      <w:position w:val="6"/>
                      <w:sz w:val="21"/>
                      <w:szCs w:val="21"/>
                    </w:rPr>
                    <w:t>3</w:t>
                  </w:r>
                  <w:r>
                    <w:rPr>
                      <w:rFonts w:hint="default" w:ascii="Times New Roman" w:hAnsi="Times New Roman" w:eastAsia="宋体" w:cs="Times New Roman"/>
                      <w:b/>
                      <w:bCs/>
                      <w:color w:val="auto"/>
                      <w:spacing w:val="1"/>
                      <w:sz w:val="21"/>
                      <w:szCs w:val="21"/>
                    </w:rPr>
                    <w:t>）</w:t>
                  </w:r>
                </w:p>
              </w:tc>
              <w:tc>
                <w:tcPr>
                  <w:tcW w:w="1221" w:type="dxa"/>
                  <w:tcBorders>
                    <w:tl2br w:val="nil"/>
                    <w:tr2bl w:val="nil"/>
                  </w:tcBorders>
                  <w:vAlign w:val="center"/>
                </w:tcPr>
                <w:p w14:paraId="2CEE8A72">
                  <w:pPr>
                    <w:spacing w:before="36"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标准值</w:t>
                  </w:r>
                </w:p>
                <w:p w14:paraId="38FB2CDC">
                  <w:pPr>
                    <w:spacing w:before="24" w:line="214"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w:t>
                  </w:r>
                  <w:r>
                    <w:rPr>
                      <w:rFonts w:hint="default" w:ascii="Times New Roman" w:hAnsi="Times New Roman" w:eastAsia="Times New Roman" w:cs="Times New Roman"/>
                      <w:b/>
                      <w:bCs/>
                      <w:color w:val="auto"/>
                      <w:spacing w:val="1"/>
                      <w:sz w:val="21"/>
                      <w:szCs w:val="21"/>
                    </w:rPr>
                    <w:t>μg/m</w:t>
                  </w:r>
                  <w:r>
                    <w:rPr>
                      <w:rFonts w:hint="default" w:ascii="Times New Roman" w:hAnsi="Times New Roman" w:eastAsia="Times New Roman" w:cs="Times New Roman"/>
                      <w:b/>
                      <w:bCs/>
                      <w:color w:val="auto"/>
                      <w:spacing w:val="1"/>
                      <w:position w:val="6"/>
                      <w:sz w:val="21"/>
                      <w:szCs w:val="21"/>
                    </w:rPr>
                    <w:t>3</w:t>
                  </w:r>
                  <w:r>
                    <w:rPr>
                      <w:rFonts w:hint="default" w:ascii="Times New Roman" w:hAnsi="Times New Roman" w:eastAsia="宋体" w:cs="Times New Roman"/>
                      <w:b/>
                      <w:bCs/>
                      <w:color w:val="auto"/>
                      <w:spacing w:val="1"/>
                      <w:sz w:val="21"/>
                      <w:szCs w:val="21"/>
                    </w:rPr>
                    <w:t>）</w:t>
                  </w:r>
                </w:p>
              </w:tc>
              <w:tc>
                <w:tcPr>
                  <w:tcW w:w="1074" w:type="dxa"/>
                  <w:tcBorders>
                    <w:tl2br w:val="nil"/>
                    <w:tr2bl w:val="nil"/>
                  </w:tcBorders>
                  <w:vAlign w:val="center"/>
                </w:tcPr>
                <w:p w14:paraId="40811484">
                  <w:pPr>
                    <w:spacing w:before="36"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占标率</w:t>
                  </w:r>
                </w:p>
                <w:p w14:paraId="15A15189">
                  <w:pPr>
                    <w:spacing w:before="24" w:line="214"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w:t>
                  </w:r>
                  <w:r>
                    <w:rPr>
                      <w:rFonts w:hint="default" w:ascii="Times New Roman" w:hAnsi="Times New Roman" w:eastAsia="Times New Roman" w:cs="Times New Roman"/>
                      <w:b/>
                      <w:bCs/>
                      <w:color w:val="auto"/>
                      <w:spacing w:val="-2"/>
                      <w:sz w:val="21"/>
                      <w:szCs w:val="21"/>
                    </w:rPr>
                    <w:t>%</w:t>
                  </w:r>
                  <w:r>
                    <w:rPr>
                      <w:rFonts w:hint="default" w:ascii="Times New Roman" w:hAnsi="Times New Roman" w:eastAsia="宋体" w:cs="Times New Roman"/>
                      <w:b/>
                      <w:bCs/>
                      <w:color w:val="auto"/>
                      <w:spacing w:val="-2"/>
                      <w:sz w:val="21"/>
                      <w:szCs w:val="21"/>
                    </w:rPr>
                    <w:t>）</w:t>
                  </w:r>
                </w:p>
              </w:tc>
              <w:tc>
                <w:tcPr>
                  <w:tcW w:w="1093" w:type="dxa"/>
                  <w:tcBorders>
                    <w:tl2br w:val="nil"/>
                    <w:tr2bl w:val="nil"/>
                  </w:tcBorders>
                  <w:vAlign w:val="center"/>
                </w:tcPr>
                <w:p w14:paraId="54E5A48B">
                  <w:pPr>
                    <w:spacing w:before="171"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达标情况</w:t>
                  </w:r>
                </w:p>
              </w:tc>
            </w:tr>
            <w:tr w14:paraId="3C5186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766" w:type="dxa"/>
                  <w:tcBorders>
                    <w:tl2br w:val="nil"/>
                    <w:tr2bl w:val="nil"/>
                  </w:tcBorders>
                  <w:vAlign w:val="center"/>
                </w:tcPr>
                <w:p w14:paraId="69092411">
                  <w:pPr>
                    <w:spacing w:before="109" w:line="200"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position w:val="1"/>
                      <w:sz w:val="21"/>
                      <w:szCs w:val="21"/>
                    </w:rPr>
                    <w:t>PM</w:t>
                  </w:r>
                  <w:r>
                    <w:rPr>
                      <w:rFonts w:hint="default" w:ascii="Times New Roman" w:hAnsi="Times New Roman" w:eastAsia="Times New Roman" w:cs="Times New Roman"/>
                      <w:color w:val="auto"/>
                      <w:spacing w:val="8"/>
                      <w:position w:val="-2"/>
                      <w:sz w:val="21"/>
                      <w:szCs w:val="21"/>
                      <w:vertAlign w:val="subscript"/>
                    </w:rPr>
                    <w:t>10</w:t>
                  </w:r>
                </w:p>
              </w:tc>
              <w:tc>
                <w:tcPr>
                  <w:tcW w:w="2483" w:type="dxa"/>
                  <w:tcBorders>
                    <w:tl2br w:val="nil"/>
                    <w:tr2bl w:val="nil"/>
                  </w:tcBorders>
                  <w:vAlign w:val="center"/>
                </w:tcPr>
                <w:p w14:paraId="08A8B5F0">
                  <w:pPr>
                    <w:spacing w:before="78"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239" w:type="dxa"/>
                  <w:tcBorders>
                    <w:tl2br w:val="nil"/>
                    <w:tr2bl w:val="nil"/>
                  </w:tcBorders>
                  <w:vAlign w:val="center"/>
                </w:tcPr>
                <w:p w14:paraId="13677E5B">
                  <w:pPr>
                    <w:spacing w:before="106"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35</w:t>
                  </w:r>
                </w:p>
              </w:tc>
              <w:tc>
                <w:tcPr>
                  <w:tcW w:w="1221" w:type="dxa"/>
                  <w:tcBorders>
                    <w:tl2br w:val="nil"/>
                    <w:tr2bl w:val="nil"/>
                  </w:tcBorders>
                  <w:vAlign w:val="center"/>
                </w:tcPr>
                <w:p w14:paraId="48F55E33">
                  <w:pPr>
                    <w:spacing w:before="115"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70</w:t>
                  </w:r>
                </w:p>
              </w:tc>
              <w:tc>
                <w:tcPr>
                  <w:tcW w:w="1074" w:type="dxa"/>
                  <w:tcBorders>
                    <w:tl2br w:val="nil"/>
                    <w:tr2bl w:val="nil"/>
                  </w:tcBorders>
                  <w:vAlign w:val="center"/>
                </w:tcPr>
                <w:p w14:paraId="2E4EE393">
                  <w:pPr>
                    <w:spacing w:before="106"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50.00</w:t>
                  </w:r>
                </w:p>
              </w:tc>
              <w:tc>
                <w:tcPr>
                  <w:tcW w:w="1093" w:type="dxa"/>
                  <w:tcBorders>
                    <w:tl2br w:val="nil"/>
                    <w:tr2bl w:val="nil"/>
                  </w:tcBorders>
                  <w:vAlign w:val="center"/>
                </w:tcPr>
                <w:p w14:paraId="4E09BA9E">
                  <w:pPr>
                    <w:spacing w:before="79"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756B60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766" w:type="dxa"/>
                  <w:tcBorders>
                    <w:tl2br w:val="nil"/>
                    <w:tr2bl w:val="nil"/>
                  </w:tcBorders>
                  <w:vAlign w:val="center"/>
                </w:tcPr>
                <w:p w14:paraId="20AF07B9">
                  <w:pPr>
                    <w:spacing w:before="122" w:line="199"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PM</w:t>
                  </w:r>
                  <w:r>
                    <w:rPr>
                      <w:rFonts w:hint="default" w:ascii="Times New Roman" w:hAnsi="Times New Roman" w:eastAsia="Times New Roman" w:cs="Times New Roman"/>
                      <w:color w:val="auto"/>
                      <w:spacing w:val="6"/>
                      <w:position w:val="-1"/>
                      <w:sz w:val="21"/>
                      <w:szCs w:val="21"/>
                      <w:vertAlign w:val="subscript"/>
                    </w:rPr>
                    <w:t>2.5</w:t>
                  </w:r>
                </w:p>
              </w:tc>
              <w:tc>
                <w:tcPr>
                  <w:tcW w:w="2483" w:type="dxa"/>
                  <w:tcBorders>
                    <w:tl2br w:val="nil"/>
                    <w:tr2bl w:val="nil"/>
                  </w:tcBorders>
                  <w:vAlign w:val="center"/>
                </w:tcPr>
                <w:p w14:paraId="7B676C80">
                  <w:pPr>
                    <w:spacing w:before="83"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239" w:type="dxa"/>
                  <w:tcBorders>
                    <w:tl2br w:val="nil"/>
                    <w:tr2bl w:val="nil"/>
                  </w:tcBorders>
                  <w:vAlign w:val="center"/>
                </w:tcPr>
                <w:p w14:paraId="30E6BC33">
                  <w:pPr>
                    <w:spacing w:before="107"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8"/>
                      <w:sz w:val="21"/>
                      <w:szCs w:val="21"/>
                      <w:lang w:val="en-US" w:eastAsia="zh-CN"/>
                    </w:rPr>
                    <w:t>15</w:t>
                  </w:r>
                </w:p>
              </w:tc>
              <w:tc>
                <w:tcPr>
                  <w:tcW w:w="1221" w:type="dxa"/>
                  <w:tcBorders>
                    <w:tl2br w:val="nil"/>
                    <w:tr2bl w:val="nil"/>
                  </w:tcBorders>
                  <w:vAlign w:val="center"/>
                </w:tcPr>
                <w:p w14:paraId="1B25E6AE">
                  <w:pPr>
                    <w:spacing w:before="119"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35</w:t>
                  </w:r>
                </w:p>
              </w:tc>
              <w:tc>
                <w:tcPr>
                  <w:tcW w:w="1074" w:type="dxa"/>
                  <w:tcBorders>
                    <w:tl2br w:val="nil"/>
                    <w:tr2bl w:val="nil"/>
                  </w:tcBorders>
                  <w:vAlign w:val="center"/>
                </w:tcPr>
                <w:p w14:paraId="379F7101">
                  <w:pPr>
                    <w:spacing w:before="107"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4"/>
                      <w:sz w:val="21"/>
                      <w:szCs w:val="21"/>
                      <w:lang w:val="en-US" w:eastAsia="zh-CN"/>
                    </w:rPr>
                    <w:t>42.86</w:t>
                  </w:r>
                </w:p>
              </w:tc>
              <w:tc>
                <w:tcPr>
                  <w:tcW w:w="1093" w:type="dxa"/>
                  <w:tcBorders>
                    <w:tl2br w:val="nil"/>
                    <w:tr2bl w:val="nil"/>
                  </w:tcBorders>
                  <w:vAlign w:val="center"/>
                </w:tcPr>
                <w:p w14:paraId="3CF8A2BA">
                  <w:pPr>
                    <w:spacing w:before="84"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6516DD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766" w:type="dxa"/>
                  <w:tcBorders>
                    <w:tl2br w:val="nil"/>
                    <w:tr2bl w:val="nil"/>
                  </w:tcBorders>
                  <w:vAlign w:val="center"/>
                </w:tcPr>
                <w:p w14:paraId="7B99058F">
                  <w:pPr>
                    <w:spacing w:before="121" w:line="202"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SO</w:t>
                  </w:r>
                  <w:r>
                    <w:rPr>
                      <w:rFonts w:hint="default" w:ascii="Times New Roman" w:hAnsi="Times New Roman" w:eastAsia="Times New Roman" w:cs="Times New Roman"/>
                      <w:color w:val="auto"/>
                      <w:spacing w:val="3"/>
                      <w:position w:val="-1"/>
                      <w:sz w:val="21"/>
                      <w:szCs w:val="21"/>
                      <w:vertAlign w:val="subscript"/>
                    </w:rPr>
                    <w:t>2</w:t>
                  </w:r>
                </w:p>
              </w:tc>
              <w:tc>
                <w:tcPr>
                  <w:tcW w:w="2483" w:type="dxa"/>
                  <w:tcBorders>
                    <w:tl2br w:val="nil"/>
                    <w:tr2bl w:val="nil"/>
                  </w:tcBorders>
                  <w:vAlign w:val="center"/>
                </w:tcPr>
                <w:p w14:paraId="0113AB66">
                  <w:pPr>
                    <w:spacing w:before="85"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239" w:type="dxa"/>
                  <w:tcBorders>
                    <w:tl2br w:val="nil"/>
                    <w:tr2bl w:val="nil"/>
                  </w:tcBorders>
                  <w:vAlign w:val="center"/>
                </w:tcPr>
                <w:p w14:paraId="13669F9F">
                  <w:pPr>
                    <w:spacing w:before="109"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w:t>
                  </w:r>
                </w:p>
              </w:tc>
              <w:tc>
                <w:tcPr>
                  <w:tcW w:w="1221" w:type="dxa"/>
                  <w:tcBorders>
                    <w:tl2br w:val="nil"/>
                    <w:tr2bl w:val="nil"/>
                  </w:tcBorders>
                  <w:vAlign w:val="center"/>
                </w:tcPr>
                <w:p w14:paraId="5BC85FEE">
                  <w:pPr>
                    <w:spacing w:before="121"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60</w:t>
                  </w:r>
                </w:p>
              </w:tc>
              <w:tc>
                <w:tcPr>
                  <w:tcW w:w="1074" w:type="dxa"/>
                  <w:tcBorders>
                    <w:tl2br w:val="nil"/>
                    <w:tr2bl w:val="nil"/>
                  </w:tcBorders>
                  <w:vAlign w:val="center"/>
                </w:tcPr>
                <w:p w14:paraId="495B55C1">
                  <w:pPr>
                    <w:spacing w:before="109"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10.00</w:t>
                  </w:r>
                </w:p>
              </w:tc>
              <w:tc>
                <w:tcPr>
                  <w:tcW w:w="1093" w:type="dxa"/>
                  <w:tcBorders>
                    <w:tl2br w:val="nil"/>
                    <w:tr2bl w:val="nil"/>
                  </w:tcBorders>
                  <w:vAlign w:val="center"/>
                </w:tcPr>
                <w:p w14:paraId="1D5B6A85">
                  <w:pPr>
                    <w:spacing w:before="86"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6D49AB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766" w:type="dxa"/>
                  <w:tcBorders>
                    <w:tl2br w:val="nil"/>
                    <w:tr2bl w:val="nil"/>
                  </w:tcBorders>
                  <w:vAlign w:val="center"/>
                </w:tcPr>
                <w:p w14:paraId="01DECC45">
                  <w:pPr>
                    <w:spacing w:before="126" w:line="202"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7"/>
                      <w:sz w:val="21"/>
                      <w:szCs w:val="21"/>
                    </w:rPr>
                    <w:t>NO</w:t>
                  </w:r>
                  <w:r>
                    <w:rPr>
                      <w:rFonts w:hint="default" w:ascii="Times New Roman" w:hAnsi="Times New Roman" w:eastAsia="Times New Roman" w:cs="Times New Roman"/>
                      <w:color w:val="auto"/>
                      <w:spacing w:val="7"/>
                      <w:position w:val="-1"/>
                      <w:sz w:val="21"/>
                      <w:szCs w:val="21"/>
                      <w:vertAlign w:val="subscript"/>
                    </w:rPr>
                    <w:t>2</w:t>
                  </w:r>
                </w:p>
              </w:tc>
              <w:tc>
                <w:tcPr>
                  <w:tcW w:w="2483" w:type="dxa"/>
                  <w:tcBorders>
                    <w:tl2br w:val="nil"/>
                    <w:tr2bl w:val="nil"/>
                  </w:tcBorders>
                  <w:vAlign w:val="center"/>
                </w:tcPr>
                <w:p w14:paraId="74F15596">
                  <w:pPr>
                    <w:spacing w:before="89"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1239" w:type="dxa"/>
                  <w:tcBorders>
                    <w:tl2br w:val="nil"/>
                    <w:tr2bl w:val="nil"/>
                  </w:tcBorders>
                  <w:vAlign w:val="center"/>
                </w:tcPr>
                <w:p w14:paraId="44EAB42D">
                  <w:pPr>
                    <w:spacing w:before="108"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eastAsia" w:ascii="Times New Roman" w:hAnsi="Times New Roman" w:eastAsia="宋体" w:cs="Times New Roman"/>
                      <w:color w:val="auto"/>
                      <w:sz w:val="21"/>
                      <w:szCs w:val="21"/>
                      <w:lang w:val="en-US" w:eastAsia="zh-CN"/>
                    </w:rPr>
                    <w:t>8</w:t>
                  </w:r>
                </w:p>
              </w:tc>
              <w:tc>
                <w:tcPr>
                  <w:tcW w:w="1221" w:type="dxa"/>
                  <w:tcBorders>
                    <w:tl2br w:val="nil"/>
                    <w:tr2bl w:val="nil"/>
                  </w:tcBorders>
                  <w:vAlign w:val="center"/>
                </w:tcPr>
                <w:p w14:paraId="28D4CD29">
                  <w:pPr>
                    <w:spacing w:before="125"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40</w:t>
                  </w:r>
                </w:p>
              </w:tc>
              <w:tc>
                <w:tcPr>
                  <w:tcW w:w="1074" w:type="dxa"/>
                  <w:tcBorders>
                    <w:tl2br w:val="nil"/>
                    <w:tr2bl w:val="nil"/>
                  </w:tcBorders>
                  <w:vAlign w:val="center"/>
                </w:tcPr>
                <w:p w14:paraId="69C38B11">
                  <w:pPr>
                    <w:spacing w:before="108"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3"/>
                      <w:sz w:val="21"/>
                      <w:szCs w:val="21"/>
                      <w:lang w:val="en-US" w:eastAsia="zh-CN"/>
                    </w:rPr>
                    <w:t>20.00</w:t>
                  </w:r>
                </w:p>
              </w:tc>
              <w:tc>
                <w:tcPr>
                  <w:tcW w:w="1093" w:type="dxa"/>
                  <w:tcBorders>
                    <w:tl2br w:val="nil"/>
                    <w:tr2bl w:val="nil"/>
                  </w:tcBorders>
                  <w:vAlign w:val="center"/>
                </w:tcPr>
                <w:p w14:paraId="586D9EF1">
                  <w:pPr>
                    <w:spacing w:before="90"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4C4865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766" w:type="dxa"/>
                  <w:tcBorders>
                    <w:tl2br w:val="nil"/>
                    <w:tr2bl w:val="nil"/>
                  </w:tcBorders>
                  <w:vAlign w:val="center"/>
                </w:tcPr>
                <w:p w14:paraId="4B10B630">
                  <w:pPr>
                    <w:spacing w:before="219"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2"/>
                      <w:sz w:val="21"/>
                      <w:szCs w:val="21"/>
                    </w:rPr>
                    <w:t>CO</w:t>
                  </w:r>
                </w:p>
              </w:tc>
              <w:tc>
                <w:tcPr>
                  <w:tcW w:w="2483" w:type="dxa"/>
                  <w:tcBorders>
                    <w:tl2br w:val="nil"/>
                    <w:tr2bl w:val="nil"/>
                  </w:tcBorders>
                  <w:vAlign w:val="center"/>
                </w:tcPr>
                <w:p w14:paraId="0DC4AD8E">
                  <w:pPr>
                    <w:spacing w:before="46"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4"/>
                      <w:sz w:val="21"/>
                      <w:szCs w:val="21"/>
                    </w:rPr>
                    <w:t>24</w:t>
                  </w:r>
                  <w:r>
                    <w:rPr>
                      <w:rFonts w:hint="default" w:ascii="Times New Roman" w:hAnsi="Times New Roman" w:eastAsia="Times New Roman" w:cs="Times New Roman"/>
                      <w:color w:val="auto"/>
                      <w:spacing w:val="22"/>
                      <w:sz w:val="21"/>
                      <w:szCs w:val="21"/>
                    </w:rPr>
                    <w:t xml:space="preserve"> </w:t>
                  </w:r>
                  <w:r>
                    <w:rPr>
                      <w:rFonts w:hint="default" w:ascii="Times New Roman" w:hAnsi="Times New Roman" w:eastAsia="宋体" w:cs="Times New Roman"/>
                      <w:color w:val="auto"/>
                      <w:spacing w:val="4"/>
                      <w:sz w:val="21"/>
                      <w:szCs w:val="21"/>
                    </w:rPr>
                    <w:t>小时平均第</w:t>
                  </w:r>
                  <w:r>
                    <w:rPr>
                      <w:rFonts w:hint="default" w:ascii="Times New Roman" w:hAnsi="Times New Roman" w:eastAsia="宋体" w:cs="Times New Roman"/>
                      <w:color w:val="auto"/>
                      <w:spacing w:val="-39"/>
                      <w:sz w:val="21"/>
                      <w:szCs w:val="21"/>
                    </w:rPr>
                    <w:t xml:space="preserve"> </w:t>
                  </w:r>
                  <w:r>
                    <w:rPr>
                      <w:rFonts w:hint="default" w:ascii="Times New Roman" w:hAnsi="Times New Roman" w:eastAsia="Times New Roman" w:cs="Times New Roman"/>
                      <w:color w:val="auto"/>
                      <w:spacing w:val="4"/>
                      <w:sz w:val="21"/>
                      <w:szCs w:val="21"/>
                    </w:rPr>
                    <w:t>95</w:t>
                  </w:r>
                  <w:r>
                    <w:rPr>
                      <w:rFonts w:hint="default" w:ascii="Times New Roman" w:hAnsi="Times New Roman" w:eastAsia="宋体" w:cs="Times New Roman"/>
                      <w:color w:val="auto"/>
                      <w:spacing w:val="4"/>
                      <w:sz w:val="21"/>
                      <w:szCs w:val="21"/>
                    </w:rPr>
                    <w:t>百分位</w:t>
                  </w:r>
                  <w:r>
                    <w:rPr>
                      <w:rFonts w:hint="default" w:ascii="Times New Roman" w:hAnsi="Times New Roman" w:eastAsia="宋体" w:cs="Times New Roman"/>
                      <w:color w:val="auto"/>
                      <w:sz w:val="21"/>
                      <w:szCs w:val="21"/>
                    </w:rPr>
                    <w:t>数</w:t>
                  </w:r>
                </w:p>
              </w:tc>
              <w:tc>
                <w:tcPr>
                  <w:tcW w:w="1239" w:type="dxa"/>
                  <w:tcBorders>
                    <w:tl2br w:val="nil"/>
                    <w:tr2bl w:val="nil"/>
                  </w:tcBorders>
                  <w:vAlign w:val="center"/>
                </w:tcPr>
                <w:p w14:paraId="45729FB1">
                  <w:pPr>
                    <w:spacing w:before="109"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pacing w:val="1"/>
                      <w:sz w:val="21"/>
                      <w:szCs w:val="21"/>
                      <w:lang w:val="en-US" w:eastAsia="zh-CN"/>
                    </w:rPr>
                    <w:t>0.8</w:t>
                  </w:r>
                </w:p>
              </w:tc>
              <w:tc>
                <w:tcPr>
                  <w:tcW w:w="1221" w:type="dxa"/>
                  <w:tcBorders>
                    <w:tl2br w:val="nil"/>
                    <w:tr2bl w:val="nil"/>
                  </w:tcBorders>
                  <w:vAlign w:val="center"/>
                </w:tcPr>
                <w:p w14:paraId="2AF89941">
                  <w:pPr>
                    <w:spacing w:before="215" w:line="201"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5"/>
                      <w:sz w:val="21"/>
                      <w:szCs w:val="21"/>
                    </w:rPr>
                    <w:t>4</w:t>
                  </w:r>
                </w:p>
              </w:tc>
              <w:tc>
                <w:tcPr>
                  <w:tcW w:w="1074" w:type="dxa"/>
                  <w:tcBorders>
                    <w:tl2br w:val="nil"/>
                    <w:tr2bl w:val="nil"/>
                  </w:tcBorders>
                  <w:vAlign w:val="center"/>
                </w:tcPr>
                <w:p w14:paraId="18E49521">
                  <w:pPr>
                    <w:spacing w:before="109"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1"/>
                      <w:sz w:val="21"/>
                      <w:szCs w:val="21"/>
                      <w:lang w:val="en-US" w:eastAsia="zh-CN"/>
                    </w:rPr>
                    <w:t>17.50</w:t>
                  </w:r>
                </w:p>
              </w:tc>
              <w:tc>
                <w:tcPr>
                  <w:tcW w:w="1093" w:type="dxa"/>
                  <w:tcBorders>
                    <w:tl2br w:val="nil"/>
                    <w:tr2bl w:val="nil"/>
                  </w:tcBorders>
                  <w:vAlign w:val="center"/>
                </w:tcPr>
                <w:p w14:paraId="5AA7184B">
                  <w:pPr>
                    <w:spacing w:before="183"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17BBF3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766" w:type="dxa"/>
                  <w:tcBorders>
                    <w:tl2br w:val="nil"/>
                    <w:tr2bl w:val="nil"/>
                  </w:tcBorders>
                  <w:vAlign w:val="center"/>
                </w:tcPr>
                <w:p w14:paraId="208D2CAB">
                  <w:pPr>
                    <w:spacing w:before="222" w:line="202"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O</w:t>
                  </w:r>
                  <w:r>
                    <w:rPr>
                      <w:rFonts w:hint="default" w:ascii="Times New Roman" w:hAnsi="Times New Roman" w:eastAsia="Times New Roman" w:cs="Times New Roman"/>
                      <w:color w:val="auto"/>
                      <w:spacing w:val="1"/>
                      <w:position w:val="-1"/>
                      <w:sz w:val="21"/>
                      <w:szCs w:val="21"/>
                      <w:vertAlign w:val="subscript"/>
                    </w:rPr>
                    <w:t>3</w:t>
                  </w:r>
                </w:p>
              </w:tc>
              <w:tc>
                <w:tcPr>
                  <w:tcW w:w="2483" w:type="dxa"/>
                  <w:tcBorders>
                    <w:tl2br w:val="nil"/>
                    <w:tr2bl w:val="nil"/>
                  </w:tcBorders>
                  <w:vAlign w:val="center"/>
                </w:tcPr>
                <w:p w14:paraId="2874C87F">
                  <w:pPr>
                    <w:spacing w:before="53" w:line="233"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日最</w:t>
                  </w:r>
                  <w:r>
                    <w:rPr>
                      <w:rFonts w:hint="eastAsia" w:ascii="Times New Roman" w:hAnsi="Times New Roman" w:eastAsia="宋体" w:cs="Times New Roman"/>
                      <w:color w:val="auto"/>
                      <w:spacing w:val="2"/>
                      <w:sz w:val="21"/>
                      <w:szCs w:val="21"/>
                      <w:lang w:val="en-US" w:eastAsia="zh-CN"/>
                    </w:rPr>
                    <w:t>大</w:t>
                  </w:r>
                  <w:r>
                    <w:rPr>
                      <w:rFonts w:hint="default" w:ascii="Times New Roman" w:hAnsi="Times New Roman" w:eastAsia="宋体" w:cs="Times New Roman"/>
                      <w:color w:val="auto"/>
                      <w:spacing w:val="-26"/>
                      <w:sz w:val="21"/>
                      <w:szCs w:val="21"/>
                    </w:rPr>
                    <w:t xml:space="preserve"> </w:t>
                  </w:r>
                  <w:r>
                    <w:rPr>
                      <w:rFonts w:hint="default" w:ascii="Times New Roman" w:hAnsi="Times New Roman" w:eastAsia="Times New Roman" w:cs="Times New Roman"/>
                      <w:color w:val="auto"/>
                      <w:spacing w:val="2"/>
                      <w:sz w:val="21"/>
                      <w:szCs w:val="21"/>
                    </w:rPr>
                    <w:t>8</w:t>
                  </w:r>
                  <w:r>
                    <w:rPr>
                      <w:rFonts w:hint="default" w:ascii="Times New Roman" w:hAnsi="Times New Roman" w:eastAsia="宋体" w:cs="Times New Roman"/>
                      <w:color w:val="auto"/>
                      <w:spacing w:val="2"/>
                      <w:sz w:val="21"/>
                      <w:szCs w:val="21"/>
                    </w:rPr>
                    <w:t>小时滑动平均值的第</w:t>
                  </w:r>
                  <w:r>
                    <w:rPr>
                      <w:rFonts w:hint="default" w:ascii="Times New Roman" w:hAnsi="Times New Roman" w:eastAsia="宋体" w:cs="Times New Roman"/>
                      <w:color w:val="auto"/>
                      <w:spacing w:val="-40"/>
                      <w:sz w:val="21"/>
                      <w:szCs w:val="21"/>
                    </w:rPr>
                    <w:t xml:space="preserve"> </w:t>
                  </w:r>
                  <w:r>
                    <w:rPr>
                      <w:rFonts w:hint="default" w:ascii="Times New Roman" w:hAnsi="Times New Roman" w:eastAsia="Times New Roman" w:cs="Times New Roman"/>
                      <w:color w:val="auto"/>
                      <w:spacing w:val="2"/>
                      <w:sz w:val="21"/>
                      <w:szCs w:val="21"/>
                    </w:rPr>
                    <w:t>90</w:t>
                  </w:r>
                  <w:r>
                    <w:rPr>
                      <w:rFonts w:hint="default" w:ascii="Times New Roman" w:hAnsi="Times New Roman" w:eastAsia="宋体" w:cs="Times New Roman"/>
                      <w:color w:val="auto"/>
                      <w:spacing w:val="2"/>
                      <w:sz w:val="21"/>
                      <w:szCs w:val="21"/>
                    </w:rPr>
                    <w:t>百分位数</w:t>
                  </w:r>
                </w:p>
              </w:tc>
              <w:tc>
                <w:tcPr>
                  <w:tcW w:w="1239" w:type="dxa"/>
                  <w:tcBorders>
                    <w:tl2br w:val="nil"/>
                    <w:tr2bl w:val="nil"/>
                  </w:tcBorders>
                  <w:vAlign w:val="center"/>
                </w:tcPr>
                <w:p w14:paraId="665E8EE7">
                  <w:pPr>
                    <w:spacing w:before="293"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3"/>
                      <w:sz w:val="21"/>
                      <w:szCs w:val="21"/>
                      <w:lang w:val="en-US" w:eastAsia="zh-CN"/>
                    </w:rPr>
                    <w:t>132</w:t>
                  </w:r>
                </w:p>
              </w:tc>
              <w:tc>
                <w:tcPr>
                  <w:tcW w:w="1221" w:type="dxa"/>
                  <w:tcBorders>
                    <w:tl2br w:val="nil"/>
                    <w:tr2bl w:val="nil"/>
                  </w:tcBorders>
                  <w:vAlign w:val="center"/>
                </w:tcPr>
                <w:p w14:paraId="673D51D9">
                  <w:pPr>
                    <w:spacing w:before="222" w:line="195"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160</w:t>
                  </w:r>
                </w:p>
              </w:tc>
              <w:tc>
                <w:tcPr>
                  <w:tcW w:w="1074" w:type="dxa"/>
                  <w:tcBorders>
                    <w:tl2br w:val="nil"/>
                    <w:tr2bl w:val="nil"/>
                  </w:tcBorders>
                  <w:vAlign w:val="center"/>
                </w:tcPr>
                <w:p w14:paraId="5FF4038D">
                  <w:pPr>
                    <w:spacing w:before="293"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eastAsia" w:ascii="Times New Roman" w:hAnsi="Times New Roman" w:eastAsia="宋体" w:cs="Times New Roman"/>
                      <w:color w:val="auto"/>
                      <w:spacing w:val="2"/>
                      <w:sz w:val="21"/>
                      <w:szCs w:val="21"/>
                      <w:lang w:val="en-US" w:eastAsia="zh-CN"/>
                    </w:rPr>
                    <w:t>82.50</w:t>
                  </w:r>
                </w:p>
              </w:tc>
              <w:tc>
                <w:tcPr>
                  <w:tcW w:w="1093" w:type="dxa"/>
                  <w:tcBorders>
                    <w:tl2br w:val="nil"/>
                    <w:tr2bl w:val="nil"/>
                  </w:tcBorders>
                  <w:vAlign w:val="center"/>
                </w:tcPr>
                <w:p w14:paraId="7FA70424">
                  <w:pPr>
                    <w:spacing w:before="187" w:line="228"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bl>
          <w:p w14:paraId="75C2EBBA">
            <w:pPr>
              <w:pStyle w:val="19"/>
              <w:spacing w:before="35" w:line="355" w:lineRule="auto"/>
              <w:ind w:left="102" w:right="95" w:firstLine="510"/>
              <w:jc w:val="both"/>
              <w:rPr>
                <w:color w:val="auto"/>
                <w:highlight w:val="none"/>
              </w:rPr>
            </w:pPr>
            <w:r>
              <w:rPr>
                <w:color w:val="auto"/>
                <w:spacing w:val="-4"/>
                <w:highlight w:val="none"/>
              </w:rPr>
              <w:t>由上表可看出，评价区范围内</w:t>
            </w:r>
            <w:r>
              <w:rPr>
                <w:rFonts w:ascii="Times New Roman" w:hAnsi="Times New Roman" w:eastAsia="Times New Roman" w:cs="Times New Roman"/>
                <w:color w:val="auto"/>
                <w:spacing w:val="-4"/>
                <w:highlight w:val="none"/>
              </w:rPr>
              <w:t>PM</w:t>
            </w:r>
            <w:r>
              <w:rPr>
                <w:rFonts w:ascii="Times New Roman" w:hAnsi="Times New Roman" w:eastAsia="Times New Roman" w:cs="Times New Roman"/>
                <w:color w:val="auto"/>
                <w:spacing w:val="-4"/>
                <w:position w:val="-1"/>
                <w:sz w:val="15"/>
                <w:szCs w:val="15"/>
                <w:highlight w:val="none"/>
              </w:rPr>
              <w:t>10</w:t>
            </w:r>
            <w:r>
              <w:rPr>
                <w:color w:val="auto"/>
                <w:spacing w:val="-4"/>
                <w:highlight w:val="none"/>
              </w:rPr>
              <w:t>、</w:t>
            </w:r>
            <w:r>
              <w:rPr>
                <w:rFonts w:ascii="Times New Roman" w:hAnsi="Times New Roman" w:eastAsia="Times New Roman" w:cs="Times New Roman"/>
                <w:color w:val="auto"/>
                <w:spacing w:val="-4"/>
                <w:highlight w:val="none"/>
              </w:rPr>
              <w:t>PM</w:t>
            </w:r>
            <w:r>
              <w:rPr>
                <w:rFonts w:ascii="Times New Roman" w:hAnsi="Times New Roman" w:eastAsia="Times New Roman" w:cs="Times New Roman"/>
                <w:color w:val="auto"/>
                <w:spacing w:val="-4"/>
                <w:position w:val="-1"/>
                <w:sz w:val="15"/>
                <w:szCs w:val="15"/>
                <w:highlight w:val="none"/>
              </w:rPr>
              <w:t>2.5</w:t>
            </w:r>
            <w:r>
              <w:rPr>
                <w:color w:val="auto"/>
                <w:spacing w:val="-4"/>
                <w:highlight w:val="none"/>
              </w:rPr>
              <w:t>、</w:t>
            </w:r>
            <w:r>
              <w:rPr>
                <w:rFonts w:ascii="Times New Roman" w:hAnsi="Times New Roman" w:eastAsia="Times New Roman" w:cs="Times New Roman"/>
                <w:color w:val="auto"/>
                <w:spacing w:val="-4"/>
                <w:highlight w:val="none"/>
              </w:rPr>
              <w:t>SO</w:t>
            </w:r>
            <w:r>
              <w:rPr>
                <w:rFonts w:ascii="Times New Roman" w:hAnsi="Times New Roman" w:eastAsia="Times New Roman" w:cs="Times New Roman"/>
                <w:color w:val="auto"/>
                <w:spacing w:val="-4"/>
                <w:position w:val="-1"/>
                <w:sz w:val="15"/>
                <w:szCs w:val="15"/>
                <w:highlight w:val="none"/>
              </w:rPr>
              <w:t>2</w:t>
            </w:r>
            <w:r>
              <w:rPr>
                <w:color w:val="auto"/>
                <w:spacing w:val="-4"/>
                <w:highlight w:val="none"/>
              </w:rPr>
              <w:t>、</w:t>
            </w:r>
            <w:r>
              <w:rPr>
                <w:rFonts w:ascii="Times New Roman" w:hAnsi="Times New Roman" w:eastAsia="Times New Roman" w:cs="Times New Roman"/>
                <w:color w:val="auto"/>
                <w:spacing w:val="-4"/>
                <w:highlight w:val="none"/>
              </w:rPr>
              <w:t>NO</w:t>
            </w:r>
            <w:r>
              <w:rPr>
                <w:rFonts w:ascii="Times New Roman" w:hAnsi="Times New Roman" w:eastAsia="Times New Roman" w:cs="Times New Roman"/>
                <w:color w:val="auto"/>
                <w:spacing w:val="-4"/>
                <w:position w:val="-1"/>
                <w:sz w:val="15"/>
                <w:szCs w:val="15"/>
                <w:highlight w:val="none"/>
              </w:rPr>
              <w:t>2</w:t>
            </w:r>
            <w:r>
              <w:rPr>
                <w:color w:val="auto"/>
                <w:spacing w:val="-5"/>
                <w:highlight w:val="none"/>
              </w:rPr>
              <w:t>的年平均质量浓度、</w:t>
            </w:r>
            <w:r>
              <w:rPr>
                <w:rFonts w:ascii="Times New Roman" w:hAnsi="Times New Roman" w:eastAsia="Times New Roman" w:cs="Times New Roman"/>
                <w:color w:val="auto"/>
                <w:spacing w:val="-5"/>
                <w:highlight w:val="none"/>
              </w:rPr>
              <w:t>CO24</w:t>
            </w:r>
            <w:r>
              <w:rPr>
                <w:color w:val="auto"/>
                <w:spacing w:val="-5"/>
                <w:highlight w:val="none"/>
              </w:rPr>
              <w:t>小时平均第</w:t>
            </w:r>
            <w:r>
              <w:rPr>
                <w:rFonts w:ascii="Times New Roman" w:hAnsi="Times New Roman" w:eastAsia="Times New Roman" w:cs="Times New Roman"/>
                <w:color w:val="auto"/>
                <w:spacing w:val="-5"/>
                <w:highlight w:val="none"/>
              </w:rPr>
              <w:t>95</w:t>
            </w:r>
            <w:r>
              <w:rPr>
                <w:color w:val="auto"/>
                <w:spacing w:val="-5"/>
                <w:highlight w:val="none"/>
              </w:rPr>
              <w:t>百分位数、</w:t>
            </w:r>
            <w:r>
              <w:rPr>
                <w:rFonts w:ascii="Times New Roman" w:hAnsi="Times New Roman" w:eastAsia="Times New Roman" w:cs="Times New Roman"/>
                <w:color w:val="auto"/>
                <w:spacing w:val="-5"/>
                <w:highlight w:val="none"/>
              </w:rPr>
              <w:t>O</w:t>
            </w:r>
            <w:r>
              <w:rPr>
                <w:rFonts w:ascii="Times New Roman" w:hAnsi="Times New Roman" w:eastAsia="Times New Roman" w:cs="Times New Roman"/>
                <w:color w:val="auto"/>
                <w:spacing w:val="-5"/>
                <w:position w:val="-1"/>
                <w:sz w:val="15"/>
                <w:szCs w:val="15"/>
                <w:highlight w:val="none"/>
              </w:rPr>
              <w:t>3</w:t>
            </w:r>
            <w:r>
              <w:rPr>
                <w:color w:val="auto"/>
                <w:spacing w:val="-5"/>
                <w:highlight w:val="none"/>
              </w:rPr>
              <w:t>日最大</w:t>
            </w:r>
            <w:r>
              <w:rPr>
                <w:rFonts w:ascii="Times New Roman" w:hAnsi="Times New Roman" w:eastAsia="Times New Roman" w:cs="Times New Roman"/>
                <w:color w:val="auto"/>
                <w:spacing w:val="-5"/>
                <w:highlight w:val="none"/>
              </w:rPr>
              <w:t>8</w:t>
            </w:r>
            <w:r>
              <w:rPr>
                <w:color w:val="auto"/>
                <w:spacing w:val="-5"/>
                <w:highlight w:val="none"/>
              </w:rPr>
              <w:t>小时平均值第</w:t>
            </w:r>
            <w:r>
              <w:rPr>
                <w:rFonts w:ascii="Times New Roman" w:hAnsi="Times New Roman" w:eastAsia="Times New Roman" w:cs="Times New Roman"/>
                <w:color w:val="auto"/>
                <w:spacing w:val="-5"/>
                <w:highlight w:val="none"/>
              </w:rPr>
              <w:t>90</w:t>
            </w:r>
            <w:r>
              <w:rPr>
                <w:color w:val="auto"/>
                <w:spacing w:val="-5"/>
                <w:highlight w:val="none"/>
              </w:rPr>
              <w:t>百分位数</w:t>
            </w:r>
            <w:r>
              <w:rPr>
                <w:color w:val="auto"/>
                <w:spacing w:val="2"/>
                <w:highlight w:val="none"/>
              </w:rPr>
              <w:t>均满足《环境空气质量标准》（</w:t>
            </w:r>
            <w:r>
              <w:rPr>
                <w:rFonts w:ascii="Times New Roman" w:hAnsi="Times New Roman" w:eastAsia="Times New Roman" w:cs="Times New Roman"/>
                <w:color w:val="auto"/>
                <w:highlight w:val="none"/>
              </w:rPr>
              <w:t>GB</w:t>
            </w:r>
            <w:r>
              <w:rPr>
                <w:rFonts w:hint="eastAsia" w:ascii="Times New Roman" w:hAnsi="Times New Roman" w:eastAsia="宋体" w:cs="Times New Roman"/>
                <w:color w:val="auto"/>
                <w:highlight w:val="none"/>
                <w:lang w:val="en-US" w:eastAsia="zh-CN"/>
              </w:rPr>
              <w:t xml:space="preserve"> </w:t>
            </w:r>
            <w:r>
              <w:rPr>
                <w:rFonts w:ascii="Times New Roman" w:hAnsi="Times New Roman" w:eastAsia="Times New Roman" w:cs="Times New Roman"/>
                <w:color w:val="auto"/>
                <w:spacing w:val="2"/>
                <w:highlight w:val="none"/>
              </w:rPr>
              <w:t>3095-2012</w:t>
            </w:r>
            <w:r>
              <w:rPr>
                <w:color w:val="auto"/>
                <w:spacing w:val="2"/>
                <w:highlight w:val="none"/>
              </w:rPr>
              <w:t>）及</w:t>
            </w:r>
            <w:r>
              <w:rPr>
                <w:rFonts w:ascii="Times New Roman" w:hAnsi="Times New Roman" w:eastAsia="Times New Roman" w:cs="Times New Roman"/>
                <w:color w:val="auto"/>
                <w:spacing w:val="2"/>
                <w:highlight w:val="none"/>
              </w:rPr>
              <w:t>2018</w:t>
            </w:r>
            <w:r>
              <w:rPr>
                <w:color w:val="auto"/>
                <w:spacing w:val="2"/>
                <w:highlight w:val="none"/>
              </w:rPr>
              <w:t>年修改单中的二级</w:t>
            </w:r>
            <w:r>
              <w:rPr>
                <w:color w:val="auto"/>
                <w:spacing w:val="-4"/>
                <w:highlight w:val="none"/>
              </w:rPr>
              <w:t>标准，根据《环境影响评价技术导则 大气环境》（</w:t>
            </w:r>
            <w:r>
              <w:rPr>
                <w:rFonts w:ascii="Times New Roman" w:hAnsi="Times New Roman" w:eastAsia="Times New Roman" w:cs="Times New Roman"/>
                <w:color w:val="auto"/>
                <w:spacing w:val="-4"/>
                <w:highlight w:val="none"/>
              </w:rPr>
              <w:t>HJ</w:t>
            </w:r>
            <w:r>
              <w:rPr>
                <w:rFonts w:hint="eastAsia" w:ascii="Times New Roman" w:hAnsi="Times New Roman" w:eastAsia="宋体" w:cs="Times New Roman"/>
                <w:color w:val="auto"/>
                <w:spacing w:val="-4"/>
                <w:highlight w:val="none"/>
                <w:lang w:val="en-US" w:eastAsia="zh-CN"/>
              </w:rPr>
              <w:t xml:space="preserve"> </w:t>
            </w:r>
            <w:r>
              <w:rPr>
                <w:rFonts w:ascii="Times New Roman" w:hAnsi="Times New Roman" w:eastAsia="Times New Roman" w:cs="Times New Roman"/>
                <w:color w:val="auto"/>
                <w:spacing w:val="-4"/>
                <w:highlight w:val="none"/>
              </w:rPr>
              <w:t>2.2-2018</w:t>
            </w:r>
            <w:r>
              <w:rPr>
                <w:color w:val="auto"/>
                <w:spacing w:val="-4"/>
                <w:highlight w:val="none"/>
              </w:rPr>
              <w:t>）</w:t>
            </w:r>
            <w:r>
              <w:rPr>
                <w:rFonts w:ascii="Times New Roman" w:hAnsi="Times New Roman" w:eastAsia="Times New Roman" w:cs="Times New Roman"/>
                <w:color w:val="auto"/>
                <w:spacing w:val="-4"/>
                <w:highlight w:val="none"/>
              </w:rPr>
              <w:t>6.4.1.1</w:t>
            </w:r>
            <w:r>
              <w:rPr>
                <w:color w:val="auto"/>
                <w:spacing w:val="-4"/>
                <w:highlight w:val="none"/>
              </w:rPr>
              <w:t>的要</w:t>
            </w:r>
            <w:r>
              <w:rPr>
                <w:color w:val="auto"/>
                <w:spacing w:val="-3"/>
                <w:highlight w:val="none"/>
              </w:rPr>
              <w:t>求，六项污染物全部达标即为城市环境空气质量达标，因此，本项目所在区</w:t>
            </w:r>
            <w:r>
              <w:rPr>
                <w:color w:val="auto"/>
                <w:spacing w:val="-1"/>
                <w:highlight w:val="none"/>
              </w:rPr>
              <w:t>域环境空气质量为达标区。</w:t>
            </w:r>
          </w:p>
          <w:p w14:paraId="0FDE62B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default" w:ascii="Times New Roman" w:hAnsi="Times New Roman" w:cs="Times New Roman"/>
                <w:b/>
                <w:bCs/>
                <w:color w:val="auto"/>
                <w:spacing w:val="-4"/>
              </w:rPr>
            </w:pPr>
            <w:r>
              <w:rPr>
                <w:rFonts w:hint="default" w:ascii="Times New Roman" w:hAnsi="Times New Roman" w:cs="Times New Roman"/>
                <w:b/>
                <w:bCs/>
                <w:color w:val="auto"/>
                <w:spacing w:val="-4"/>
              </w:rPr>
              <w:t>2 地表水环境质量现状</w:t>
            </w:r>
          </w:p>
          <w:p w14:paraId="5BB785A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default" w:ascii="Times New Roman" w:hAnsi="Times New Roman" w:cs="Times New Roman"/>
                <w:b/>
                <w:bCs/>
                <w:color w:val="auto"/>
                <w:spacing w:val="-4"/>
              </w:rPr>
            </w:pPr>
            <w:r>
              <w:rPr>
                <w:rFonts w:hint="default" w:ascii="Times New Roman" w:hAnsi="Times New Roman" w:cs="Times New Roman"/>
                <w:b/>
                <w:bCs/>
                <w:color w:val="auto"/>
                <w:spacing w:val="-4"/>
              </w:rPr>
              <w:t>2.1 流域水系</w:t>
            </w:r>
          </w:p>
          <w:p w14:paraId="7AED3DB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default" w:ascii="Times New Roman" w:hAnsi="Times New Roman" w:cs="Times New Roman"/>
                <w:color w:val="auto"/>
                <w:spacing w:val="-4"/>
                <w:highlight w:val="none"/>
                <w:lang w:val="en-US"/>
              </w:rPr>
              <w:t>羊槽河为泾河左岸一级支流，发源于泾源县香水镇太阳村，河源坐标东经106°18′20.883″北纬35°31′18.898″，由西向东流经太阳村、庙湾乡、黄花乡，流经羊槽村后，于泾源县兴盛乡断面坐标东经106°28′51.250″北纬35°27′51.996″汇入泾河干流。流域内山间溪流众多，河网密布。羊槽河水质达</w:t>
            </w:r>
            <w:r>
              <w:rPr>
                <w:rFonts w:hint="default" w:ascii="Times New Roman" w:hAnsi="Times New Roman" w:cs="Times New Roman"/>
                <w:color w:val="auto"/>
                <w:spacing w:val="-4"/>
                <w:highlight w:val="none"/>
                <w:lang w:val="en-US" w:eastAsia="zh-CN"/>
              </w:rPr>
              <w:t>Ⅳ类</w:t>
            </w:r>
            <w:r>
              <w:rPr>
                <w:rFonts w:hint="default" w:ascii="Times New Roman" w:hAnsi="Times New Roman" w:cs="Times New Roman"/>
                <w:color w:val="auto"/>
                <w:spacing w:val="-4"/>
                <w:highlight w:val="none"/>
                <w:lang w:val="en-US"/>
              </w:rPr>
              <w:t>。羊槽河沟道全长约20.95km，流域面积182.01km</w:t>
            </w:r>
            <w:r>
              <w:rPr>
                <w:rFonts w:hint="default" w:ascii="Times New Roman" w:hAnsi="Times New Roman" w:cs="Times New Roman"/>
                <w:color w:val="auto"/>
                <w:spacing w:val="-4"/>
                <w:highlight w:val="none"/>
                <w:vertAlign w:val="superscript"/>
                <w:lang w:val="en-US"/>
              </w:rPr>
              <w:t>2</w:t>
            </w:r>
            <w:r>
              <w:rPr>
                <w:rFonts w:hint="default" w:ascii="Times New Roman" w:hAnsi="Times New Roman" w:cs="Times New Roman"/>
                <w:color w:val="auto"/>
                <w:spacing w:val="-4"/>
                <w:highlight w:val="none"/>
                <w:lang w:val="en-US"/>
              </w:rPr>
              <w:t>。羊槽河上游段和中游段人口密集，耕地集中，道路交错，村庄临河而建。</w:t>
            </w:r>
          </w:p>
          <w:p w14:paraId="17751D6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default" w:ascii="Times New Roman" w:hAnsi="Times New Roman" w:cs="Times New Roman"/>
                <w:color w:val="auto"/>
                <w:spacing w:val="-4"/>
                <w:highlight w:val="none"/>
                <w:lang w:val="en-US"/>
              </w:rPr>
              <w:t>本项目与泾源县水系图</w:t>
            </w:r>
            <w:r>
              <w:rPr>
                <w:rFonts w:hint="eastAsia" w:ascii="Times New Roman" w:hAnsi="Times New Roman" w:cs="Times New Roman"/>
                <w:color w:val="auto"/>
                <w:spacing w:val="-4"/>
                <w:highlight w:val="none"/>
                <w:lang w:val="en-US" w:eastAsia="zh-CN"/>
              </w:rPr>
              <w:t>位置</w:t>
            </w:r>
            <w:r>
              <w:rPr>
                <w:rFonts w:hint="default" w:ascii="Times New Roman" w:hAnsi="Times New Roman" w:cs="Times New Roman"/>
                <w:color w:val="auto"/>
                <w:spacing w:val="-4"/>
                <w:highlight w:val="none"/>
                <w:lang w:val="en-US"/>
              </w:rPr>
              <w:t>关系见附图</w:t>
            </w:r>
            <w:r>
              <w:rPr>
                <w:rFonts w:hint="eastAsia" w:ascii="Times New Roman" w:hAnsi="Times New Roman" w:cs="Times New Roman"/>
                <w:color w:val="auto"/>
                <w:spacing w:val="-4"/>
                <w:highlight w:val="none"/>
                <w:lang w:val="en-US" w:eastAsia="zh-CN"/>
              </w:rPr>
              <w:t>10</w:t>
            </w:r>
            <w:r>
              <w:rPr>
                <w:rFonts w:hint="default" w:ascii="Times New Roman" w:hAnsi="Times New Roman" w:cs="Times New Roman"/>
                <w:color w:val="auto"/>
                <w:spacing w:val="-4"/>
                <w:highlight w:val="none"/>
                <w:lang w:val="en-US"/>
              </w:rPr>
              <w:t>。</w:t>
            </w:r>
          </w:p>
          <w:p w14:paraId="54677E3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cs="Times New Roman"/>
                <w:b/>
                <w:bCs/>
                <w:color w:val="auto"/>
                <w:spacing w:val="-4"/>
                <w:lang w:val="en-US" w:eastAsia="zh-CN"/>
              </w:rPr>
            </w:pPr>
            <w:r>
              <w:rPr>
                <w:rFonts w:hint="eastAsia" w:ascii="Times New Roman" w:hAnsi="Times New Roman" w:cs="Times New Roman"/>
                <w:b/>
                <w:bCs/>
                <w:color w:val="auto"/>
                <w:spacing w:val="-4"/>
                <w:lang w:val="en-US" w:eastAsia="zh-CN"/>
              </w:rPr>
              <w:t>2.2 水文条件</w:t>
            </w:r>
          </w:p>
          <w:p w14:paraId="3C06FFA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rPr>
            </w:pPr>
            <w:r>
              <w:rPr>
                <w:rFonts w:hint="eastAsia" w:ascii="Times New Roman" w:hAnsi="Times New Roman" w:cs="Times New Roman"/>
                <w:color w:val="auto"/>
                <w:spacing w:val="-4"/>
                <w:highlight w:val="none"/>
                <w:lang w:val="en-US"/>
              </w:rPr>
              <w:t>（1）气象特点</w:t>
            </w:r>
          </w:p>
          <w:p w14:paraId="0EB40F3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rPr>
            </w:pPr>
            <w:r>
              <w:rPr>
                <w:rFonts w:hint="eastAsia" w:ascii="Times New Roman" w:hAnsi="Times New Roman" w:cs="Times New Roman"/>
                <w:color w:val="auto"/>
                <w:spacing w:val="-4"/>
                <w:highlight w:val="none"/>
                <w:lang w:val="en-US"/>
              </w:rPr>
              <w:t>羊槽河流域日照适应，</w:t>
            </w:r>
            <w:r>
              <w:rPr>
                <w:rFonts w:hint="eastAsia" w:ascii="Times New Roman" w:hAnsi="Times New Roman" w:cs="Times New Roman"/>
                <w:color w:val="auto"/>
                <w:spacing w:val="-4"/>
                <w:highlight w:val="none"/>
                <w:lang w:val="en-US" w:eastAsia="zh-CN"/>
              </w:rPr>
              <w:t>光</w:t>
            </w:r>
            <w:r>
              <w:rPr>
                <w:rFonts w:hint="eastAsia" w:ascii="Times New Roman" w:hAnsi="Times New Roman" w:cs="Times New Roman"/>
                <w:color w:val="auto"/>
                <w:spacing w:val="-4"/>
                <w:highlight w:val="none"/>
                <w:lang w:val="en-US"/>
              </w:rPr>
              <w:t>能资源丰富，多年平均日照时数2300h以上，无霜期约130d。据气象资料统计，年平均气温5.6℃，最热7月份，最冷1月份。风季多集中在春秋两季，风向以西北风为主，夏季多东南风，春季风最多，风向西北。最大冻土层厚度为1.4m。多风、旱、暴雨、病虫害等灾害频繁发生。</w:t>
            </w:r>
          </w:p>
          <w:p w14:paraId="5521332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rPr>
            </w:pPr>
            <w:r>
              <w:rPr>
                <w:rFonts w:hint="eastAsia" w:ascii="Times New Roman" w:hAnsi="Times New Roman" w:cs="Times New Roman"/>
                <w:color w:val="auto"/>
                <w:spacing w:val="-4"/>
                <w:highlight w:val="none"/>
                <w:lang w:val="en-US"/>
              </w:rPr>
              <w:t>（2）降水</w:t>
            </w:r>
          </w:p>
          <w:p w14:paraId="789D7D2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rPr>
            </w:pPr>
            <w:r>
              <w:rPr>
                <w:rFonts w:hint="eastAsia" w:ascii="Times New Roman" w:hAnsi="Times New Roman" w:cs="Times New Roman"/>
                <w:color w:val="auto"/>
                <w:spacing w:val="-4"/>
                <w:highlight w:val="none"/>
                <w:lang w:val="en-US"/>
              </w:rPr>
              <w:t>本次治理涉及泾源县黄花乡胜利村、羊槽村2个行政村，治理段多年平均降水量580mm，多年降水量变差系数Cv为0.25，偏态系数Cs=2.0Cv，其保证率为50%、75%、95%的设计降水量分别为608mm、515mm、397mm。多年平均降水量及各保证率降水量月分配见表</w:t>
            </w:r>
            <w:r>
              <w:rPr>
                <w:rFonts w:hint="eastAsia" w:ascii="Times New Roman" w:hAnsi="Times New Roman" w:cs="Times New Roman"/>
                <w:color w:val="auto"/>
                <w:spacing w:val="-4"/>
                <w:highlight w:val="none"/>
                <w:lang w:val="en-US" w:eastAsia="zh-CN"/>
              </w:rPr>
              <w:t>3-2</w:t>
            </w:r>
            <w:r>
              <w:rPr>
                <w:rFonts w:hint="eastAsia" w:ascii="Times New Roman" w:hAnsi="Times New Roman" w:cs="Times New Roman"/>
                <w:color w:val="auto"/>
                <w:spacing w:val="-4"/>
                <w:highlight w:val="none"/>
                <w:lang w:val="en-US"/>
              </w:rPr>
              <w:t>。</w:t>
            </w:r>
          </w:p>
          <w:p w14:paraId="7ED0A5FB">
            <w:pPr>
              <w:pStyle w:val="25"/>
              <w:spacing w:line="240" w:lineRule="auto"/>
              <w:ind w:firstLine="0" w:firstLineChars="0"/>
              <w:rPr>
                <w:rFonts w:hint="default" w:ascii="Times New Roman" w:hAnsi="Times New Roman" w:eastAsia="宋体" w:cs="Times New Roman"/>
                <w:b/>
                <w:bCs/>
                <w:snapToGrid w:val="0"/>
                <w:color w:val="auto"/>
                <w:spacing w:val="6"/>
                <w:kern w:val="0"/>
                <w:sz w:val="21"/>
                <w:szCs w:val="21"/>
                <w:lang w:val="en-US" w:eastAsia="en-US" w:bidi="ar-SA"/>
              </w:rPr>
            </w:pPr>
            <w:r>
              <w:rPr>
                <w:rFonts w:hint="default" w:ascii="Times New Roman" w:hAnsi="Times New Roman" w:eastAsia="宋体" w:cs="Times New Roman"/>
                <w:b/>
                <w:bCs/>
                <w:snapToGrid w:val="0"/>
                <w:color w:val="auto"/>
                <w:spacing w:val="6"/>
                <w:kern w:val="0"/>
                <w:sz w:val="21"/>
                <w:szCs w:val="21"/>
                <w:lang w:val="en-US" w:eastAsia="zh-CN" w:bidi="ar-SA"/>
              </w:rPr>
              <w:t xml:space="preserve">表3-2  </w:t>
            </w:r>
            <w:r>
              <w:rPr>
                <w:rFonts w:hint="default" w:ascii="Times New Roman" w:hAnsi="Times New Roman" w:eastAsia="宋体" w:cs="Times New Roman"/>
                <w:b/>
                <w:bCs/>
                <w:snapToGrid w:val="0"/>
                <w:color w:val="auto"/>
                <w:spacing w:val="6"/>
                <w:kern w:val="0"/>
                <w:sz w:val="21"/>
                <w:szCs w:val="21"/>
                <w:lang w:val="en-US" w:eastAsia="en-US" w:bidi="ar-SA"/>
              </w:rPr>
              <w:t>流域逐月降水量分配表     单位：mm</w:t>
            </w:r>
          </w:p>
          <w:tbl>
            <w:tblPr>
              <w:tblStyle w:val="15"/>
              <w:tblW w:w="79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9"/>
              <w:gridCol w:w="364"/>
              <w:gridCol w:w="470"/>
              <w:gridCol w:w="470"/>
              <w:gridCol w:w="562"/>
              <w:gridCol w:w="466"/>
              <w:gridCol w:w="592"/>
              <w:gridCol w:w="592"/>
              <w:gridCol w:w="592"/>
              <w:gridCol w:w="592"/>
              <w:gridCol w:w="677"/>
              <w:gridCol w:w="445"/>
              <w:gridCol w:w="460"/>
              <w:gridCol w:w="672"/>
            </w:tblGrid>
            <w:tr w14:paraId="1C80D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79" w:type="dxa"/>
                  <w:noWrap w:val="0"/>
                  <w:vAlign w:val="center"/>
                </w:tcPr>
                <w:p w14:paraId="403041F4">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月份</w:t>
                  </w:r>
                </w:p>
              </w:tc>
              <w:tc>
                <w:tcPr>
                  <w:tcW w:w="364" w:type="dxa"/>
                  <w:noWrap w:val="0"/>
                  <w:vAlign w:val="center"/>
                </w:tcPr>
                <w:p w14:paraId="0D62E2CF">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1</w:t>
                  </w:r>
                </w:p>
              </w:tc>
              <w:tc>
                <w:tcPr>
                  <w:tcW w:w="470" w:type="dxa"/>
                  <w:noWrap w:val="0"/>
                  <w:vAlign w:val="center"/>
                </w:tcPr>
                <w:p w14:paraId="3A44329D">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2</w:t>
                  </w:r>
                </w:p>
              </w:tc>
              <w:tc>
                <w:tcPr>
                  <w:tcW w:w="470" w:type="dxa"/>
                  <w:noWrap w:val="0"/>
                  <w:vAlign w:val="center"/>
                </w:tcPr>
                <w:p w14:paraId="3ADD90DE">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3</w:t>
                  </w:r>
                </w:p>
              </w:tc>
              <w:tc>
                <w:tcPr>
                  <w:tcW w:w="562" w:type="dxa"/>
                  <w:noWrap w:val="0"/>
                  <w:vAlign w:val="center"/>
                </w:tcPr>
                <w:p w14:paraId="4C972424">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4</w:t>
                  </w:r>
                </w:p>
              </w:tc>
              <w:tc>
                <w:tcPr>
                  <w:tcW w:w="466" w:type="dxa"/>
                  <w:noWrap w:val="0"/>
                  <w:vAlign w:val="center"/>
                </w:tcPr>
                <w:p w14:paraId="44E1A0E2">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5</w:t>
                  </w:r>
                </w:p>
              </w:tc>
              <w:tc>
                <w:tcPr>
                  <w:tcW w:w="592" w:type="dxa"/>
                  <w:noWrap w:val="0"/>
                  <w:vAlign w:val="center"/>
                </w:tcPr>
                <w:p w14:paraId="14BE6B96">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6</w:t>
                  </w:r>
                </w:p>
              </w:tc>
              <w:tc>
                <w:tcPr>
                  <w:tcW w:w="592" w:type="dxa"/>
                  <w:noWrap w:val="0"/>
                  <w:vAlign w:val="center"/>
                </w:tcPr>
                <w:p w14:paraId="2495AE4D">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7</w:t>
                  </w:r>
                </w:p>
              </w:tc>
              <w:tc>
                <w:tcPr>
                  <w:tcW w:w="592" w:type="dxa"/>
                  <w:noWrap w:val="0"/>
                  <w:vAlign w:val="center"/>
                </w:tcPr>
                <w:p w14:paraId="0085D83D">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8</w:t>
                  </w:r>
                </w:p>
              </w:tc>
              <w:tc>
                <w:tcPr>
                  <w:tcW w:w="592" w:type="dxa"/>
                  <w:noWrap w:val="0"/>
                  <w:vAlign w:val="center"/>
                </w:tcPr>
                <w:p w14:paraId="24F545FC">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9</w:t>
                  </w:r>
                </w:p>
              </w:tc>
              <w:tc>
                <w:tcPr>
                  <w:tcW w:w="677" w:type="dxa"/>
                  <w:noWrap w:val="0"/>
                  <w:vAlign w:val="center"/>
                </w:tcPr>
                <w:p w14:paraId="73B93388">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10</w:t>
                  </w:r>
                </w:p>
              </w:tc>
              <w:tc>
                <w:tcPr>
                  <w:tcW w:w="445" w:type="dxa"/>
                  <w:noWrap w:val="0"/>
                  <w:vAlign w:val="center"/>
                </w:tcPr>
                <w:p w14:paraId="5AE7C95B">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11</w:t>
                  </w:r>
                </w:p>
              </w:tc>
              <w:tc>
                <w:tcPr>
                  <w:tcW w:w="460" w:type="dxa"/>
                  <w:noWrap w:val="0"/>
                  <w:vAlign w:val="center"/>
                </w:tcPr>
                <w:p w14:paraId="209BAFA3">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12</w:t>
                  </w:r>
                </w:p>
              </w:tc>
              <w:tc>
                <w:tcPr>
                  <w:tcW w:w="672" w:type="dxa"/>
                  <w:noWrap w:val="0"/>
                  <w:vAlign w:val="center"/>
                </w:tcPr>
                <w:p w14:paraId="5215712D">
                  <w:pPr>
                    <w:pStyle w:val="19"/>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rPr>
                  </w:pPr>
                  <w:r>
                    <w:rPr>
                      <w:rFonts w:hint="default" w:ascii="Times New Roman" w:hAnsi="Times New Roman" w:cs="Times New Roman"/>
                      <w:b/>
                      <w:bCs/>
                      <w:color w:val="auto"/>
                      <w:spacing w:val="7"/>
                      <w:sz w:val="21"/>
                      <w:szCs w:val="21"/>
                      <w:lang w:val="zh-TW"/>
                    </w:rPr>
                    <w:t>全年</w:t>
                  </w:r>
                </w:p>
              </w:tc>
            </w:tr>
            <w:tr w14:paraId="72EA6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79" w:type="dxa"/>
                  <w:noWrap w:val="0"/>
                  <w:vAlign w:val="center"/>
                </w:tcPr>
                <w:p w14:paraId="656D9DA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lang w:val="zh-TW"/>
                    </w:rPr>
                    <w:t>多年平均</w:t>
                  </w:r>
                </w:p>
              </w:tc>
              <w:tc>
                <w:tcPr>
                  <w:tcW w:w="364" w:type="dxa"/>
                  <w:noWrap w:val="0"/>
                  <w:vAlign w:val="center"/>
                </w:tcPr>
                <w:p w14:paraId="620BA85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5.8</w:t>
                  </w:r>
                </w:p>
              </w:tc>
              <w:tc>
                <w:tcPr>
                  <w:tcW w:w="470" w:type="dxa"/>
                  <w:noWrap w:val="0"/>
                  <w:vAlign w:val="center"/>
                </w:tcPr>
                <w:p w14:paraId="7E69597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9.6</w:t>
                  </w:r>
                </w:p>
              </w:tc>
              <w:tc>
                <w:tcPr>
                  <w:tcW w:w="470" w:type="dxa"/>
                  <w:noWrap w:val="0"/>
                  <w:vAlign w:val="center"/>
                </w:tcPr>
                <w:p w14:paraId="25653D5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19.3</w:t>
                  </w:r>
                </w:p>
              </w:tc>
              <w:tc>
                <w:tcPr>
                  <w:tcW w:w="562" w:type="dxa"/>
                  <w:noWrap w:val="0"/>
                  <w:vAlign w:val="center"/>
                </w:tcPr>
                <w:p w14:paraId="394FB93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30.4</w:t>
                  </w:r>
                </w:p>
              </w:tc>
              <w:tc>
                <w:tcPr>
                  <w:tcW w:w="466" w:type="dxa"/>
                  <w:noWrap w:val="0"/>
                  <w:vAlign w:val="center"/>
                </w:tcPr>
                <w:p w14:paraId="06413FE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53.6</w:t>
                  </w:r>
                </w:p>
              </w:tc>
              <w:tc>
                <w:tcPr>
                  <w:tcW w:w="592" w:type="dxa"/>
                  <w:noWrap w:val="0"/>
                  <w:vAlign w:val="center"/>
                </w:tcPr>
                <w:p w14:paraId="46A1625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88.7</w:t>
                  </w:r>
                </w:p>
              </w:tc>
              <w:tc>
                <w:tcPr>
                  <w:tcW w:w="592" w:type="dxa"/>
                  <w:noWrap w:val="0"/>
                  <w:vAlign w:val="center"/>
                </w:tcPr>
                <w:p w14:paraId="30FC00E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127.7</w:t>
                  </w:r>
                </w:p>
              </w:tc>
              <w:tc>
                <w:tcPr>
                  <w:tcW w:w="592" w:type="dxa"/>
                  <w:noWrap w:val="0"/>
                  <w:vAlign w:val="center"/>
                </w:tcPr>
                <w:p w14:paraId="20438DA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137.8</w:t>
                  </w:r>
                </w:p>
              </w:tc>
              <w:tc>
                <w:tcPr>
                  <w:tcW w:w="592" w:type="dxa"/>
                  <w:noWrap w:val="0"/>
                  <w:vAlign w:val="center"/>
                </w:tcPr>
                <w:p w14:paraId="0D572F3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91.3</w:t>
                  </w:r>
                </w:p>
              </w:tc>
              <w:tc>
                <w:tcPr>
                  <w:tcW w:w="677" w:type="dxa"/>
                  <w:noWrap w:val="0"/>
                  <w:vAlign w:val="center"/>
                </w:tcPr>
                <w:p w14:paraId="1A7539D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43.2</w:t>
                  </w:r>
                </w:p>
              </w:tc>
              <w:tc>
                <w:tcPr>
                  <w:tcW w:w="445" w:type="dxa"/>
                  <w:noWrap w:val="0"/>
                  <w:vAlign w:val="center"/>
                </w:tcPr>
                <w:p w14:paraId="42DF32F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9.5</w:t>
                  </w:r>
                </w:p>
              </w:tc>
              <w:tc>
                <w:tcPr>
                  <w:tcW w:w="460" w:type="dxa"/>
                  <w:noWrap w:val="0"/>
                  <w:vAlign w:val="center"/>
                </w:tcPr>
                <w:p w14:paraId="1B9CBC1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3.1</w:t>
                  </w:r>
                </w:p>
              </w:tc>
              <w:tc>
                <w:tcPr>
                  <w:tcW w:w="672" w:type="dxa"/>
                  <w:noWrap w:val="0"/>
                  <w:vAlign w:val="center"/>
                </w:tcPr>
                <w:p w14:paraId="0168E47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620</w:t>
                  </w:r>
                </w:p>
              </w:tc>
            </w:tr>
            <w:tr w14:paraId="2B8D5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79" w:type="dxa"/>
                  <w:noWrap w:val="0"/>
                  <w:vAlign w:val="center"/>
                </w:tcPr>
                <w:p w14:paraId="7D63DC2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P=50%</w:t>
                  </w:r>
                </w:p>
              </w:tc>
              <w:tc>
                <w:tcPr>
                  <w:tcW w:w="364" w:type="dxa"/>
                  <w:noWrap w:val="0"/>
                  <w:vAlign w:val="center"/>
                </w:tcPr>
                <w:p w14:paraId="469232F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6</w:t>
                  </w:r>
                </w:p>
              </w:tc>
              <w:tc>
                <w:tcPr>
                  <w:tcW w:w="470" w:type="dxa"/>
                  <w:noWrap w:val="0"/>
                  <w:vAlign w:val="center"/>
                </w:tcPr>
                <w:p w14:paraId="15061DA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w:t>
                  </w:r>
                </w:p>
              </w:tc>
              <w:tc>
                <w:tcPr>
                  <w:tcW w:w="470" w:type="dxa"/>
                  <w:noWrap w:val="0"/>
                  <w:vAlign w:val="center"/>
                </w:tcPr>
                <w:p w14:paraId="5FA074C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48.6</w:t>
                  </w:r>
                </w:p>
              </w:tc>
              <w:tc>
                <w:tcPr>
                  <w:tcW w:w="562" w:type="dxa"/>
                  <w:noWrap w:val="0"/>
                  <w:vAlign w:val="center"/>
                </w:tcPr>
                <w:p w14:paraId="2F21C24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29.4</w:t>
                  </w:r>
                </w:p>
              </w:tc>
              <w:tc>
                <w:tcPr>
                  <w:tcW w:w="466" w:type="dxa"/>
                  <w:noWrap w:val="0"/>
                  <w:vAlign w:val="center"/>
                </w:tcPr>
                <w:p w14:paraId="1697D26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51.6</w:t>
                  </w:r>
                </w:p>
              </w:tc>
              <w:tc>
                <w:tcPr>
                  <w:tcW w:w="592" w:type="dxa"/>
                  <w:noWrap w:val="0"/>
                  <w:vAlign w:val="center"/>
                </w:tcPr>
                <w:p w14:paraId="09262C6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85.8</w:t>
                  </w:r>
                </w:p>
              </w:tc>
              <w:tc>
                <w:tcPr>
                  <w:tcW w:w="592" w:type="dxa"/>
                  <w:noWrap w:val="0"/>
                  <w:vAlign w:val="center"/>
                </w:tcPr>
                <w:p w14:paraId="74D5921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123.6</w:t>
                  </w:r>
                </w:p>
              </w:tc>
              <w:tc>
                <w:tcPr>
                  <w:tcW w:w="592" w:type="dxa"/>
                  <w:noWrap w:val="0"/>
                  <w:vAlign w:val="center"/>
                </w:tcPr>
                <w:p w14:paraId="7A6F820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133.2</w:t>
                  </w:r>
                </w:p>
              </w:tc>
              <w:tc>
                <w:tcPr>
                  <w:tcW w:w="592" w:type="dxa"/>
                  <w:noWrap w:val="0"/>
                  <w:vAlign w:val="center"/>
                </w:tcPr>
                <w:p w14:paraId="1E67A79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88.2</w:t>
                  </w:r>
                </w:p>
              </w:tc>
              <w:tc>
                <w:tcPr>
                  <w:tcW w:w="677" w:type="dxa"/>
                  <w:noWrap w:val="0"/>
                  <w:vAlign w:val="center"/>
                </w:tcPr>
                <w:p w14:paraId="66B9BDB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42</w:t>
                  </w:r>
                </w:p>
              </w:tc>
              <w:tc>
                <w:tcPr>
                  <w:tcW w:w="445" w:type="dxa"/>
                  <w:noWrap w:val="0"/>
                  <w:vAlign w:val="center"/>
                </w:tcPr>
                <w:p w14:paraId="2BD3F13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w:t>
                  </w:r>
                </w:p>
              </w:tc>
              <w:tc>
                <w:tcPr>
                  <w:tcW w:w="460" w:type="dxa"/>
                  <w:noWrap w:val="0"/>
                  <w:vAlign w:val="center"/>
                </w:tcPr>
                <w:p w14:paraId="07434C4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3.6</w:t>
                  </w:r>
                </w:p>
              </w:tc>
              <w:tc>
                <w:tcPr>
                  <w:tcW w:w="672" w:type="dxa"/>
                  <w:noWrap w:val="0"/>
                  <w:vAlign w:val="center"/>
                </w:tcPr>
                <w:p w14:paraId="2AF1E74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600</w:t>
                  </w:r>
                </w:p>
              </w:tc>
            </w:tr>
            <w:tr w14:paraId="150AF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79" w:type="dxa"/>
                  <w:noWrap w:val="0"/>
                  <w:vAlign w:val="center"/>
                </w:tcPr>
                <w:p w14:paraId="68CBA75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lang w:val="en-US"/>
                    </w:rPr>
                    <w:t>P=75%</w:t>
                  </w:r>
                </w:p>
              </w:tc>
              <w:tc>
                <w:tcPr>
                  <w:tcW w:w="364" w:type="dxa"/>
                  <w:noWrap w:val="0"/>
                  <w:vAlign w:val="center"/>
                </w:tcPr>
                <w:p w14:paraId="176FF91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3.1</w:t>
                  </w:r>
                </w:p>
              </w:tc>
              <w:tc>
                <w:tcPr>
                  <w:tcW w:w="470" w:type="dxa"/>
                  <w:noWrap w:val="0"/>
                  <w:vAlign w:val="center"/>
                </w:tcPr>
                <w:p w14:paraId="29C3CAB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7.7</w:t>
                  </w:r>
                </w:p>
              </w:tc>
              <w:tc>
                <w:tcPr>
                  <w:tcW w:w="470" w:type="dxa"/>
                  <w:noWrap w:val="0"/>
                  <w:vAlign w:val="center"/>
                </w:tcPr>
                <w:p w14:paraId="4C7C65E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23.7</w:t>
                  </w:r>
                </w:p>
              </w:tc>
              <w:tc>
                <w:tcPr>
                  <w:tcW w:w="562" w:type="dxa"/>
                  <w:noWrap w:val="0"/>
                  <w:vAlign w:val="center"/>
                </w:tcPr>
                <w:p w14:paraId="3AB4E64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9.3</w:t>
                  </w:r>
                </w:p>
              </w:tc>
              <w:tc>
                <w:tcPr>
                  <w:tcW w:w="466" w:type="dxa"/>
                  <w:noWrap w:val="0"/>
                  <w:vAlign w:val="center"/>
                </w:tcPr>
                <w:p w14:paraId="0D4F9D6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25.2</w:t>
                  </w:r>
                </w:p>
              </w:tc>
              <w:tc>
                <w:tcPr>
                  <w:tcW w:w="592" w:type="dxa"/>
                  <w:noWrap w:val="0"/>
                  <w:vAlign w:val="center"/>
                </w:tcPr>
                <w:p w14:paraId="7A03C22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53</w:t>
                  </w:r>
                </w:p>
              </w:tc>
              <w:tc>
                <w:tcPr>
                  <w:tcW w:w="592" w:type="dxa"/>
                  <w:noWrap w:val="0"/>
                  <w:vAlign w:val="center"/>
                </w:tcPr>
                <w:p w14:paraId="145ADA2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73.7</w:t>
                  </w:r>
                </w:p>
              </w:tc>
              <w:tc>
                <w:tcPr>
                  <w:tcW w:w="592" w:type="dxa"/>
                  <w:noWrap w:val="0"/>
                  <w:vAlign w:val="center"/>
                </w:tcPr>
                <w:p w14:paraId="02CB2F4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127.2</w:t>
                  </w:r>
                </w:p>
              </w:tc>
              <w:tc>
                <w:tcPr>
                  <w:tcW w:w="592" w:type="dxa"/>
                  <w:noWrap w:val="0"/>
                  <w:vAlign w:val="center"/>
                </w:tcPr>
                <w:p w14:paraId="421BC6A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86.5</w:t>
                  </w:r>
                </w:p>
              </w:tc>
              <w:tc>
                <w:tcPr>
                  <w:tcW w:w="677" w:type="dxa"/>
                  <w:noWrap w:val="0"/>
                  <w:vAlign w:val="center"/>
                </w:tcPr>
                <w:p w14:paraId="062C1BC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93.2</w:t>
                  </w:r>
                </w:p>
              </w:tc>
              <w:tc>
                <w:tcPr>
                  <w:tcW w:w="445" w:type="dxa"/>
                  <w:noWrap w:val="0"/>
                  <w:vAlign w:val="center"/>
                </w:tcPr>
                <w:p w14:paraId="72E4572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9.3</w:t>
                  </w:r>
                </w:p>
              </w:tc>
              <w:tc>
                <w:tcPr>
                  <w:tcW w:w="460" w:type="dxa"/>
                  <w:noWrap w:val="0"/>
                  <w:vAlign w:val="center"/>
                </w:tcPr>
                <w:p w14:paraId="49521C2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3.1</w:t>
                  </w:r>
                </w:p>
              </w:tc>
              <w:tc>
                <w:tcPr>
                  <w:tcW w:w="672" w:type="dxa"/>
                  <w:noWrap w:val="0"/>
                  <w:vAlign w:val="center"/>
                </w:tcPr>
                <w:p w14:paraId="4DC11E1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515</w:t>
                  </w:r>
                </w:p>
              </w:tc>
            </w:tr>
            <w:tr w14:paraId="21954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979" w:type="dxa"/>
                  <w:noWrap w:val="0"/>
                  <w:vAlign w:val="center"/>
                </w:tcPr>
                <w:p w14:paraId="7D5CBCC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lang w:val="en-US"/>
                    </w:rPr>
                    <w:t>P=90%</w:t>
                  </w:r>
                </w:p>
              </w:tc>
              <w:tc>
                <w:tcPr>
                  <w:tcW w:w="364" w:type="dxa"/>
                  <w:noWrap w:val="0"/>
                  <w:vAlign w:val="center"/>
                </w:tcPr>
                <w:p w14:paraId="340D468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7.5</w:t>
                  </w:r>
                </w:p>
              </w:tc>
              <w:tc>
                <w:tcPr>
                  <w:tcW w:w="470" w:type="dxa"/>
                  <w:noWrap w:val="0"/>
                  <w:vAlign w:val="center"/>
                </w:tcPr>
                <w:p w14:paraId="6A2459F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5.6</w:t>
                  </w:r>
                </w:p>
              </w:tc>
              <w:tc>
                <w:tcPr>
                  <w:tcW w:w="470" w:type="dxa"/>
                  <w:noWrap w:val="0"/>
                  <w:vAlign w:val="center"/>
                </w:tcPr>
                <w:p w14:paraId="1088FD7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27.4</w:t>
                  </w:r>
                </w:p>
              </w:tc>
              <w:tc>
                <w:tcPr>
                  <w:tcW w:w="562" w:type="dxa"/>
                  <w:noWrap w:val="0"/>
                  <w:vAlign w:val="center"/>
                </w:tcPr>
                <w:p w14:paraId="3E793F4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22.2</w:t>
                  </w:r>
                </w:p>
              </w:tc>
              <w:tc>
                <w:tcPr>
                  <w:tcW w:w="466" w:type="dxa"/>
                  <w:noWrap w:val="0"/>
                  <w:vAlign w:val="center"/>
                </w:tcPr>
                <w:p w14:paraId="14F1F3A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33.7</w:t>
                  </w:r>
                </w:p>
              </w:tc>
              <w:tc>
                <w:tcPr>
                  <w:tcW w:w="592" w:type="dxa"/>
                  <w:noWrap w:val="0"/>
                  <w:vAlign w:val="center"/>
                </w:tcPr>
                <w:p w14:paraId="4A418E1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97.3</w:t>
                  </w:r>
                </w:p>
              </w:tc>
              <w:tc>
                <w:tcPr>
                  <w:tcW w:w="592" w:type="dxa"/>
                  <w:noWrap w:val="0"/>
                  <w:vAlign w:val="center"/>
                </w:tcPr>
                <w:p w14:paraId="0B66E53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85</w:t>
                  </w:r>
                </w:p>
              </w:tc>
              <w:tc>
                <w:tcPr>
                  <w:tcW w:w="592" w:type="dxa"/>
                  <w:noWrap w:val="0"/>
                  <w:vAlign w:val="center"/>
                </w:tcPr>
                <w:p w14:paraId="3F29281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58.8</w:t>
                  </w:r>
                </w:p>
              </w:tc>
              <w:tc>
                <w:tcPr>
                  <w:tcW w:w="592" w:type="dxa"/>
                  <w:noWrap w:val="0"/>
                  <w:vAlign w:val="center"/>
                </w:tcPr>
                <w:p w14:paraId="075E081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33.3</w:t>
                  </w:r>
                </w:p>
              </w:tc>
              <w:tc>
                <w:tcPr>
                  <w:tcW w:w="677" w:type="dxa"/>
                  <w:noWrap w:val="0"/>
                  <w:vAlign w:val="center"/>
                </w:tcPr>
                <w:p w14:paraId="6487CDB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13.1</w:t>
                  </w:r>
                </w:p>
              </w:tc>
              <w:tc>
                <w:tcPr>
                  <w:tcW w:w="445" w:type="dxa"/>
                  <w:noWrap w:val="0"/>
                  <w:vAlign w:val="center"/>
                </w:tcPr>
                <w:p w14:paraId="0BA8813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5.6</w:t>
                  </w:r>
                </w:p>
              </w:tc>
              <w:tc>
                <w:tcPr>
                  <w:tcW w:w="460" w:type="dxa"/>
                  <w:noWrap w:val="0"/>
                  <w:vAlign w:val="center"/>
                </w:tcPr>
                <w:p w14:paraId="7779CB0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7.5</w:t>
                  </w:r>
                </w:p>
              </w:tc>
              <w:tc>
                <w:tcPr>
                  <w:tcW w:w="672" w:type="dxa"/>
                  <w:noWrap w:val="0"/>
                  <w:vAlign w:val="center"/>
                </w:tcPr>
                <w:p w14:paraId="46D95C5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397</w:t>
                  </w:r>
                </w:p>
              </w:tc>
            </w:tr>
          </w:tbl>
          <w:p w14:paraId="39CAD08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default" w:ascii="Times New Roman" w:hAnsi="Times New Roman" w:cs="Times New Roman"/>
                <w:color w:val="auto"/>
                <w:spacing w:val="-4"/>
                <w:highlight w:val="none"/>
                <w:lang w:val="en-US"/>
              </w:rPr>
              <w:t>（</w:t>
            </w:r>
            <w:r>
              <w:rPr>
                <w:rFonts w:hint="default" w:ascii="Times New Roman" w:hAnsi="Times New Roman" w:cs="Times New Roman"/>
                <w:color w:val="auto"/>
                <w:spacing w:val="-4"/>
                <w:highlight w:val="none"/>
                <w:lang w:val="en-US" w:eastAsia="zh-CN"/>
              </w:rPr>
              <w:t>3</w:t>
            </w:r>
            <w:r>
              <w:rPr>
                <w:rFonts w:hint="default" w:ascii="Times New Roman" w:hAnsi="Times New Roman" w:cs="Times New Roman"/>
                <w:color w:val="auto"/>
                <w:spacing w:val="-4"/>
                <w:highlight w:val="none"/>
                <w:lang w:val="en-US"/>
              </w:rPr>
              <w:t>）冰情</w:t>
            </w:r>
          </w:p>
          <w:p w14:paraId="7776BAC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default" w:ascii="Times New Roman" w:hAnsi="Times New Roman" w:cs="Times New Roman"/>
                <w:color w:val="auto"/>
                <w:spacing w:val="-4"/>
                <w:highlight w:val="none"/>
                <w:lang w:val="en-US"/>
              </w:rPr>
              <w:t>一般11月中、下旬开始有岸冰，次年2月开始融冰，2月底至3月初终冰，12月中下旬至次年2月中旬出现封冻，个别年份封冻期至3月初，平均封冻日数为54天，封冻期水温为0℃。</w:t>
            </w:r>
          </w:p>
          <w:p w14:paraId="16E3E9E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eastAsia" w:ascii="Times New Roman" w:hAnsi="Times New Roman" w:cs="Times New Roman"/>
                <w:color w:val="auto"/>
                <w:spacing w:val="-4"/>
                <w:highlight w:val="none"/>
                <w:lang w:val="en-US" w:eastAsia="zh-CN"/>
              </w:rPr>
              <w:t>（4）</w:t>
            </w:r>
            <w:r>
              <w:rPr>
                <w:rFonts w:hint="default" w:ascii="Times New Roman" w:hAnsi="Times New Roman" w:cs="Times New Roman"/>
                <w:color w:val="auto"/>
                <w:spacing w:val="-4"/>
                <w:highlight w:val="none"/>
                <w:lang w:val="en-US"/>
              </w:rPr>
              <w:t>泥沙</w:t>
            </w:r>
          </w:p>
          <w:p w14:paraId="707834A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rPr>
            </w:pPr>
            <w:r>
              <w:rPr>
                <w:rFonts w:hint="default" w:ascii="Times New Roman" w:hAnsi="Times New Roman" w:cs="Times New Roman"/>
                <w:color w:val="auto"/>
                <w:spacing w:val="-4"/>
                <w:highlight w:val="none"/>
                <w:lang w:val="en-US"/>
              </w:rPr>
              <w:t>根据输沙模数分区图查算，区域输沙模数在1000～2000t/km</w:t>
            </w:r>
            <w:r>
              <w:rPr>
                <w:rFonts w:hint="default" w:ascii="Times New Roman" w:hAnsi="Times New Roman" w:cs="Times New Roman"/>
                <w:color w:val="auto"/>
                <w:spacing w:val="-4"/>
                <w:highlight w:val="none"/>
                <w:vertAlign w:val="superscript"/>
                <w:lang w:val="en-US"/>
              </w:rPr>
              <w:t>2</w:t>
            </w:r>
            <w:r>
              <w:rPr>
                <w:rFonts w:hint="default" w:ascii="Times New Roman" w:hAnsi="Times New Roman" w:cs="Times New Roman"/>
                <w:color w:val="auto"/>
                <w:spacing w:val="-4"/>
                <w:highlight w:val="none"/>
                <w:lang w:val="en-US"/>
              </w:rPr>
              <w:t>之间，区域多年平均输沙模数1500t/km</w:t>
            </w:r>
            <w:r>
              <w:rPr>
                <w:rFonts w:hint="default" w:ascii="Times New Roman" w:hAnsi="Times New Roman" w:cs="Times New Roman"/>
                <w:color w:val="auto"/>
                <w:spacing w:val="-4"/>
                <w:highlight w:val="none"/>
                <w:vertAlign w:val="superscript"/>
                <w:lang w:val="en-US"/>
              </w:rPr>
              <w:t>2</w:t>
            </w:r>
            <w:r>
              <w:rPr>
                <w:rFonts w:hint="default" w:ascii="Times New Roman" w:hAnsi="Times New Roman" w:cs="Times New Roman"/>
                <w:color w:val="auto"/>
                <w:spacing w:val="-4"/>
                <w:highlight w:val="none"/>
                <w:lang w:val="en-US"/>
              </w:rPr>
              <w:t>，区间面积62.74km</w:t>
            </w:r>
            <w:r>
              <w:rPr>
                <w:rFonts w:hint="default" w:ascii="Times New Roman" w:hAnsi="Times New Roman" w:cs="Times New Roman"/>
                <w:color w:val="auto"/>
                <w:spacing w:val="-4"/>
                <w:highlight w:val="none"/>
                <w:vertAlign w:val="superscript"/>
                <w:lang w:val="en-US"/>
              </w:rPr>
              <w:t>2</w:t>
            </w:r>
            <w:r>
              <w:rPr>
                <w:rFonts w:hint="default" w:ascii="Times New Roman" w:hAnsi="Times New Roman" w:cs="Times New Roman"/>
                <w:color w:val="auto"/>
                <w:spacing w:val="-4"/>
                <w:highlight w:val="none"/>
                <w:lang w:val="en-US"/>
              </w:rPr>
              <w:t>，年平均年输沙量为9.41万t，输沙量主要集中在6~8月，占全年的92.5%，尤以7~8月为著，占78.9%，月分配比见表3-</w:t>
            </w:r>
            <w:r>
              <w:rPr>
                <w:rFonts w:hint="eastAsia" w:ascii="Times New Roman" w:hAnsi="Times New Roman" w:cs="Times New Roman"/>
                <w:color w:val="auto"/>
                <w:spacing w:val="-4"/>
                <w:highlight w:val="none"/>
                <w:lang w:val="en-US" w:eastAsia="zh-CN"/>
              </w:rPr>
              <w:t>3</w:t>
            </w:r>
            <w:r>
              <w:rPr>
                <w:rFonts w:hint="default" w:ascii="Times New Roman" w:hAnsi="Times New Roman" w:cs="Times New Roman"/>
                <w:color w:val="auto"/>
                <w:spacing w:val="-4"/>
                <w:highlight w:val="none"/>
                <w:lang w:val="en-US"/>
              </w:rPr>
              <w:t>。</w:t>
            </w:r>
          </w:p>
          <w:p w14:paraId="450A9535">
            <w:pPr>
              <w:pStyle w:val="25"/>
              <w:spacing w:line="240" w:lineRule="auto"/>
              <w:ind w:firstLine="0" w:firstLineChars="0"/>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 xml:space="preserve">表3-3  </w:t>
            </w:r>
            <w:r>
              <w:rPr>
                <w:rFonts w:hint="default" w:ascii="Times New Roman" w:hAnsi="Times New Roman" w:eastAsia="宋体" w:cs="Times New Roman"/>
                <w:b/>
                <w:bCs/>
                <w:snapToGrid w:val="0"/>
                <w:color w:val="auto"/>
                <w:spacing w:val="6"/>
                <w:kern w:val="0"/>
                <w:sz w:val="21"/>
                <w:szCs w:val="21"/>
                <w:lang w:val="en-US" w:eastAsia="zh-CN" w:bidi="ar-SA"/>
              </w:rPr>
              <w:t>多年平均输沙量月分配  单位：万 t</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92"/>
              <w:gridCol w:w="444"/>
              <w:gridCol w:w="568"/>
              <w:gridCol w:w="568"/>
              <w:gridCol w:w="568"/>
              <w:gridCol w:w="568"/>
              <w:gridCol w:w="568"/>
              <w:gridCol w:w="568"/>
              <w:gridCol w:w="568"/>
              <w:gridCol w:w="568"/>
              <w:gridCol w:w="568"/>
              <w:gridCol w:w="569"/>
              <w:gridCol w:w="467"/>
              <w:gridCol w:w="671"/>
            </w:tblGrid>
            <w:tr w14:paraId="1B71C5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92" w:type="dxa"/>
                  <w:tcBorders>
                    <w:tl2br w:val="nil"/>
                    <w:tr2bl w:val="nil"/>
                  </w:tcBorders>
                  <w:vAlign w:val="center"/>
                </w:tcPr>
                <w:p w14:paraId="13D56854">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月份</w:t>
                  </w:r>
                </w:p>
              </w:tc>
              <w:tc>
                <w:tcPr>
                  <w:tcW w:w="444" w:type="dxa"/>
                  <w:tcBorders>
                    <w:tl2br w:val="nil"/>
                    <w:tr2bl w:val="nil"/>
                  </w:tcBorders>
                  <w:vAlign w:val="center"/>
                </w:tcPr>
                <w:p w14:paraId="4F51C891">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1</w:t>
                  </w:r>
                </w:p>
              </w:tc>
              <w:tc>
                <w:tcPr>
                  <w:tcW w:w="568" w:type="dxa"/>
                  <w:tcBorders>
                    <w:tl2br w:val="nil"/>
                    <w:tr2bl w:val="nil"/>
                  </w:tcBorders>
                  <w:vAlign w:val="center"/>
                </w:tcPr>
                <w:p w14:paraId="301CB539">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2</w:t>
                  </w:r>
                </w:p>
              </w:tc>
              <w:tc>
                <w:tcPr>
                  <w:tcW w:w="568" w:type="dxa"/>
                  <w:tcBorders>
                    <w:tl2br w:val="nil"/>
                    <w:tr2bl w:val="nil"/>
                  </w:tcBorders>
                  <w:vAlign w:val="center"/>
                </w:tcPr>
                <w:p w14:paraId="6A8D8DB1">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3</w:t>
                  </w:r>
                </w:p>
              </w:tc>
              <w:tc>
                <w:tcPr>
                  <w:tcW w:w="568" w:type="dxa"/>
                  <w:tcBorders>
                    <w:tl2br w:val="nil"/>
                    <w:tr2bl w:val="nil"/>
                  </w:tcBorders>
                  <w:vAlign w:val="center"/>
                </w:tcPr>
                <w:p w14:paraId="18859F5B">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4</w:t>
                  </w:r>
                </w:p>
              </w:tc>
              <w:tc>
                <w:tcPr>
                  <w:tcW w:w="568" w:type="dxa"/>
                  <w:tcBorders>
                    <w:tl2br w:val="nil"/>
                    <w:tr2bl w:val="nil"/>
                  </w:tcBorders>
                  <w:vAlign w:val="center"/>
                </w:tcPr>
                <w:p w14:paraId="041EDC0F">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5</w:t>
                  </w:r>
                </w:p>
              </w:tc>
              <w:tc>
                <w:tcPr>
                  <w:tcW w:w="568" w:type="dxa"/>
                  <w:tcBorders>
                    <w:tl2br w:val="nil"/>
                    <w:tr2bl w:val="nil"/>
                  </w:tcBorders>
                  <w:vAlign w:val="center"/>
                </w:tcPr>
                <w:p w14:paraId="36E4A9B0">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6</w:t>
                  </w:r>
                </w:p>
              </w:tc>
              <w:tc>
                <w:tcPr>
                  <w:tcW w:w="568" w:type="dxa"/>
                  <w:tcBorders>
                    <w:tl2br w:val="nil"/>
                    <w:tr2bl w:val="nil"/>
                  </w:tcBorders>
                  <w:vAlign w:val="center"/>
                </w:tcPr>
                <w:p w14:paraId="14578587">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7</w:t>
                  </w:r>
                </w:p>
              </w:tc>
              <w:tc>
                <w:tcPr>
                  <w:tcW w:w="568" w:type="dxa"/>
                  <w:tcBorders>
                    <w:tl2br w:val="nil"/>
                    <w:tr2bl w:val="nil"/>
                  </w:tcBorders>
                  <w:vAlign w:val="center"/>
                </w:tcPr>
                <w:p w14:paraId="46D9AEBB">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8</w:t>
                  </w:r>
                </w:p>
              </w:tc>
              <w:tc>
                <w:tcPr>
                  <w:tcW w:w="568" w:type="dxa"/>
                  <w:tcBorders>
                    <w:tl2br w:val="nil"/>
                    <w:tr2bl w:val="nil"/>
                  </w:tcBorders>
                  <w:vAlign w:val="center"/>
                </w:tcPr>
                <w:p w14:paraId="7DD69FA1">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9</w:t>
                  </w:r>
                </w:p>
              </w:tc>
              <w:tc>
                <w:tcPr>
                  <w:tcW w:w="568" w:type="dxa"/>
                  <w:tcBorders>
                    <w:tl2br w:val="nil"/>
                    <w:tr2bl w:val="nil"/>
                  </w:tcBorders>
                  <w:vAlign w:val="center"/>
                </w:tcPr>
                <w:p w14:paraId="6C121C4D">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10</w:t>
                  </w:r>
                </w:p>
              </w:tc>
              <w:tc>
                <w:tcPr>
                  <w:tcW w:w="569" w:type="dxa"/>
                  <w:tcBorders>
                    <w:tl2br w:val="nil"/>
                    <w:tr2bl w:val="nil"/>
                  </w:tcBorders>
                  <w:vAlign w:val="center"/>
                </w:tcPr>
                <w:p w14:paraId="2C4E90D0">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11</w:t>
                  </w:r>
                </w:p>
              </w:tc>
              <w:tc>
                <w:tcPr>
                  <w:tcW w:w="467" w:type="dxa"/>
                  <w:tcBorders>
                    <w:tl2br w:val="nil"/>
                    <w:tr2bl w:val="nil"/>
                  </w:tcBorders>
                  <w:vAlign w:val="center"/>
                </w:tcPr>
                <w:p w14:paraId="65F6EEAD">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12</w:t>
                  </w:r>
                </w:p>
              </w:tc>
              <w:tc>
                <w:tcPr>
                  <w:tcW w:w="671" w:type="dxa"/>
                  <w:tcBorders>
                    <w:tl2br w:val="nil"/>
                    <w:tr2bl w:val="nil"/>
                  </w:tcBorders>
                  <w:vAlign w:val="center"/>
                </w:tcPr>
                <w:p w14:paraId="7D48CEE3">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全年</w:t>
                  </w:r>
                </w:p>
              </w:tc>
            </w:tr>
            <w:tr w14:paraId="4DFBF8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92" w:type="dxa"/>
                  <w:tcBorders>
                    <w:tl2br w:val="nil"/>
                    <w:tr2bl w:val="nil"/>
                  </w:tcBorders>
                  <w:vAlign w:val="center"/>
                </w:tcPr>
                <w:p w14:paraId="4AB5FEC5">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分配比</w:t>
                  </w:r>
                </w:p>
              </w:tc>
              <w:tc>
                <w:tcPr>
                  <w:tcW w:w="444" w:type="dxa"/>
                  <w:tcBorders>
                    <w:tl2br w:val="nil"/>
                    <w:tr2bl w:val="nil"/>
                  </w:tcBorders>
                  <w:vAlign w:val="center"/>
                </w:tcPr>
                <w:p w14:paraId="3AA9405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568" w:type="dxa"/>
                  <w:tcBorders>
                    <w:tl2br w:val="nil"/>
                    <w:tr2bl w:val="nil"/>
                  </w:tcBorders>
                  <w:vAlign w:val="center"/>
                </w:tcPr>
                <w:p w14:paraId="5D067EA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568" w:type="dxa"/>
                  <w:tcBorders>
                    <w:tl2br w:val="nil"/>
                    <w:tr2bl w:val="nil"/>
                  </w:tcBorders>
                  <w:vAlign w:val="center"/>
                </w:tcPr>
                <w:p w14:paraId="73932E8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0.6</w:t>
                  </w:r>
                </w:p>
              </w:tc>
              <w:tc>
                <w:tcPr>
                  <w:tcW w:w="568" w:type="dxa"/>
                  <w:tcBorders>
                    <w:tl2br w:val="nil"/>
                    <w:tr2bl w:val="nil"/>
                  </w:tcBorders>
                  <w:vAlign w:val="center"/>
                </w:tcPr>
                <w:p w14:paraId="77B4831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1.1</w:t>
                  </w:r>
                </w:p>
              </w:tc>
              <w:tc>
                <w:tcPr>
                  <w:tcW w:w="568" w:type="dxa"/>
                  <w:tcBorders>
                    <w:tl2br w:val="nil"/>
                    <w:tr2bl w:val="nil"/>
                  </w:tcBorders>
                  <w:vAlign w:val="center"/>
                </w:tcPr>
                <w:p w14:paraId="2D82C87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3.5</w:t>
                  </w:r>
                </w:p>
              </w:tc>
              <w:tc>
                <w:tcPr>
                  <w:tcW w:w="568" w:type="dxa"/>
                  <w:tcBorders>
                    <w:tl2br w:val="nil"/>
                    <w:tr2bl w:val="nil"/>
                  </w:tcBorders>
                  <w:vAlign w:val="center"/>
                </w:tcPr>
                <w:p w14:paraId="3CFDF1B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13.6</w:t>
                  </w:r>
                </w:p>
              </w:tc>
              <w:tc>
                <w:tcPr>
                  <w:tcW w:w="568" w:type="dxa"/>
                  <w:tcBorders>
                    <w:tl2br w:val="nil"/>
                    <w:tr2bl w:val="nil"/>
                  </w:tcBorders>
                  <w:vAlign w:val="center"/>
                </w:tcPr>
                <w:p w14:paraId="58F4580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39.4</w:t>
                  </w:r>
                </w:p>
              </w:tc>
              <w:tc>
                <w:tcPr>
                  <w:tcW w:w="568" w:type="dxa"/>
                  <w:tcBorders>
                    <w:tl2br w:val="nil"/>
                    <w:tr2bl w:val="nil"/>
                  </w:tcBorders>
                  <w:vAlign w:val="center"/>
                </w:tcPr>
                <w:p w14:paraId="49194D2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39.5</w:t>
                  </w:r>
                </w:p>
              </w:tc>
              <w:tc>
                <w:tcPr>
                  <w:tcW w:w="568" w:type="dxa"/>
                  <w:tcBorders>
                    <w:tl2br w:val="nil"/>
                    <w:tr2bl w:val="nil"/>
                  </w:tcBorders>
                  <w:vAlign w:val="center"/>
                </w:tcPr>
                <w:p w14:paraId="5853882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2.1</w:t>
                  </w:r>
                </w:p>
              </w:tc>
              <w:tc>
                <w:tcPr>
                  <w:tcW w:w="568" w:type="dxa"/>
                  <w:tcBorders>
                    <w:tl2br w:val="nil"/>
                    <w:tr2bl w:val="nil"/>
                  </w:tcBorders>
                  <w:vAlign w:val="center"/>
                </w:tcPr>
                <w:p w14:paraId="089CB74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0.2</w:t>
                  </w:r>
                </w:p>
              </w:tc>
              <w:tc>
                <w:tcPr>
                  <w:tcW w:w="569" w:type="dxa"/>
                  <w:tcBorders>
                    <w:tl2br w:val="nil"/>
                    <w:tr2bl w:val="nil"/>
                  </w:tcBorders>
                  <w:vAlign w:val="center"/>
                </w:tcPr>
                <w:p w14:paraId="16C5953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467" w:type="dxa"/>
                  <w:tcBorders>
                    <w:tl2br w:val="nil"/>
                    <w:tr2bl w:val="nil"/>
                  </w:tcBorders>
                  <w:vAlign w:val="center"/>
                </w:tcPr>
                <w:p w14:paraId="41D23ED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671" w:type="dxa"/>
                  <w:tcBorders>
                    <w:tl2br w:val="nil"/>
                    <w:tr2bl w:val="nil"/>
                  </w:tcBorders>
                  <w:vAlign w:val="center"/>
                </w:tcPr>
                <w:p w14:paraId="664B1B7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100</w:t>
                  </w:r>
                </w:p>
              </w:tc>
            </w:tr>
            <w:tr w14:paraId="4EECB1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9" w:hRule="atLeast"/>
                <w:jc w:val="center"/>
              </w:trPr>
              <w:tc>
                <w:tcPr>
                  <w:tcW w:w="692" w:type="dxa"/>
                  <w:tcBorders>
                    <w:tl2br w:val="nil"/>
                    <w:tr2bl w:val="nil"/>
                  </w:tcBorders>
                  <w:vAlign w:val="center"/>
                </w:tcPr>
                <w:p w14:paraId="66FAF1B6">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多年平均</w:t>
                  </w:r>
                </w:p>
              </w:tc>
              <w:tc>
                <w:tcPr>
                  <w:tcW w:w="444" w:type="dxa"/>
                  <w:tcBorders>
                    <w:tl2br w:val="nil"/>
                    <w:tr2bl w:val="nil"/>
                  </w:tcBorders>
                  <w:vAlign w:val="center"/>
                </w:tcPr>
                <w:p w14:paraId="0D20681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568" w:type="dxa"/>
                  <w:tcBorders>
                    <w:tl2br w:val="nil"/>
                    <w:tr2bl w:val="nil"/>
                  </w:tcBorders>
                  <w:vAlign w:val="center"/>
                </w:tcPr>
                <w:p w14:paraId="02EE145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0.00</w:t>
                  </w:r>
                </w:p>
              </w:tc>
              <w:tc>
                <w:tcPr>
                  <w:tcW w:w="568" w:type="dxa"/>
                  <w:tcBorders>
                    <w:tl2br w:val="nil"/>
                    <w:tr2bl w:val="nil"/>
                  </w:tcBorders>
                  <w:vAlign w:val="center"/>
                </w:tcPr>
                <w:p w14:paraId="1624950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0.00</w:t>
                  </w:r>
                </w:p>
              </w:tc>
              <w:tc>
                <w:tcPr>
                  <w:tcW w:w="568" w:type="dxa"/>
                  <w:tcBorders>
                    <w:tl2br w:val="nil"/>
                    <w:tr2bl w:val="nil"/>
                  </w:tcBorders>
                  <w:vAlign w:val="center"/>
                </w:tcPr>
                <w:p w14:paraId="4108CB2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0.07</w:t>
                  </w:r>
                </w:p>
              </w:tc>
              <w:tc>
                <w:tcPr>
                  <w:tcW w:w="568" w:type="dxa"/>
                  <w:tcBorders>
                    <w:tl2br w:val="nil"/>
                    <w:tr2bl w:val="nil"/>
                  </w:tcBorders>
                  <w:vAlign w:val="center"/>
                </w:tcPr>
                <w:p w14:paraId="4325E1D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0.27</w:t>
                  </w:r>
                </w:p>
              </w:tc>
              <w:tc>
                <w:tcPr>
                  <w:tcW w:w="568" w:type="dxa"/>
                  <w:tcBorders>
                    <w:tl2br w:val="nil"/>
                    <w:tr2bl w:val="nil"/>
                  </w:tcBorders>
                  <w:vAlign w:val="center"/>
                </w:tcPr>
                <w:p w14:paraId="69C9DA0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0.74</w:t>
                  </w:r>
                </w:p>
              </w:tc>
              <w:tc>
                <w:tcPr>
                  <w:tcW w:w="568" w:type="dxa"/>
                  <w:tcBorders>
                    <w:tl2br w:val="nil"/>
                    <w:tr2bl w:val="nil"/>
                  </w:tcBorders>
                  <w:vAlign w:val="center"/>
                </w:tcPr>
                <w:p w14:paraId="53B292A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4.92</w:t>
                  </w:r>
                </w:p>
              </w:tc>
              <w:tc>
                <w:tcPr>
                  <w:tcW w:w="568" w:type="dxa"/>
                  <w:tcBorders>
                    <w:tl2br w:val="nil"/>
                    <w:tr2bl w:val="nil"/>
                  </w:tcBorders>
                  <w:vAlign w:val="center"/>
                </w:tcPr>
                <w:p w14:paraId="502AE9C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2.00</w:t>
                  </w:r>
                </w:p>
              </w:tc>
              <w:tc>
                <w:tcPr>
                  <w:tcW w:w="568" w:type="dxa"/>
                  <w:tcBorders>
                    <w:tl2br w:val="nil"/>
                    <w:tr2bl w:val="nil"/>
                  </w:tcBorders>
                  <w:vAlign w:val="center"/>
                </w:tcPr>
                <w:p w14:paraId="46D28A0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1.29</w:t>
                  </w:r>
                </w:p>
              </w:tc>
              <w:tc>
                <w:tcPr>
                  <w:tcW w:w="568" w:type="dxa"/>
                  <w:tcBorders>
                    <w:tl2br w:val="nil"/>
                    <w:tr2bl w:val="nil"/>
                  </w:tcBorders>
                  <w:vAlign w:val="center"/>
                </w:tcPr>
                <w:p w14:paraId="1A1472E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0.11</w:t>
                  </w:r>
                </w:p>
              </w:tc>
              <w:tc>
                <w:tcPr>
                  <w:tcW w:w="569" w:type="dxa"/>
                  <w:tcBorders>
                    <w:tl2br w:val="nil"/>
                    <w:tr2bl w:val="nil"/>
                  </w:tcBorders>
                  <w:vAlign w:val="center"/>
                </w:tcPr>
                <w:p w14:paraId="1D4895B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467" w:type="dxa"/>
                  <w:tcBorders>
                    <w:tl2br w:val="nil"/>
                    <w:tr2bl w:val="nil"/>
                  </w:tcBorders>
                  <w:vAlign w:val="center"/>
                </w:tcPr>
                <w:p w14:paraId="3F8DF46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0</w:t>
                  </w:r>
                </w:p>
              </w:tc>
              <w:tc>
                <w:tcPr>
                  <w:tcW w:w="671" w:type="dxa"/>
                  <w:tcBorders>
                    <w:tl2br w:val="nil"/>
                    <w:tr2bl w:val="nil"/>
                  </w:tcBorders>
                  <w:vAlign w:val="center"/>
                </w:tcPr>
                <w:p w14:paraId="514C9EB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spacing w:val="-4"/>
                      <w:sz w:val="21"/>
                      <w:szCs w:val="21"/>
                      <w:highlight w:val="none"/>
                      <w:vertAlign w:val="baseline"/>
                      <w:lang w:val="en-US" w:eastAsia="zh-CN"/>
                    </w:rPr>
                  </w:pPr>
                  <w:r>
                    <w:rPr>
                      <w:rFonts w:hint="eastAsia" w:ascii="Times New Roman" w:hAnsi="Times New Roman" w:cs="Times New Roman"/>
                      <w:color w:val="auto"/>
                      <w:spacing w:val="-4"/>
                      <w:sz w:val="21"/>
                      <w:szCs w:val="21"/>
                      <w:highlight w:val="none"/>
                      <w:vertAlign w:val="baseline"/>
                      <w:lang w:val="en-US" w:eastAsia="zh-CN"/>
                    </w:rPr>
                    <w:t>9.41</w:t>
                  </w:r>
                </w:p>
              </w:tc>
            </w:tr>
          </w:tbl>
          <w:p w14:paraId="0D31F83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cs="Times New Roman"/>
                <w:b/>
                <w:bCs/>
                <w:color w:val="auto"/>
                <w:spacing w:val="-4"/>
                <w:lang w:val="en-US" w:eastAsia="zh-CN"/>
              </w:rPr>
            </w:pPr>
            <w:r>
              <w:rPr>
                <w:rFonts w:hint="eastAsia" w:ascii="Times New Roman" w:hAnsi="Times New Roman" w:cs="Times New Roman"/>
                <w:b/>
                <w:bCs/>
                <w:color w:val="auto"/>
                <w:spacing w:val="-4"/>
                <w:lang w:val="en-US" w:eastAsia="zh-CN"/>
              </w:rPr>
              <w:t>2.3 地表水环境</w:t>
            </w:r>
          </w:p>
          <w:p w14:paraId="64CEB59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本项目地表水环境现状引用西部第三方检测集团（宁夏）有限公司出具《泾源县黄花乡胜利小流域综合治理项目（地表水检测）》（西检（委）字</w:t>
            </w:r>
            <w:r>
              <w:rPr>
                <w:rFonts w:hint="eastAsia" w:ascii="Times New Roman" w:hAnsi="Times New Roman" w:eastAsia="宋体" w:cs="Times New Roman"/>
                <w:color w:val="auto"/>
                <w:spacing w:val="-4"/>
                <w:highlight w:val="none"/>
                <w:lang w:val="en-US" w:eastAsia="zh-CN"/>
              </w:rPr>
              <w:t>〔</w:t>
            </w:r>
            <w:r>
              <w:rPr>
                <w:rFonts w:hint="eastAsia" w:ascii="Times New Roman" w:hAnsi="Times New Roman" w:cs="Times New Roman"/>
                <w:color w:val="auto"/>
                <w:spacing w:val="-4"/>
                <w:highlight w:val="none"/>
                <w:lang w:val="en-US" w:eastAsia="zh-CN"/>
              </w:rPr>
              <w:t>2024〕第3579号）中项目区域下游-羊槽河检测点位的数据结果，监测时间为2024年10月30日~2024年11月1日，检测结果见附件2。</w:t>
            </w:r>
          </w:p>
          <w:p w14:paraId="7F27171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（1）检测内容</w:t>
            </w:r>
          </w:p>
          <w:p w14:paraId="20F82A8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检测点位、因子及频次见下表。</w:t>
            </w:r>
          </w:p>
          <w:p w14:paraId="3E61A992">
            <w:pPr>
              <w:pStyle w:val="25"/>
              <w:spacing w:line="240" w:lineRule="auto"/>
              <w:ind w:firstLine="0" w:firstLineChars="0"/>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表3-4  检测点位、因子及频次一览表</w:t>
            </w:r>
          </w:p>
          <w:tbl>
            <w:tblPr>
              <w:tblStyle w:val="16"/>
              <w:tblW w:w="4938" w:type="pct"/>
              <w:jc w:val="center"/>
              <w:tblBorders>
                <w:top w:val="single" w:color="auto" w:sz="12" w:space="0"/>
                <w:left w:val="none" w:color="auto" w:sz="0"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5"/>
              <w:gridCol w:w="1027"/>
              <w:gridCol w:w="5381"/>
              <w:gridCol w:w="828"/>
            </w:tblGrid>
            <w:tr w14:paraId="526BBC6E">
              <w:tblPrEx>
                <w:tblBorders>
                  <w:top w:val="single" w:color="auto" w:sz="12" w:space="0"/>
                  <w:left w:val="none" w:color="auto" w:sz="0"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432" w:type="pct"/>
                  <w:tcBorders>
                    <w:top w:val="single" w:color="000000" w:sz="12" w:space="0"/>
                    <w:tl2br w:val="nil"/>
                    <w:tr2bl w:val="nil"/>
                  </w:tcBorders>
                  <w:noWrap w:val="0"/>
                  <w:vAlign w:val="center"/>
                </w:tcPr>
                <w:p w14:paraId="5AC34781">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eastAsia" w:ascii="Times New Roman" w:hAnsi="Times New Roman" w:cs="Times New Roman"/>
                      <w:b/>
                      <w:bCs/>
                      <w:color w:val="auto"/>
                      <w:spacing w:val="7"/>
                      <w:sz w:val="21"/>
                      <w:szCs w:val="21"/>
                      <w:lang w:val="en-US" w:eastAsia="zh-CN"/>
                    </w:rPr>
                    <w:t>项目</w:t>
                  </w:r>
                </w:p>
              </w:tc>
              <w:tc>
                <w:tcPr>
                  <w:tcW w:w="648" w:type="pct"/>
                  <w:tcBorders>
                    <w:top w:val="single" w:color="000000" w:sz="12" w:space="0"/>
                    <w:tl2br w:val="nil"/>
                    <w:tr2bl w:val="nil"/>
                  </w:tcBorders>
                  <w:noWrap w:val="0"/>
                  <w:vAlign w:val="center"/>
                </w:tcPr>
                <w:p w14:paraId="145E7406">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default" w:ascii="Times New Roman" w:hAnsi="Times New Roman" w:cs="Times New Roman"/>
                      <w:b/>
                      <w:bCs/>
                      <w:color w:val="auto"/>
                      <w:spacing w:val="7"/>
                      <w:sz w:val="21"/>
                      <w:szCs w:val="21"/>
                      <w:lang w:val="zh-TW"/>
                    </w:rPr>
                    <w:t>检测点位</w:t>
                  </w:r>
                </w:p>
              </w:tc>
              <w:tc>
                <w:tcPr>
                  <w:tcW w:w="3396" w:type="pct"/>
                  <w:tcBorders>
                    <w:top w:val="single" w:color="000000" w:sz="12" w:space="0"/>
                    <w:tl2br w:val="nil"/>
                    <w:tr2bl w:val="nil"/>
                  </w:tcBorders>
                  <w:noWrap w:val="0"/>
                  <w:vAlign w:val="center"/>
                </w:tcPr>
                <w:p w14:paraId="67A1C290">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default" w:ascii="Times New Roman" w:hAnsi="Times New Roman" w:cs="Times New Roman"/>
                      <w:b/>
                      <w:bCs/>
                      <w:color w:val="auto"/>
                      <w:spacing w:val="7"/>
                      <w:sz w:val="21"/>
                      <w:szCs w:val="21"/>
                      <w:lang w:val="zh-TW"/>
                    </w:rPr>
                    <w:t>检测因子</w:t>
                  </w:r>
                </w:p>
              </w:tc>
              <w:tc>
                <w:tcPr>
                  <w:tcW w:w="522" w:type="pct"/>
                  <w:tcBorders>
                    <w:top w:val="single" w:color="000000" w:sz="12" w:space="0"/>
                    <w:right w:val="nil"/>
                    <w:tl2br w:val="nil"/>
                    <w:tr2bl w:val="nil"/>
                  </w:tcBorders>
                  <w:noWrap w:val="0"/>
                  <w:vAlign w:val="center"/>
                </w:tcPr>
                <w:p w14:paraId="0C5515B3">
                  <w:pPr>
                    <w:pStyle w:val="19"/>
                    <w:widowControl w:val="0"/>
                    <w:spacing w:before="72" w:line="228" w:lineRule="auto"/>
                    <w:ind w:left="0" w:leftChars="0" w:right="0" w:rightChars="0" w:firstLine="0" w:firstLineChars="0"/>
                    <w:jc w:val="center"/>
                    <w:rPr>
                      <w:rFonts w:hint="default" w:ascii="Times New Roman" w:hAnsi="Times New Roman" w:cs="Times New Roman"/>
                      <w:b/>
                      <w:bCs/>
                      <w:color w:val="auto"/>
                      <w:spacing w:val="7"/>
                      <w:sz w:val="21"/>
                      <w:szCs w:val="21"/>
                      <w:lang w:val="en-US" w:eastAsia="zh-CN"/>
                    </w:rPr>
                  </w:pPr>
                  <w:r>
                    <w:rPr>
                      <w:rFonts w:hint="default" w:ascii="Times New Roman" w:hAnsi="Times New Roman" w:cs="Times New Roman"/>
                      <w:b/>
                      <w:bCs/>
                      <w:color w:val="auto"/>
                      <w:spacing w:val="7"/>
                      <w:sz w:val="21"/>
                      <w:szCs w:val="21"/>
                      <w:lang w:val="zh-TW"/>
                    </w:rPr>
                    <w:t>频次</w:t>
                  </w:r>
                </w:p>
              </w:tc>
            </w:tr>
            <w:tr w14:paraId="2D738C56">
              <w:tblPrEx>
                <w:tblBorders>
                  <w:top w:val="single" w:color="auto" w:sz="12" w:space="0"/>
                  <w:left w:val="none" w:color="auto" w:sz="0"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2" w:hRule="atLeast"/>
                <w:jc w:val="center"/>
              </w:trPr>
              <w:tc>
                <w:tcPr>
                  <w:tcW w:w="432" w:type="pct"/>
                  <w:tcBorders>
                    <w:bottom w:val="single" w:color="000000" w:sz="12" w:space="0"/>
                    <w:tl2br w:val="nil"/>
                    <w:tr2bl w:val="nil"/>
                  </w:tcBorders>
                  <w:noWrap w:val="0"/>
                  <w:vAlign w:val="center"/>
                </w:tcPr>
                <w:p w14:paraId="30319332">
                  <w:pPr>
                    <w:widowControl w:val="0"/>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地表水</w:t>
                  </w:r>
                </w:p>
              </w:tc>
              <w:tc>
                <w:tcPr>
                  <w:tcW w:w="648" w:type="pct"/>
                  <w:tcBorders>
                    <w:bottom w:val="single" w:color="000000" w:sz="12" w:space="0"/>
                    <w:tl2br w:val="nil"/>
                    <w:tr2bl w:val="nil"/>
                  </w:tcBorders>
                  <w:noWrap w:val="0"/>
                  <w:vAlign w:val="center"/>
                </w:tcPr>
                <w:p w14:paraId="247B81B7">
                  <w:pPr>
                    <w:widowControl w:val="0"/>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项目区域下游羊槽河</w:t>
                  </w:r>
                </w:p>
              </w:tc>
              <w:tc>
                <w:tcPr>
                  <w:tcW w:w="3396" w:type="pct"/>
                  <w:tcBorders>
                    <w:bottom w:val="single" w:color="000000" w:sz="12" w:space="0"/>
                    <w:tl2br w:val="nil"/>
                    <w:tr2bl w:val="nil"/>
                  </w:tcBorders>
                  <w:noWrap w:val="0"/>
                  <w:vAlign w:val="center"/>
                </w:tcPr>
                <w:p w14:paraId="56F19FD8">
                  <w:pPr>
                    <w:widowControl w:val="0"/>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水温、</w:t>
                  </w:r>
                  <w:r>
                    <w:rPr>
                      <w:rFonts w:hint="default" w:ascii="Times New Roman" w:hAnsi="Times New Roman" w:eastAsia="Times New Roman" w:cs="Times New Roman"/>
                      <w:color w:val="auto"/>
                      <w:sz w:val="21"/>
                      <w:szCs w:val="21"/>
                      <w:lang w:val="en-US"/>
                    </w:rPr>
                    <w:t>pH、溶解氧、高锰酸盐指数、化学需氧量、生化需氧量、氨氮、总磷、总氮、铜、锌、氟化物、硒、砷、汞、镉、铬（六价）、铅、氰化物、挥发酚、石油类、阴离子表面活性剂、硫化物、粪大肠菌群</w:t>
                  </w:r>
                  <w:r>
                    <w:rPr>
                      <w:rFonts w:hint="eastAsia" w:ascii="Times New Roman" w:hAnsi="Times New Roman" w:eastAsia="Times New Roman" w:cs="Times New Roman"/>
                      <w:color w:val="auto"/>
                      <w:sz w:val="21"/>
                      <w:szCs w:val="21"/>
                      <w:lang w:val="en-US" w:eastAsia="zh-CN"/>
                    </w:rPr>
                    <w:t>、悬浮物、全盐量</w:t>
                  </w:r>
                </w:p>
              </w:tc>
              <w:tc>
                <w:tcPr>
                  <w:tcW w:w="522" w:type="pct"/>
                  <w:tcBorders>
                    <w:bottom w:val="single" w:color="000000" w:sz="12" w:space="0"/>
                    <w:right w:val="nil"/>
                    <w:tl2br w:val="nil"/>
                    <w:tr2bl w:val="nil"/>
                  </w:tcBorders>
                  <w:noWrap w:val="0"/>
                  <w:vAlign w:val="center"/>
                </w:tcPr>
                <w:p w14:paraId="21396E8E">
                  <w:pPr>
                    <w:widowControl w:val="0"/>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rPr>
                    <w:t>1次/天，检测</w:t>
                  </w:r>
                  <w:r>
                    <w:rPr>
                      <w:rFonts w:hint="eastAsia" w:ascii="Times New Roman" w:hAnsi="Times New Roman" w:eastAsia="Times New Roman" w:cs="Times New Roman"/>
                      <w:color w:val="auto"/>
                      <w:sz w:val="21"/>
                      <w:szCs w:val="21"/>
                      <w:lang w:val="en-US" w:eastAsia="zh-CN"/>
                    </w:rPr>
                    <w:t>3</w:t>
                  </w:r>
                  <w:r>
                    <w:rPr>
                      <w:rFonts w:hint="default" w:ascii="Times New Roman" w:hAnsi="Times New Roman" w:eastAsia="Times New Roman" w:cs="Times New Roman"/>
                      <w:color w:val="auto"/>
                      <w:sz w:val="21"/>
                      <w:szCs w:val="21"/>
                      <w:lang w:val="en-US"/>
                    </w:rPr>
                    <w:t>天</w:t>
                  </w:r>
                </w:p>
              </w:tc>
            </w:tr>
          </w:tbl>
          <w:p w14:paraId="7D13B86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本次引用《泾源县黄花乡胜利小流域综合治理项目（地表水检测）》中项目区域下游羊槽河检测点位，此点位位于本项目羊槽河（羊槽村段）下游，故引用可行。监测点位见附图11。</w:t>
            </w:r>
          </w:p>
          <w:p w14:paraId="1F533D1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（2）检测结果</w:t>
            </w:r>
          </w:p>
          <w:p w14:paraId="3378E1B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检测结果见下表。</w:t>
            </w:r>
          </w:p>
          <w:p w14:paraId="6F9792E1">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w:t>
            </w:r>
            <w:r>
              <w:rPr>
                <w:rFonts w:hint="eastAsia" w:ascii="Times New Roman" w:hAnsi="Times New Roman" w:cs="Times New Roman"/>
                <w:b/>
                <w:bCs/>
                <w:snapToGrid w:val="0"/>
                <w:color w:val="auto"/>
                <w:spacing w:val="6"/>
                <w:kern w:val="0"/>
                <w:sz w:val="21"/>
                <w:szCs w:val="21"/>
                <w:lang w:val="en-US" w:eastAsia="zh-CN" w:bidi="ar-SA"/>
              </w:rPr>
              <w:t>5</w:t>
            </w:r>
            <w:r>
              <w:rPr>
                <w:rFonts w:hint="eastAsia" w:ascii="Times New Roman" w:hAnsi="Times New Roman" w:eastAsia="宋体" w:cs="Times New Roman"/>
                <w:b/>
                <w:bCs/>
                <w:snapToGrid w:val="0"/>
                <w:color w:val="auto"/>
                <w:spacing w:val="6"/>
                <w:kern w:val="0"/>
                <w:sz w:val="21"/>
                <w:szCs w:val="21"/>
                <w:lang w:val="en-US" w:eastAsia="zh-CN" w:bidi="ar-SA"/>
              </w:rPr>
              <w:t xml:space="preserve">  地表水检测结果一览表</w:t>
            </w:r>
          </w:p>
          <w:tbl>
            <w:tblPr>
              <w:tblStyle w:val="18"/>
              <w:tblW w:w="492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725"/>
              <w:gridCol w:w="986"/>
              <w:gridCol w:w="975"/>
              <w:gridCol w:w="963"/>
              <w:gridCol w:w="2015"/>
              <w:gridCol w:w="508"/>
            </w:tblGrid>
            <w:tr w14:paraId="320E20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vMerge w:val="restart"/>
                  <w:tcBorders>
                    <w:tl2br w:val="nil"/>
                    <w:tr2bl w:val="nil"/>
                  </w:tcBorders>
                  <w:noWrap w:val="0"/>
                  <w:vAlign w:val="center"/>
                </w:tcPr>
                <w:p w14:paraId="48557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检测因子</w:t>
                  </w:r>
                </w:p>
              </w:tc>
              <w:tc>
                <w:tcPr>
                  <w:tcW w:w="457" w:type="pct"/>
                  <w:vMerge w:val="restart"/>
                  <w:tcBorders>
                    <w:tl2br w:val="nil"/>
                    <w:tr2bl w:val="nil"/>
                  </w:tcBorders>
                  <w:noWrap w:val="0"/>
                  <w:vAlign w:val="center"/>
                </w:tcPr>
                <w:p w14:paraId="34AA54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847" w:type="pct"/>
                  <w:gridSpan w:val="3"/>
                  <w:tcBorders>
                    <w:tl2br w:val="nil"/>
                    <w:tr2bl w:val="nil"/>
                  </w:tcBorders>
                  <w:noWrap w:val="0"/>
                  <w:vAlign w:val="center"/>
                </w:tcPr>
                <w:p w14:paraId="03B80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w:t>
                  </w:r>
                </w:p>
              </w:tc>
              <w:tc>
                <w:tcPr>
                  <w:tcW w:w="1273" w:type="pct"/>
                  <w:vMerge w:val="restart"/>
                  <w:tcBorders>
                    <w:tl2br w:val="nil"/>
                    <w:tr2bl w:val="nil"/>
                  </w:tcBorders>
                  <w:noWrap w:val="0"/>
                  <w:vAlign w:val="center"/>
                </w:tcPr>
                <w:p w14:paraId="1525F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《地表水环境质量标准》（GB3838-2002）</w:t>
                  </w:r>
                  <w:r>
                    <w:rPr>
                      <w:rFonts w:hint="eastAsia" w:ascii="Times New Roman" w:hAnsi="Times New Roman" w:eastAsia="宋体" w:cs="Times New Roman"/>
                      <w:b/>
                      <w:bCs/>
                      <w:color w:val="auto"/>
                      <w:sz w:val="21"/>
                      <w:szCs w:val="21"/>
                      <w:lang w:val="en-US" w:eastAsia="zh-CN"/>
                    </w:rPr>
                    <w:t>IV</w:t>
                  </w:r>
                  <w:r>
                    <w:rPr>
                      <w:rFonts w:hint="default" w:ascii="Times New Roman" w:hAnsi="Times New Roman" w:eastAsia="宋体" w:cs="Times New Roman"/>
                      <w:b/>
                      <w:bCs/>
                      <w:color w:val="auto"/>
                      <w:sz w:val="21"/>
                      <w:szCs w:val="21"/>
                    </w:rPr>
                    <w:t>类标准限值</w:t>
                  </w:r>
                </w:p>
              </w:tc>
              <w:tc>
                <w:tcPr>
                  <w:tcW w:w="320" w:type="pct"/>
                  <w:vMerge w:val="restart"/>
                  <w:tcBorders>
                    <w:tl2br w:val="nil"/>
                    <w:tr2bl w:val="nil"/>
                  </w:tcBorders>
                  <w:noWrap w:val="0"/>
                  <w:vAlign w:val="center"/>
                </w:tcPr>
                <w:p w14:paraId="5E268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达标情况</w:t>
                  </w:r>
                </w:p>
              </w:tc>
            </w:tr>
            <w:tr w14:paraId="6D33E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vMerge w:val="continue"/>
                  <w:tcBorders>
                    <w:tl2br w:val="nil"/>
                    <w:tr2bl w:val="nil"/>
                  </w:tcBorders>
                  <w:noWrap w:val="0"/>
                  <w:vAlign w:val="center"/>
                </w:tcPr>
                <w:p w14:paraId="30A34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7" w:type="pct"/>
                  <w:vMerge w:val="continue"/>
                  <w:tcBorders>
                    <w:tl2br w:val="nil"/>
                    <w:tr2bl w:val="nil"/>
                  </w:tcBorders>
                  <w:noWrap w:val="0"/>
                  <w:vAlign w:val="center"/>
                </w:tcPr>
                <w:p w14:paraId="6465C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847" w:type="pct"/>
                  <w:gridSpan w:val="3"/>
                  <w:tcBorders>
                    <w:tl2br w:val="nil"/>
                    <w:tr2bl w:val="nil"/>
                  </w:tcBorders>
                  <w:noWrap w:val="0"/>
                  <w:vAlign w:val="center"/>
                </w:tcPr>
                <w:p w14:paraId="7C194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项目区域下游</w:t>
                  </w:r>
                  <w:r>
                    <w:rPr>
                      <w:rFonts w:hint="eastAsia" w:ascii="Times New Roman" w:hAnsi="Times New Roman" w:eastAsia="宋体" w:cs="Times New Roman"/>
                      <w:b/>
                      <w:bCs/>
                      <w:color w:val="auto"/>
                      <w:sz w:val="21"/>
                      <w:szCs w:val="21"/>
                      <w:lang w:val="en-US" w:eastAsia="zh-CN"/>
                    </w:rPr>
                    <w:t>羊槽</w:t>
                  </w:r>
                  <w:r>
                    <w:rPr>
                      <w:rFonts w:hint="default" w:ascii="Times New Roman" w:hAnsi="Times New Roman" w:eastAsia="宋体" w:cs="Times New Roman"/>
                      <w:b/>
                      <w:bCs/>
                      <w:color w:val="auto"/>
                      <w:sz w:val="21"/>
                      <w:szCs w:val="21"/>
                      <w:lang w:val="en-US" w:eastAsia="zh-CN"/>
                    </w:rPr>
                    <w:t>河</w:t>
                  </w:r>
                </w:p>
              </w:tc>
              <w:tc>
                <w:tcPr>
                  <w:tcW w:w="1273" w:type="pct"/>
                  <w:vMerge w:val="continue"/>
                  <w:tcBorders>
                    <w:tl2br w:val="nil"/>
                    <w:tr2bl w:val="nil"/>
                  </w:tcBorders>
                  <w:noWrap w:val="0"/>
                  <w:vAlign w:val="center"/>
                </w:tcPr>
                <w:p w14:paraId="67A69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20" w:type="pct"/>
                  <w:vMerge w:val="continue"/>
                  <w:tcBorders>
                    <w:tl2br w:val="nil"/>
                    <w:tr2bl w:val="nil"/>
                  </w:tcBorders>
                  <w:noWrap w:val="0"/>
                  <w:vAlign w:val="center"/>
                </w:tcPr>
                <w:p w14:paraId="2E32D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DD9B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vMerge w:val="continue"/>
                  <w:tcBorders>
                    <w:tl2br w:val="nil"/>
                    <w:tr2bl w:val="nil"/>
                  </w:tcBorders>
                  <w:noWrap w:val="0"/>
                  <w:vAlign w:val="center"/>
                </w:tcPr>
                <w:p w14:paraId="3C839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7" w:type="pct"/>
                  <w:vMerge w:val="continue"/>
                  <w:tcBorders>
                    <w:tl2br w:val="nil"/>
                    <w:tr2bl w:val="nil"/>
                  </w:tcBorders>
                  <w:noWrap w:val="0"/>
                  <w:vAlign w:val="center"/>
                </w:tcPr>
                <w:p w14:paraId="46C3A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3" w:type="pct"/>
                  <w:tcBorders>
                    <w:tl2br w:val="nil"/>
                    <w:tr2bl w:val="nil"/>
                  </w:tcBorders>
                  <w:noWrap w:val="0"/>
                  <w:vAlign w:val="center"/>
                </w:tcPr>
                <w:p w14:paraId="66550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2024.10.30</w:t>
                  </w:r>
                </w:p>
              </w:tc>
              <w:tc>
                <w:tcPr>
                  <w:tcW w:w="615" w:type="pct"/>
                  <w:tcBorders>
                    <w:tl2br w:val="nil"/>
                    <w:tr2bl w:val="nil"/>
                  </w:tcBorders>
                  <w:noWrap w:val="0"/>
                  <w:vAlign w:val="center"/>
                </w:tcPr>
                <w:p w14:paraId="3017E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2024.10.31</w:t>
                  </w:r>
                </w:p>
              </w:tc>
              <w:tc>
                <w:tcPr>
                  <w:tcW w:w="608" w:type="pct"/>
                  <w:tcBorders>
                    <w:tl2br w:val="nil"/>
                    <w:tr2bl w:val="nil"/>
                  </w:tcBorders>
                  <w:noWrap w:val="0"/>
                  <w:vAlign w:val="center"/>
                </w:tcPr>
                <w:p w14:paraId="5C2E4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2024.11.1</w:t>
                  </w:r>
                </w:p>
              </w:tc>
              <w:tc>
                <w:tcPr>
                  <w:tcW w:w="1273" w:type="pct"/>
                  <w:vMerge w:val="continue"/>
                  <w:tcBorders>
                    <w:tl2br w:val="nil"/>
                    <w:tr2bl w:val="nil"/>
                  </w:tcBorders>
                  <w:noWrap w:val="0"/>
                  <w:vAlign w:val="center"/>
                </w:tcPr>
                <w:p w14:paraId="7A970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20" w:type="pct"/>
                  <w:vMerge w:val="continue"/>
                  <w:tcBorders>
                    <w:tl2br w:val="nil"/>
                    <w:tr2bl w:val="nil"/>
                  </w:tcBorders>
                  <w:noWrap w:val="0"/>
                  <w:vAlign w:val="center"/>
                </w:tcPr>
                <w:p w14:paraId="0AF28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B2CC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35A8E74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水温</w:t>
                  </w:r>
                </w:p>
              </w:tc>
              <w:tc>
                <w:tcPr>
                  <w:tcW w:w="457" w:type="pct"/>
                  <w:tcBorders>
                    <w:tl2br w:val="nil"/>
                    <w:tr2bl w:val="nil"/>
                  </w:tcBorders>
                  <w:noWrap w:val="0"/>
                  <w:vAlign w:val="center"/>
                </w:tcPr>
                <w:p w14:paraId="7C02EFC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p>
              </w:tc>
              <w:tc>
                <w:tcPr>
                  <w:tcW w:w="623" w:type="pct"/>
                  <w:tcBorders>
                    <w:tl2br w:val="nil"/>
                    <w:tr2bl w:val="nil"/>
                  </w:tcBorders>
                  <w:noWrap w:val="0"/>
                  <w:vAlign w:val="center"/>
                </w:tcPr>
                <w:p w14:paraId="59D14176">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7.</w:t>
                  </w:r>
                  <w:r>
                    <w:rPr>
                      <w:rFonts w:hint="eastAsia" w:ascii="Times New Roman" w:hAnsi="Times New Roman" w:eastAsia="Times New Roman" w:cs="Times New Roman"/>
                      <w:color w:val="auto"/>
                      <w:sz w:val="21"/>
                      <w:szCs w:val="21"/>
                      <w:lang w:val="en-US" w:eastAsia="zh-CN"/>
                    </w:rPr>
                    <w:t>1</w:t>
                  </w:r>
                </w:p>
              </w:tc>
              <w:tc>
                <w:tcPr>
                  <w:tcW w:w="615" w:type="pct"/>
                  <w:tcBorders>
                    <w:tl2br w:val="nil"/>
                    <w:tr2bl w:val="nil"/>
                  </w:tcBorders>
                  <w:noWrap w:val="0"/>
                  <w:vAlign w:val="center"/>
                </w:tcPr>
                <w:p w14:paraId="6D89FC16">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9.</w:t>
                  </w:r>
                  <w:r>
                    <w:rPr>
                      <w:rFonts w:hint="eastAsia" w:ascii="Times New Roman" w:hAnsi="Times New Roman" w:eastAsia="Times New Roman" w:cs="Times New Roman"/>
                      <w:color w:val="auto"/>
                      <w:sz w:val="21"/>
                      <w:szCs w:val="21"/>
                      <w:lang w:val="en-US" w:eastAsia="zh-CN"/>
                    </w:rPr>
                    <w:t>4</w:t>
                  </w:r>
                </w:p>
              </w:tc>
              <w:tc>
                <w:tcPr>
                  <w:tcW w:w="608" w:type="pct"/>
                  <w:tcBorders>
                    <w:tl2br w:val="nil"/>
                    <w:tr2bl w:val="nil"/>
                  </w:tcBorders>
                  <w:noWrap w:val="0"/>
                  <w:vAlign w:val="center"/>
                </w:tcPr>
                <w:p w14:paraId="49981307">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7.</w:t>
                  </w:r>
                  <w:r>
                    <w:rPr>
                      <w:rFonts w:hint="eastAsia" w:ascii="Times New Roman" w:hAnsi="Times New Roman" w:eastAsia="Times New Roman" w:cs="Times New Roman"/>
                      <w:color w:val="auto"/>
                      <w:sz w:val="21"/>
                      <w:szCs w:val="21"/>
                      <w:lang w:val="en-US" w:eastAsia="zh-CN"/>
                    </w:rPr>
                    <w:t>5</w:t>
                  </w:r>
                </w:p>
              </w:tc>
              <w:tc>
                <w:tcPr>
                  <w:tcW w:w="1273" w:type="pct"/>
                  <w:tcBorders>
                    <w:tl2br w:val="nil"/>
                    <w:tr2bl w:val="nil"/>
                  </w:tcBorders>
                  <w:noWrap w:val="0"/>
                  <w:vAlign w:val="center"/>
                </w:tcPr>
                <w:p w14:paraId="3747ECD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c>
                <w:tcPr>
                  <w:tcW w:w="320" w:type="pct"/>
                  <w:tcBorders>
                    <w:tl2br w:val="nil"/>
                    <w:tr2bl w:val="nil"/>
                  </w:tcBorders>
                  <w:noWrap w:val="0"/>
                  <w:vAlign w:val="center"/>
                </w:tcPr>
                <w:p w14:paraId="0AAD990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r>
            <w:tr w14:paraId="398E3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71AF9119">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pH</w:t>
                  </w:r>
                </w:p>
              </w:tc>
              <w:tc>
                <w:tcPr>
                  <w:tcW w:w="457" w:type="pct"/>
                  <w:tcBorders>
                    <w:tl2br w:val="nil"/>
                    <w:tr2bl w:val="nil"/>
                  </w:tcBorders>
                  <w:noWrap w:val="0"/>
                  <w:vAlign w:val="center"/>
                </w:tcPr>
                <w:p w14:paraId="23517D6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无量纲</w:t>
                  </w:r>
                </w:p>
              </w:tc>
              <w:tc>
                <w:tcPr>
                  <w:tcW w:w="623" w:type="pct"/>
                  <w:tcBorders>
                    <w:tl2br w:val="nil"/>
                    <w:tr2bl w:val="nil"/>
                  </w:tcBorders>
                  <w:noWrap w:val="0"/>
                  <w:vAlign w:val="center"/>
                </w:tcPr>
                <w:p w14:paraId="7F111E4A">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8.</w:t>
                  </w:r>
                  <w:r>
                    <w:rPr>
                      <w:rFonts w:hint="eastAsia" w:ascii="Times New Roman" w:hAnsi="Times New Roman" w:eastAsia="Times New Roman" w:cs="Times New Roman"/>
                      <w:color w:val="auto"/>
                      <w:sz w:val="21"/>
                      <w:szCs w:val="21"/>
                      <w:lang w:val="en-US" w:eastAsia="zh-CN"/>
                    </w:rPr>
                    <w:t>0</w:t>
                  </w:r>
                </w:p>
              </w:tc>
              <w:tc>
                <w:tcPr>
                  <w:tcW w:w="615" w:type="pct"/>
                  <w:tcBorders>
                    <w:tl2br w:val="nil"/>
                    <w:tr2bl w:val="nil"/>
                  </w:tcBorders>
                  <w:noWrap w:val="0"/>
                  <w:vAlign w:val="center"/>
                </w:tcPr>
                <w:p w14:paraId="5B5AC36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7.9</w:t>
                  </w:r>
                </w:p>
              </w:tc>
              <w:tc>
                <w:tcPr>
                  <w:tcW w:w="608" w:type="pct"/>
                  <w:tcBorders>
                    <w:tl2br w:val="nil"/>
                    <w:tr2bl w:val="nil"/>
                  </w:tcBorders>
                  <w:noWrap w:val="0"/>
                  <w:vAlign w:val="center"/>
                </w:tcPr>
                <w:p w14:paraId="30AD198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8.1</w:t>
                  </w:r>
                </w:p>
              </w:tc>
              <w:tc>
                <w:tcPr>
                  <w:tcW w:w="1273" w:type="pct"/>
                  <w:tcBorders>
                    <w:tl2br w:val="nil"/>
                    <w:tr2bl w:val="nil"/>
                  </w:tcBorders>
                  <w:noWrap w:val="0"/>
                  <w:vAlign w:val="center"/>
                </w:tcPr>
                <w:p w14:paraId="54BD3E2C">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6~9</w:t>
                  </w:r>
                </w:p>
              </w:tc>
              <w:tc>
                <w:tcPr>
                  <w:tcW w:w="320" w:type="pct"/>
                  <w:tcBorders>
                    <w:tl2br w:val="nil"/>
                    <w:tr2bl w:val="nil"/>
                  </w:tcBorders>
                  <w:noWrap w:val="0"/>
                  <w:vAlign w:val="center"/>
                </w:tcPr>
                <w:p w14:paraId="6FD1441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5D63A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00FA318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溶解氧</w:t>
                  </w:r>
                </w:p>
              </w:tc>
              <w:tc>
                <w:tcPr>
                  <w:tcW w:w="457" w:type="pct"/>
                  <w:tcBorders>
                    <w:tl2br w:val="nil"/>
                    <w:tr2bl w:val="nil"/>
                  </w:tcBorders>
                  <w:noWrap w:val="0"/>
                  <w:vAlign w:val="center"/>
                </w:tcPr>
                <w:p w14:paraId="3CF4075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5E2F5FCF">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10.</w:t>
                  </w:r>
                  <w:r>
                    <w:rPr>
                      <w:rFonts w:hint="eastAsia" w:ascii="Times New Roman" w:hAnsi="Times New Roman" w:eastAsia="Times New Roman" w:cs="Times New Roman"/>
                      <w:color w:val="auto"/>
                      <w:sz w:val="21"/>
                      <w:szCs w:val="21"/>
                      <w:lang w:val="en-US" w:eastAsia="zh-CN"/>
                    </w:rPr>
                    <w:t>0</w:t>
                  </w:r>
                </w:p>
              </w:tc>
              <w:tc>
                <w:tcPr>
                  <w:tcW w:w="615" w:type="pct"/>
                  <w:tcBorders>
                    <w:tl2br w:val="nil"/>
                    <w:tr2bl w:val="nil"/>
                  </w:tcBorders>
                  <w:noWrap w:val="0"/>
                  <w:vAlign w:val="center"/>
                </w:tcPr>
                <w:p w14:paraId="7F9034F4">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9.</w:t>
                  </w:r>
                  <w:r>
                    <w:rPr>
                      <w:rFonts w:hint="eastAsia" w:ascii="Times New Roman" w:hAnsi="Times New Roman" w:eastAsia="Times New Roman" w:cs="Times New Roman"/>
                      <w:color w:val="auto"/>
                      <w:sz w:val="21"/>
                      <w:szCs w:val="21"/>
                      <w:lang w:val="en-US" w:eastAsia="zh-CN"/>
                    </w:rPr>
                    <w:t>7</w:t>
                  </w:r>
                </w:p>
              </w:tc>
              <w:tc>
                <w:tcPr>
                  <w:tcW w:w="608" w:type="pct"/>
                  <w:tcBorders>
                    <w:tl2br w:val="nil"/>
                    <w:tr2bl w:val="nil"/>
                  </w:tcBorders>
                  <w:noWrap w:val="0"/>
                  <w:vAlign w:val="center"/>
                </w:tcPr>
                <w:p w14:paraId="32D5B20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10.2</w:t>
                  </w:r>
                </w:p>
              </w:tc>
              <w:tc>
                <w:tcPr>
                  <w:tcW w:w="1273" w:type="pct"/>
                  <w:tcBorders>
                    <w:tl2br w:val="nil"/>
                    <w:tr2bl w:val="nil"/>
                  </w:tcBorders>
                  <w:noWrap w:val="0"/>
                  <w:vAlign w:val="center"/>
                </w:tcPr>
                <w:p w14:paraId="78DE7A3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6</w:t>
                  </w:r>
                </w:p>
              </w:tc>
              <w:tc>
                <w:tcPr>
                  <w:tcW w:w="320" w:type="pct"/>
                  <w:tcBorders>
                    <w:tl2br w:val="nil"/>
                    <w:tr2bl w:val="nil"/>
                  </w:tcBorders>
                  <w:noWrap w:val="0"/>
                  <w:vAlign w:val="center"/>
                </w:tcPr>
                <w:p w14:paraId="67E5844A">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6E2C7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5D51044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高锰酸盐指数</w:t>
                  </w:r>
                </w:p>
              </w:tc>
              <w:tc>
                <w:tcPr>
                  <w:tcW w:w="457" w:type="pct"/>
                  <w:tcBorders>
                    <w:tl2br w:val="nil"/>
                    <w:tr2bl w:val="nil"/>
                  </w:tcBorders>
                  <w:noWrap w:val="0"/>
                  <w:vAlign w:val="center"/>
                </w:tcPr>
                <w:p w14:paraId="20E614E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2D0F2EB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1.4</w:t>
                  </w:r>
                </w:p>
              </w:tc>
              <w:tc>
                <w:tcPr>
                  <w:tcW w:w="615" w:type="pct"/>
                  <w:tcBorders>
                    <w:tl2br w:val="nil"/>
                    <w:tr2bl w:val="nil"/>
                  </w:tcBorders>
                  <w:noWrap w:val="0"/>
                  <w:vAlign w:val="center"/>
                </w:tcPr>
                <w:p w14:paraId="27F2158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1.4</w:t>
                  </w:r>
                </w:p>
              </w:tc>
              <w:tc>
                <w:tcPr>
                  <w:tcW w:w="608" w:type="pct"/>
                  <w:tcBorders>
                    <w:tl2br w:val="nil"/>
                    <w:tr2bl w:val="nil"/>
                  </w:tcBorders>
                  <w:noWrap w:val="0"/>
                  <w:vAlign w:val="center"/>
                </w:tcPr>
                <w:p w14:paraId="480ECEE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1.4</w:t>
                  </w:r>
                </w:p>
              </w:tc>
              <w:tc>
                <w:tcPr>
                  <w:tcW w:w="1273" w:type="pct"/>
                  <w:tcBorders>
                    <w:tl2br w:val="nil"/>
                    <w:tr2bl w:val="nil"/>
                  </w:tcBorders>
                  <w:noWrap w:val="0"/>
                  <w:vAlign w:val="center"/>
                </w:tcPr>
                <w:p w14:paraId="1F0B397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4</w:t>
                  </w:r>
                </w:p>
              </w:tc>
              <w:tc>
                <w:tcPr>
                  <w:tcW w:w="320" w:type="pct"/>
                  <w:tcBorders>
                    <w:tl2br w:val="nil"/>
                    <w:tr2bl w:val="nil"/>
                  </w:tcBorders>
                  <w:noWrap w:val="0"/>
                  <w:vAlign w:val="center"/>
                </w:tcPr>
                <w:p w14:paraId="034F966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65E247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371F354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化学需氧量</w:t>
                  </w:r>
                </w:p>
              </w:tc>
              <w:tc>
                <w:tcPr>
                  <w:tcW w:w="457" w:type="pct"/>
                  <w:tcBorders>
                    <w:tl2br w:val="nil"/>
                    <w:tr2bl w:val="nil"/>
                  </w:tcBorders>
                  <w:noWrap w:val="0"/>
                  <w:vAlign w:val="center"/>
                </w:tcPr>
                <w:p w14:paraId="6C4E8D2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7719301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10</w:t>
                  </w:r>
                </w:p>
              </w:tc>
              <w:tc>
                <w:tcPr>
                  <w:tcW w:w="615" w:type="pct"/>
                  <w:tcBorders>
                    <w:tl2br w:val="nil"/>
                    <w:tr2bl w:val="nil"/>
                  </w:tcBorders>
                  <w:noWrap w:val="0"/>
                  <w:vAlign w:val="center"/>
                </w:tcPr>
                <w:p w14:paraId="244EC1F2">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w:t>
                  </w:r>
                </w:p>
              </w:tc>
              <w:tc>
                <w:tcPr>
                  <w:tcW w:w="608" w:type="pct"/>
                  <w:tcBorders>
                    <w:tl2br w:val="nil"/>
                    <w:tr2bl w:val="nil"/>
                  </w:tcBorders>
                  <w:noWrap w:val="0"/>
                  <w:vAlign w:val="center"/>
                </w:tcPr>
                <w:p w14:paraId="41BBC4E4">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w:t>
                  </w:r>
                </w:p>
              </w:tc>
              <w:tc>
                <w:tcPr>
                  <w:tcW w:w="1273" w:type="pct"/>
                  <w:tcBorders>
                    <w:tl2br w:val="nil"/>
                    <w:tr2bl w:val="nil"/>
                  </w:tcBorders>
                  <w:noWrap w:val="0"/>
                  <w:vAlign w:val="center"/>
                </w:tcPr>
                <w:p w14:paraId="6F643BB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15</w:t>
                  </w:r>
                </w:p>
              </w:tc>
              <w:tc>
                <w:tcPr>
                  <w:tcW w:w="320" w:type="pct"/>
                  <w:tcBorders>
                    <w:tl2br w:val="nil"/>
                    <w:tr2bl w:val="nil"/>
                  </w:tcBorders>
                  <w:noWrap w:val="0"/>
                  <w:vAlign w:val="center"/>
                </w:tcPr>
                <w:p w14:paraId="6CE9FE0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5F995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41FABFC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生化需氧量</w:t>
                  </w:r>
                </w:p>
              </w:tc>
              <w:tc>
                <w:tcPr>
                  <w:tcW w:w="457" w:type="pct"/>
                  <w:tcBorders>
                    <w:tl2br w:val="nil"/>
                    <w:tr2bl w:val="nil"/>
                  </w:tcBorders>
                  <w:noWrap w:val="0"/>
                  <w:vAlign w:val="center"/>
                </w:tcPr>
                <w:p w14:paraId="6F54C12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26ADA72C">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2.</w:t>
                  </w:r>
                  <w:r>
                    <w:rPr>
                      <w:rFonts w:hint="eastAsia" w:ascii="Times New Roman" w:hAnsi="Times New Roman" w:eastAsia="Times New Roman" w:cs="Times New Roman"/>
                      <w:color w:val="auto"/>
                      <w:sz w:val="21"/>
                      <w:szCs w:val="21"/>
                      <w:lang w:val="en-US" w:eastAsia="zh-CN"/>
                    </w:rPr>
                    <w:t>6</w:t>
                  </w:r>
                </w:p>
              </w:tc>
              <w:tc>
                <w:tcPr>
                  <w:tcW w:w="615" w:type="pct"/>
                  <w:tcBorders>
                    <w:tl2br w:val="nil"/>
                    <w:tr2bl w:val="nil"/>
                  </w:tcBorders>
                  <w:noWrap w:val="0"/>
                  <w:vAlign w:val="center"/>
                </w:tcPr>
                <w:p w14:paraId="12F2E97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w:t>
                  </w:r>
                </w:p>
              </w:tc>
              <w:tc>
                <w:tcPr>
                  <w:tcW w:w="608" w:type="pct"/>
                  <w:tcBorders>
                    <w:tl2br w:val="nil"/>
                    <w:tr2bl w:val="nil"/>
                  </w:tcBorders>
                  <w:noWrap w:val="0"/>
                  <w:vAlign w:val="center"/>
                </w:tcPr>
                <w:p w14:paraId="606064E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w:t>
                  </w:r>
                </w:p>
              </w:tc>
              <w:tc>
                <w:tcPr>
                  <w:tcW w:w="1273" w:type="pct"/>
                  <w:tcBorders>
                    <w:tl2br w:val="nil"/>
                    <w:tr2bl w:val="nil"/>
                  </w:tcBorders>
                  <w:noWrap w:val="0"/>
                  <w:vAlign w:val="center"/>
                </w:tcPr>
                <w:p w14:paraId="2497F9F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3</w:t>
                  </w:r>
                </w:p>
              </w:tc>
              <w:tc>
                <w:tcPr>
                  <w:tcW w:w="320" w:type="pct"/>
                  <w:tcBorders>
                    <w:tl2br w:val="nil"/>
                    <w:tr2bl w:val="nil"/>
                  </w:tcBorders>
                  <w:noWrap w:val="0"/>
                  <w:vAlign w:val="center"/>
                </w:tcPr>
                <w:p w14:paraId="650AE39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0AE99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180C3AB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氨氮</w:t>
                  </w:r>
                </w:p>
              </w:tc>
              <w:tc>
                <w:tcPr>
                  <w:tcW w:w="457" w:type="pct"/>
                  <w:tcBorders>
                    <w:tl2br w:val="nil"/>
                    <w:tr2bl w:val="nil"/>
                  </w:tcBorders>
                  <w:noWrap w:val="0"/>
                  <w:vAlign w:val="center"/>
                </w:tcPr>
                <w:p w14:paraId="1455F77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15BAFD0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w:t>
                  </w:r>
                  <w:r>
                    <w:rPr>
                      <w:rFonts w:hint="eastAsia" w:ascii="Times New Roman" w:hAnsi="Times New Roman" w:eastAsia="Times New Roman" w:cs="Times New Roman"/>
                      <w:color w:val="auto"/>
                      <w:sz w:val="21"/>
                      <w:szCs w:val="21"/>
                      <w:lang w:val="en-US" w:eastAsia="zh-CN"/>
                    </w:rPr>
                    <w:t>86</w:t>
                  </w:r>
                </w:p>
              </w:tc>
              <w:tc>
                <w:tcPr>
                  <w:tcW w:w="615" w:type="pct"/>
                  <w:tcBorders>
                    <w:tl2br w:val="nil"/>
                    <w:tr2bl w:val="nil"/>
                  </w:tcBorders>
                  <w:noWrap w:val="0"/>
                  <w:vAlign w:val="center"/>
                </w:tcPr>
                <w:p w14:paraId="482513D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0.1</w:t>
                  </w:r>
                  <w:r>
                    <w:rPr>
                      <w:rFonts w:hint="eastAsia" w:ascii="Times New Roman" w:hAnsi="Times New Roman" w:eastAsia="Times New Roman" w:cs="Times New Roman"/>
                      <w:color w:val="auto"/>
                      <w:sz w:val="21"/>
                      <w:szCs w:val="21"/>
                      <w:lang w:val="en-US" w:eastAsia="zh-CN"/>
                    </w:rPr>
                    <w:t>40</w:t>
                  </w:r>
                </w:p>
              </w:tc>
              <w:tc>
                <w:tcPr>
                  <w:tcW w:w="608" w:type="pct"/>
                  <w:tcBorders>
                    <w:tl2br w:val="nil"/>
                    <w:tr2bl w:val="nil"/>
                  </w:tcBorders>
                  <w:noWrap w:val="0"/>
                  <w:vAlign w:val="center"/>
                </w:tcPr>
                <w:p w14:paraId="51FC209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w:t>
                  </w:r>
                  <w:r>
                    <w:rPr>
                      <w:rFonts w:hint="eastAsia" w:ascii="Times New Roman" w:hAnsi="Times New Roman" w:eastAsia="Times New Roman" w:cs="Times New Roman"/>
                      <w:color w:val="auto"/>
                      <w:sz w:val="21"/>
                      <w:szCs w:val="21"/>
                      <w:lang w:val="en-US" w:eastAsia="zh-CN"/>
                    </w:rPr>
                    <w:t>205</w:t>
                  </w:r>
                </w:p>
              </w:tc>
              <w:tc>
                <w:tcPr>
                  <w:tcW w:w="1273" w:type="pct"/>
                  <w:tcBorders>
                    <w:tl2br w:val="nil"/>
                    <w:tr2bl w:val="nil"/>
                  </w:tcBorders>
                  <w:noWrap w:val="0"/>
                  <w:vAlign w:val="center"/>
                </w:tcPr>
                <w:p w14:paraId="0EC5247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0.5</w:t>
                  </w:r>
                </w:p>
              </w:tc>
              <w:tc>
                <w:tcPr>
                  <w:tcW w:w="320" w:type="pct"/>
                  <w:tcBorders>
                    <w:tl2br w:val="nil"/>
                    <w:tr2bl w:val="nil"/>
                  </w:tcBorders>
                  <w:noWrap w:val="0"/>
                  <w:vAlign w:val="center"/>
                </w:tcPr>
                <w:p w14:paraId="388F8F7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8FB9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3D0634B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总磷</w:t>
                  </w:r>
                </w:p>
              </w:tc>
              <w:tc>
                <w:tcPr>
                  <w:tcW w:w="457" w:type="pct"/>
                  <w:tcBorders>
                    <w:tl2br w:val="nil"/>
                    <w:tr2bl w:val="nil"/>
                  </w:tcBorders>
                  <w:noWrap w:val="0"/>
                  <w:vAlign w:val="center"/>
                </w:tcPr>
                <w:p w14:paraId="735CE71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53A81F5F">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w:t>
                  </w:r>
                  <w:r>
                    <w:rPr>
                      <w:rFonts w:hint="eastAsia" w:ascii="Times New Roman" w:hAnsi="Times New Roman" w:eastAsia="Times New Roman" w:cs="Times New Roman"/>
                      <w:color w:val="auto"/>
                      <w:sz w:val="21"/>
                      <w:szCs w:val="21"/>
                      <w:lang w:val="en-US" w:eastAsia="zh-CN"/>
                    </w:rPr>
                    <w:t>9</w:t>
                  </w:r>
                </w:p>
              </w:tc>
              <w:tc>
                <w:tcPr>
                  <w:tcW w:w="615" w:type="pct"/>
                  <w:tcBorders>
                    <w:tl2br w:val="nil"/>
                    <w:tr2bl w:val="nil"/>
                  </w:tcBorders>
                  <w:noWrap w:val="0"/>
                  <w:vAlign w:val="center"/>
                </w:tcPr>
                <w:p w14:paraId="12CBEDB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0.07</w:t>
                  </w:r>
                </w:p>
              </w:tc>
              <w:tc>
                <w:tcPr>
                  <w:tcW w:w="608" w:type="pct"/>
                  <w:tcBorders>
                    <w:tl2br w:val="nil"/>
                    <w:tr2bl w:val="nil"/>
                  </w:tcBorders>
                  <w:noWrap w:val="0"/>
                  <w:vAlign w:val="center"/>
                </w:tcPr>
                <w:p w14:paraId="751CD9DE">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w:t>
                  </w:r>
                  <w:r>
                    <w:rPr>
                      <w:rFonts w:hint="eastAsia" w:ascii="Times New Roman" w:hAnsi="Times New Roman" w:eastAsia="Times New Roman" w:cs="Times New Roman"/>
                      <w:color w:val="auto"/>
                      <w:sz w:val="21"/>
                      <w:szCs w:val="21"/>
                      <w:lang w:val="en-US" w:eastAsia="zh-CN"/>
                    </w:rPr>
                    <w:t>5</w:t>
                  </w:r>
                </w:p>
              </w:tc>
              <w:tc>
                <w:tcPr>
                  <w:tcW w:w="1273" w:type="pct"/>
                  <w:tcBorders>
                    <w:tl2br w:val="nil"/>
                    <w:tr2bl w:val="nil"/>
                  </w:tcBorders>
                  <w:noWrap w:val="0"/>
                  <w:vAlign w:val="center"/>
                </w:tcPr>
                <w:p w14:paraId="4C55D64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w:t>
                  </w:r>
                  <w:r>
                    <w:rPr>
                      <w:rFonts w:hint="eastAsia" w:ascii="Times New Roman" w:hAnsi="Times New Roman" w:eastAsia="Times New Roman" w:cs="Times New Roman"/>
                      <w:color w:val="auto"/>
                      <w:sz w:val="21"/>
                      <w:szCs w:val="21"/>
                      <w:lang w:val="en-US" w:eastAsia="zh-CN"/>
                    </w:rPr>
                    <w:t>1</w:t>
                  </w:r>
                </w:p>
              </w:tc>
              <w:tc>
                <w:tcPr>
                  <w:tcW w:w="320" w:type="pct"/>
                  <w:tcBorders>
                    <w:tl2br w:val="nil"/>
                    <w:tr2bl w:val="nil"/>
                  </w:tcBorders>
                  <w:noWrap w:val="0"/>
                  <w:vAlign w:val="center"/>
                </w:tcPr>
                <w:p w14:paraId="6B43238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57B9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4FA65AD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总氮</w:t>
                  </w:r>
                </w:p>
              </w:tc>
              <w:tc>
                <w:tcPr>
                  <w:tcW w:w="457" w:type="pct"/>
                  <w:tcBorders>
                    <w:tl2br w:val="nil"/>
                    <w:tr2bl w:val="nil"/>
                  </w:tcBorders>
                  <w:noWrap w:val="0"/>
                  <w:vAlign w:val="center"/>
                </w:tcPr>
                <w:p w14:paraId="7A43F70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335CB84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w:t>
                  </w:r>
                  <w:r>
                    <w:rPr>
                      <w:rFonts w:hint="eastAsia" w:ascii="Times New Roman" w:hAnsi="Times New Roman" w:eastAsia="Times New Roman" w:cs="Times New Roman"/>
                      <w:color w:val="auto"/>
                      <w:sz w:val="21"/>
                      <w:szCs w:val="21"/>
                      <w:lang w:val="en-US" w:eastAsia="zh-CN"/>
                    </w:rPr>
                    <w:t>58</w:t>
                  </w:r>
                </w:p>
              </w:tc>
              <w:tc>
                <w:tcPr>
                  <w:tcW w:w="615" w:type="pct"/>
                  <w:tcBorders>
                    <w:tl2br w:val="nil"/>
                    <w:tr2bl w:val="nil"/>
                  </w:tcBorders>
                  <w:noWrap w:val="0"/>
                  <w:vAlign w:val="center"/>
                </w:tcPr>
                <w:p w14:paraId="3C138838">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0.4</w:t>
                  </w:r>
                  <w:r>
                    <w:rPr>
                      <w:rFonts w:hint="eastAsia" w:ascii="Times New Roman" w:hAnsi="Times New Roman" w:eastAsia="Times New Roman" w:cs="Times New Roman"/>
                      <w:color w:val="auto"/>
                      <w:sz w:val="21"/>
                      <w:szCs w:val="21"/>
                      <w:lang w:val="en-US" w:eastAsia="zh-CN"/>
                    </w:rPr>
                    <w:t>0</w:t>
                  </w:r>
                </w:p>
              </w:tc>
              <w:tc>
                <w:tcPr>
                  <w:tcW w:w="608" w:type="pct"/>
                  <w:tcBorders>
                    <w:tl2br w:val="nil"/>
                    <w:tr2bl w:val="nil"/>
                  </w:tcBorders>
                  <w:noWrap w:val="0"/>
                  <w:vAlign w:val="center"/>
                </w:tcPr>
                <w:p w14:paraId="034B2EA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w:t>
                  </w:r>
                  <w:r>
                    <w:rPr>
                      <w:rFonts w:hint="eastAsia" w:ascii="Times New Roman" w:hAnsi="Times New Roman" w:eastAsia="Times New Roman" w:cs="Times New Roman"/>
                      <w:color w:val="auto"/>
                      <w:sz w:val="21"/>
                      <w:szCs w:val="21"/>
                      <w:lang w:val="en-US" w:eastAsia="zh-CN"/>
                    </w:rPr>
                    <w:t>53</w:t>
                  </w:r>
                </w:p>
              </w:tc>
              <w:tc>
                <w:tcPr>
                  <w:tcW w:w="1273" w:type="pct"/>
                  <w:tcBorders>
                    <w:tl2br w:val="nil"/>
                    <w:tr2bl w:val="nil"/>
                  </w:tcBorders>
                  <w:noWrap w:val="0"/>
                  <w:vAlign w:val="center"/>
                </w:tcPr>
                <w:p w14:paraId="057268F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0.5</w:t>
                  </w:r>
                </w:p>
              </w:tc>
              <w:tc>
                <w:tcPr>
                  <w:tcW w:w="320" w:type="pct"/>
                  <w:tcBorders>
                    <w:tl2br w:val="nil"/>
                    <w:tr2bl w:val="nil"/>
                  </w:tcBorders>
                  <w:noWrap w:val="0"/>
                  <w:vAlign w:val="center"/>
                </w:tcPr>
                <w:p w14:paraId="478E1B3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33F89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01D2831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铜</w:t>
                  </w:r>
                </w:p>
              </w:tc>
              <w:tc>
                <w:tcPr>
                  <w:tcW w:w="457" w:type="pct"/>
                  <w:tcBorders>
                    <w:tl2br w:val="nil"/>
                    <w:tr2bl w:val="nil"/>
                  </w:tcBorders>
                  <w:noWrap w:val="0"/>
                  <w:vAlign w:val="center"/>
                </w:tcPr>
                <w:p w14:paraId="111E6B1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5D46CD8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0.05L</w:t>
                  </w:r>
                </w:p>
              </w:tc>
              <w:tc>
                <w:tcPr>
                  <w:tcW w:w="615" w:type="pct"/>
                  <w:tcBorders>
                    <w:tl2br w:val="nil"/>
                    <w:tr2bl w:val="nil"/>
                  </w:tcBorders>
                  <w:noWrap w:val="0"/>
                  <w:vAlign w:val="center"/>
                </w:tcPr>
                <w:p w14:paraId="4F9F907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0.05L</w:t>
                  </w:r>
                </w:p>
              </w:tc>
              <w:tc>
                <w:tcPr>
                  <w:tcW w:w="608" w:type="pct"/>
                  <w:tcBorders>
                    <w:tl2br w:val="nil"/>
                    <w:tr2bl w:val="nil"/>
                  </w:tcBorders>
                  <w:noWrap w:val="0"/>
                  <w:vAlign w:val="center"/>
                </w:tcPr>
                <w:p w14:paraId="20C47B8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0.05L</w:t>
                  </w:r>
                </w:p>
              </w:tc>
              <w:tc>
                <w:tcPr>
                  <w:tcW w:w="1273" w:type="pct"/>
                  <w:tcBorders>
                    <w:tl2br w:val="nil"/>
                    <w:tr2bl w:val="nil"/>
                  </w:tcBorders>
                  <w:noWrap w:val="0"/>
                  <w:vAlign w:val="center"/>
                </w:tcPr>
                <w:p w14:paraId="11BEE36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1.0</w:t>
                  </w:r>
                </w:p>
              </w:tc>
              <w:tc>
                <w:tcPr>
                  <w:tcW w:w="320" w:type="pct"/>
                  <w:tcBorders>
                    <w:tl2br w:val="nil"/>
                    <w:tr2bl w:val="nil"/>
                  </w:tcBorders>
                  <w:noWrap w:val="0"/>
                  <w:vAlign w:val="center"/>
                </w:tcPr>
                <w:p w14:paraId="37065DE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1C0E3B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5F1287B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锌</w:t>
                  </w:r>
                </w:p>
              </w:tc>
              <w:tc>
                <w:tcPr>
                  <w:tcW w:w="457" w:type="pct"/>
                  <w:tcBorders>
                    <w:tl2br w:val="nil"/>
                    <w:tr2bl w:val="nil"/>
                  </w:tcBorders>
                  <w:noWrap w:val="0"/>
                  <w:vAlign w:val="center"/>
                </w:tcPr>
                <w:p w14:paraId="4F54E0D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0B6C590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0.05L</w:t>
                  </w:r>
                </w:p>
              </w:tc>
              <w:tc>
                <w:tcPr>
                  <w:tcW w:w="615" w:type="pct"/>
                  <w:tcBorders>
                    <w:tl2br w:val="nil"/>
                    <w:tr2bl w:val="nil"/>
                  </w:tcBorders>
                  <w:noWrap w:val="0"/>
                  <w:vAlign w:val="center"/>
                </w:tcPr>
                <w:p w14:paraId="7251EC2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0.05L</w:t>
                  </w:r>
                </w:p>
              </w:tc>
              <w:tc>
                <w:tcPr>
                  <w:tcW w:w="608" w:type="pct"/>
                  <w:tcBorders>
                    <w:tl2br w:val="nil"/>
                    <w:tr2bl w:val="nil"/>
                  </w:tcBorders>
                  <w:noWrap w:val="0"/>
                  <w:vAlign w:val="center"/>
                </w:tcPr>
                <w:p w14:paraId="3EBA1CB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0.05L</w:t>
                  </w:r>
                </w:p>
              </w:tc>
              <w:tc>
                <w:tcPr>
                  <w:tcW w:w="1273" w:type="pct"/>
                  <w:tcBorders>
                    <w:tl2br w:val="nil"/>
                    <w:tr2bl w:val="nil"/>
                  </w:tcBorders>
                  <w:noWrap w:val="0"/>
                  <w:vAlign w:val="center"/>
                </w:tcPr>
                <w:p w14:paraId="3504276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1.0</w:t>
                  </w:r>
                </w:p>
              </w:tc>
              <w:tc>
                <w:tcPr>
                  <w:tcW w:w="320" w:type="pct"/>
                  <w:tcBorders>
                    <w:tl2br w:val="nil"/>
                    <w:tr2bl w:val="nil"/>
                  </w:tcBorders>
                  <w:noWrap w:val="0"/>
                  <w:vAlign w:val="center"/>
                </w:tcPr>
                <w:p w14:paraId="79D5852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1BCCA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634EF89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硒</w:t>
                  </w:r>
                </w:p>
              </w:tc>
              <w:tc>
                <w:tcPr>
                  <w:tcW w:w="457" w:type="pct"/>
                  <w:tcBorders>
                    <w:tl2br w:val="nil"/>
                    <w:tr2bl w:val="nil"/>
                  </w:tcBorders>
                  <w:noWrap w:val="0"/>
                  <w:vAlign w:val="center"/>
                </w:tcPr>
                <w:p w14:paraId="3D123C6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3832A14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w:t>
                  </w:r>
                  <w:r>
                    <w:rPr>
                      <w:rFonts w:hint="eastAsia" w:ascii="Times New Roman" w:hAnsi="Times New Roman" w:eastAsia="Times New Roman" w:cs="Times New Roman"/>
                      <w:color w:val="auto"/>
                      <w:sz w:val="21"/>
                      <w:szCs w:val="21"/>
                      <w:lang w:val="en-US" w:eastAsia="zh-CN"/>
                    </w:rPr>
                    <w:t>10</w:t>
                  </w:r>
                </w:p>
              </w:tc>
              <w:tc>
                <w:tcPr>
                  <w:tcW w:w="615" w:type="pct"/>
                  <w:tcBorders>
                    <w:tl2br w:val="nil"/>
                    <w:tr2bl w:val="nil"/>
                  </w:tcBorders>
                  <w:noWrap w:val="0"/>
                  <w:vAlign w:val="center"/>
                </w:tcPr>
                <w:p w14:paraId="574D108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w:t>
                  </w:r>
                  <w:r>
                    <w:rPr>
                      <w:rFonts w:hint="eastAsia" w:ascii="Times New Roman" w:hAnsi="Times New Roman" w:eastAsia="Times New Roman" w:cs="Times New Roman"/>
                      <w:color w:val="auto"/>
                      <w:sz w:val="21"/>
                      <w:szCs w:val="21"/>
                      <w:lang w:val="en-US" w:eastAsia="zh-CN"/>
                    </w:rPr>
                    <w:t>10</w:t>
                  </w:r>
                </w:p>
              </w:tc>
              <w:tc>
                <w:tcPr>
                  <w:tcW w:w="608" w:type="pct"/>
                  <w:tcBorders>
                    <w:tl2br w:val="nil"/>
                    <w:tr2bl w:val="nil"/>
                  </w:tcBorders>
                  <w:noWrap w:val="0"/>
                  <w:vAlign w:val="center"/>
                </w:tcPr>
                <w:p w14:paraId="7B4417D6">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0.001</w:t>
                  </w:r>
                  <w:r>
                    <w:rPr>
                      <w:rFonts w:hint="eastAsia" w:ascii="Times New Roman" w:hAnsi="Times New Roman" w:eastAsia="Times New Roman" w:cs="Times New Roman"/>
                      <w:color w:val="auto"/>
                      <w:sz w:val="21"/>
                      <w:szCs w:val="21"/>
                      <w:lang w:val="en-US" w:eastAsia="zh-CN"/>
                    </w:rPr>
                    <w:t>2</w:t>
                  </w:r>
                </w:p>
              </w:tc>
              <w:tc>
                <w:tcPr>
                  <w:tcW w:w="1273" w:type="pct"/>
                  <w:tcBorders>
                    <w:tl2br w:val="nil"/>
                    <w:tr2bl w:val="nil"/>
                  </w:tcBorders>
                  <w:noWrap w:val="0"/>
                  <w:vAlign w:val="center"/>
                </w:tcPr>
                <w:p w14:paraId="6417B18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0.01</w:t>
                  </w:r>
                </w:p>
              </w:tc>
              <w:tc>
                <w:tcPr>
                  <w:tcW w:w="320" w:type="pct"/>
                  <w:tcBorders>
                    <w:tl2br w:val="nil"/>
                    <w:tr2bl w:val="nil"/>
                  </w:tcBorders>
                  <w:noWrap w:val="0"/>
                  <w:vAlign w:val="center"/>
                </w:tcPr>
                <w:p w14:paraId="7DF6F3A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84F0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33B753F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砷</w:t>
                  </w:r>
                </w:p>
              </w:tc>
              <w:tc>
                <w:tcPr>
                  <w:tcW w:w="457" w:type="pct"/>
                  <w:tcBorders>
                    <w:tl2br w:val="nil"/>
                    <w:tr2bl w:val="nil"/>
                  </w:tcBorders>
                  <w:noWrap w:val="0"/>
                  <w:vAlign w:val="center"/>
                </w:tcPr>
                <w:p w14:paraId="73874C9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39A687B4">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0.003</w:t>
                  </w:r>
                  <w:r>
                    <w:rPr>
                      <w:rFonts w:hint="eastAsia" w:ascii="Times New Roman" w:hAnsi="Times New Roman" w:eastAsia="Times New Roman" w:cs="Times New Roman"/>
                      <w:color w:val="auto"/>
                      <w:sz w:val="21"/>
                      <w:szCs w:val="21"/>
                      <w:lang w:val="en-US" w:eastAsia="zh-CN"/>
                    </w:rPr>
                    <w:t>2</w:t>
                  </w:r>
                </w:p>
              </w:tc>
              <w:tc>
                <w:tcPr>
                  <w:tcW w:w="615" w:type="pct"/>
                  <w:tcBorders>
                    <w:tl2br w:val="nil"/>
                    <w:tr2bl w:val="nil"/>
                  </w:tcBorders>
                  <w:noWrap w:val="0"/>
                  <w:vAlign w:val="center"/>
                </w:tcPr>
                <w:p w14:paraId="6983F263">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0.003</w:t>
                  </w:r>
                  <w:r>
                    <w:rPr>
                      <w:rFonts w:hint="eastAsia" w:ascii="Times New Roman" w:hAnsi="Times New Roman" w:eastAsia="Times New Roman" w:cs="Times New Roman"/>
                      <w:color w:val="auto"/>
                      <w:sz w:val="21"/>
                      <w:szCs w:val="21"/>
                      <w:lang w:val="en-US" w:eastAsia="zh-CN"/>
                    </w:rPr>
                    <w:t>7</w:t>
                  </w:r>
                </w:p>
              </w:tc>
              <w:tc>
                <w:tcPr>
                  <w:tcW w:w="608" w:type="pct"/>
                  <w:tcBorders>
                    <w:tl2br w:val="nil"/>
                    <w:tr2bl w:val="nil"/>
                  </w:tcBorders>
                  <w:noWrap w:val="0"/>
                  <w:vAlign w:val="center"/>
                </w:tcPr>
                <w:p w14:paraId="05D007BD">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0.003</w:t>
                  </w:r>
                  <w:r>
                    <w:rPr>
                      <w:rFonts w:hint="eastAsia" w:ascii="Times New Roman" w:hAnsi="Times New Roman" w:eastAsia="Times New Roman" w:cs="Times New Roman"/>
                      <w:color w:val="auto"/>
                      <w:sz w:val="21"/>
                      <w:szCs w:val="21"/>
                      <w:lang w:val="en-US" w:eastAsia="zh-CN"/>
                    </w:rPr>
                    <w:t>4</w:t>
                  </w:r>
                </w:p>
              </w:tc>
              <w:tc>
                <w:tcPr>
                  <w:tcW w:w="1273" w:type="pct"/>
                  <w:tcBorders>
                    <w:tl2br w:val="nil"/>
                    <w:tr2bl w:val="nil"/>
                  </w:tcBorders>
                  <w:noWrap w:val="0"/>
                  <w:vAlign w:val="center"/>
                </w:tcPr>
                <w:p w14:paraId="0E6827C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0.05</w:t>
                  </w:r>
                </w:p>
              </w:tc>
              <w:tc>
                <w:tcPr>
                  <w:tcW w:w="320" w:type="pct"/>
                  <w:tcBorders>
                    <w:tl2br w:val="nil"/>
                    <w:tr2bl w:val="nil"/>
                  </w:tcBorders>
                  <w:noWrap w:val="0"/>
                  <w:vAlign w:val="center"/>
                </w:tcPr>
                <w:p w14:paraId="6E5724D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0507B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2D5EE2A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汞</w:t>
                  </w:r>
                </w:p>
              </w:tc>
              <w:tc>
                <w:tcPr>
                  <w:tcW w:w="457" w:type="pct"/>
                  <w:tcBorders>
                    <w:tl2br w:val="nil"/>
                    <w:tr2bl w:val="nil"/>
                  </w:tcBorders>
                  <w:noWrap w:val="0"/>
                  <w:vAlign w:val="center"/>
                </w:tcPr>
                <w:p w14:paraId="6741B37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52E4502F">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0.0000</w:t>
                  </w:r>
                  <w:r>
                    <w:rPr>
                      <w:rFonts w:hint="eastAsia" w:ascii="Times New Roman" w:hAnsi="Times New Roman" w:eastAsia="Times New Roman" w:cs="Times New Roman"/>
                      <w:color w:val="auto"/>
                      <w:sz w:val="21"/>
                      <w:szCs w:val="21"/>
                      <w:lang w:val="en-US" w:eastAsia="zh-CN"/>
                    </w:rPr>
                    <w:t>7</w:t>
                  </w:r>
                </w:p>
              </w:tc>
              <w:tc>
                <w:tcPr>
                  <w:tcW w:w="615" w:type="pct"/>
                  <w:tcBorders>
                    <w:tl2br w:val="nil"/>
                    <w:tr2bl w:val="nil"/>
                  </w:tcBorders>
                  <w:noWrap w:val="0"/>
                  <w:vAlign w:val="center"/>
                </w:tcPr>
                <w:p w14:paraId="1EA1BE85">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0.0000</w:t>
                  </w:r>
                  <w:r>
                    <w:rPr>
                      <w:rFonts w:hint="eastAsia" w:ascii="Times New Roman" w:hAnsi="Times New Roman" w:eastAsia="Times New Roman" w:cs="Times New Roman"/>
                      <w:color w:val="auto"/>
                      <w:sz w:val="21"/>
                      <w:szCs w:val="21"/>
                      <w:lang w:val="en-US" w:eastAsia="zh-CN"/>
                    </w:rPr>
                    <w:t>6</w:t>
                  </w:r>
                </w:p>
              </w:tc>
              <w:tc>
                <w:tcPr>
                  <w:tcW w:w="608" w:type="pct"/>
                  <w:tcBorders>
                    <w:tl2br w:val="nil"/>
                    <w:tr2bl w:val="nil"/>
                  </w:tcBorders>
                  <w:noWrap w:val="0"/>
                  <w:vAlign w:val="center"/>
                </w:tcPr>
                <w:p w14:paraId="5D3E0535">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0.0000</w:t>
                  </w:r>
                  <w:r>
                    <w:rPr>
                      <w:rFonts w:hint="eastAsia" w:ascii="Times New Roman" w:hAnsi="Times New Roman" w:eastAsia="Times New Roman" w:cs="Times New Roman"/>
                      <w:color w:val="auto"/>
                      <w:sz w:val="21"/>
                      <w:szCs w:val="21"/>
                      <w:lang w:val="en-US" w:eastAsia="zh-CN"/>
                    </w:rPr>
                    <w:t>6</w:t>
                  </w:r>
                </w:p>
              </w:tc>
              <w:tc>
                <w:tcPr>
                  <w:tcW w:w="1273" w:type="pct"/>
                  <w:tcBorders>
                    <w:tl2br w:val="nil"/>
                    <w:tr2bl w:val="nil"/>
                  </w:tcBorders>
                  <w:noWrap w:val="0"/>
                  <w:vAlign w:val="center"/>
                </w:tcPr>
                <w:p w14:paraId="565D359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0.00005</w:t>
                  </w:r>
                </w:p>
              </w:tc>
              <w:tc>
                <w:tcPr>
                  <w:tcW w:w="320" w:type="pct"/>
                  <w:tcBorders>
                    <w:tl2br w:val="nil"/>
                    <w:tr2bl w:val="nil"/>
                  </w:tcBorders>
                  <w:noWrap w:val="0"/>
                  <w:vAlign w:val="center"/>
                </w:tcPr>
                <w:p w14:paraId="5BA2306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1EBC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246B5A6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镉</w:t>
                  </w:r>
                </w:p>
              </w:tc>
              <w:tc>
                <w:tcPr>
                  <w:tcW w:w="457" w:type="pct"/>
                  <w:tcBorders>
                    <w:tl2br w:val="nil"/>
                    <w:tr2bl w:val="nil"/>
                  </w:tcBorders>
                  <w:noWrap w:val="0"/>
                  <w:vAlign w:val="center"/>
                </w:tcPr>
                <w:p w14:paraId="6A51495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37B4BCC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0.00014</w:t>
                  </w:r>
                </w:p>
              </w:tc>
              <w:tc>
                <w:tcPr>
                  <w:tcW w:w="615" w:type="pct"/>
                  <w:tcBorders>
                    <w:tl2br w:val="nil"/>
                    <w:tr2bl w:val="nil"/>
                  </w:tcBorders>
                  <w:noWrap w:val="0"/>
                  <w:vAlign w:val="center"/>
                </w:tcPr>
                <w:p w14:paraId="567C2C68">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0.0001</w:t>
                  </w:r>
                  <w:r>
                    <w:rPr>
                      <w:rFonts w:hint="eastAsia" w:ascii="Times New Roman" w:hAnsi="Times New Roman" w:eastAsia="Times New Roman" w:cs="Times New Roman"/>
                      <w:color w:val="auto"/>
                      <w:sz w:val="21"/>
                      <w:szCs w:val="21"/>
                      <w:lang w:val="en-US" w:eastAsia="zh-CN"/>
                    </w:rPr>
                    <w:t>8</w:t>
                  </w:r>
                </w:p>
              </w:tc>
              <w:tc>
                <w:tcPr>
                  <w:tcW w:w="608" w:type="pct"/>
                  <w:tcBorders>
                    <w:tl2br w:val="nil"/>
                    <w:tr2bl w:val="nil"/>
                  </w:tcBorders>
                  <w:noWrap w:val="0"/>
                  <w:vAlign w:val="center"/>
                </w:tcPr>
                <w:p w14:paraId="5E472CDF">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0.0001</w:t>
                  </w:r>
                  <w:r>
                    <w:rPr>
                      <w:rFonts w:hint="eastAsia" w:ascii="Times New Roman" w:hAnsi="Times New Roman" w:eastAsia="Times New Roman" w:cs="Times New Roman"/>
                      <w:color w:val="auto"/>
                      <w:sz w:val="21"/>
                      <w:szCs w:val="21"/>
                      <w:lang w:val="en-US" w:eastAsia="zh-CN"/>
                    </w:rPr>
                    <w:t>4</w:t>
                  </w:r>
                </w:p>
              </w:tc>
              <w:tc>
                <w:tcPr>
                  <w:tcW w:w="1273" w:type="pct"/>
                  <w:tcBorders>
                    <w:tl2br w:val="nil"/>
                    <w:tr2bl w:val="nil"/>
                  </w:tcBorders>
                  <w:noWrap w:val="0"/>
                  <w:vAlign w:val="center"/>
                </w:tcPr>
                <w:p w14:paraId="083CE7E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0.005</w:t>
                  </w:r>
                </w:p>
              </w:tc>
              <w:tc>
                <w:tcPr>
                  <w:tcW w:w="320" w:type="pct"/>
                  <w:tcBorders>
                    <w:tl2br w:val="nil"/>
                    <w:tr2bl w:val="nil"/>
                  </w:tcBorders>
                  <w:noWrap w:val="0"/>
                  <w:vAlign w:val="center"/>
                </w:tcPr>
                <w:p w14:paraId="01295D1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39F1A1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5170058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铬（六价）</w:t>
                  </w:r>
                </w:p>
              </w:tc>
              <w:tc>
                <w:tcPr>
                  <w:tcW w:w="457" w:type="pct"/>
                  <w:tcBorders>
                    <w:tl2br w:val="nil"/>
                    <w:tr2bl w:val="nil"/>
                  </w:tcBorders>
                  <w:noWrap w:val="0"/>
                  <w:vAlign w:val="center"/>
                </w:tcPr>
                <w:p w14:paraId="291C4B6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7151D00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0.004L</w:t>
                  </w:r>
                </w:p>
              </w:tc>
              <w:tc>
                <w:tcPr>
                  <w:tcW w:w="615" w:type="pct"/>
                  <w:tcBorders>
                    <w:tl2br w:val="nil"/>
                    <w:tr2bl w:val="nil"/>
                  </w:tcBorders>
                  <w:noWrap w:val="0"/>
                  <w:vAlign w:val="center"/>
                </w:tcPr>
                <w:p w14:paraId="61F65E9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0.004L</w:t>
                  </w:r>
                </w:p>
              </w:tc>
              <w:tc>
                <w:tcPr>
                  <w:tcW w:w="608" w:type="pct"/>
                  <w:tcBorders>
                    <w:tl2br w:val="nil"/>
                    <w:tr2bl w:val="nil"/>
                  </w:tcBorders>
                  <w:noWrap w:val="0"/>
                  <w:vAlign w:val="center"/>
                </w:tcPr>
                <w:p w14:paraId="1BE19B7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0.004L</w:t>
                  </w:r>
                </w:p>
              </w:tc>
              <w:tc>
                <w:tcPr>
                  <w:tcW w:w="1273" w:type="pct"/>
                  <w:tcBorders>
                    <w:tl2br w:val="nil"/>
                    <w:tr2bl w:val="nil"/>
                  </w:tcBorders>
                  <w:noWrap w:val="0"/>
                  <w:vAlign w:val="center"/>
                </w:tcPr>
                <w:p w14:paraId="7A468DE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0.05</w:t>
                  </w:r>
                </w:p>
              </w:tc>
              <w:tc>
                <w:tcPr>
                  <w:tcW w:w="320" w:type="pct"/>
                  <w:tcBorders>
                    <w:tl2br w:val="nil"/>
                    <w:tr2bl w:val="nil"/>
                  </w:tcBorders>
                  <w:noWrap w:val="0"/>
                  <w:vAlign w:val="center"/>
                </w:tcPr>
                <w:p w14:paraId="347EE94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D1B1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13A2450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铅</w:t>
                  </w:r>
                </w:p>
              </w:tc>
              <w:tc>
                <w:tcPr>
                  <w:tcW w:w="457" w:type="pct"/>
                  <w:tcBorders>
                    <w:tl2br w:val="nil"/>
                    <w:tr2bl w:val="nil"/>
                  </w:tcBorders>
                  <w:noWrap w:val="0"/>
                  <w:vAlign w:val="center"/>
                </w:tcPr>
                <w:p w14:paraId="09D6CA2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080D0E8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0.00020</w:t>
                  </w:r>
                </w:p>
              </w:tc>
              <w:tc>
                <w:tcPr>
                  <w:tcW w:w="615" w:type="pct"/>
                  <w:tcBorders>
                    <w:tl2br w:val="nil"/>
                    <w:tr2bl w:val="nil"/>
                  </w:tcBorders>
                  <w:noWrap w:val="0"/>
                  <w:vAlign w:val="center"/>
                </w:tcPr>
                <w:p w14:paraId="15B769F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0.00016</w:t>
                  </w:r>
                </w:p>
              </w:tc>
              <w:tc>
                <w:tcPr>
                  <w:tcW w:w="608" w:type="pct"/>
                  <w:tcBorders>
                    <w:tl2br w:val="nil"/>
                    <w:tr2bl w:val="nil"/>
                  </w:tcBorders>
                  <w:noWrap w:val="0"/>
                  <w:vAlign w:val="center"/>
                </w:tcPr>
                <w:p w14:paraId="5E06C1D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0.00011</w:t>
                  </w:r>
                </w:p>
              </w:tc>
              <w:tc>
                <w:tcPr>
                  <w:tcW w:w="1273" w:type="pct"/>
                  <w:tcBorders>
                    <w:tl2br w:val="nil"/>
                    <w:tr2bl w:val="nil"/>
                  </w:tcBorders>
                  <w:noWrap w:val="0"/>
                  <w:vAlign w:val="center"/>
                </w:tcPr>
                <w:p w14:paraId="02D202C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0.01</w:t>
                  </w:r>
                </w:p>
              </w:tc>
              <w:tc>
                <w:tcPr>
                  <w:tcW w:w="320" w:type="pct"/>
                  <w:tcBorders>
                    <w:tl2br w:val="nil"/>
                    <w:tr2bl w:val="nil"/>
                  </w:tcBorders>
                  <w:noWrap w:val="0"/>
                  <w:vAlign w:val="center"/>
                </w:tcPr>
                <w:p w14:paraId="0C409C5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4FFA6C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0C45680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氟化物</w:t>
                  </w:r>
                </w:p>
              </w:tc>
              <w:tc>
                <w:tcPr>
                  <w:tcW w:w="457" w:type="pct"/>
                  <w:tcBorders>
                    <w:tl2br w:val="nil"/>
                    <w:tr2bl w:val="nil"/>
                  </w:tcBorders>
                  <w:noWrap w:val="0"/>
                  <w:vAlign w:val="center"/>
                </w:tcPr>
                <w:p w14:paraId="1D77259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10367FF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1.23</w:t>
                  </w:r>
                </w:p>
              </w:tc>
              <w:tc>
                <w:tcPr>
                  <w:tcW w:w="615" w:type="pct"/>
                  <w:tcBorders>
                    <w:tl2br w:val="nil"/>
                    <w:tr2bl w:val="nil"/>
                  </w:tcBorders>
                  <w:noWrap w:val="0"/>
                  <w:vAlign w:val="center"/>
                </w:tcPr>
                <w:p w14:paraId="7442FB5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1.38</w:t>
                  </w:r>
                </w:p>
              </w:tc>
              <w:tc>
                <w:tcPr>
                  <w:tcW w:w="608" w:type="pct"/>
                  <w:tcBorders>
                    <w:tl2br w:val="nil"/>
                    <w:tr2bl w:val="nil"/>
                  </w:tcBorders>
                  <w:noWrap w:val="0"/>
                  <w:vAlign w:val="center"/>
                </w:tcPr>
                <w:p w14:paraId="33DC7E5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1.27</w:t>
                  </w:r>
                </w:p>
              </w:tc>
              <w:tc>
                <w:tcPr>
                  <w:tcW w:w="1273" w:type="pct"/>
                  <w:tcBorders>
                    <w:tl2br w:val="nil"/>
                    <w:tr2bl w:val="nil"/>
                  </w:tcBorders>
                  <w:noWrap w:val="0"/>
                  <w:vAlign w:val="center"/>
                </w:tcPr>
                <w:p w14:paraId="683A442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≤1.0</w:t>
                  </w:r>
                </w:p>
              </w:tc>
              <w:tc>
                <w:tcPr>
                  <w:tcW w:w="320" w:type="pct"/>
                  <w:tcBorders>
                    <w:tl2br w:val="nil"/>
                    <w:tr2bl w:val="nil"/>
                  </w:tcBorders>
                  <w:noWrap w:val="0"/>
                  <w:vAlign w:val="center"/>
                </w:tcPr>
                <w:p w14:paraId="11911312">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21386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1F50FAD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氰化物</w:t>
                  </w:r>
                </w:p>
              </w:tc>
              <w:tc>
                <w:tcPr>
                  <w:tcW w:w="457" w:type="pct"/>
                  <w:tcBorders>
                    <w:tl2br w:val="nil"/>
                    <w:tr2bl w:val="nil"/>
                  </w:tcBorders>
                  <w:noWrap w:val="0"/>
                  <w:vAlign w:val="center"/>
                </w:tcPr>
                <w:p w14:paraId="6BD1574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70FD9F8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0.004L</w:t>
                  </w:r>
                </w:p>
              </w:tc>
              <w:tc>
                <w:tcPr>
                  <w:tcW w:w="615" w:type="pct"/>
                  <w:tcBorders>
                    <w:tl2br w:val="nil"/>
                    <w:tr2bl w:val="nil"/>
                  </w:tcBorders>
                  <w:noWrap w:val="0"/>
                  <w:vAlign w:val="center"/>
                </w:tcPr>
                <w:p w14:paraId="6A18DCB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0.004L</w:t>
                  </w:r>
                </w:p>
              </w:tc>
              <w:tc>
                <w:tcPr>
                  <w:tcW w:w="608" w:type="pct"/>
                  <w:tcBorders>
                    <w:tl2br w:val="nil"/>
                    <w:tr2bl w:val="nil"/>
                  </w:tcBorders>
                  <w:noWrap w:val="0"/>
                  <w:vAlign w:val="center"/>
                </w:tcPr>
                <w:p w14:paraId="29245F3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0.004L</w:t>
                  </w:r>
                </w:p>
              </w:tc>
              <w:tc>
                <w:tcPr>
                  <w:tcW w:w="1273" w:type="pct"/>
                  <w:tcBorders>
                    <w:tl2br w:val="nil"/>
                    <w:tr2bl w:val="nil"/>
                  </w:tcBorders>
                  <w:noWrap w:val="0"/>
                  <w:vAlign w:val="center"/>
                </w:tcPr>
                <w:p w14:paraId="63FEA61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0.05</w:t>
                  </w:r>
                </w:p>
              </w:tc>
              <w:tc>
                <w:tcPr>
                  <w:tcW w:w="320" w:type="pct"/>
                  <w:tcBorders>
                    <w:tl2br w:val="nil"/>
                    <w:tr2bl w:val="nil"/>
                  </w:tcBorders>
                  <w:noWrap w:val="0"/>
                  <w:vAlign w:val="center"/>
                </w:tcPr>
                <w:p w14:paraId="7E9CFB7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576C9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7E0F2154">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挥发酚</w:t>
                  </w:r>
                </w:p>
              </w:tc>
              <w:tc>
                <w:tcPr>
                  <w:tcW w:w="457" w:type="pct"/>
                  <w:tcBorders>
                    <w:tl2br w:val="nil"/>
                    <w:tr2bl w:val="nil"/>
                  </w:tcBorders>
                  <w:noWrap w:val="0"/>
                  <w:vAlign w:val="center"/>
                </w:tcPr>
                <w:p w14:paraId="23488C3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1EC63C8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0.0003L</w:t>
                  </w:r>
                </w:p>
              </w:tc>
              <w:tc>
                <w:tcPr>
                  <w:tcW w:w="615" w:type="pct"/>
                  <w:tcBorders>
                    <w:tl2br w:val="nil"/>
                    <w:tr2bl w:val="nil"/>
                  </w:tcBorders>
                  <w:noWrap w:val="0"/>
                  <w:vAlign w:val="center"/>
                </w:tcPr>
                <w:p w14:paraId="19C6949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0.0003L</w:t>
                  </w:r>
                </w:p>
              </w:tc>
              <w:tc>
                <w:tcPr>
                  <w:tcW w:w="608" w:type="pct"/>
                  <w:tcBorders>
                    <w:tl2br w:val="nil"/>
                    <w:tr2bl w:val="nil"/>
                  </w:tcBorders>
                  <w:noWrap w:val="0"/>
                  <w:vAlign w:val="center"/>
                </w:tcPr>
                <w:p w14:paraId="249653E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0.0003L</w:t>
                  </w:r>
                </w:p>
              </w:tc>
              <w:tc>
                <w:tcPr>
                  <w:tcW w:w="1273" w:type="pct"/>
                  <w:tcBorders>
                    <w:tl2br w:val="nil"/>
                    <w:tr2bl w:val="nil"/>
                  </w:tcBorders>
                  <w:noWrap w:val="0"/>
                  <w:vAlign w:val="center"/>
                </w:tcPr>
                <w:p w14:paraId="044E937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0.002</w:t>
                  </w:r>
                </w:p>
              </w:tc>
              <w:tc>
                <w:tcPr>
                  <w:tcW w:w="320" w:type="pct"/>
                  <w:tcBorders>
                    <w:tl2br w:val="nil"/>
                    <w:tr2bl w:val="nil"/>
                  </w:tcBorders>
                  <w:noWrap w:val="0"/>
                  <w:vAlign w:val="center"/>
                </w:tcPr>
                <w:p w14:paraId="7E189CF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78084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49AE91F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石油类</w:t>
                  </w:r>
                </w:p>
              </w:tc>
              <w:tc>
                <w:tcPr>
                  <w:tcW w:w="457" w:type="pct"/>
                  <w:tcBorders>
                    <w:tl2br w:val="nil"/>
                    <w:tr2bl w:val="nil"/>
                  </w:tcBorders>
                  <w:noWrap w:val="0"/>
                  <w:vAlign w:val="center"/>
                </w:tcPr>
                <w:p w14:paraId="359D918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2D22D47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0.45</w:t>
                  </w:r>
                </w:p>
              </w:tc>
              <w:tc>
                <w:tcPr>
                  <w:tcW w:w="615" w:type="pct"/>
                  <w:tcBorders>
                    <w:tl2br w:val="nil"/>
                    <w:tr2bl w:val="nil"/>
                  </w:tcBorders>
                  <w:noWrap w:val="0"/>
                  <w:vAlign w:val="center"/>
                </w:tcPr>
                <w:p w14:paraId="3742FF9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0.46</w:t>
                  </w:r>
                </w:p>
              </w:tc>
              <w:tc>
                <w:tcPr>
                  <w:tcW w:w="608" w:type="pct"/>
                  <w:tcBorders>
                    <w:tl2br w:val="nil"/>
                    <w:tr2bl w:val="nil"/>
                  </w:tcBorders>
                  <w:noWrap w:val="0"/>
                  <w:vAlign w:val="center"/>
                </w:tcPr>
                <w:p w14:paraId="6E54E09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0.41</w:t>
                  </w:r>
                </w:p>
              </w:tc>
              <w:tc>
                <w:tcPr>
                  <w:tcW w:w="1273" w:type="pct"/>
                  <w:tcBorders>
                    <w:tl2br w:val="nil"/>
                    <w:tr2bl w:val="nil"/>
                  </w:tcBorders>
                  <w:noWrap w:val="0"/>
                  <w:vAlign w:val="center"/>
                </w:tcPr>
                <w:p w14:paraId="528B3FBB">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0.05</w:t>
                  </w:r>
                </w:p>
              </w:tc>
              <w:tc>
                <w:tcPr>
                  <w:tcW w:w="320" w:type="pct"/>
                  <w:tcBorders>
                    <w:tl2br w:val="nil"/>
                    <w:tr2bl w:val="nil"/>
                  </w:tcBorders>
                  <w:noWrap w:val="0"/>
                  <w:vAlign w:val="center"/>
                </w:tcPr>
                <w:p w14:paraId="42AAAF48">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591BB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77CD8CF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阴离子表面活性剂</w:t>
                  </w:r>
                </w:p>
              </w:tc>
              <w:tc>
                <w:tcPr>
                  <w:tcW w:w="457" w:type="pct"/>
                  <w:tcBorders>
                    <w:tl2br w:val="nil"/>
                    <w:tr2bl w:val="nil"/>
                  </w:tcBorders>
                  <w:noWrap w:val="0"/>
                  <w:vAlign w:val="center"/>
                </w:tcPr>
                <w:p w14:paraId="689BB00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7AE9D98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0.059</w:t>
                  </w:r>
                </w:p>
              </w:tc>
              <w:tc>
                <w:tcPr>
                  <w:tcW w:w="615" w:type="pct"/>
                  <w:tcBorders>
                    <w:tl2br w:val="nil"/>
                    <w:tr2bl w:val="nil"/>
                  </w:tcBorders>
                  <w:noWrap w:val="0"/>
                  <w:vAlign w:val="center"/>
                </w:tcPr>
                <w:p w14:paraId="2FA33D8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0.073</w:t>
                  </w:r>
                </w:p>
              </w:tc>
              <w:tc>
                <w:tcPr>
                  <w:tcW w:w="608" w:type="pct"/>
                  <w:tcBorders>
                    <w:tl2br w:val="nil"/>
                    <w:tr2bl w:val="nil"/>
                  </w:tcBorders>
                  <w:noWrap w:val="0"/>
                  <w:vAlign w:val="center"/>
                </w:tcPr>
                <w:p w14:paraId="5A8D2EE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0.05L</w:t>
                  </w:r>
                </w:p>
              </w:tc>
              <w:tc>
                <w:tcPr>
                  <w:tcW w:w="1273" w:type="pct"/>
                  <w:tcBorders>
                    <w:tl2br w:val="nil"/>
                    <w:tr2bl w:val="nil"/>
                  </w:tcBorders>
                  <w:noWrap w:val="0"/>
                  <w:vAlign w:val="center"/>
                </w:tcPr>
                <w:p w14:paraId="342443F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0.2</w:t>
                  </w:r>
                </w:p>
              </w:tc>
              <w:tc>
                <w:tcPr>
                  <w:tcW w:w="320" w:type="pct"/>
                  <w:tcBorders>
                    <w:tl2br w:val="nil"/>
                    <w:tr2bl w:val="nil"/>
                  </w:tcBorders>
                  <w:noWrap w:val="0"/>
                  <w:vAlign w:val="center"/>
                </w:tcPr>
                <w:p w14:paraId="12164A0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64AE18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149D4A1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硫化物</w:t>
                  </w:r>
                </w:p>
              </w:tc>
              <w:tc>
                <w:tcPr>
                  <w:tcW w:w="457" w:type="pct"/>
                  <w:tcBorders>
                    <w:tl2br w:val="nil"/>
                    <w:tr2bl w:val="nil"/>
                  </w:tcBorders>
                  <w:noWrap w:val="0"/>
                  <w:vAlign w:val="center"/>
                </w:tcPr>
                <w:p w14:paraId="7794447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6F5003A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0.01L</w:t>
                  </w:r>
                </w:p>
              </w:tc>
              <w:tc>
                <w:tcPr>
                  <w:tcW w:w="615" w:type="pct"/>
                  <w:tcBorders>
                    <w:tl2br w:val="nil"/>
                    <w:tr2bl w:val="nil"/>
                  </w:tcBorders>
                  <w:noWrap w:val="0"/>
                  <w:vAlign w:val="center"/>
                </w:tcPr>
                <w:p w14:paraId="51C639CE">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0.01L</w:t>
                  </w:r>
                </w:p>
              </w:tc>
              <w:tc>
                <w:tcPr>
                  <w:tcW w:w="608" w:type="pct"/>
                  <w:tcBorders>
                    <w:tl2br w:val="nil"/>
                    <w:tr2bl w:val="nil"/>
                  </w:tcBorders>
                  <w:noWrap w:val="0"/>
                  <w:vAlign w:val="center"/>
                </w:tcPr>
                <w:p w14:paraId="22E795A3">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0.01L</w:t>
                  </w:r>
                </w:p>
              </w:tc>
              <w:tc>
                <w:tcPr>
                  <w:tcW w:w="1273" w:type="pct"/>
                  <w:tcBorders>
                    <w:tl2br w:val="nil"/>
                    <w:tr2bl w:val="nil"/>
                  </w:tcBorders>
                  <w:noWrap w:val="0"/>
                  <w:vAlign w:val="center"/>
                </w:tcPr>
                <w:p w14:paraId="4292067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0.1</w:t>
                  </w:r>
                </w:p>
              </w:tc>
              <w:tc>
                <w:tcPr>
                  <w:tcW w:w="320" w:type="pct"/>
                  <w:tcBorders>
                    <w:tl2br w:val="nil"/>
                    <w:tr2bl w:val="nil"/>
                  </w:tcBorders>
                  <w:noWrap w:val="0"/>
                  <w:vAlign w:val="center"/>
                </w:tcPr>
                <w:p w14:paraId="09E1EB8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7A390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6356E94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粪大肠菌群</w:t>
                  </w:r>
                </w:p>
              </w:tc>
              <w:tc>
                <w:tcPr>
                  <w:tcW w:w="457" w:type="pct"/>
                  <w:tcBorders>
                    <w:tl2br w:val="nil"/>
                    <w:tr2bl w:val="nil"/>
                  </w:tcBorders>
                  <w:noWrap w:val="0"/>
                  <w:vAlign w:val="center"/>
                </w:tcPr>
                <w:p w14:paraId="18DF7875">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个/L</w:t>
                  </w:r>
                </w:p>
              </w:tc>
              <w:tc>
                <w:tcPr>
                  <w:tcW w:w="623" w:type="pct"/>
                  <w:tcBorders>
                    <w:tl2br w:val="nil"/>
                    <w:tr2bl w:val="nil"/>
                  </w:tcBorders>
                  <w:noWrap w:val="0"/>
                  <w:vAlign w:val="center"/>
                </w:tcPr>
                <w:p w14:paraId="2D40C3E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1.4×104</w:t>
                  </w:r>
                </w:p>
              </w:tc>
              <w:tc>
                <w:tcPr>
                  <w:tcW w:w="615" w:type="pct"/>
                  <w:tcBorders>
                    <w:tl2br w:val="nil"/>
                    <w:tr2bl w:val="nil"/>
                  </w:tcBorders>
                  <w:noWrap w:val="0"/>
                  <w:vAlign w:val="center"/>
                </w:tcPr>
                <w:p w14:paraId="617A8D36">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9.4×10</w:t>
                  </w:r>
                  <w:r>
                    <w:rPr>
                      <w:rFonts w:hint="eastAsia" w:ascii="Times New Roman" w:hAnsi="Times New Roman" w:eastAsia="Times New Roman" w:cs="Times New Roman"/>
                      <w:color w:val="auto"/>
                      <w:sz w:val="21"/>
                      <w:szCs w:val="21"/>
                      <w:lang w:val="en-US" w:eastAsia="zh-CN"/>
                    </w:rPr>
                    <w:t>3</w:t>
                  </w:r>
                </w:p>
              </w:tc>
              <w:tc>
                <w:tcPr>
                  <w:tcW w:w="608" w:type="pct"/>
                  <w:tcBorders>
                    <w:tl2br w:val="nil"/>
                    <w:tr2bl w:val="nil"/>
                  </w:tcBorders>
                  <w:noWrap w:val="0"/>
                  <w:vAlign w:val="center"/>
                </w:tcPr>
                <w:p w14:paraId="5126DE8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4.9×10</w:t>
                  </w:r>
                  <w:r>
                    <w:rPr>
                      <w:rFonts w:hint="eastAsia" w:ascii="Times New Roman" w:hAnsi="Times New Roman" w:eastAsia="Times New Roman" w:cs="Times New Roman"/>
                      <w:color w:val="auto"/>
                      <w:sz w:val="21"/>
                      <w:szCs w:val="21"/>
                      <w:lang w:val="en-US" w:eastAsia="zh-CN"/>
                    </w:rPr>
                    <w:t>3</w:t>
                  </w:r>
                </w:p>
              </w:tc>
              <w:tc>
                <w:tcPr>
                  <w:tcW w:w="1273" w:type="pct"/>
                  <w:tcBorders>
                    <w:tl2br w:val="nil"/>
                    <w:tr2bl w:val="nil"/>
                  </w:tcBorders>
                  <w:noWrap w:val="0"/>
                  <w:vAlign w:val="center"/>
                </w:tcPr>
                <w:p w14:paraId="7D395AA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w:t>
                  </w:r>
                  <w:r>
                    <w:rPr>
                      <w:rFonts w:hint="eastAsia" w:ascii="Times New Roman" w:hAnsi="Times New Roman" w:eastAsia="Times New Roman" w:cs="Times New Roman"/>
                      <w:color w:val="auto"/>
                      <w:sz w:val="21"/>
                      <w:szCs w:val="21"/>
                      <w:lang w:val="en-US" w:eastAsia="zh-CN"/>
                    </w:rPr>
                    <w:t>2000</w:t>
                  </w:r>
                </w:p>
              </w:tc>
              <w:tc>
                <w:tcPr>
                  <w:tcW w:w="320" w:type="pct"/>
                  <w:tcBorders>
                    <w:tl2br w:val="nil"/>
                    <w:tr2bl w:val="nil"/>
                  </w:tcBorders>
                  <w:noWrap w:val="0"/>
                  <w:vAlign w:val="center"/>
                </w:tcPr>
                <w:p w14:paraId="301B252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达标</w:t>
                  </w:r>
                </w:p>
              </w:tc>
            </w:tr>
            <w:tr w14:paraId="0E2BA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661834D1">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全盐量</w:t>
                  </w:r>
                </w:p>
              </w:tc>
              <w:tc>
                <w:tcPr>
                  <w:tcW w:w="457" w:type="pct"/>
                  <w:tcBorders>
                    <w:tl2br w:val="nil"/>
                    <w:tr2bl w:val="nil"/>
                  </w:tcBorders>
                  <w:noWrap w:val="0"/>
                  <w:vAlign w:val="center"/>
                </w:tcPr>
                <w:p w14:paraId="1E7EC6E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5723363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462</w:t>
                  </w:r>
                </w:p>
              </w:tc>
              <w:tc>
                <w:tcPr>
                  <w:tcW w:w="615" w:type="pct"/>
                  <w:tcBorders>
                    <w:tl2br w:val="nil"/>
                    <w:tr2bl w:val="nil"/>
                  </w:tcBorders>
                  <w:noWrap w:val="0"/>
                  <w:vAlign w:val="center"/>
                </w:tcPr>
                <w:p w14:paraId="1215107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460</w:t>
                  </w:r>
                </w:p>
              </w:tc>
              <w:tc>
                <w:tcPr>
                  <w:tcW w:w="608" w:type="pct"/>
                  <w:tcBorders>
                    <w:tl2br w:val="nil"/>
                    <w:tr2bl w:val="nil"/>
                  </w:tcBorders>
                  <w:noWrap w:val="0"/>
                  <w:vAlign w:val="center"/>
                </w:tcPr>
                <w:p w14:paraId="0A20E341">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428</w:t>
                  </w:r>
                </w:p>
              </w:tc>
              <w:tc>
                <w:tcPr>
                  <w:tcW w:w="1273" w:type="pct"/>
                  <w:tcBorders>
                    <w:tl2br w:val="nil"/>
                    <w:tr2bl w:val="nil"/>
                  </w:tcBorders>
                  <w:noWrap w:val="0"/>
                  <w:vAlign w:val="center"/>
                </w:tcPr>
                <w:p w14:paraId="6328C969">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c>
                <w:tcPr>
                  <w:tcW w:w="320" w:type="pct"/>
                  <w:tcBorders>
                    <w:tl2br w:val="nil"/>
                    <w:tr2bl w:val="nil"/>
                  </w:tcBorders>
                  <w:noWrap w:val="0"/>
                  <w:vAlign w:val="center"/>
                </w:tcPr>
                <w:p w14:paraId="64C9E1C2">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r>
            <w:tr w14:paraId="7DDF2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0" w:type="pct"/>
                  <w:tcBorders>
                    <w:tl2br w:val="nil"/>
                    <w:tr2bl w:val="nil"/>
                  </w:tcBorders>
                  <w:noWrap w:val="0"/>
                  <w:vAlign w:val="center"/>
                </w:tcPr>
                <w:p w14:paraId="1482248E">
                  <w:pPr>
                    <w:spacing w:before="110" w:line="199"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悬浮物</w:t>
                  </w:r>
                </w:p>
              </w:tc>
              <w:tc>
                <w:tcPr>
                  <w:tcW w:w="457" w:type="pct"/>
                  <w:tcBorders>
                    <w:tl2br w:val="nil"/>
                    <w:tr2bl w:val="nil"/>
                  </w:tcBorders>
                  <w:noWrap w:val="0"/>
                  <w:vAlign w:val="center"/>
                </w:tcPr>
                <w:p w14:paraId="5E697ED7">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mg/L</w:t>
                  </w:r>
                </w:p>
              </w:tc>
              <w:tc>
                <w:tcPr>
                  <w:tcW w:w="623" w:type="pct"/>
                  <w:tcBorders>
                    <w:tl2br w:val="nil"/>
                    <w:tr2bl w:val="nil"/>
                  </w:tcBorders>
                  <w:noWrap w:val="0"/>
                  <w:vAlign w:val="center"/>
                </w:tcPr>
                <w:p w14:paraId="1A662EE0">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6</w:t>
                  </w:r>
                </w:p>
              </w:tc>
              <w:tc>
                <w:tcPr>
                  <w:tcW w:w="615" w:type="pct"/>
                  <w:tcBorders>
                    <w:tl2br w:val="nil"/>
                    <w:tr2bl w:val="nil"/>
                  </w:tcBorders>
                  <w:noWrap w:val="0"/>
                  <w:vAlign w:val="center"/>
                </w:tcPr>
                <w:p w14:paraId="0281793C">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8</w:t>
                  </w:r>
                </w:p>
              </w:tc>
              <w:tc>
                <w:tcPr>
                  <w:tcW w:w="608" w:type="pct"/>
                  <w:tcBorders>
                    <w:tl2br w:val="nil"/>
                    <w:tr2bl w:val="nil"/>
                  </w:tcBorders>
                  <w:noWrap w:val="0"/>
                  <w:vAlign w:val="center"/>
                </w:tcPr>
                <w:p w14:paraId="526E2C7F">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en-US"/>
                    </w:rPr>
                  </w:pPr>
                  <w:r>
                    <w:rPr>
                      <w:rFonts w:hint="default" w:ascii="Times New Roman" w:hAnsi="Times New Roman" w:eastAsia="Times New Roman" w:cs="Times New Roman"/>
                      <w:color w:val="auto"/>
                      <w:sz w:val="21"/>
                      <w:szCs w:val="21"/>
                      <w:lang w:val="en-US" w:eastAsia="zh-CN"/>
                    </w:rPr>
                    <w:t>15</w:t>
                  </w:r>
                </w:p>
              </w:tc>
              <w:tc>
                <w:tcPr>
                  <w:tcW w:w="1273" w:type="pct"/>
                  <w:tcBorders>
                    <w:tl2br w:val="nil"/>
                    <w:tr2bl w:val="nil"/>
                  </w:tcBorders>
                  <w:noWrap w:val="0"/>
                  <w:vAlign w:val="center"/>
                </w:tcPr>
                <w:p w14:paraId="3F0C107D">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c>
                <w:tcPr>
                  <w:tcW w:w="320" w:type="pct"/>
                  <w:tcBorders>
                    <w:tl2br w:val="nil"/>
                    <w:tr2bl w:val="nil"/>
                  </w:tcBorders>
                  <w:noWrap w:val="0"/>
                  <w:vAlign w:val="center"/>
                </w:tcPr>
                <w:p w14:paraId="562C7BBA">
                  <w:pPr>
                    <w:spacing w:before="110" w:line="199"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w:t>
                  </w:r>
                </w:p>
              </w:tc>
            </w:tr>
          </w:tbl>
          <w:p w14:paraId="288EBD3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default" w:ascii="Times New Roman" w:hAnsi="Times New Roman" w:cs="Times New Roman"/>
                <w:color w:val="auto"/>
                <w:spacing w:val="-4"/>
                <w:highlight w:val="none"/>
                <w:lang w:val="en-US" w:eastAsia="zh-CN"/>
              </w:rPr>
              <w:t>由</w:t>
            </w:r>
            <w:r>
              <w:rPr>
                <w:rFonts w:hint="eastAsia" w:ascii="Times New Roman" w:hAnsi="Times New Roman" w:cs="Times New Roman"/>
                <w:color w:val="auto"/>
                <w:spacing w:val="-4"/>
                <w:highlight w:val="none"/>
                <w:lang w:val="en-US" w:eastAsia="zh-CN"/>
              </w:rPr>
              <w:t>引用</w:t>
            </w:r>
            <w:r>
              <w:rPr>
                <w:rFonts w:hint="default" w:ascii="Times New Roman" w:hAnsi="Times New Roman" w:cs="Times New Roman"/>
                <w:color w:val="auto"/>
                <w:spacing w:val="-4"/>
                <w:highlight w:val="none"/>
                <w:lang w:val="en-US" w:eastAsia="zh-CN"/>
              </w:rPr>
              <w:t>监测结果可知，</w:t>
            </w:r>
            <w:r>
              <w:rPr>
                <w:rFonts w:hint="eastAsia" w:ascii="Times New Roman" w:hAnsi="Times New Roman" w:cs="Times New Roman"/>
                <w:color w:val="auto"/>
                <w:spacing w:val="-4"/>
                <w:highlight w:val="none"/>
                <w:lang w:val="en-US" w:eastAsia="zh-CN"/>
              </w:rPr>
              <w:t>所列检测因子环境现状</w:t>
            </w:r>
            <w:r>
              <w:rPr>
                <w:rFonts w:hint="default" w:ascii="Times New Roman" w:hAnsi="Times New Roman" w:cs="Times New Roman"/>
                <w:color w:val="auto"/>
                <w:spacing w:val="-4"/>
                <w:highlight w:val="none"/>
                <w:lang w:val="en-US" w:eastAsia="zh-CN"/>
              </w:rPr>
              <w:t>监测值满足《</w:t>
            </w:r>
            <w:r>
              <w:rPr>
                <w:rFonts w:hint="eastAsia" w:ascii="Times New Roman" w:hAnsi="Times New Roman" w:cs="Times New Roman"/>
                <w:color w:val="auto"/>
                <w:spacing w:val="-4"/>
                <w:highlight w:val="none"/>
                <w:lang w:val="en-US" w:eastAsia="zh-CN"/>
              </w:rPr>
              <w:t>地表水</w:t>
            </w:r>
            <w:r>
              <w:rPr>
                <w:rFonts w:hint="default" w:ascii="Times New Roman" w:hAnsi="Times New Roman" w:cs="Times New Roman"/>
                <w:color w:val="auto"/>
                <w:spacing w:val="-4"/>
                <w:highlight w:val="none"/>
                <w:lang w:val="en-US" w:eastAsia="zh-CN"/>
              </w:rPr>
              <w:t>环境质量标准》（GB</w:t>
            </w:r>
            <w:r>
              <w:rPr>
                <w:rFonts w:hint="eastAsia" w:ascii="Times New Roman" w:hAnsi="Times New Roman" w:cs="Times New Roman"/>
                <w:color w:val="auto"/>
                <w:spacing w:val="-4"/>
                <w:highlight w:val="none"/>
                <w:lang w:val="en-US" w:eastAsia="zh-CN"/>
              </w:rPr>
              <w:t xml:space="preserve"> </w:t>
            </w:r>
            <w:r>
              <w:rPr>
                <w:rFonts w:hint="default" w:ascii="Times New Roman" w:hAnsi="Times New Roman" w:cs="Times New Roman"/>
                <w:color w:val="auto"/>
                <w:spacing w:val="-4"/>
                <w:highlight w:val="none"/>
                <w:lang w:val="en-US" w:eastAsia="zh-CN"/>
              </w:rPr>
              <w:t>3838-2002）</w:t>
            </w:r>
            <w:r>
              <w:rPr>
                <w:rFonts w:hint="eastAsia" w:ascii="Times New Roman" w:hAnsi="Times New Roman" w:cs="Times New Roman"/>
                <w:color w:val="auto"/>
                <w:spacing w:val="-4"/>
                <w:highlight w:val="none"/>
                <w:lang w:val="en-US" w:eastAsia="zh-CN"/>
              </w:rPr>
              <w:t>IV</w:t>
            </w:r>
            <w:r>
              <w:rPr>
                <w:rFonts w:hint="default" w:ascii="Times New Roman" w:hAnsi="Times New Roman" w:cs="Times New Roman"/>
                <w:color w:val="auto"/>
                <w:spacing w:val="-4"/>
                <w:highlight w:val="none"/>
                <w:lang w:val="en-US" w:eastAsia="zh-CN"/>
              </w:rPr>
              <w:t>类标准限值</w:t>
            </w:r>
            <w:r>
              <w:rPr>
                <w:rFonts w:hint="eastAsia" w:ascii="Times New Roman" w:hAnsi="Times New Roman" w:cs="Times New Roman"/>
                <w:color w:val="auto"/>
                <w:spacing w:val="-4"/>
                <w:highlight w:val="none"/>
                <w:lang w:val="en-US" w:eastAsia="zh-CN"/>
              </w:rPr>
              <w:t>，即本项目所在区域地表水环境质量良好。</w:t>
            </w:r>
          </w:p>
          <w:p w14:paraId="0B9A650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eastAsia="宋体" w:cs="Times New Roman"/>
                <w:b/>
                <w:bCs/>
                <w:color w:val="auto"/>
                <w:spacing w:val="-4"/>
                <w:highlight w:val="none"/>
                <w:lang w:val="en-US" w:eastAsia="zh-CN"/>
              </w:rPr>
            </w:pPr>
            <w:r>
              <w:rPr>
                <w:rFonts w:hint="eastAsia" w:ascii="Times New Roman" w:hAnsi="Times New Roman" w:eastAsia="宋体" w:cs="Times New Roman"/>
                <w:b/>
                <w:bCs/>
                <w:color w:val="auto"/>
                <w:spacing w:val="-4"/>
                <w:highlight w:val="none"/>
                <w:lang w:val="en-US" w:eastAsia="zh-CN"/>
              </w:rPr>
              <w:t>3 声环境质量现状</w:t>
            </w:r>
          </w:p>
          <w:p w14:paraId="6B7CCE1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本项目委托</w:t>
            </w:r>
            <w:r>
              <w:rPr>
                <w:rFonts w:hint="eastAsia" w:ascii="Times New Roman" w:hAnsi="Times New Roman" w:eastAsia="宋体" w:cs="Times New Roman"/>
                <w:color w:val="auto"/>
                <w:spacing w:val="-4"/>
                <w:highlight w:val="none"/>
                <w:lang w:val="en-US" w:eastAsia="zh-CN"/>
              </w:rPr>
              <w:t>宁夏华鼎环保科技有限公司</w:t>
            </w:r>
            <w:r>
              <w:rPr>
                <w:rFonts w:hint="eastAsia" w:ascii="Times New Roman" w:hAnsi="Times New Roman" w:cs="Times New Roman"/>
                <w:color w:val="auto"/>
                <w:spacing w:val="-4"/>
                <w:highlight w:val="none"/>
                <w:lang w:val="en-US" w:eastAsia="zh-CN"/>
              </w:rPr>
              <w:t>对项目进行声环境质量现状检测，</w:t>
            </w:r>
            <w:r>
              <w:rPr>
                <w:rFonts w:hint="eastAsia" w:ascii="Times New Roman" w:hAnsi="Times New Roman" w:eastAsia="宋体" w:cs="Times New Roman"/>
                <w:color w:val="auto"/>
                <w:spacing w:val="-4"/>
                <w:highlight w:val="none"/>
                <w:lang w:val="en-US" w:eastAsia="zh-CN"/>
              </w:rPr>
              <w:t>说明本</w:t>
            </w:r>
            <w:r>
              <w:rPr>
                <w:rFonts w:hint="eastAsia" w:ascii="Times New Roman" w:hAnsi="Times New Roman" w:cs="Times New Roman"/>
                <w:color w:val="auto"/>
                <w:spacing w:val="-4"/>
                <w:highlight w:val="none"/>
                <w:lang w:val="en-US" w:eastAsia="zh-CN"/>
              </w:rPr>
              <w:t>项目声环境质量</w:t>
            </w:r>
            <w:r>
              <w:rPr>
                <w:rFonts w:hint="eastAsia" w:ascii="Times New Roman" w:hAnsi="Times New Roman" w:eastAsia="宋体" w:cs="Times New Roman"/>
                <w:color w:val="auto"/>
                <w:spacing w:val="-4"/>
                <w:highlight w:val="none"/>
                <w:lang w:val="en-US" w:eastAsia="zh-CN"/>
              </w:rPr>
              <w:t>现状。监测报告详见附件</w:t>
            </w:r>
            <w:r>
              <w:rPr>
                <w:rFonts w:hint="eastAsia" w:ascii="Times New Roman" w:hAnsi="Times New Roman" w:cs="Times New Roman"/>
                <w:color w:val="auto"/>
                <w:spacing w:val="-4"/>
                <w:highlight w:val="none"/>
                <w:lang w:val="en-US" w:eastAsia="zh-CN"/>
              </w:rPr>
              <w:t>3</w:t>
            </w:r>
            <w:r>
              <w:rPr>
                <w:rFonts w:hint="eastAsia" w:ascii="Times New Roman" w:hAnsi="Times New Roman" w:eastAsia="宋体" w:cs="Times New Roman"/>
                <w:color w:val="auto"/>
                <w:spacing w:val="-4"/>
                <w:highlight w:val="none"/>
                <w:lang w:val="en-US" w:eastAsia="zh-CN"/>
              </w:rPr>
              <w:t>。</w:t>
            </w:r>
          </w:p>
          <w:p w14:paraId="59B9581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（1）检测内容</w:t>
            </w:r>
          </w:p>
          <w:p w14:paraId="70827E1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检测点位、因子及频次见下表。</w:t>
            </w:r>
            <w:r>
              <w:rPr>
                <w:rFonts w:hint="eastAsia" w:ascii="Times New Roman" w:hAnsi="Times New Roman" w:cs="Times New Roman"/>
                <w:color w:val="auto"/>
                <w:spacing w:val="-4"/>
                <w:highlight w:val="none"/>
                <w:lang w:val="en-US" w:eastAsia="zh-CN"/>
              </w:rPr>
              <w:t>检测点位见附图12。</w:t>
            </w:r>
          </w:p>
          <w:p w14:paraId="646C1DF4">
            <w:pPr>
              <w:pStyle w:val="25"/>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表3-6  检测点位、因子及频次一览表</w:t>
            </w:r>
          </w:p>
          <w:tbl>
            <w:tblPr>
              <w:tblStyle w:val="16"/>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942"/>
              <w:gridCol w:w="1721"/>
              <w:gridCol w:w="2567"/>
            </w:tblGrid>
            <w:tr w14:paraId="10242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33" w:type="pct"/>
                  <w:tcBorders>
                    <w:tl2br w:val="nil"/>
                    <w:tr2bl w:val="nil"/>
                  </w:tcBorders>
                  <w:noWrap w:val="0"/>
                  <w:vAlign w:val="center"/>
                </w:tcPr>
                <w:p w14:paraId="3151E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项目</w:t>
                  </w:r>
                </w:p>
              </w:tc>
              <w:tc>
                <w:tcPr>
                  <w:tcW w:w="1858" w:type="pct"/>
                  <w:tcBorders>
                    <w:tl2br w:val="nil"/>
                    <w:tr2bl w:val="nil"/>
                  </w:tcBorders>
                  <w:noWrap w:val="0"/>
                  <w:vAlign w:val="center"/>
                </w:tcPr>
                <w:p w14:paraId="2E1EC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检测点位</w:t>
                  </w:r>
                </w:p>
              </w:tc>
              <w:tc>
                <w:tcPr>
                  <w:tcW w:w="1087" w:type="pct"/>
                  <w:tcBorders>
                    <w:tl2br w:val="nil"/>
                    <w:tr2bl w:val="nil"/>
                  </w:tcBorders>
                  <w:noWrap w:val="0"/>
                  <w:vAlign w:val="center"/>
                </w:tcPr>
                <w:p w14:paraId="77740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检测因子</w:t>
                  </w:r>
                </w:p>
              </w:tc>
              <w:tc>
                <w:tcPr>
                  <w:tcW w:w="1621" w:type="pct"/>
                  <w:tcBorders>
                    <w:tl2br w:val="nil"/>
                    <w:tr2bl w:val="nil"/>
                  </w:tcBorders>
                  <w:noWrap w:val="0"/>
                  <w:vAlign w:val="center"/>
                </w:tcPr>
                <w:p w14:paraId="1A313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频次</w:t>
                  </w:r>
                </w:p>
              </w:tc>
            </w:tr>
            <w:tr w14:paraId="2E144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14:paraId="1CBD5C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1858" w:type="pct"/>
                  <w:tcBorders>
                    <w:tl2br w:val="nil"/>
                    <w:tr2bl w:val="nil"/>
                  </w:tcBorders>
                  <w:noWrap w:val="0"/>
                  <w:vAlign w:val="center"/>
                </w:tcPr>
                <w:p w14:paraId="489CE953">
                  <w:pPr>
                    <w:widowControl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泾源县黄花乡派出所（</w:t>
                  </w:r>
                  <w:r>
                    <w:rPr>
                      <w:rFonts w:hint="eastAsia"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sz w:val="21"/>
                      <w:szCs w:val="21"/>
                      <w:lang w:val="en-US" w:eastAsia="zh-CN"/>
                    </w:rPr>
                    <w:t>）</w:t>
                  </w:r>
                </w:p>
              </w:tc>
              <w:tc>
                <w:tcPr>
                  <w:tcW w:w="1087" w:type="pct"/>
                  <w:vMerge w:val="restart"/>
                  <w:tcBorders>
                    <w:tl2br w:val="nil"/>
                    <w:tr2bl w:val="nil"/>
                  </w:tcBorders>
                  <w:noWrap w:val="0"/>
                  <w:vAlign w:val="center"/>
                </w:tcPr>
                <w:p w14:paraId="3E555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等效连续A声级</w:t>
                  </w:r>
                </w:p>
              </w:tc>
              <w:tc>
                <w:tcPr>
                  <w:tcW w:w="1621" w:type="pct"/>
                  <w:vMerge w:val="restart"/>
                  <w:tcBorders>
                    <w:tl2br w:val="nil"/>
                    <w:tr2bl w:val="nil"/>
                  </w:tcBorders>
                  <w:noWrap w:val="0"/>
                  <w:vAlign w:val="center"/>
                </w:tcPr>
                <w:p w14:paraId="5E966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昼</w:t>
                  </w:r>
                  <w:r>
                    <w:rPr>
                      <w:rFonts w:hint="eastAsia" w:ascii="Times New Roman" w:hAnsi="Times New Roman" w:eastAsia="宋体" w:cs="Times New Roman"/>
                      <w:color w:val="auto"/>
                      <w:sz w:val="21"/>
                      <w:szCs w:val="21"/>
                      <w:lang w:val="en-US" w:eastAsia="zh-CN"/>
                    </w:rPr>
                    <w:t>夜各</w:t>
                  </w:r>
                  <w:r>
                    <w:rPr>
                      <w:rFonts w:ascii="Times New Roman" w:hAnsi="Times New Roman" w:eastAsia="宋体" w:cs="Times New Roman"/>
                      <w:color w:val="auto"/>
                      <w:sz w:val="21"/>
                      <w:szCs w:val="21"/>
                    </w:rPr>
                    <w:t>1次</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检测2天</w:t>
                  </w:r>
                </w:p>
              </w:tc>
            </w:tr>
            <w:tr w14:paraId="03C4F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5E5BE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58" w:type="pct"/>
                  <w:tcBorders>
                    <w:tl2br w:val="nil"/>
                    <w:tr2bl w:val="nil"/>
                  </w:tcBorders>
                  <w:noWrap w:val="0"/>
                  <w:vAlign w:val="center"/>
                </w:tcPr>
                <w:p w14:paraId="13D1CAFE">
                  <w:pPr>
                    <w:widowControl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羊槽村（</w:t>
                  </w:r>
                  <w:r>
                    <w:rPr>
                      <w:rFonts w:hint="eastAsia" w:ascii="Times New Roman" w:hAnsi="Times New Roman" w:eastAsia="宋体" w:cs="Times New Roman"/>
                      <w:color w:val="auto"/>
                      <w:kern w:val="2"/>
                      <w:sz w:val="21"/>
                      <w:szCs w:val="21"/>
                      <w:highlight w:val="none"/>
                      <w:lang w:val="en-US" w:eastAsia="zh-CN"/>
                    </w:rPr>
                    <w:t>▲2</w:t>
                  </w:r>
                  <w:r>
                    <w:rPr>
                      <w:rFonts w:hint="eastAsia" w:ascii="Times New Roman" w:hAnsi="Times New Roman" w:eastAsia="宋体" w:cs="Times New Roman"/>
                      <w:color w:val="auto"/>
                      <w:sz w:val="21"/>
                      <w:szCs w:val="21"/>
                      <w:lang w:val="en-US" w:eastAsia="zh-CN"/>
                    </w:rPr>
                    <w:t>）</w:t>
                  </w:r>
                </w:p>
              </w:tc>
              <w:tc>
                <w:tcPr>
                  <w:tcW w:w="1087" w:type="pct"/>
                  <w:vMerge w:val="continue"/>
                  <w:tcBorders>
                    <w:tl2br w:val="nil"/>
                    <w:tr2bl w:val="nil"/>
                  </w:tcBorders>
                  <w:noWrap w:val="0"/>
                  <w:vAlign w:val="center"/>
                </w:tcPr>
                <w:p w14:paraId="178B5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21" w:type="pct"/>
                  <w:vMerge w:val="continue"/>
                  <w:tcBorders>
                    <w:tl2br w:val="nil"/>
                    <w:tr2bl w:val="nil"/>
                  </w:tcBorders>
                  <w:noWrap w:val="0"/>
                  <w:vAlign w:val="center"/>
                </w:tcPr>
                <w:p w14:paraId="6F50D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C83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21AD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58" w:type="pct"/>
                  <w:tcBorders>
                    <w:tl2br w:val="nil"/>
                    <w:tr2bl w:val="nil"/>
                  </w:tcBorders>
                  <w:noWrap w:val="0"/>
                  <w:vAlign w:val="center"/>
                </w:tcPr>
                <w:p w14:paraId="7AAA8C41">
                  <w:pPr>
                    <w:widowControl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红土村（</w:t>
                  </w:r>
                  <w:r>
                    <w:rPr>
                      <w:rFonts w:hint="eastAsia" w:ascii="Times New Roman" w:hAnsi="Times New Roman" w:eastAsia="宋体" w:cs="Times New Roman"/>
                      <w:color w:val="auto"/>
                      <w:kern w:val="2"/>
                      <w:sz w:val="21"/>
                      <w:szCs w:val="21"/>
                      <w:highlight w:val="none"/>
                      <w:lang w:val="en-US" w:eastAsia="zh-CN"/>
                    </w:rPr>
                    <w:t>▲3</w:t>
                  </w:r>
                  <w:r>
                    <w:rPr>
                      <w:rFonts w:hint="eastAsia" w:ascii="Times New Roman" w:hAnsi="Times New Roman" w:eastAsia="宋体" w:cs="Times New Roman"/>
                      <w:color w:val="auto"/>
                      <w:sz w:val="21"/>
                      <w:szCs w:val="21"/>
                      <w:lang w:val="en-US" w:eastAsia="zh-CN"/>
                    </w:rPr>
                    <w:t>）</w:t>
                  </w:r>
                </w:p>
              </w:tc>
              <w:tc>
                <w:tcPr>
                  <w:tcW w:w="1087" w:type="pct"/>
                  <w:vMerge w:val="continue"/>
                  <w:tcBorders>
                    <w:tl2br w:val="nil"/>
                    <w:tr2bl w:val="nil"/>
                  </w:tcBorders>
                  <w:noWrap w:val="0"/>
                  <w:vAlign w:val="center"/>
                </w:tcPr>
                <w:p w14:paraId="22360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21" w:type="pct"/>
                  <w:vMerge w:val="continue"/>
                  <w:tcBorders>
                    <w:tl2br w:val="nil"/>
                    <w:tr2bl w:val="nil"/>
                  </w:tcBorders>
                  <w:noWrap w:val="0"/>
                  <w:vAlign w:val="center"/>
                </w:tcPr>
                <w:p w14:paraId="41CE4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5CC8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E72D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58" w:type="pct"/>
                  <w:tcBorders>
                    <w:tl2br w:val="nil"/>
                    <w:tr2bl w:val="nil"/>
                  </w:tcBorders>
                  <w:noWrap w:val="0"/>
                  <w:vAlign w:val="center"/>
                </w:tcPr>
                <w:p w14:paraId="17D5A645">
                  <w:pPr>
                    <w:widowControl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黄粱渠（</w:t>
                  </w:r>
                  <w:r>
                    <w:rPr>
                      <w:rFonts w:hint="eastAsia" w:ascii="Times New Roman" w:hAnsi="Times New Roman" w:eastAsia="宋体" w:cs="Times New Roman"/>
                      <w:color w:val="auto"/>
                      <w:kern w:val="2"/>
                      <w:sz w:val="21"/>
                      <w:szCs w:val="21"/>
                      <w:highlight w:val="none"/>
                      <w:lang w:val="en-US" w:eastAsia="zh-CN"/>
                    </w:rPr>
                    <w:t>▲4</w:t>
                  </w:r>
                  <w:r>
                    <w:rPr>
                      <w:rFonts w:hint="eastAsia" w:ascii="Times New Roman" w:hAnsi="Times New Roman" w:eastAsia="宋体" w:cs="Times New Roman"/>
                      <w:color w:val="auto"/>
                      <w:sz w:val="21"/>
                      <w:szCs w:val="21"/>
                      <w:lang w:val="en-US" w:eastAsia="zh-CN"/>
                    </w:rPr>
                    <w:t>）</w:t>
                  </w:r>
                </w:p>
              </w:tc>
              <w:tc>
                <w:tcPr>
                  <w:tcW w:w="1087" w:type="pct"/>
                  <w:vMerge w:val="continue"/>
                  <w:tcBorders>
                    <w:tl2br w:val="nil"/>
                    <w:tr2bl w:val="nil"/>
                  </w:tcBorders>
                  <w:noWrap w:val="0"/>
                  <w:vAlign w:val="center"/>
                </w:tcPr>
                <w:p w14:paraId="44FA4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21" w:type="pct"/>
                  <w:vMerge w:val="continue"/>
                  <w:tcBorders>
                    <w:tl2br w:val="nil"/>
                    <w:tr2bl w:val="nil"/>
                  </w:tcBorders>
                  <w:noWrap w:val="0"/>
                  <w:vAlign w:val="center"/>
                </w:tcPr>
                <w:p w14:paraId="68FD59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11A9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72D04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58" w:type="pct"/>
                  <w:tcBorders>
                    <w:tl2br w:val="nil"/>
                    <w:tr2bl w:val="nil"/>
                  </w:tcBorders>
                  <w:noWrap w:val="0"/>
                  <w:vAlign w:val="center"/>
                </w:tcPr>
                <w:p w14:paraId="3B2A373E">
                  <w:pPr>
                    <w:widowControl w:val="0"/>
                    <w:snapToGrid w:val="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向阳村（</w:t>
                  </w:r>
                  <w:r>
                    <w:rPr>
                      <w:rFonts w:hint="eastAsia" w:ascii="Times New Roman" w:hAnsi="Times New Roman" w:eastAsia="宋体" w:cs="Times New Roman"/>
                      <w:color w:val="auto"/>
                      <w:kern w:val="2"/>
                      <w:sz w:val="21"/>
                      <w:szCs w:val="21"/>
                      <w:highlight w:val="none"/>
                      <w:lang w:val="en-US" w:eastAsia="zh-CN"/>
                    </w:rPr>
                    <w:t>▲5</w:t>
                  </w:r>
                  <w:r>
                    <w:rPr>
                      <w:rFonts w:hint="eastAsia" w:ascii="Times New Roman" w:hAnsi="Times New Roman" w:eastAsia="宋体" w:cs="Times New Roman"/>
                      <w:color w:val="auto"/>
                      <w:sz w:val="21"/>
                      <w:szCs w:val="21"/>
                      <w:lang w:val="en-US" w:eastAsia="zh-CN"/>
                    </w:rPr>
                    <w:t>）</w:t>
                  </w:r>
                </w:p>
              </w:tc>
              <w:tc>
                <w:tcPr>
                  <w:tcW w:w="1087" w:type="pct"/>
                  <w:vMerge w:val="continue"/>
                  <w:tcBorders>
                    <w:tl2br w:val="nil"/>
                    <w:tr2bl w:val="nil"/>
                  </w:tcBorders>
                  <w:noWrap w:val="0"/>
                  <w:vAlign w:val="center"/>
                </w:tcPr>
                <w:p w14:paraId="57D66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21" w:type="pct"/>
                  <w:vMerge w:val="continue"/>
                  <w:tcBorders>
                    <w:tl2br w:val="nil"/>
                    <w:tr2bl w:val="nil"/>
                  </w:tcBorders>
                  <w:noWrap w:val="0"/>
                  <w:vAlign w:val="center"/>
                </w:tcPr>
                <w:p w14:paraId="59B87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C858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9E76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58" w:type="pct"/>
                  <w:tcBorders>
                    <w:tl2br w:val="nil"/>
                    <w:tr2bl w:val="nil"/>
                  </w:tcBorders>
                  <w:noWrap w:val="0"/>
                  <w:vAlign w:val="center"/>
                </w:tcPr>
                <w:p w14:paraId="5D8CCEDE">
                  <w:pPr>
                    <w:widowControl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八大阶（</w:t>
                  </w:r>
                  <w:r>
                    <w:rPr>
                      <w:rFonts w:hint="eastAsia" w:ascii="Times New Roman" w:hAnsi="Times New Roman" w:eastAsia="宋体" w:cs="Times New Roman"/>
                      <w:color w:val="auto"/>
                      <w:kern w:val="2"/>
                      <w:sz w:val="21"/>
                      <w:szCs w:val="21"/>
                      <w:highlight w:val="none"/>
                      <w:lang w:val="en-US" w:eastAsia="zh-CN"/>
                    </w:rPr>
                    <w:t>▲6</w:t>
                  </w:r>
                  <w:r>
                    <w:rPr>
                      <w:rFonts w:hint="eastAsia" w:ascii="Times New Roman" w:hAnsi="Times New Roman" w:eastAsia="宋体" w:cs="Times New Roman"/>
                      <w:color w:val="auto"/>
                      <w:sz w:val="21"/>
                      <w:szCs w:val="21"/>
                      <w:lang w:val="en-US" w:eastAsia="zh-CN"/>
                    </w:rPr>
                    <w:t>）</w:t>
                  </w:r>
                </w:p>
              </w:tc>
              <w:tc>
                <w:tcPr>
                  <w:tcW w:w="1087" w:type="pct"/>
                  <w:vMerge w:val="continue"/>
                  <w:tcBorders>
                    <w:tl2br w:val="nil"/>
                    <w:tr2bl w:val="nil"/>
                  </w:tcBorders>
                  <w:noWrap w:val="0"/>
                  <w:vAlign w:val="center"/>
                </w:tcPr>
                <w:p w14:paraId="6DC51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21" w:type="pct"/>
                  <w:vMerge w:val="continue"/>
                  <w:tcBorders>
                    <w:tl2br w:val="nil"/>
                    <w:tr2bl w:val="nil"/>
                  </w:tcBorders>
                  <w:noWrap w:val="0"/>
                  <w:vAlign w:val="center"/>
                </w:tcPr>
                <w:p w14:paraId="1AC05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3CF2C26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（2）检测方法及仪器设备</w:t>
            </w:r>
          </w:p>
          <w:p w14:paraId="3140937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检测方法及主要仪器设备见下表。</w:t>
            </w:r>
          </w:p>
          <w:p w14:paraId="343806BE">
            <w:pPr>
              <w:numPr>
                <w:ilvl w:val="0"/>
                <w:numId w:val="0"/>
              </w:numPr>
              <w:tabs>
                <w:tab w:val="left" w:pos="0"/>
              </w:tabs>
              <w:autoSpaceDE w:val="0"/>
              <w:autoSpaceDN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表3-7  检测方法及主要仪器设备一览表</w:t>
            </w:r>
          </w:p>
          <w:tbl>
            <w:tblPr>
              <w:tblStyle w:val="18"/>
              <w:tblW w:w="492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3"/>
              <w:gridCol w:w="2090"/>
              <w:gridCol w:w="2829"/>
              <w:gridCol w:w="2060"/>
            </w:tblGrid>
            <w:tr w14:paraId="29DB17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589" w:type="pct"/>
                  <w:tcBorders>
                    <w:tl2br w:val="nil"/>
                    <w:tr2bl w:val="nil"/>
                  </w:tcBorders>
                  <w:noWrap w:val="0"/>
                  <w:vAlign w:val="center"/>
                </w:tcPr>
                <w:p w14:paraId="7C7AD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检测因子</w:t>
                  </w:r>
                </w:p>
              </w:tc>
              <w:tc>
                <w:tcPr>
                  <w:tcW w:w="1320" w:type="pct"/>
                  <w:tcBorders>
                    <w:tl2br w:val="nil"/>
                    <w:tr2bl w:val="nil"/>
                  </w:tcBorders>
                  <w:noWrap w:val="0"/>
                  <w:vAlign w:val="center"/>
                </w:tcPr>
                <w:p w14:paraId="79915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方法名称及来源</w:t>
                  </w:r>
                </w:p>
              </w:tc>
              <w:tc>
                <w:tcPr>
                  <w:tcW w:w="1787" w:type="pct"/>
                  <w:tcBorders>
                    <w:tl2br w:val="nil"/>
                    <w:tr2bl w:val="nil"/>
                  </w:tcBorders>
                  <w:noWrap w:val="0"/>
                  <w:vAlign w:val="center"/>
                </w:tcPr>
                <w:p w14:paraId="3491B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仪器名称型号及编号</w:t>
                  </w:r>
                </w:p>
              </w:tc>
              <w:tc>
                <w:tcPr>
                  <w:tcW w:w="1301" w:type="pct"/>
                  <w:tcBorders>
                    <w:tl2br w:val="nil"/>
                    <w:tr2bl w:val="nil"/>
                  </w:tcBorders>
                  <w:noWrap w:val="0"/>
                  <w:vAlign w:val="center"/>
                </w:tcPr>
                <w:p w14:paraId="1149A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仪器检定/校准有效期</w:t>
                  </w:r>
                </w:p>
              </w:tc>
            </w:tr>
            <w:tr w14:paraId="46D59B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589" w:type="pct"/>
                  <w:vMerge w:val="restart"/>
                  <w:tcBorders>
                    <w:tl2br w:val="nil"/>
                    <w:tr2bl w:val="nil"/>
                  </w:tcBorders>
                  <w:noWrap w:val="0"/>
                  <w:vAlign w:val="center"/>
                </w:tcPr>
                <w:p w14:paraId="62283F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p>
              </w:tc>
              <w:tc>
                <w:tcPr>
                  <w:tcW w:w="1320" w:type="pct"/>
                  <w:vMerge w:val="restart"/>
                  <w:tcBorders>
                    <w:tl2br w:val="nil"/>
                    <w:tr2bl w:val="nil"/>
                  </w:tcBorders>
                  <w:noWrap w:val="0"/>
                  <w:vAlign w:val="center"/>
                </w:tcPr>
                <w:p w14:paraId="36920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 12348-2008</w:t>
                  </w:r>
                </w:p>
              </w:tc>
              <w:tc>
                <w:tcPr>
                  <w:tcW w:w="1787" w:type="pct"/>
                  <w:tcBorders>
                    <w:tl2br w:val="nil"/>
                    <w:tr2bl w:val="nil"/>
                  </w:tcBorders>
                  <w:noWrap w:val="0"/>
                  <w:vAlign w:val="top"/>
                </w:tcPr>
                <w:p w14:paraId="19363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声级校准器</w:t>
                  </w:r>
                  <w:r>
                    <w:rPr>
                      <w:rFonts w:hint="default" w:ascii="Times New Roman" w:hAnsi="Times New Roman" w:eastAsia="宋体" w:cs="Times New Roman"/>
                      <w:color w:val="auto"/>
                      <w:sz w:val="21"/>
                      <w:szCs w:val="21"/>
                      <w:lang w:val="en-US" w:eastAsia="zh-CN"/>
                    </w:rPr>
                    <w:t>AWA6221B</w:t>
                  </w:r>
                </w:p>
                <w:p w14:paraId="24390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HD-YQ-014-B</w:t>
                  </w:r>
                </w:p>
              </w:tc>
              <w:tc>
                <w:tcPr>
                  <w:tcW w:w="1301" w:type="pct"/>
                  <w:tcBorders>
                    <w:tl2br w:val="nil"/>
                    <w:tr2bl w:val="nil"/>
                  </w:tcBorders>
                  <w:noWrap w:val="0"/>
                  <w:vAlign w:val="center"/>
                </w:tcPr>
                <w:p w14:paraId="116E3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4.7.28~2025.7.27</w:t>
                  </w:r>
                </w:p>
              </w:tc>
            </w:tr>
            <w:tr w14:paraId="3785BF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89" w:type="pct"/>
                  <w:vMerge w:val="continue"/>
                  <w:tcBorders>
                    <w:tl2br w:val="nil"/>
                    <w:tr2bl w:val="nil"/>
                  </w:tcBorders>
                  <w:noWrap w:val="0"/>
                  <w:vAlign w:val="center"/>
                </w:tcPr>
                <w:p w14:paraId="76BA2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320" w:type="pct"/>
                  <w:vMerge w:val="continue"/>
                  <w:tcBorders>
                    <w:tl2br w:val="nil"/>
                    <w:tr2bl w:val="nil"/>
                  </w:tcBorders>
                  <w:noWrap w:val="0"/>
                  <w:vAlign w:val="center"/>
                </w:tcPr>
                <w:p w14:paraId="51456D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787" w:type="pct"/>
                  <w:tcBorders>
                    <w:tl2br w:val="nil"/>
                    <w:tr2bl w:val="nil"/>
                  </w:tcBorders>
                  <w:noWrap w:val="0"/>
                  <w:vAlign w:val="top"/>
                </w:tcPr>
                <w:p w14:paraId="257BB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多功能声级计</w:t>
                  </w:r>
                  <w:r>
                    <w:rPr>
                      <w:rFonts w:hint="default" w:ascii="Times New Roman" w:hAnsi="Times New Roman" w:eastAsia="宋体" w:cs="Times New Roman"/>
                      <w:color w:val="auto"/>
                      <w:sz w:val="21"/>
                      <w:szCs w:val="21"/>
                      <w:lang w:val="en-US" w:eastAsia="zh-CN"/>
                    </w:rPr>
                    <w:t>AWA5688</w:t>
                  </w:r>
                </w:p>
                <w:p w14:paraId="22FA0B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HD-YQ-015-B</w:t>
                  </w:r>
                </w:p>
              </w:tc>
              <w:tc>
                <w:tcPr>
                  <w:tcW w:w="1301" w:type="pct"/>
                  <w:tcBorders>
                    <w:tl2br w:val="nil"/>
                    <w:tr2bl w:val="nil"/>
                  </w:tcBorders>
                  <w:noWrap w:val="0"/>
                  <w:vAlign w:val="center"/>
                </w:tcPr>
                <w:p w14:paraId="09A41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2024.8.22~2025.8.21</w:t>
                  </w:r>
                </w:p>
              </w:tc>
            </w:tr>
            <w:tr w14:paraId="759A1D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89" w:type="pct"/>
                  <w:vMerge w:val="continue"/>
                  <w:tcBorders>
                    <w:tl2br w:val="nil"/>
                    <w:tr2bl w:val="nil"/>
                  </w:tcBorders>
                  <w:noWrap w:val="0"/>
                  <w:vAlign w:val="center"/>
                </w:tcPr>
                <w:p w14:paraId="72B97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320" w:type="pct"/>
                  <w:vMerge w:val="continue"/>
                  <w:tcBorders>
                    <w:tl2br w:val="nil"/>
                    <w:tr2bl w:val="nil"/>
                  </w:tcBorders>
                  <w:noWrap w:val="0"/>
                  <w:vAlign w:val="center"/>
                </w:tcPr>
                <w:p w14:paraId="71499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787" w:type="pct"/>
                  <w:tcBorders>
                    <w:tl2br w:val="nil"/>
                    <w:tr2bl w:val="nil"/>
                  </w:tcBorders>
                  <w:noWrap w:val="0"/>
                  <w:vAlign w:val="top"/>
                </w:tcPr>
                <w:p w14:paraId="1A285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风速仪</w:t>
                  </w:r>
                  <w:r>
                    <w:rPr>
                      <w:rFonts w:hint="default" w:ascii="Times New Roman" w:hAnsi="Times New Roman" w:eastAsia="宋体" w:cs="Times New Roman"/>
                      <w:color w:val="auto"/>
                      <w:sz w:val="21"/>
                      <w:szCs w:val="21"/>
                      <w:lang w:val="en-US" w:eastAsia="zh-CN"/>
                    </w:rPr>
                    <w:t>PLC16025 HD-YQ-083-B</w:t>
                  </w:r>
                </w:p>
              </w:tc>
              <w:tc>
                <w:tcPr>
                  <w:tcW w:w="1301" w:type="pct"/>
                  <w:tcBorders>
                    <w:tl2br w:val="nil"/>
                    <w:tr2bl w:val="nil"/>
                  </w:tcBorders>
                  <w:noWrap w:val="0"/>
                  <w:vAlign w:val="center"/>
                </w:tcPr>
                <w:p w14:paraId="201FA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2024.10.25~2025.10.24</w:t>
                  </w:r>
                </w:p>
              </w:tc>
            </w:tr>
            <w:tr w14:paraId="50D1A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89" w:type="pct"/>
                  <w:vMerge w:val="continue"/>
                  <w:tcBorders>
                    <w:tl2br w:val="nil"/>
                    <w:tr2bl w:val="nil"/>
                  </w:tcBorders>
                  <w:noWrap w:val="0"/>
                  <w:vAlign w:val="center"/>
                </w:tcPr>
                <w:p w14:paraId="6DAAD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320" w:type="pct"/>
                  <w:vMerge w:val="continue"/>
                  <w:tcBorders>
                    <w:tl2br w:val="nil"/>
                    <w:tr2bl w:val="nil"/>
                  </w:tcBorders>
                  <w:noWrap w:val="0"/>
                  <w:vAlign w:val="center"/>
                </w:tcPr>
                <w:p w14:paraId="1D899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787" w:type="pct"/>
                  <w:tcBorders>
                    <w:tl2br w:val="nil"/>
                    <w:tr2bl w:val="nil"/>
                  </w:tcBorders>
                  <w:noWrap w:val="0"/>
                  <w:vAlign w:val="top"/>
                </w:tcPr>
                <w:p w14:paraId="765C4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空盒气压表 </w:t>
                  </w:r>
                  <w:r>
                    <w:rPr>
                      <w:rFonts w:hint="default" w:ascii="Times New Roman" w:hAnsi="Times New Roman" w:eastAsia="宋体" w:cs="Times New Roman"/>
                      <w:color w:val="auto"/>
                      <w:sz w:val="21"/>
                      <w:szCs w:val="21"/>
                      <w:lang w:val="en-US" w:eastAsia="zh-CN"/>
                    </w:rPr>
                    <w:t>DYM-3HD-YQ-081-B</w:t>
                  </w:r>
                </w:p>
              </w:tc>
              <w:tc>
                <w:tcPr>
                  <w:tcW w:w="1301" w:type="pct"/>
                  <w:tcBorders>
                    <w:tl2br w:val="nil"/>
                    <w:tr2bl w:val="nil"/>
                  </w:tcBorders>
                  <w:noWrap w:val="0"/>
                  <w:vAlign w:val="center"/>
                </w:tcPr>
                <w:p w14:paraId="3C485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2025.3.3~2026.3.2</w:t>
                  </w:r>
                </w:p>
              </w:tc>
            </w:tr>
          </w:tbl>
          <w:p w14:paraId="00B1BB5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（3）检测结果</w:t>
            </w:r>
          </w:p>
          <w:p w14:paraId="3E90D623">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检测结果见下表。</w:t>
            </w:r>
          </w:p>
          <w:p w14:paraId="36E0D8B6">
            <w:pPr>
              <w:numPr>
                <w:ilvl w:val="0"/>
                <w:numId w:val="0"/>
              </w:numPr>
              <w:tabs>
                <w:tab w:val="left" w:pos="0"/>
              </w:tabs>
              <w:autoSpaceDE w:val="0"/>
              <w:autoSpaceDN w:val="0"/>
              <w:adjustRightInd w:val="0"/>
              <w:snapToGrid w:val="0"/>
              <w:spacing w:line="240" w:lineRule="auto"/>
              <w:ind w:left="0" w:leftChars="0" w:right="0" w:rightChars="0" w:firstLine="0" w:firstLineChars="0"/>
              <w:jc w:val="center"/>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表3-8  声环境检测结果一览表</w:t>
            </w:r>
          </w:p>
          <w:tbl>
            <w:tblPr>
              <w:tblStyle w:val="18"/>
              <w:tblW w:w="492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82"/>
              <w:gridCol w:w="2713"/>
              <w:gridCol w:w="1029"/>
              <w:gridCol w:w="1061"/>
              <w:gridCol w:w="997"/>
              <w:gridCol w:w="1032"/>
            </w:tblGrid>
            <w:tr w14:paraId="2DCB62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683" w:type="pct"/>
                  <w:vMerge w:val="restart"/>
                  <w:tcBorders>
                    <w:tl2br w:val="nil"/>
                    <w:tr2bl w:val="nil"/>
                  </w:tcBorders>
                  <w:noWrap w:val="0"/>
                  <w:vAlign w:val="center"/>
                </w:tcPr>
                <w:p w14:paraId="44838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检测因子</w:t>
                  </w:r>
                </w:p>
              </w:tc>
              <w:tc>
                <w:tcPr>
                  <w:tcW w:w="1714" w:type="pct"/>
                  <w:vMerge w:val="restart"/>
                  <w:tcBorders>
                    <w:tl2br w:val="nil"/>
                    <w:tr2bl w:val="nil"/>
                  </w:tcBorders>
                  <w:noWrap w:val="0"/>
                  <w:vAlign w:val="center"/>
                </w:tcPr>
                <w:p w14:paraId="5F909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检测点位</w:t>
                  </w:r>
                </w:p>
              </w:tc>
              <w:tc>
                <w:tcPr>
                  <w:tcW w:w="2602" w:type="pct"/>
                  <w:gridSpan w:val="4"/>
                  <w:tcBorders>
                    <w:tl2br w:val="nil"/>
                    <w:tr2bl w:val="nil"/>
                  </w:tcBorders>
                  <w:noWrap w:val="0"/>
                  <w:vAlign w:val="center"/>
                </w:tcPr>
                <w:p w14:paraId="495013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检测结果</w:t>
                  </w:r>
                </w:p>
              </w:tc>
            </w:tr>
            <w:tr w14:paraId="14332F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8" w:hRule="atLeast"/>
                <w:jc w:val="center"/>
              </w:trPr>
              <w:tc>
                <w:tcPr>
                  <w:tcW w:w="683" w:type="pct"/>
                  <w:vMerge w:val="continue"/>
                  <w:tcBorders>
                    <w:tl2br w:val="nil"/>
                    <w:tr2bl w:val="nil"/>
                  </w:tcBorders>
                  <w:noWrap w:val="0"/>
                  <w:vAlign w:val="center"/>
                </w:tcPr>
                <w:p w14:paraId="73C3E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p>
              </w:tc>
              <w:tc>
                <w:tcPr>
                  <w:tcW w:w="1714" w:type="pct"/>
                  <w:vMerge w:val="continue"/>
                  <w:tcBorders>
                    <w:tl2br w:val="nil"/>
                    <w:tr2bl w:val="nil"/>
                  </w:tcBorders>
                  <w:noWrap w:val="0"/>
                  <w:vAlign w:val="center"/>
                </w:tcPr>
                <w:p w14:paraId="2D654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p>
              </w:tc>
              <w:tc>
                <w:tcPr>
                  <w:tcW w:w="1320" w:type="pct"/>
                  <w:gridSpan w:val="2"/>
                  <w:tcBorders>
                    <w:tl2br w:val="nil"/>
                    <w:tr2bl w:val="nil"/>
                  </w:tcBorders>
                  <w:noWrap w:val="0"/>
                  <w:vAlign w:val="center"/>
                </w:tcPr>
                <w:p w14:paraId="6B4971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2025.6.10</w:t>
                  </w:r>
                </w:p>
              </w:tc>
              <w:tc>
                <w:tcPr>
                  <w:tcW w:w="1281" w:type="pct"/>
                  <w:gridSpan w:val="2"/>
                  <w:tcBorders>
                    <w:tl2br w:val="nil"/>
                    <w:tr2bl w:val="nil"/>
                  </w:tcBorders>
                  <w:noWrap w:val="0"/>
                  <w:vAlign w:val="center"/>
                </w:tcPr>
                <w:p w14:paraId="10D8BB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2025.6.11</w:t>
                  </w:r>
                </w:p>
              </w:tc>
            </w:tr>
            <w:tr w14:paraId="63B81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8" w:hRule="atLeast"/>
                <w:jc w:val="center"/>
              </w:trPr>
              <w:tc>
                <w:tcPr>
                  <w:tcW w:w="683" w:type="pct"/>
                  <w:vMerge w:val="continue"/>
                  <w:tcBorders>
                    <w:tl2br w:val="nil"/>
                    <w:tr2bl w:val="nil"/>
                  </w:tcBorders>
                  <w:noWrap w:val="0"/>
                  <w:vAlign w:val="center"/>
                </w:tcPr>
                <w:p w14:paraId="3EA31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714" w:type="pct"/>
                  <w:vMerge w:val="continue"/>
                  <w:tcBorders>
                    <w:tl2br w:val="nil"/>
                    <w:tr2bl w:val="nil"/>
                  </w:tcBorders>
                  <w:noWrap w:val="0"/>
                  <w:vAlign w:val="center"/>
                </w:tcPr>
                <w:p w14:paraId="01756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650" w:type="pct"/>
                  <w:tcBorders>
                    <w:tl2br w:val="nil"/>
                    <w:tr2bl w:val="nil"/>
                  </w:tcBorders>
                  <w:noWrap w:val="0"/>
                  <w:vAlign w:val="center"/>
                </w:tcPr>
                <w:p w14:paraId="7FBFF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670" w:type="pct"/>
                  <w:tcBorders>
                    <w:tl2br w:val="nil"/>
                    <w:tr2bl w:val="nil"/>
                  </w:tcBorders>
                  <w:noWrap w:val="0"/>
                  <w:vAlign w:val="center"/>
                </w:tcPr>
                <w:p w14:paraId="04D09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c>
                <w:tcPr>
                  <w:tcW w:w="629" w:type="pct"/>
                  <w:tcBorders>
                    <w:tl2br w:val="nil"/>
                    <w:tr2bl w:val="nil"/>
                  </w:tcBorders>
                  <w:noWrap w:val="0"/>
                  <w:vAlign w:val="center"/>
                </w:tcPr>
                <w:p w14:paraId="30D7C6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651" w:type="pct"/>
                  <w:tcBorders>
                    <w:tl2br w:val="nil"/>
                    <w:tr2bl w:val="nil"/>
                  </w:tcBorders>
                  <w:noWrap w:val="0"/>
                  <w:vAlign w:val="center"/>
                </w:tcPr>
                <w:p w14:paraId="2CCAA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r>
            <w:tr w14:paraId="46941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83" w:type="pct"/>
                  <w:vMerge w:val="restart"/>
                  <w:tcBorders>
                    <w:tl2br w:val="nil"/>
                    <w:tr2bl w:val="nil"/>
                  </w:tcBorders>
                  <w:noWrap w:val="0"/>
                  <w:vAlign w:val="center"/>
                </w:tcPr>
                <w:p w14:paraId="526F8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p>
              </w:tc>
              <w:tc>
                <w:tcPr>
                  <w:tcW w:w="1714" w:type="pct"/>
                  <w:tcBorders>
                    <w:tl2br w:val="nil"/>
                    <w:tr2bl w:val="nil"/>
                  </w:tcBorders>
                  <w:noWrap w:val="0"/>
                  <w:vAlign w:val="top"/>
                </w:tcPr>
                <w:p w14:paraId="75374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泾源县黄花乡派出所（</w:t>
                  </w:r>
                  <w:r>
                    <w:rPr>
                      <w:rFonts w:hint="eastAsia" w:ascii="Times New Roman" w:hAnsi="Times New Roman" w:eastAsia="宋体" w:cs="Times New Roman"/>
                      <w:color w:val="auto"/>
                      <w:kern w:val="2"/>
                      <w:sz w:val="21"/>
                      <w:szCs w:val="21"/>
                      <w:highlight w:val="none"/>
                      <w:lang w:val="en-US" w:eastAsia="zh-CN"/>
                    </w:rPr>
                    <w:t>▲1</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top"/>
                </w:tcPr>
                <w:p w14:paraId="10031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670" w:type="pct"/>
                  <w:tcBorders>
                    <w:tl2br w:val="nil"/>
                    <w:tr2bl w:val="nil"/>
                  </w:tcBorders>
                  <w:noWrap w:val="0"/>
                  <w:vAlign w:val="top"/>
                </w:tcPr>
                <w:p w14:paraId="226E65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629" w:type="pct"/>
                  <w:tcBorders>
                    <w:tl2br w:val="nil"/>
                    <w:tr2bl w:val="nil"/>
                  </w:tcBorders>
                  <w:noWrap w:val="0"/>
                  <w:vAlign w:val="top"/>
                </w:tcPr>
                <w:p w14:paraId="3311B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651" w:type="pct"/>
                  <w:tcBorders>
                    <w:tl2br w:val="nil"/>
                    <w:tr2bl w:val="nil"/>
                  </w:tcBorders>
                  <w:noWrap w:val="0"/>
                  <w:vAlign w:val="top"/>
                </w:tcPr>
                <w:p w14:paraId="5B6295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r>
            <w:tr w14:paraId="33476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83" w:type="pct"/>
                  <w:vMerge w:val="continue"/>
                  <w:tcBorders>
                    <w:tl2br w:val="nil"/>
                    <w:tr2bl w:val="nil"/>
                  </w:tcBorders>
                  <w:noWrap w:val="0"/>
                  <w:vAlign w:val="center"/>
                </w:tcPr>
                <w:p w14:paraId="3F6946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714" w:type="pct"/>
                  <w:tcBorders>
                    <w:tl2br w:val="nil"/>
                    <w:tr2bl w:val="nil"/>
                  </w:tcBorders>
                  <w:noWrap w:val="0"/>
                  <w:vAlign w:val="top"/>
                </w:tcPr>
                <w:p w14:paraId="2E697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红土村（</w:t>
                  </w:r>
                  <w:r>
                    <w:rPr>
                      <w:rFonts w:hint="eastAsia" w:ascii="Times New Roman" w:hAnsi="Times New Roman" w:eastAsia="宋体" w:cs="Times New Roman"/>
                      <w:color w:val="auto"/>
                      <w:kern w:val="2"/>
                      <w:sz w:val="21"/>
                      <w:szCs w:val="21"/>
                      <w:highlight w:val="none"/>
                      <w:lang w:val="en-US" w:eastAsia="zh-CN"/>
                    </w:rPr>
                    <w:t>▲3</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top"/>
                </w:tcPr>
                <w:p w14:paraId="60BE4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670" w:type="pct"/>
                  <w:tcBorders>
                    <w:tl2br w:val="nil"/>
                    <w:tr2bl w:val="nil"/>
                  </w:tcBorders>
                  <w:noWrap w:val="0"/>
                  <w:vAlign w:val="top"/>
                </w:tcPr>
                <w:p w14:paraId="5B80B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629" w:type="pct"/>
                  <w:tcBorders>
                    <w:tl2br w:val="nil"/>
                    <w:tr2bl w:val="nil"/>
                  </w:tcBorders>
                  <w:noWrap w:val="0"/>
                  <w:vAlign w:val="top"/>
                </w:tcPr>
                <w:p w14:paraId="7C945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651" w:type="pct"/>
                  <w:tcBorders>
                    <w:tl2br w:val="nil"/>
                    <w:tr2bl w:val="nil"/>
                  </w:tcBorders>
                  <w:noWrap w:val="0"/>
                  <w:vAlign w:val="top"/>
                </w:tcPr>
                <w:p w14:paraId="5EA38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58874C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683" w:type="pct"/>
                  <w:vMerge w:val="continue"/>
                  <w:tcBorders>
                    <w:tl2br w:val="nil"/>
                    <w:tr2bl w:val="nil"/>
                  </w:tcBorders>
                  <w:noWrap w:val="0"/>
                  <w:vAlign w:val="center"/>
                </w:tcPr>
                <w:p w14:paraId="1090B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714" w:type="pct"/>
                  <w:tcBorders>
                    <w:tl2br w:val="nil"/>
                    <w:tr2bl w:val="nil"/>
                  </w:tcBorders>
                  <w:noWrap w:val="0"/>
                  <w:vAlign w:val="top"/>
                </w:tcPr>
                <w:p w14:paraId="712A1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黄粱渠（</w:t>
                  </w:r>
                  <w:r>
                    <w:rPr>
                      <w:rFonts w:hint="eastAsia" w:ascii="Times New Roman" w:hAnsi="Times New Roman" w:eastAsia="宋体" w:cs="Times New Roman"/>
                      <w:color w:val="auto"/>
                      <w:kern w:val="2"/>
                      <w:sz w:val="21"/>
                      <w:szCs w:val="21"/>
                      <w:highlight w:val="none"/>
                      <w:lang w:val="en-US" w:eastAsia="zh-CN"/>
                    </w:rPr>
                    <w:t>▲4</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top"/>
                </w:tcPr>
                <w:p w14:paraId="306B2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670" w:type="pct"/>
                  <w:tcBorders>
                    <w:tl2br w:val="nil"/>
                    <w:tr2bl w:val="nil"/>
                  </w:tcBorders>
                  <w:noWrap w:val="0"/>
                  <w:vAlign w:val="top"/>
                </w:tcPr>
                <w:p w14:paraId="7068A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629" w:type="pct"/>
                  <w:tcBorders>
                    <w:tl2br w:val="nil"/>
                    <w:tr2bl w:val="nil"/>
                  </w:tcBorders>
                  <w:noWrap w:val="0"/>
                  <w:vAlign w:val="top"/>
                </w:tcPr>
                <w:p w14:paraId="20AB9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651" w:type="pct"/>
                  <w:tcBorders>
                    <w:tl2br w:val="nil"/>
                    <w:tr2bl w:val="nil"/>
                  </w:tcBorders>
                  <w:noWrap w:val="0"/>
                  <w:vAlign w:val="top"/>
                </w:tcPr>
                <w:p w14:paraId="23D54B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r>
            <w:tr w14:paraId="6B2EF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 w:hRule="atLeast"/>
                <w:jc w:val="center"/>
              </w:trPr>
              <w:tc>
                <w:tcPr>
                  <w:tcW w:w="683" w:type="pct"/>
                  <w:vMerge w:val="restart"/>
                  <w:tcBorders>
                    <w:tl2br w:val="nil"/>
                    <w:tr2bl w:val="nil"/>
                  </w:tcBorders>
                  <w:noWrap w:val="0"/>
                  <w:vAlign w:val="center"/>
                </w:tcPr>
                <w:p w14:paraId="49AD8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b/>
                      <w:bCs/>
                      <w:color w:val="auto"/>
                      <w:sz w:val="21"/>
                      <w:szCs w:val="21"/>
                    </w:rPr>
                    <w:t>检测因子</w:t>
                  </w:r>
                </w:p>
              </w:tc>
              <w:tc>
                <w:tcPr>
                  <w:tcW w:w="1714" w:type="pct"/>
                  <w:vMerge w:val="restart"/>
                  <w:tcBorders>
                    <w:tl2br w:val="nil"/>
                    <w:tr2bl w:val="nil"/>
                  </w:tcBorders>
                  <w:noWrap w:val="0"/>
                  <w:vAlign w:val="center"/>
                </w:tcPr>
                <w:p w14:paraId="06CB7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b/>
                      <w:bCs/>
                      <w:color w:val="auto"/>
                      <w:sz w:val="21"/>
                      <w:szCs w:val="21"/>
                    </w:rPr>
                    <w:t>检测点位</w:t>
                  </w:r>
                </w:p>
              </w:tc>
              <w:tc>
                <w:tcPr>
                  <w:tcW w:w="1320" w:type="pct"/>
                  <w:gridSpan w:val="2"/>
                  <w:tcBorders>
                    <w:tl2br w:val="nil"/>
                    <w:tr2bl w:val="nil"/>
                  </w:tcBorders>
                  <w:shd w:val="clear" w:color="auto" w:fill="auto"/>
                  <w:noWrap w:val="0"/>
                  <w:vAlign w:val="top"/>
                </w:tcPr>
                <w:p w14:paraId="017A4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color w:val="auto"/>
                      <w:sz w:val="21"/>
                      <w:szCs w:val="21"/>
                      <w:lang w:val="en-US" w:eastAsia="zh-CN"/>
                    </w:rPr>
                    <w:t>2025.6.11</w:t>
                  </w:r>
                </w:p>
              </w:tc>
              <w:tc>
                <w:tcPr>
                  <w:tcW w:w="1281" w:type="pct"/>
                  <w:gridSpan w:val="2"/>
                  <w:tcBorders>
                    <w:tl2br w:val="nil"/>
                    <w:tr2bl w:val="nil"/>
                  </w:tcBorders>
                  <w:shd w:val="clear" w:color="auto" w:fill="auto"/>
                  <w:noWrap w:val="0"/>
                  <w:vAlign w:val="top"/>
                </w:tcPr>
                <w:p w14:paraId="26D35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2025.6.12</w:t>
                  </w:r>
                </w:p>
              </w:tc>
            </w:tr>
            <w:tr w14:paraId="0844A1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 w:hRule="atLeast"/>
                <w:jc w:val="center"/>
              </w:trPr>
              <w:tc>
                <w:tcPr>
                  <w:tcW w:w="683" w:type="pct"/>
                  <w:vMerge w:val="continue"/>
                  <w:tcBorders>
                    <w:tl2br w:val="nil"/>
                    <w:tr2bl w:val="nil"/>
                  </w:tcBorders>
                  <w:noWrap w:val="0"/>
                  <w:vAlign w:val="center"/>
                </w:tcPr>
                <w:p w14:paraId="625A4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714" w:type="pct"/>
                  <w:vMerge w:val="continue"/>
                  <w:tcBorders>
                    <w:tl2br w:val="nil"/>
                    <w:tr2bl w:val="nil"/>
                  </w:tcBorders>
                  <w:noWrap w:val="0"/>
                  <w:vAlign w:val="center"/>
                </w:tcPr>
                <w:p w14:paraId="0618F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650" w:type="pct"/>
                  <w:tcBorders>
                    <w:tl2br w:val="nil"/>
                    <w:tr2bl w:val="nil"/>
                  </w:tcBorders>
                  <w:shd w:val="clear" w:color="auto" w:fill="auto"/>
                  <w:noWrap w:val="0"/>
                  <w:vAlign w:val="center"/>
                </w:tcPr>
                <w:p w14:paraId="74743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670" w:type="pct"/>
                  <w:tcBorders>
                    <w:tl2br w:val="nil"/>
                    <w:tr2bl w:val="nil"/>
                  </w:tcBorders>
                  <w:shd w:val="clear" w:color="auto" w:fill="auto"/>
                  <w:noWrap w:val="0"/>
                  <w:vAlign w:val="center"/>
                </w:tcPr>
                <w:p w14:paraId="0745D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c>
                <w:tcPr>
                  <w:tcW w:w="629" w:type="pct"/>
                  <w:tcBorders>
                    <w:tl2br w:val="nil"/>
                    <w:tr2bl w:val="nil"/>
                  </w:tcBorders>
                  <w:shd w:val="clear" w:color="auto" w:fill="auto"/>
                  <w:noWrap w:val="0"/>
                  <w:vAlign w:val="center"/>
                </w:tcPr>
                <w:p w14:paraId="47C5C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昼间</w:t>
                  </w:r>
                </w:p>
              </w:tc>
              <w:tc>
                <w:tcPr>
                  <w:tcW w:w="651" w:type="pct"/>
                  <w:tcBorders>
                    <w:tl2br w:val="nil"/>
                    <w:tr2bl w:val="nil"/>
                  </w:tcBorders>
                  <w:shd w:val="clear" w:color="auto" w:fill="auto"/>
                  <w:noWrap w:val="0"/>
                  <w:vAlign w:val="center"/>
                </w:tcPr>
                <w:p w14:paraId="67AAE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夜间</w:t>
                  </w:r>
                </w:p>
              </w:tc>
            </w:tr>
            <w:tr w14:paraId="4B67D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83" w:type="pct"/>
                  <w:vMerge w:val="restart"/>
                  <w:tcBorders>
                    <w:tl2br w:val="nil"/>
                    <w:tr2bl w:val="nil"/>
                  </w:tcBorders>
                  <w:noWrap w:val="0"/>
                  <w:vAlign w:val="center"/>
                </w:tcPr>
                <w:p w14:paraId="6E5C6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等效连续A声级</w:t>
                  </w:r>
                </w:p>
              </w:tc>
              <w:tc>
                <w:tcPr>
                  <w:tcW w:w="1714" w:type="pct"/>
                  <w:tcBorders>
                    <w:tl2br w:val="nil"/>
                    <w:tr2bl w:val="nil"/>
                  </w:tcBorders>
                  <w:shd w:val="clear" w:color="auto" w:fill="auto"/>
                  <w:noWrap w:val="0"/>
                  <w:vAlign w:val="center"/>
                </w:tcPr>
                <w:p w14:paraId="112E76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羊槽村（</w:t>
                  </w:r>
                  <w:r>
                    <w:rPr>
                      <w:rFonts w:hint="eastAsia" w:ascii="Times New Roman" w:hAnsi="Times New Roman" w:eastAsia="宋体" w:cs="Times New Roman"/>
                      <w:color w:val="auto"/>
                      <w:kern w:val="2"/>
                      <w:sz w:val="21"/>
                      <w:szCs w:val="21"/>
                      <w:highlight w:val="none"/>
                      <w:lang w:val="en-US" w:eastAsia="zh-CN"/>
                    </w:rPr>
                    <w:t>▲2</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shd w:val="clear" w:color="auto" w:fill="auto"/>
                  <w:noWrap w:val="0"/>
                  <w:vAlign w:val="top"/>
                </w:tcPr>
                <w:p w14:paraId="6C1D9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55</w:t>
                  </w:r>
                </w:p>
              </w:tc>
              <w:tc>
                <w:tcPr>
                  <w:tcW w:w="670" w:type="pct"/>
                  <w:tcBorders>
                    <w:tl2br w:val="nil"/>
                    <w:tr2bl w:val="nil"/>
                  </w:tcBorders>
                  <w:shd w:val="clear" w:color="auto" w:fill="auto"/>
                  <w:noWrap w:val="0"/>
                  <w:vAlign w:val="top"/>
                </w:tcPr>
                <w:p w14:paraId="49C72B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43</w:t>
                  </w:r>
                </w:p>
              </w:tc>
              <w:tc>
                <w:tcPr>
                  <w:tcW w:w="629" w:type="pct"/>
                  <w:tcBorders>
                    <w:tl2br w:val="nil"/>
                    <w:tr2bl w:val="nil"/>
                  </w:tcBorders>
                  <w:shd w:val="clear" w:color="auto" w:fill="auto"/>
                  <w:noWrap w:val="0"/>
                  <w:vAlign w:val="top"/>
                </w:tcPr>
                <w:p w14:paraId="1B83A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52</w:t>
                  </w:r>
                </w:p>
              </w:tc>
              <w:tc>
                <w:tcPr>
                  <w:tcW w:w="651" w:type="pct"/>
                  <w:tcBorders>
                    <w:tl2br w:val="nil"/>
                    <w:tr2bl w:val="nil"/>
                  </w:tcBorders>
                  <w:shd w:val="clear" w:color="auto" w:fill="auto"/>
                  <w:noWrap w:val="0"/>
                  <w:vAlign w:val="top"/>
                </w:tcPr>
                <w:p w14:paraId="55F96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eastAsia" w:ascii="Times New Roman" w:hAnsi="Times New Roman" w:eastAsia="宋体" w:cs="Times New Roman"/>
                      <w:b/>
                      <w:bCs/>
                      <w:snapToGrid w:val="0"/>
                      <w:color w:val="auto"/>
                      <w:kern w:val="0"/>
                      <w:sz w:val="21"/>
                      <w:szCs w:val="21"/>
                      <w:lang w:val="en-US" w:eastAsia="zh-CN" w:bidi="ar-SA"/>
                    </w:rPr>
                    <w:t>42</w:t>
                  </w:r>
                </w:p>
              </w:tc>
            </w:tr>
            <w:tr w14:paraId="7CA5E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83" w:type="pct"/>
                  <w:vMerge w:val="continue"/>
                  <w:tcBorders>
                    <w:tl2br w:val="nil"/>
                    <w:tr2bl w:val="nil"/>
                  </w:tcBorders>
                  <w:noWrap w:val="0"/>
                  <w:vAlign w:val="center"/>
                </w:tcPr>
                <w:p w14:paraId="411CC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714" w:type="pct"/>
                  <w:tcBorders>
                    <w:tl2br w:val="nil"/>
                    <w:tr2bl w:val="nil"/>
                  </w:tcBorders>
                  <w:noWrap w:val="0"/>
                  <w:vAlign w:val="center"/>
                </w:tcPr>
                <w:p w14:paraId="2C4D8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向阳村（</w:t>
                  </w:r>
                  <w:r>
                    <w:rPr>
                      <w:rFonts w:hint="eastAsia" w:ascii="Times New Roman" w:hAnsi="Times New Roman" w:eastAsia="宋体" w:cs="Times New Roman"/>
                      <w:color w:val="auto"/>
                      <w:kern w:val="2"/>
                      <w:sz w:val="21"/>
                      <w:szCs w:val="21"/>
                      <w:highlight w:val="none"/>
                      <w:lang w:val="en-US" w:eastAsia="zh-CN"/>
                    </w:rPr>
                    <w:t>▲5</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top"/>
                </w:tcPr>
                <w:p w14:paraId="284DD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52</w:t>
                  </w:r>
                </w:p>
              </w:tc>
              <w:tc>
                <w:tcPr>
                  <w:tcW w:w="670" w:type="pct"/>
                  <w:tcBorders>
                    <w:tl2br w:val="nil"/>
                    <w:tr2bl w:val="nil"/>
                  </w:tcBorders>
                  <w:noWrap w:val="0"/>
                  <w:vAlign w:val="top"/>
                </w:tcPr>
                <w:p w14:paraId="17EE9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41</w:t>
                  </w:r>
                </w:p>
              </w:tc>
              <w:tc>
                <w:tcPr>
                  <w:tcW w:w="629" w:type="pct"/>
                  <w:tcBorders>
                    <w:tl2br w:val="nil"/>
                    <w:tr2bl w:val="nil"/>
                  </w:tcBorders>
                  <w:noWrap w:val="0"/>
                  <w:vAlign w:val="top"/>
                </w:tcPr>
                <w:p w14:paraId="0F4E9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51</w:t>
                  </w:r>
                </w:p>
              </w:tc>
              <w:tc>
                <w:tcPr>
                  <w:tcW w:w="651" w:type="pct"/>
                  <w:tcBorders>
                    <w:tl2br w:val="nil"/>
                    <w:tr2bl w:val="nil"/>
                  </w:tcBorders>
                  <w:noWrap w:val="0"/>
                  <w:vAlign w:val="top"/>
                </w:tcPr>
                <w:p w14:paraId="3AB41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44</w:t>
                  </w:r>
                </w:p>
              </w:tc>
            </w:tr>
            <w:tr w14:paraId="5C551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83" w:type="pct"/>
                  <w:vMerge w:val="continue"/>
                  <w:tcBorders>
                    <w:tl2br w:val="nil"/>
                    <w:tr2bl w:val="nil"/>
                  </w:tcBorders>
                  <w:noWrap w:val="0"/>
                  <w:vAlign w:val="center"/>
                </w:tcPr>
                <w:p w14:paraId="28FE4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714" w:type="pct"/>
                  <w:tcBorders>
                    <w:tl2br w:val="nil"/>
                    <w:tr2bl w:val="nil"/>
                  </w:tcBorders>
                  <w:noWrap w:val="0"/>
                  <w:vAlign w:val="center"/>
                </w:tcPr>
                <w:p w14:paraId="38BC6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八大阶（</w:t>
                  </w:r>
                  <w:r>
                    <w:rPr>
                      <w:rFonts w:hint="eastAsia" w:ascii="Times New Roman" w:hAnsi="Times New Roman" w:eastAsia="宋体" w:cs="Times New Roman"/>
                      <w:color w:val="auto"/>
                      <w:kern w:val="2"/>
                      <w:sz w:val="21"/>
                      <w:szCs w:val="21"/>
                      <w:highlight w:val="none"/>
                      <w:lang w:val="en-US" w:eastAsia="zh-CN"/>
                    </w:rPr>
                    <w:t>▲6</w:t>
                  </w:r>
                  <w:r>
                    <w:rPr>
                      <w:rFonts w:hint="eastAsia" w:ascii="Times New Roman" w:hAnsi="Times New Roman" w:eastAsia="宋体" w:cs="Times New Roman"/>
                      <w:color w:val="auto"/>
                      <w:sz w:val="21"/>
                      <w:szCs w:val="21"/>
                      <w:lang w:val="en-US" w:eastAsia="zh-CN"/>
                    </w:rPr>
                    <w:t>）</w:t>
                  </w:r>
                </w:p>
              </w:tc>
              <w:tc>
                <w:tcPr>
                  <w:tcW w:w="650" w:type="pct"/>
                  <w:tcBorders>
                    <w:tl2br w:val="nil"/>
                    <w:tr2bl w:val="nil"/>
                  </w:tcBorders>
                  <w:noWrap w:val="0"/>
                  <w:vAlign w:val="top"/>
                </w:tcPr>
                <w:p w14:paraId="0C1AD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51</w:t>
                  </w:r>
                </w:p>
              </w:tc>
              <w:tc>
                <w:tcPr>
                  <w:tcW w:w="670" w:type="pct"/>
                  <w:tcBorders>
                    <w:tl2br w:val="nil"/>
                    <w:tr2bl w:val="nil"/>
                  </w:tcBorders>
                  <w:noWrap w:val="0"/>
                  <w:vAlign w:val="top"/>
                </w:tcPr>
                <w:p w14:paraId="2A25E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44</w:t>
                  </w:r>
                </w:p>
              </w:tc>
              <w:tc>
                <w:tcPr>
                  <w:tcW w:w="629" w:type="pct"/>
                  <w:tcBorders>
                    <w:tl2br w:val="nil"/>
                    <w:tr2bl w:val="nil"/>
                  </w:tcBorders>
                  <w:noWrap w:val="0"/>
                  <w:vAlign w:val="top"/>
                </w:tcPr>
                <w:p w14:paraId="2E546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52</w:t>
                  </w:r>
                </w:p>
              </w:tc>
              <w:tc>
                <w:tcPr>
                  <w:tcW w:w="651" w:type="pct"/>
                  <w:tcBorders>
                    <w:tl2br w:val="nil"/>
                    <w:tr2bl w:val="nil"/>
                  </w:tcBorders>
                  <w:noWrap w:val="0"/>
                  <w:vAlign w:val="top"/>
                </w:tcPr>
                <w:p w14:paraId="6DFB11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44</w:t>
                  </w:r>
                </w:p>
              </w:tc>
            </w:tr>
          </w:tbl>
          <w:p w14:paraId="60B3C2C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b/>
                <w:color w:val="auto"/>
                <w:lang w:val="en-US" w:eastAsia="zh-CN"/>
              </w:rPr>
            </w:pPr>
            <w:r>
              <w:rPr>
                <w:rFonts w:hint="default" w:ascii="Times New Roman" w:hAnsi="Times New Roman" w:eastAsia="宋体" w:cs="Times New Roman"/>
                <w:color w:val="auto"/>
                <w:spacing w:val="-4"/>
                <w:highlight w:val="none"/>
                <w:lang w:val="en-US" w:eastAsia="zh-CN"/>
              </w:rPr>
              <w:t>由监测结果可知，监测期间，</w:t>
            </w:r>
            <w:r>
              <w:rPr>
                <w:rFonts w:hint="eastAsia"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spacing w:val="-4"/>
                <w:highlight w:val="none"/>
                <w:lang w:val="en-US" w:eastAsia="zh-CN"/>
              </w:rPr>
              <w:t>1~</w:t>
            </w:r>
            <w:r>
              <w:rPr>
                <w:rFonts w:hint="eastAsia" w:ascii="Times New Roman" w:hAnsi="Times New Roman" w:eastAsia="宋体" w:cs="Times New Roman"/>
                <w:color w:val="auto"/>
                <w:spacing w:val="-4"/>
                <w:highlight w:val="none"/>
                <w:lang w:val="en-US" w:eastAsia="zh-CN"/>
              </w:rPr>
              <w:t>6</w:t>
            </w:r>
            <w:r>
              <w:rPr>
                <w:rFonts w:hint="default" w:ascii="Times New Roman" w:hAnsi="Times New Roman" w:eastAsia="宋体" w:cs="Times New Roman"/>
                <w:color w:val="auto"/>
                <w:spacing w:val="-4"/>
                <w:highlight w:val="none"/>
                <w:lang w:val="en-US" w:eastAsia="zh-CN"/>
              </w:rPr>
              <w:t>监测点位昼</w:t>
            </w:r>
            <w:r>
              <w:rPr>
                <w:rFonts w:hint="eastAsia" w:ascii="Times New Roman" w:hAnsi="Times New Roman" w:eastAsia="宋体" w:cs="Times New Roman"/>
                <w:color w:val="auto"/>
                <w:spacing w:val="-4"/>
                <w:highlight w:val="none"/>
                <w:lang w:val="en-US" w:eastAsia="zh-CN"/>
              </w:rPr>
              <w:t>夜</w:t>
            </w:r>
            <w:r>
              <w:rPr>
                <w:rFonts w:hint="default" w:ascii="Times New Roman" w:hAnsi="Times New Roman" w:eastAsia="宋体" w:cs="Times New Roman"/>
                <w:color w:val="auto"/>
                <w:spacing w:val="-4"/>
                <w:highlight w:val="none"/>
                <w:lang w:val="en-US" w:eastAsia="zh-CN"/>
              </w:rPr>
              <w:t>间等效连续A声级监测值均满足《声环境质量标准》（GB</w:t>
            </w:r>
            <w:r>
              <w:rPr>
                <w:rFonts w:hint="eastAsia" w:ascii="Times New Roman" w:hAnsi="Times New Roman" w:eastAsia="宋体" w:cs="Times New Roman"/>
                <w:color w:val="auto"/>
                <w:spacing w:val="-4"/>
                <w:highlight w:val="none"/>
                <w:lang w:val="en-US" w:eastAsia="zh-CN"/>
              </w:rPr>
              <w:t xml:space="preserve"> </w:t>
            </w:r>
            <w:r>
              <w:rPr>
                <w:rFonts w:hint="default" w:ascii="Times New Roman" w:hAnsi="Times New Roman" w:eastAsia="宋体" w:cs="Times New Roman"/>
                <w:color w:val="auto"/>
                <w:spacing w:val="-4"/>
                <w:highlight w:val="none"/>
                <w:lang w:val="en-US" w:eastAsia="zh-CN"/>
              </w:rPr>
              <w:t>3096-2008）</w:t>
            </w:r>
            <w:r>
              <w:rPr>
                <w:rFonts w:hint="eastAsia" w:ascii="Times New Roman" w:hAnsi="Times New Roman" w:eastAsia="宋体" w:cs="Times New Roman"/>
                <w:color w:val="auto"/>
                <w:spacing w:val="-4"/>
                <w:highlight w:val="none"/>
                <w:lang w:val="en-US" w:eastAsia="zh-CN"/>
              </w:rPr>
              <w:t>2</w:t>
            </w:r>
            <w:r>
              <w:rPr>
                <w:rFonts w:hint="default" w:ascii="Times New Roman" w:hAnsi="Times New Roman" w:eastAsia="宋体" w:cs="Times New Roman"/>
                <w:color w:val="auto"/>
                <w:spacing w:val="-4"/>
                <w:highlight w:val="none"/>
                <w:lang w:val="en-US" w:eastAsia="zh-CN"/>
              </w:rPr>
              <w:t>类标准限值。</w:t>
            </w:r>
            <w:r>
              <w:rPr>
                <w:rFonts w:hint="eastAsia" w:ascii="Times New Roman" w:hAnsi="Times New Roman" w:eastAsia="宋体" w:cs="Times New Roman"/>
                <w:color w:val="auto"/>
                <w:spacing w:val="-4"/>
                <w:highlight w:val="none"/>
                <w:lang w:val="en-US" w:eastAsia="zh-CN"/>
              </w:rPr>
              <w:t>项目所在区域声环境质量良好。</w:t>
            </w:r>
          </w:p>
          <w:p w14:paraId="1DCD616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cs="Times New Roman"/>
                <w:b/>
                <w:bCs/>
                <w:color w:val="auto"/>
                <w:spacing w:val="-4"/>
                <w:lang w:val="en-US" w:eastAsia="zh-CN"/>
              </w:rPr>
            </w:pPr>
            <w:r>
              <w:rPr>
                <w:rFonts w:hint="eastAsia" w:ascii="Times New Roman" w:hAnsi="Times New Roman" w:cs="Times New Roman"/>
                <w:b/>
                <w:bCs/>
                <w:color w:val="auto"/>
                <w:spacing w:val="-4"/>
                <w:lang w:val="en-US" w:eastAsia="zh-CN"/>
              </w:rPr>
              <w:t>4 沟道底泥现状</w:t>
            </w:r>
          </w:p>
          <w:p w14:paraId="6C1C27D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本项目委托宁夏华鼎环保科技有限公司对羊槽河（羊槽村段）、向阳村边沟进行底泥环境质量现状监测，说明本工程所涉及的</w:t>
            </w:r>
            <w:r>
              <w:rPr>
                <w:rFonts w:hint="eastAsia" w:ascii="Times New Roman" w:hAnsi="Times New Roman" w:cs="Times New Roman"/>
                <w:color w:val="auto"/>
                <w:spacing w:val="-4"/>
                <w:highlight w:val="none"/>
                <w:lang w:val="en-US" w:eastAsia="zh-CN"/>
              </w:rPr>
              <w:t>河（</w:t>
            </w:r>
            <w:r>
              <w:rPr>
                <w:rFonts w:hint="eastAsia" w:ascii="Times New Roman" w:hAnsi="Times New Roman" w:eastAsia="宋体" w:cs="Times New Roman"/>
                <w:color w:val="auto"/>
                <w:spacing w:val="-4"/>
                <w:highlight w:val="none"/>
                <w:lang w:val="en-US" w:eastAsia="zh-CN"/>
              </w:rPr>
              <w:t>沟</w:t>
            </w:r>
            <w:r>
              <w:rPr>
                <w:rFonts w:hint="eastAsia" w:ascii="Times New Roman" w:hAnsi="Times New Roman" w:cs="Times New Roman"/>
                <w:color w:val="auto"/>
                <w:spacing w:val="-4"/>
                <w:highlight w:val="none"/>
                <w:lang w:val="en-US" w:eastAsia="zh-CN"/>
              </w:rPr>
              <w:t>）</w:t>
            </w:r>
            <w:r>
              <w:rPr>
                <w:rFonts w:hint="eastAsia" w:ascii="Times New Roman" w:hAnsi="Times New Roman" w:eastAsia="宋体" w:cs="Times New Roman"/>
                <w:color w:val="auto"/>
                <w:spacing w:val="-4"/>
                <w:highlight w:val="none"/>
                <w:lang w:val="en-US" w:eastAsia="zh-CN"/>
              </w:rPr>
              <w:t>道底泥现状。监测报告详见附件</w:t>
            </w:r>
            <w:r>
              <w:rPr>
                <w:rFonts w:hint="eastAsia" w:ascii="Times New Roman" w:hAnsi="Times New Roman" w:cs="Times New Roman"/>
                <w:color w:val="auto"/>
                <w:spacing w:val="-4"/>
                <w:highlight w:val="none"/>
                <w:lang w:val="en-US" w:eastAsia="zh-CN"/>
              </w:rPr>
              <w:t>3</w:t>
            </w:r>
            <w:r>
              <w:rPr>
                <w:rFonts w:hint="eastAsia" w:ascii="Times New Roman" w:hAnsi="Times New Roman" w:eastAsia="宋体" w:cs="Times New Roman"/>
                <w:color w:val="auto"/>
                <w:spacing w:val="-4"/>
                <w:highlight w:val="none"/>
                <w:lang w:val="en-US" w:eastAsia="zh-CN"/>
              </w:rPr>
              <w:t>。</w:t>
            </w:r>
          </w:p>
          <w:p w14:paraId="7489465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（1）检测项目</w:t>
            </w:r>
          </w:p>
          <w:p w14:paraId="69BBA8E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default" w:ascii="Times New Roman" w:hAnsi="Times New Roman" w:eastAsia="宋体" w:cs="Times New Roman"/>
                <w:color w:val="auto"/>
                <w:spacing w:val="-4"/>
                <w:highlight w:val="none"/>
                <w:lang w:val="en-US" w:eastAsia="zh-CN"/>
              </w:rPr>
              <w:t>pH、镉、铅、总汞、总砷、铜、镍、铬、锌</w:t>
            </w:r>
            <w:r>
              <w:rPr>
                <w:rFonts w:hint="eastAsia" w:ascii="Times New Roman" w:hAnsi="Times New Roman" w:eastAsia="宋体" w:cs="Times New Roman"/>
                <w:color w:val="auto"/>
                <w:spacing w:val="-4"/>
                <w:highlight w:val="none"/>
                <w:lang w:val="en-US" w:eastAsia="zh-CN"/>
              </w:rPr>
              <w:t>、颜色和气味。</w:t>
            </w:r>
          </w:p>
          <w:p w14:paraId="068D58A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（2）检测方法和仪器设备</w:t>
            </w:r>
          </w:p>
          <w:p w14:paraId="51BE9D3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本项目底泥检测方法和设备见表3-</w:t>
            </w:r>
            <w:r>
              <w:rPr>
                <w:rFonts w:hint="eastAsia" w:ascii="Times New Roman" w:hAnsi="Times New Roman" w:cs="Times New Roman"/>
                <w:color w:val="auto"/>
                <w:spacing w:val="-4"/>
                <w:highlight w:val="none"/>
                <w:lang w:val="en-US" w:eastAsia="zh-CN"/>
              </w:rPr>
              <w:t>9</w:t>
            </w:r>
            <w:r>
              <w:rPr>
                <w:rFonts w:hint="eastAsia" w:ascii="Times New Roman" w:hAnsi="Times New Roman" w:eastAsia="宋体" w:cs="Times New Roman"/>
                <w:color w:val="auto"/>
                <w:spacing w:val="-4"/>
                <w:highlight w:val="none"/>
                <w:lang w:val="en-US" w:eastAsia="zh-CN"/>
              </w:rPr>
              <w:t>。</w:t>
            </w:r>
          </w:p>
          <w:p w14:paraId="591741C4">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表3-</w:t>
            </w:r>
            <w:r>
              <w:rPr>
                <w:rFonts w:hint="eastAsia" w:ascii="Times New Roman" w:hAnsi="Times New Roman" w:cs="Times New Roman"/>
                <w:b/>
                <w:bCs/>
                <w:snapToGrid w:val="0"/>
                <w:color w:val="auto"/>
                <w:spacing w:val="6"/>
                <w:kern w:val="0"/>
                <w:sz w:val="21"/>
                <w:szCs w:val="21"/>
                <w:lang w:val="en-US" w:eastAsia="zh-CN" w:bidi="ar-SA"/>
              </w:rPr>
              <w:t>9</w:t>
            </w:r>
            <w:r>
              <w:rPr>
                <w:rFonts w:hint="eastAsia" w:ascii="Times New Roman" w:hAnsi="Times New Roman" w:eastAsia="宋体" w:cs="Times New Roman"/>
                <w:b/>
                <w:bCs/>
                <w:snapToGrid w:val="0"/>
                <w:color w:val="auto"/>
                <w:spacing w:val="6"/>
                <w:kern w:val="0"/>
                <w:sz w:val="21"/>
                <w:szCs w:val="21"/>
                <w:lang w:val="en-US" w:eastAsia="zh-CN" w:bidi="ar-SA"/>
              </w:rPr>
              <w:t xml:space="preserve">  底泥检测方法和仪器设备一览表</w:t>
            </w:r>
          </w:p>
          <w:tbl>
            <w:tblPr>
              <w:tblStyle w:val="18"/>
              <w:tblW w:w="7958"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1317"/>
              <w:gridCol w:w="2569"/>
              <w:gridCol w:w="820"/>
              <w:gridCol w:w="1534"/>
              <w:gridCol w:w="1161"/>
            </w:tblGrid>
            <w:tr w14:paraId="61C80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7" w:type="dxa"/>
                  <w:tcBorders>
                    <w:top w:val="single" w:color="000000" w:sz="10" w:space="0"/>
                    <w:left w:val="nil"/>
                  </w:tcBorders>
                  <w:vAlign w:val="center"/>
                </w:tcPr>
                <w:p w14:paraId="58E12EE3">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1317" w:type="dxa"/>
                  <w:tcBorders>
                    <w:top w:val="single" w:color="000000" w:sz="10" w:space="0"/>
                  </w:tcBorders>
                  <w:vAlign w:val="center"/>
                </w:tcPr>
                <w:p w14:paraId="36C0EE47">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检测因子</w:t>
                  </w:r>
                </w:p>
              </w:tc>
              <w:tc>
                <w:tcPr>
                  <w:tcW w:w="2569" w:type="dxa"/>
                  <w:tcBorders>
                    <w:top w:val="single" w:color="000000" w:sz="10" w:space="0"/>
                  </w:tcBorders>
                  <w:vAlign w:val="center"/>
                </w:tcPr>
                <w:p w14:paraId="2E58A18C">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方法名称及来源</w:t>
                  </w:r>
                </w:p>
              </w:tc>
              <w:tc>
                <w:tcPr>
                  <w:tcW w:w="820" w:type="dxa"/>
                  <w:tcBorders>
                    <w:top w:val="single" w:color="000000" w:sz="10" w:space="0"/>
                  </w:tcBorders>
                  <w:vAlign w:val="center"/>
                </w:tcPr>
                <w:p w14:paraId="7381A2AD">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检出限</w:t>
                  </w:r>
                </w:p>
              </w:tc>
              <w:tc>
                <w:tcPr>
                  <w:tcW w:w="1534" w:type="dxa"/>
                  <w:tcBorders>
                    <w:top w:val="single" w:color="000000" w:sz="10" w:space="0"/>
                  </w:tcBorders>
                  <w:vAlign w:val="center"/>
                </w:tcPr>
                <w:p w14:paraId="0DE44781">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仪器名称  型号及编号</w:t>
                  </w:r>
                </w:p>
              </w:tc>
              <w:tc>
                <w:tcPr>
                  <w:tcW w:w="1161" w:type="dxa"/>
                  <w:tcBorders>
                    <w:top w:val="single" w:color="000000" w:sz="10" w:space="0"/>
                    <w:right w:val="nil"/>
                  </w:tcBorders>
                  <w:vAlign w:val="center"/>
                </w:tcPr>
                <w:p w14:paraId="6C6C4952">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仪器检定/校 准有效期</w:t>
                  </w:r>
                </w:p>
              </w:tc>
            </w:tr>
            <w:tr w14:paraId="77721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57" w:type="dxa"/>
                  <w:tcBorders>
                    <w:left w:val="nil"/>
                  </w:tcBorders>
                  <w:vAlign w:val="center"/>
                </w:tcPr>
                <w:p w14:paraId="7DFD3B71">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17" w:type="dxa"/>
                  <w:vAlign w:val="center"/>
                </w:tcPr>
                <w:p w14:paraId="43888C9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2569" w:type="dxa"/>
                  <w:vAlign w:val="center"/>
                </w:tcPr>
                <w:p w14:paraId="33EAA78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《城镇污泥pH的测定电极法》CJ/T 221-2023</w:t>
                  </w:r>
                </w:p>
              </w:tc>
              <w:tc>
                <w:tcPr>
                  <w:tcW w:w="820" w:type="dxa"/>
                  <w:vAlign w:val="center"/>
                </w:tcPr>
                <w:p w14:paraId="33D9A44A">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34" w:type="dxa"/>
                  <w:vAlign w:val="center"/>
                </w:tcPr>
                <w:p w14:paraId="0BFA42E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 计 PHS-3C HD-YQ-009-B</w:t>
                  </w:r>
                </w:p>
              </w:tc>
              <w:tc>
                <w:tcPr>
                  <w:tcW w:w="1161" w:type="dxa"/>
                  <w:tcBorders>
                    <w:right w:val="nil"/>
                  </w:tcBorders>
                  <w:vAlign w:val="center"/>
                </w:tcPr>
                <w:p w14:paraId="740347C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2024.06.27-</w:t>
                  </w:r>
                </w:p>
                <w:p w14:paraId="28FAF45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2025.06.26</w:t>
                  </w:r>
                </w:p>
              </w:tc>
            </w:tr>
            <w:tr w14:paraId="3DB1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557" w:type="dxa"/>
                  <w:tcBorders>
                    <w:left w:val="nil"/>
                  </w:tcBorders>
                  <w:vAlign w:val="center"/>
                </w:tcPr>
                <w:p w14:paraId="3FA06A72">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17" w:type="dxa"/>
                  <w:vAlign w:val="center"/>
                </w:tcPr>
                <w:p w14:paraId="0E10A60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镉</w:t>
                  </w:r>
                </w:p>
              </w:tc>
              <w:tc>
                <w:tcPr>
                  <w:tcW w:w="2569" w:type="dxa"/>
                  <w:vAlign w:val="center"/>
                </w:tcPr>
                <w:p w14:paraId="244F498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《土壤和沉积物12种金属</w:t>
                  </w:r>
                </w:p>
                <w:p w14:paraId="41298F4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元素的测定王水提取-电感</w:t>
                  </w:r>
                </w:p>
                <w:p w14:paraId="532C11A7">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耦合等离子体质谱法》</w:t>
                  </w:r>
                </w:p>
                <w:p w14:paraId="7EB726E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803-2016</w:t>
                  </w:r>
                </w:p>
              </w:tc>
              <w:tc>
                <w:tcPr>
                  <w:tcW w:w="820" w:type="dxa"/>
                  <w:vAlign w:val="center"/>
                </w:tcPr>
                <w:p w14:paraId="37037EE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w:t>
                  </w:r>
                </w:p>
                <w:p w14:paraId="460DC504">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4" w:type="dxa"/>
                  <w:vAlign w:val="center"/>
                </w:tcPr>
                <w:p w14:paraId="13B8204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ICP-MS ICAPQ HD-YQ-136</w:t>
                  </w:r>
                </w:p>
              </w:tc>
              <w:tc>
                <w:tcPr>
                  <w:tcW w:w="1161" w:type="dxa"/>
                  <w:tcBorders>
                    <w:right w:val="nil"/>
                  </w:tcBorders>
                  <w:vAlign w:val="center"/>
                </w:tcPr>
                <w:p w14:paraId="4DBDBC6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p>
                <w:p w14:paraId="0F30556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2025.02.19-</w:t>
                  </w:r>
                </w:p>
                <w:p w14:paraId="2DE1658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2026.02.18</w:t>
                  </w:r>
                </w:p>
              </w:tc>
            </w:tr>
            <w:tr w14:paraId="79476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557" w:type="dxa"/>
                  <w:tcBorders>
                    <w:left w:val="nil"/>
                  </w:tcBorders>
                  <w:vAlign w:val="center"/>
                </w:tcPr>
                <w:p w14:paraId="6A7E04F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17" w:type="dxa"/>
                  <w:vAlign w:val="center"/>
                </w:tcPr>
                <w:p w14:paraId="6CD7601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2569" w:type="dxa"/>
                  <w:vAlign w:val="center"/>
                </w:tcPr>
                <w:p w14:paraId="38217D57">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《土壤和沉积物铜、锌、铅、镍、铬的测定火焰原子吸收分光光度法》HJ 491-2019</w:t>
                  </w:r>
                </w:p>
              </w:tc>
              <w:tc>
                <w:tcPr>
                  <w:tcW w:w="820" w:type="dxa"/>
                  <w:vAlign w:val="center"/>
                </w:tcPr>
                <w:p w14:paraId="3BF1C23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p w14:paraId="7C8A00C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4" w:type="dxa"/>
                  <w:vAlign w:val="center"/>
                </w:tcPr>
                <w:p w14:paraId="04F835AA">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原子吸收分光光</w:t>
                  </w:r>
                </w:p>
                <w:p w14:paraId="6905F52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度计Ice 3500</w:t>
                  </w:r>
                </w:p>
                <w:p w14:paraId="62B1E2C1">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HD-YQ-020</w:t>
                  </w:r>
                </w:p>
              </w:tc>
              <w:tc>
                <w:tcPr>
                  <w:tcW w:w="1161" w:type="dxa"/>
                  <w:tcBorders>
                    <w:right w:val="nil"/>
                  </w:tcBorders>
                  <w:vAlign w:val="center"/>
                </w:tcPr>
                <w:p w14:paraId="5050EDE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2023.07.13-</w:t>
                  </w:r>
                </w:p>
                <w:p w14:paraId="529767C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2025.07.12</w:t>
                  </w:r>
                </w:p>
              </w:tc>
            </w:tr>
            <w:tr w14:paraId="399B6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557" w:type="dxa"/>
                  <w:tcBorders>
                    <w:left w:val="nil"/>
                    <w:bottom w:val="single" w:color="000000" w:sz="10" w:space="0"/>
                  </w:tcBorders>
                  <w:vAlign w:val="center"/>
                </w:tcPr>
                <w:p w14:paraId="67F8A4D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17" w:type="dxa"/>
                  <w:tcBorders>
                    <w:bottom w:val="single" w:color="000000" w:sz="10" w:space="0"/>
                  </w:tcBorders>
                  <w:vAlign w:val="center"/>
                </w:tcPr>
                <w:p w14:paraId="7591058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p>
              </w:tc>
              <w:tc>
                <w:tcPr>
                  <w:tcW w:w="2569" w:type="dxa"/>
                  <w:tcBorders>
                    <w:bottom w:val="single" w:color="000000" w:sz="10" w:space="0"/>
                  </w:tcBorders>
                  <w:vAlign w:val="center"/>
                </w:tcPr>
                <w:p w14:paraId="08C0F05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《土壤和沉积物 汞、砷、硒、铋、锑的测定微波消解/原子</w:t>
                  </w:r>
                </w:p>
              </w:tc>
              <w:tc>
                <w:tcPr>
                  <w:tcW w:w="820" w:type="dxa"/>
                  <w:tcBorders>
                    <w:bottom w:val="single" w:color="000000" w:sz="10" w:space="0"/>
                  </w:tcBorders>
                  <w:vAlign w:val="center"/>
                </w:tcPr>
                <w:p w14:paraId="1D18B56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p w14:paraId="02FB083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4" w:type="dxa"/>
                  <w:tcBorders>
                    <w:bottom w:val="single" w:color="000000" w:sz="10" w:space="0"/>
                  </w:tcBorders>
                  <w:vAlign w:val="center"/>
                </w:tcPr>
                <w:p w14:paraId="675598B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原子荧光光度计AFS-8220</w:t>
                  </w:r>
                </w:p>
              </w:tc>
              <w:tc>
                <w:tcPr>
                  <w:tcW w:w="1161" w:type="dxa"/>
                  <w:tcBorders>
                    <w:bottom w:val="single" w:color="000000" w:sz="10" w:space="0"/>
                    <w:right w:val="nil"/>
                  </w:tcBorders>
                  <w:vAlign w:val="center"/>
                </w:tcPr>
                <w:p w14:paraId="709A874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2024.06.29-</w:t>
                  </w:r>
                </w:p>
                <w:p w14:paraId="49C12DF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2025.06.28</w:t>
                  </w:r>
                </w:p>
              </w:tc>
            </w:tr>
          </w:tbl>
          <w:p w14:paraId="7F9D297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（3）监测点位</w:t>
            </w:r>
          </w:p>
          <w:p w14:paraId="4B8D96F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本项目底泥监测布点参考《底泥污染状况调查点位布设技术规范》（</w:t>
            </w:r>
            <w:r>
              <w:rPr>
                <w:rFonts w:hint="default" w:ascii="Times New Roman" w:hAnsi="Times New Roman" w:eastAsia="宋体" w:cs="Times New Roman"/>
                <w:color w:val="auto"/>
                <w:spacing w:val="-4"/>
                <w:highlight w:val="none"/>
                <w:lang w:val="en-US" w:eastAsia="zh-CN"/>
              </w:rPr>
              <w:t>DB37/T 4327-2021</w:t>
            </w:r>
            <w:r>
              <w:rPr>
                <w:rFonts w:hint="eastAsia" w:ascii="Times New Roman" w:hAnsi="Times New Roman" w:eastAsia="宋体" w:cs="Times New Roman"/>
                <w:color w:val="auto"/>
                <w:spacing w:val="-4"/>
                <w:highlight w:val="none"/>
                <w:lang w:val="en-US" w:eastAsia="zh-CN"/>
              </w:rPr>
              <w:t>），项目治理段沿线无排污口汇入，无畜禽养殖河段。因此，本项目在羊槽河（羊槽村段）下游、向阳村边沟下游各布设一个底泥采样点，底泥检测布点见表3-</w:t>
            </w:r>
            <w:r>
              <w:rPr>
                <w:rFonts w:hint="eastAsia" w:ascii="Times New Roman" w:hAnsi="Times New Roman" w:cs="Times New Roman"/>
                <w:color w:val="auto"/>
                <w:spacing w:val="-4"/>
                <w:highlight w:val="none"/>
                <w:lang w:val="en-US" w:eastAsia="zh-CN"/>
              </w:rPr>
              <w:t>10</w:t>
            </w:r>
            <w:r>
              <w:rPr>
                <w:rFonts w:hint="eastAsia" w:ascii="Times New Roman" w:hAnsi="Times New Roman" w:eastAsia="宋体" w:cs="Times New Roman"/>
                <w:color w:val="auto"/>
                <w:spacing w:val="-4"/>
                <w:highlight w:val="none"/>
                <w:lang w:val="en-US" w:eastAsia="zh-CN"/>
              </w:rPr>
              <w:t>和</w:t>
            </w:r>
            <w:r>
              <w:rPr>
                <w:rFonts w:hint="eastAsia" w:ascii="Times New Roman" w:hAnsi="Times New Roman" w:cs="Times New Roman"/>
                <w:color w:val="auto"/>
                <w:spacing w:val="-4"/>
                <w:highlight w:val="none"/>
                <w:lang w:val="en-US" w:eastAsia="zh-CN"/>
              </w:rPr>
              <w:t>附</w:t>
            </w:r>
            <w:r>
              <w:rPr>
                <w:rFonts w:hint="eastAsia" w:ascii="Times New Roman" w:hAnsi="Times New Roman" w:eastAsia="宋体" w:cs="Times New Roman"/>
                <w:color w:val="auto"/>
                <w:spacing w:val="-4"/>
                <w:highlight w:val="none"/>
                <w:lang w:val="en-US" w:eastAsia="zh-CN"/>
              </w:rPr>
              <w:t>图</w:t>
            </w:r>
            <w:r>
              <w:rPr>
                <w:rFonts w:hint="eastAsia" w:ascii="Times New Roman" w:hAnsi="Times New Roman" w:cs="Times New Roman"/>
                <w:color w:val="auto"/>
                <w:spacing w:val="-4"/>
                <w:highlight w:val="none"/>
                <w:lang w:val="en-US" w:eastAsia="zh-CN"/>
              </w:rPr>
              <w:t>12</w:t>
            </w:r>
            <w:r>
              <w:rPr>
                <w:rFonts w:hint="eastAsia" w:ascii="Times New Roman" w:hAnsi="Times New Roman" w:eastAsia="宋体" w:cs="Times New Roman"/>
                <w:color w:val="auto"/>
                <w:spacing w:val="-4"/>
                <w:highlight w:val="none"/>
                <w:lang w:val="en-US" w:eastAsia="zh-CN"/>
              </w:rPr>
              <w:t>。</w:t>
            </w:r>
          </w:p>
          <w:p w14:paraId="7CFCE599">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3-</w:t>
            </w:r>
            <w:r>
              <w:rPr>
                <w:rFonts w:hint="eastAsia" w:ascii="Times New Roman" w:hAnsi="Times New Roman" w:cs="Times New Roman"/>
                <w:b/>
                <w:bCs/>
                <w:snapToGrid w:val="0"/>
                <w:color w:val="auto"/>
                <w:spacing w:val="6"/>
                <w:kern w:val="0"/>
                <w:sz w:val="21"/>
                <w:szCs w:val="21"/>
                <w:lang w:val="en-US" w:eastAsia="zh-CN" w:bidi="ar-SA"/>
              </w:rPr>
              <w:t xml:space="preserve">10 </w:t>
            </w:r>
            <w:r>
              <w:rPr>
                <w:rFonts w:hint="eastAsia" w:ascii="Times New Roman" w:hAnsi="Times New Roman" w:eastAsia="宋体" w:cs="Times New Roman"/>
                <w:b/>
                <w:bCs/>
                <w:snapToGrid w:val="0"/>
                <w:color w:val="auto"/>
                <w:spacing w:val="6"/>
                <w:kern w:val="0"/>
                <w:sz w:val="21"/>
                <w:szCs w:val="21"/>
                <w:lang w:val="en-US" w:eastAsia="zh-CN" w:bidi="ar-SA"/>
              </w:rPr>
              <w:t xml:space="preserve"> 监测点位布设情况</w:t>
            </w:r>
          </w:p>
          <w:tbl>
            <w:tblPr>
              <w:tblStyle w:val="15"/>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7"/>
              <w:gridCol w:w="3485"/>
              <w:gridCol w:w="2583"/>
            </w:tblGrid>
            <w:tr w14:paraId="3FAB6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pct"/>
                  <w:noWrap w:val="0"/>
                  <w:vAlign w:val="center"/>
                </w:tcPr>
                <w:p w14:paraId="6D4D5CDB">
                  <w:pPr>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监测点</w:t>
                  </w:r>
                </w:p>
              </w:tc>
              <w:tc>
                <w:tcPr>
                  <w:tcW w:w="2190" w:type="pct"/>
                  <w:noWrap w:val="0"/>
                  <w:vAlign w:val="center"/>
                </w:tcPr>
                <w:p w14:paraId="22201CB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监测方位</w:t>
                  </w:r>
                </w:p>
              </w:tc>
              <w:tc>
                <w:tcPr>
                  <w:tcW w:w="1623" w:type="pct"/>
                  <w:noWrap w:val="0"/>
                  <w:vAlign w:val="center"/>
                </w:tcPr>
                <w:p w14:paraId="6F3A52A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r>
            <w:tr w14:paraId="5698B1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pct"/>
                  <w:noWrap w:val="0"/>
                  <w:vAlign w:val="center"/>
                </w:tcPr>
                <w:p w14:paraId="78BBBA24">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p>
              </w:tc>
              <w:tc>
                <w:tcPr>
                  <w:tcW w:w="2190" w:type="pct"/>
                  <w:noWrap w:val="0"/>
                  <w:vAlign w:val="center"/>
                </w:tcPr>
                <w:p w14:paraId="3B76D66C">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羊槽河羊槽村段</w:t>
                  </w:r>
                </w:p>
              </w:tc>
              <w:tc>
                <w:tcPr>
                  <w:tcW w:w="1623" w:type="pct"/>
                  <w:noWrap w:val="0"/>
                  <w:vAlign w:val="center"/>
                </w:tcPr>
                <w:p w14:paraId="4A053A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bidi="ar"/>
                    </w:rPr>
                    <w:t>监测</w:t>
                  </w:r>
                  <w:r>
                    <w:rPr>
                      <w:rFonts w:hint="default" w:ascii="Times New Roman" w:hAnsi="Times New Roman" w:eastAsia="宋体" w:cs="Times New Roman"/>
                      <w:color w:val="auto"/>
                      <w:sz w:val="21"/>
                      <w:szCs w:val="21"/>
                      <w:lang w:val="en-US" w:eastAsia="zh-CN" w:bidi="ar"/>
                    </w:rPr>
                    <w:t>1次</w:t>
                  </w:r>
                </w:p>
              </w:tc>
            </w:tr>
            <w:tr w14:paraId="3EBA3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pct"/>
                  <w:noWrap w:val="0"/>
                  <w:vAlign w:val="center"/>
                </w:tcPr>
                <w:p w14:paraId="430C6F49">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90" w:type="pct"/>
                  <w:noWrap w:val="0"/>
                  <w:vAlign w:val="center"/>
                </w:tcPr>
                <w:p w14:paraId="7E96BE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向阳沟</w:t>
                  </w:r>
                </w:p>
              </w:tc>
              <w:tc>
                <w:tcPr>
                  <w:tcW w:w="1623" w:type="pct"/>
                  <w:noWrap w:val="0"/>
                  <w:vAlign w:val="center"/>
                </w:tcPr>
                <w:p w14:paraId="1CEF3A2E">
                  <w:pPr>
                    <w:adjustRightInd w:val="0"/>
                    <w:snapToGrid w:val="0"/>
                    <w:jc w:val="center"/>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z w:val="21"/>
                      <w:szCs w:val="21"/>
                      <w:lang w:eastAsia="zh-CN" w:bidi="ar"/>
                    </w:rPr>
                    <w:t>监测</w:t>
                  </w:r>
                  <w:r>
                    <w:rPr>
                      <w:rFonts w:hint="default" w:ascii="Times New Roman" w:hAnsi="Times New Roman" w:eastAsia="宋体" w:cs="Times New Roman"/>
                      <w:color w:val="auto"/>
                      <w:sz w:val="21"/>
                      <w:szCs w:val="21"/>
                      <w:lang w:val="en-US" w:eastAsia="zh-CN" w:bidi="ar"/>
                    </w:rPr>
                    <w:t>1次</w:t>
                  </w:r>
                </w:p>
              </w:tc>
            </w:tr>
          </w:tbl>
          <w:p w14:paraId="321592C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（4）监测数据与评价</w:t>
            </w:r>
          </w:p>
          <w:p w14:paraId="739CA7C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eastAsia="宋体" w:cs="Times New Roman"/>
                <w:color w:val="auto"/>
                <w:spacing w:val="-4"/>
                <w:highlight w:val="none"/>
                <w:lang w:val="en-US" w:eastAsia="zh-CN"/>
              </w:rPr>
            </w:pPr>
            <w:r>
              <w:rPr>
                <w:rFonts w:hint="eastAsia" w:ascii="Times New Roman" w:hAnsi="Times New Roman" w:eastAsia="宋体" w:cs="Times New Roman"/>
                <w:color w:val="auto"/>
                <w:spacing w:val="-4"/>
                <w:highlight w:val="none"/>
                <w:lang w:val="en-US" w:eastAsia="zh-CN"/>
              </w:rPr>
              <w:t>底泥现状监测结果统计情况见表3-</w:t>
            </w:r>
            <w:r>
              <w:rPr>
                <w:rFonts w:hint="eastAsia" w:ascii="Times New Roman" w:hAnsi="Times New Roman" w:cs="Times New Roman"/>
                <w:color w:val="auto"/>
                <w:spacing w:val="-4"/>
                <w:highlight w:val="none"/>
                <w:lang w:val="en-US" w:eastAsia="zh-CN"/>
              </w:rPr>
              <w:t>11</w:t>
            </w:r>
            <w:r>
              <w:rPr>
                <w:rFonts w:hint="eastAsia" w:ascii="Times New Roman" w:hAnsi="Times New Roman" w:eastAsia="宋体" w:cs="Times New Roman"/>
                <w:color w:val="auto"/>
                <w:spacing w:val="-4"/>
                <w:highlight w:val="none"/>
                <w:lang w:val="en-US" w:eastAsia="zh-CN"/>
              </w:rPr>
              <w:t>。</w:t>
            </w:r>
          </w:p>
          <w:p w14:paraId="22AA11D0">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3-</w:t>
            </w:r>
            <w:r>
              <w:rPr>
                <w:rFonts w:hint="eastAsia" w:ascii="Times New Roman" w:hAnsi="Times New Roman" w:cs="Times New Roman"/>
                <w:b/>
                <w:bCs/>
                <w:snapToGrid w:val="0"/>
                <w:color w:val="auto"/>
                <w:spacing w:val="6"/>
                <w:kern w:val="0"/>
                <w:sz w:val="21"/>
                <w:szCs w:val="21"/>
                <w:lang w:val="en-US" w:eastAsia="zh-CN" w:bidi="ar-SA"/>
              </w:rPr>
              <w:t xml:space="preserve">11 </w:t>
            </w:r>
            <w:r>
              <w:rPr>
                <w:rFonts w:hint="eastAsia" w:ascii="Times New Roman" w:hAnsi="Times New Roman" w:eastAsia="宋体" w:cs="Times New Roman"/>
                <w:b/>
                <w:bCs/>
                <w:snapToGrid w:val="0"/>
                <w:color w:val="auto"/>
                <w:spacing w:val="6"/>
                <w:kern w:val="0"/>
                <w:sz w:val="21"/>
                <w:szCs w:val="21"/>
                <w:lang w:val="en-US" w:eastAsia="zh-CN" w:bidi="ar-SA"/>
              </w:rPr>
              <w:t xml:space="preserve"> 底泥监测结果一览表</w:t>
            </w:r>
          </w:p>
          <w:tbl>
            <w:tblPr>
              <w:tblStyle w:val="18"/>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765"/>
              <w:gridCol w:w="1536"/>
              <w:gridCol w:w="1537"/>
              <w:gridCol w:w="1536"/>
              <w:gridCol w:w="1540"/>
            </w:tblGrid>
            <w:tr w14:paraId="09BA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044" w:type="dxa"/>
                  <w:vMerge w:val="restart"/>
                  <w:tcBorders>
                    <w:top w:val="single" w:color="000000" w:sz="10" w:space="0"/>
                    <w:left w:val="nil"/>
                    <w:bottom w:val="nil"/>
                  </w:tcBorders>
                  <w:vAlign w:val="center"/>
                </w:tcPr>
                <w:p w14:paraId="42205981">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14:paraId="5AF63228">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因子</w:t>
                  </w:r>
                </w:p>
              </w:tc>
              <w:tc>
                <w:tcPr>
                  <w:tcW w:w="765" w:type="dxa"/>
                  <w:vMerge w:val="restart"/>
                  <w:tcBorders>
                    <w:top w:val="single" w:color="000000" w:sz="10" w:space="0"/>
                    <w:bottom w:val="nil"/>
                  </w:tcBorders>
                  <w:vAlign w:val="center"/>
                </w:tcPr>
                <w:p w14:paraId="1598F6FD">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6149" w:type="dxa"/>
                  <w:gridSpan w:val="4"/>
                  <w:tcBorders>
                    <w:top w:val="single" w:color="000000" w:sz="10" w:space="0"/>
                    <w:right w:val="nil"/>
                  </w:tcBorders>
                  <w:vAlign w:val="center"/>
                </w:tcPr>
                <w:p w14:paraId="443B408D">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w:t>
                  </w:r>
                </w:p>
              </w:tc>
            </w:tr>
            <w:tr w14:paraId="3DE0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vMerge w:val="continue"/>
                  <w:tcBorders>
                    <w:top w:val="nil"/>
                    <w:left w:val="nil"/>
                    <w:bottom w:val="nil"/>
                  </w:tcBorders>
                  <w:vAlign w:val="center"/>
                </w:tcPr>
                <w:p w14:paraId="193F6DF8">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p>
              </w:tc>
              <w:tc>
                <w:tcPr>
                  <w:tcW w:w="765" w:type="dxa"/>
                  <w:vMerge w:val="continue"/>
                  <w:tcBorders>
                    <w:top w:val="nil"/>
                    <w:bottom w:val="nil"/>
                  </w:tcBorders>
                  <w:vAlign w:val="center"/>
                </w:tcPr>
                <w:p w14:paraId="0BB84AA9">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p>
              </w:tc>
              <w:tc>
                <w:tcPr>
                  <w:tcW w:w="3073" w:type="dxa"/>
                  <w:gridSpan w:val="2"/>
                  <w:vAlign w:val="center"/>
                </w:tcPr>
                <w:p w14:paraId="28D388EA">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采样时间：2025 年 6 月 11  日</w:t>
                  </w:r>
                </w:p>
              </w:tc>
              <w:tc>
                <w:tcPr>
                  <w:tcW w:w="3076" w:type="dxa"/>
                  <w:gridSpan w:val="2"/>
                  <w:tcBorders>
                    <w:right w:val="nil"/>
                  </w:tcBorders>
                  <w:vAlign w:val="center"/>
                </w:tcPr>
                <w:p w14:paraId="657C2547">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采样时间：2025 年 6 月 12  日</w:t>
                  </w:r>
                </w:p>
              </w:tc>
            </w:tr>
            <w:tr w14:paraId="24FA9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1044" w:type="dxa"/>
                  <w:vMerge w:val="continue"/>
                  <w:tcBorders>
                    <w:top w:val="nil"/>
                    <w:left w:val="nil"/>
                  </w:tcBorders>
                  <w:vAlign w:val="center"/>
                </w:tcPr>
                <w:p w14:paraId="7B8D8F9F">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p>
              </w:tc>
              <w:tc>
                <w:tcPr>
                  <w:tcW w:w="765" w:type="dxa"/>
                  <w:vMerge w:val="continue"/>
                  <w:tcBorders>
                    <w:top w:val="nil"/>
                  </w:tcBorders>
                  <w:vAlign w:val="center"/>
                </w:tcPr>
                <w:p w14:paraId="4023C069">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p>
              </w:tc>
              <w:tc>
                <w:tcPr>
                  <w:tcW w:w="1536" w:type="dxa"/>
                  <w:vAlign w:val="center"/>
                </w:tcPr>
                <w:p w14:paraId="42C59EE4">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羊槽河羊槽村段</w:t>
                  </w:r>
                </w:p>
                <w:p w14:paraId="211937F8">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（1#）</w:t>
                  </w:r>
                </w:p>
              </w:tc>
              <w:tc>
                <w:tcPr>
                  <w:tcW w:w="1537" w:type="dxa"/>
                  <w:vAlign w:val="center"/>
                </w:tcPr>
                <w:p w14:paraId="3B75ABDA">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向阳沟</w:t>
                  </w:r>
                </w:p>
                <w:p w14:paraId="0818B3C6">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（2#）</w:t>
                  </w:r>
                </w:p>
              </w:tc>
              <w:tc>
                <w:tcPr>
                  <w:tcW w:w="1536" w:type="dxa"/>
                  <w:vAlign w:val="center"/>
                </w:tcPr>
                <w:p w14:paraId="5F9621E2">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羊槽河羊槽村段</w:t>
                  </w:r>
                </w:p>
                <w:p w14:paraId="46E01656">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（1#）</w:t>
                  </w:r>
                </w:p>
              </w:tc>
              <w:tc>
                <w:tcPr>
                  <w:tcW w:w="1540" w:type="dxa"/>
                  <w:tcBorders>
                    <w:right w:val="nil"/>
                  </w:tcBorders>
                  <w:vAlign w:val="center"/>
                </w:tcPr>
                <w:p w14:paraId="5C6354FF">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向阳沟</w:t>
                  </w:r>
                </w:p>
                <w:p w14:paraId="65E3AAC3">
                  <w:pPr>
                    <w:snapToGrid w:val="0"/>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（2#）</w:t>
                  </w:r>
                </w:p>
              </w:tc>
            </w:tr>
            <w:tr w14:paraId="1070F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1044" w:type="dxa"/>
                  <w:tcBorders>
                    <w:left w:val="nil"/>
                  </w:tcBorders>
                  <w:vAlign w:val="center"/>
                </w:tcPr>
                <w:p w14:paraId="6627B304">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样品性状</w:t>
                  </w:r>
                </w:p>
              </w:tc>
              <w:tc>
                <w:tcPr>
                  <w:tcW w:w="765" w:type="dxa"/>
                  <w:vAlign w:val="center"/>
                </w:tcPr>
                <w:p w14:paraId="63EEAD4A">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36" w:type="dxa"/>
                  <w:vAlign w:val="center"/>
                </w:tcPr>
                <w:p w14:paraId="799E5E8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深黑、湿润、</w:t>
                  </w:r>
                </w:p>
                <w:p w14:paraId="168CACB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有异味</w:t>
                  </w:r>
                </w:p>
              </w:tc>
              <w:tc>
                <w:tcPr>
                  <w:tcW w:w="1537" w:type="dxa"/>
                  <w:vAlign w:val="center"/>
                </w:tcPr>
                <w:p w14:paraId="3E2AAEB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浅黄、湿润、</w:t>
                  </w:r>
                </w:p>
                <w:p w14:paraId="7E28D05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无异味</w:t>
                  </w:r>
                </w:p>
              </w:tc>
              <w:tc>
                <w:tcPr>
                  <w:tcW w:w="1536" w:type="dxa"/>
                  <w:vAlign w:val="center"/>
                </w:tcPr>
                <w:p w14:paraId="045097C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深黑、湿润、</w:t>
                  </w:r>
                </w:p>
                <w:p w14:paraId="1C25B8B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有异味</w:t>
                  </w:r>
                </w:p>
              </w:tc>
              <w:tc>
                <w:tcPr>
                  <w:tcW w:w="1540" w:type="dxa"/>
                  <w:tcBorders>
                    <w:right w:val="nil"/>
                  </w:tcBorders>
                  <w:vAlign w:val="center"/>
                </w:tcPr>
                <w:p w14:paraId="3AB1897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浅黄、湿润、</w:t>
                  </w:r>
                </w:p>
                <w:p w14:paraId="688407C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无异味</w:t>
                  </w:r>
                </w:p>
              </w:tc>
            </w:tr>
            <w:tr w14:paraId="0FA49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370F3641">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765" w:type="dxa"/>
                  <w:vAlign w:val="center"/>
                </w:tcPr>
                <w:p w14:paraId="4A5195A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1536" w:type="dxa"/>
                  <w:vAlign w:val="center"/>
                </w:tcPr>
                <w:p w14:paraId="325E640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7.33</w:t>
                  </w:r>
                </w:p>
              </w:tc>
              <w:tc>
                <w:tcPr>
                  <w:tcW w:w="1537" w:type="dxa"/>
                  <w:vAlign w:val="center"/>
                </w:tcPr>
                <w:p w14:paraId="64E4EA7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8.42</w:t>
                  </w:r>
                </w:p>
              </w:tc>
              <w:tc>
                <w:tcPr>
                  <w:tcW w:w="1536" w:type="dxa"/>
                  <w:vAlign w:val="center"/>
                </w:tcPr>
                <w:p w14:paraId="598E8CE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7.28</w:t>
                  </w:r>
                </w:p>
              </w:tc>
              <w:tc>
                <w:tcPr>
                  <w:tcW w:w="1540" w:type="dxa"/>
                  <w:tcBorders>
                    <w:right w:val="nil"/>
                  </w:tcBorders>
                  <w:vAlign w:val="center"/>
                </w:tcPr>
                <w:p w14:paraId="0A086ED3">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8.35</w:t>
                  </w:r>
                </w:p>
              </w:tc>
            </w:tr>
            <w:tr w14:paraId="7D994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35239E0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镉</w:t>
                  </w:r>
                </w:p>
              </w:tc>
              <w:tc>
                <w:tcPr>
                  <w:tcW w:w="765" w:type="dxa"/>
                  <w:vAlign w:val="center"/>
                </w:tcPr>
                <w:p w14:paraId="2ED92F8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71B10D67">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1537" w:type="dxa"/>
                  <w:vAlign w:val="center"/>
                </w:tcPr>
                <w:p w14:paraId="6B29F46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w:t>
                  </w:r>
                </w:p>
              </w:tc>
              <w:tc>
                <w:tcPr>
                  <w:tcW w:w="1536" w:type="dxa"/>
                  <w:vAlign w:val="center"/>
                </w:tcPr>
                <w:p w14:paraId="11EEB39B">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c>
                <w:tcPr>
                  <w:tcW w:w="1540" w:type="dxa"/>
                  <w:tcBorders>
                    <w:right w:val="nil"/>
                  </w:tcBorders>
                  <w:vAlign w:val="center"/>
                </w:tcPr>
                <w:p w14:paraId="73B5437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w:t>
                  </w:r>
                </w:p>
              </w:tc>
            </w:tr>
            <w:tr w14:paraId="7D745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5DE046F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铅</w:t>
                  </w:r>
                </w:p>
              </w:tc>
              <w:tc>
                <w:tcPr>
                  <w:tcW w:w="765" w:type="dxa"/>
                  <w:vAlign w:val="center"/>
                </w:tcPr>
                <w:p w14:paraId="40BC7D4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59D8635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537" w:type="dxa"/>
                  <w:vAlign w:val="center"/>
                </w:tcPr>
                <w:p w14:paraId="7B8BF39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1536" w:type="dxa"/>
                  <w:vAlign w:val="center"/>
                </w:tcPr>
                <w:p w14:paraId="3864418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540" w:type="dxa"/>
                  <w:tcBorders>
                    <w:right w:val="nil"/>
                  </w:tcBorders>
                  <w:vAlign w:val="center"/>
                </w:tcPr>
                <w:p w14:paraId="73E14E1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595E8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3CE28672">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汞</w:t>
                  </w:r>
                </w:p>
              </w:tc>
              <w:tc>
                <w:tcPr>
                  <w:tcW w:w="765" w:type="dxa"/>
                  <w:vAlign w:val="center"/>
                </w:tcPr>
                <w:p w14:paraId="5A5183F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1E327218">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0.134</w:t>
                  </w:r>
                </w:p>
              </w:tc>
              <w:tc>
                <w:tcPr>
                  <w:tcW w:w="1537" w:type="dxa"/>
                  <w:vAlign w:val="center"/>
                </w:tcPr>
                <w:p w14:paraId="665887B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0.093</w:t>
                  </w:r>
                </w:p>
              </w:tc>
              <w:tc>
                <w:tcPr>
                  <w:tcW w:w="1536" w:type="dxa"/>
                  <w:vAlign w:val="center"/>
                </w:tcPr>
                <w:p w14:paraId="76C90B22">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0.115</w:t>
                  </w:r>
                </w:p>
              </w:tc>
              <w:tc>
                <w:tcPr>
                  <w:tcW w:w="1540" w:type="dxa"/>
                  <w:tcBorders>
                    <w:right w:val="nil"/>
                  </w:tcBorders>
                  <w:vAlign w:val="center"/>
                </w:tcPr>
                <w:p w14:paraId="51130E5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0.104</w:t>
                  </w:r>
                </w:p>
              </w:tc>
            </w:tr>
            <w:tr w14:paraId="4DA61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0825FF21">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砷</w:t>
                  </w:r>
                </w:p>
              </w:tc>
              <w:tc>
                <w:tcPr>
                  <w:tcW w:w="765" w:type="dxa"/>
                  <w:vAlign w:val="center"/>
                </w:tcPr>
                <w:p w14:paraId="45F4B29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04694D3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8.07</w:t>
                  </w:r>
                </w:p>
              </w:tc>
              <w:tc>
                <w:tcPr>
                  <w:tcW w:w="1537" w:type="dxa"/>
                  <w:vAlign w:val="center"/>
                </w:tcPr>
                <w:p w14:paraId="00775274">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5.77</w:t>
                  </w:r>
                </w:p>
              </w:tc>
              <w:tc>
                <w:tcPr>
                  <w:tcW w:w="1536" w:type="dxa"/>
                  <w:vAlign w:val="center"/>
                </w:tcPr>
                <w:p w14:paraId="2B749B13">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9.42</w:t>
                  </w:r>
                </w:p>
              </w:tc>
              <w:tc>
                <w:tcPr>
                  <w:tcW w:w="1540" w:type="dxa"/>
                  <w:tcBorders>
                    <w:right w:val="nil"/>
                  </w:tcBorders>
                  <w:vAlign w:val="center"/>
                </w:tcPr>
                <w:p w14:paraId="317328E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6.48</w:t>
                  </w:r>
                </w:p>
              </w:tc>
            </w:tr>
            <w:tr w14:paraId="3FD20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3456D727">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铜</w:t>
                  </w:r>
                </w:p>
              </w:tc>
              <w:tc>
                <w:tcPr>
                  <w:tcW w:w="765" w:type="dxa"/>
                  <w:vAlign w:val="center"/>
                </w:tcPr>
                <w:p w14:paraId="2FA216C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657CC13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537" w:type="dxa"/>
                  <w:vAlign w:val="center"/>
                </w:tcPr>
                <w:p w14:paraId="04C4D056">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536" w:type="dxa"/>
                  <w:vAlign w:val="center"/>
                </w:tcPr>
                <w:p w14:paraId="53A3ABF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1540" w:type="dxa"/>
                  <w:tcBorders>
                    <w:right w:val="nil"/>
                  </w:tcBorders>
                  <w:vAlign w:val="center"/>
                </w:tcPr>
                <w:p w14:paraId="61CFEEB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r>
            <w:tr w14:paraId="28DDA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044" w:type="dxa"/>
                  <w:tcBorders>
                    <w:left w:val="nil"/>
                  </w:tcBorders>
                  <w:vAlign w:val="center"/>
                </w:tcPr>
                <w:p w14:paraId="7A17E273">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镍</w:t>
                  </w:r>
                </w:p>
              </w:tc>
              <w:tc>
                <w:tcPr>
                  <w:tcW w:w="765" w:type="dxa"/>
                  <w:vAlign w:val="center"/>
                </w:tcPr>
                <w:p w14:paraId="1E419E9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50AAF7B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537" w:type="dxa"/>
                  <w:vAlign w:val="center"/>
                </w:tcPr>
                <w:p w14:paraId="0A4EAA54">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536" w:type="dxa"/>
                  <w:vAlign w:val="center"/>
                </w:tcPr>
                <w:p w14:paraId="1A362D34">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1540" w:type="dxa"/>
                  <w:tcBorders>
                    <w:right w:val="nil"/>
                  </w:tcBorders>
                  <w:vAlign w:val="center"/>
                </w:tcPr>
                <w:p w14:paraId="67992BF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r>
            <w:tr w14:paraId="396E0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1044" w:type="dxa"/>
                  <w:tcBorders>
                    <w:left w:val="nil"/>
                  </w:tcBorders>
                  <w:vAlign w:val="center"/>
                </w:tcPr>
                <w:p w14:paraId="5DA11149">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总铬</w:t>
                  </w:r>
                </w:p>
              </w:tc>
              <w:tc>
                <w:tcPr>
                  <w:tcW w:w="765" w:type="dxa"/>
                  <w:vAlign w:val="center"/>
                </w:tcPr>
                <w:p w14:paraId="2DC56DAE">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vAlign w:val="center"/>
                </w:tcPr>
                <w:p w14:paraId="3989AEA7">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37" w:type="dxa"/>
                  <w:vAlign w:val="center"/>
                </w:tcPr>
                <w:p w14:paraId="357218A2">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536" w:type="dxa"/>
                  <w:vAlign w:val="center"/>
                </w:tcPr>
                <w:p w14:paraId="193A7B0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1540" w:type="dxa"/>
                  <w:tcBorders>
                    <w:right w:val="nil"/>
                  </w:tcBorders>
                  <w:vAlign w:val="center"/>
                </w:tcPr>
                <w:p w14:paraId="5378939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14:paraId="570A0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044" w:type="dxa"/>
                  <w:tcBorders>
                    <w:left w:val="nil"/>
                    <w:bottom w:val="single" w:color="000000" w:sz="10" w:space="0"/>
                  </w:tcBorders>
                  <w:vAlign w:val="center"/>
                </w:tcPr>
                <w:p w14:paraId="5A0CBA45">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锌</w:t>
                  </w:r>
                </w:p>
              </w:tc>
              <w:tc>
                <w:tcPr>
                  <w:tcW w:w="765" w:type="dxa"/>
                  <w:tcBorders>
                    <w:bottom w:val="single" w:color="000000" w:sz="10" w:space="0"/>
                  </w:tcBorders>
                  <w:vAlign w:val="center"/>
                </w:tcPr>
                <w:p w14:paraId="50EE934A">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mg/kg</w:t>
                  </w:r>
                </w:p>
              </w:tc>
              <w:tc>
                <w:tcPr>
                  <w:tcW w:w="1536" w:type="dxa"/>
                  <w:tcBorders>
                    <w:bottom w:val="single" w:color="000000" w:sz="10" w:space="0"/>
                  </w:tcBorders>
                  <w:vAlign w:val="center"/>
                </w:tcPr>
                <w:p w14:paraId="706DC740">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37" w:type="dxa"/>
                  <w:tcBorders>
                    <w:bottom w:val="single" w:color="000000" w:sz="10" w:space="0"/>
                  </w:tcBorders>
                  <w:vAlign w:val="center"/>
                </w:tcPr>
                <w:p w14:paraId="5F991A5C">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536" w:type="dxa"/>
                  <w:tcBorders>
                    <w:bottom w:val="single" w:color="000000" w:sz="10" w:space="0"/>
                  </w:tcBorders>
                  <w:vAlign w:val="center"/>
                </w:tcPr>
                <w:p w14:paraId="7450621F">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1540" w:type="dxa"/>
                  <w:tcBorders>
                    <w:bottom w:val="single" w:color="000000" w:sz="10" w:space="0"/>
                    <w:right w:val="nil"/>
                  </w:tcBorders>
                  <w:vAlign w:val="center"/>
                </w:tcPr>
                <w:p w14:paraId="13707C2D">
                  <w:pPr>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14:paraId="5908D11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cs="Times New Roman"/>
                <w:b/>
                <w:bCs/>
                <w:color w:val="auto"/>
                <w:spacing w:val="-4"/>
                <w:lang w:val="en-US" w:eastAsia="zh-CN"/>
              </w:rPr>
            </w:pPr>
            <w:r>
              <w:rPr>
                <w:rFonts w:hint="eastAsia" w:ascii="Times New Roman" w:hAnsi="Times New Roman" w:eastAsia="宋体" w:cs="Times New Roman"/>
                <w:color w:val="auto"/>
                <w:spacing w:val="-4"/>
                <w:highlight w:val="none"/>
                <w:lang w:val="en-US" w:eastAsia="zh-CN"/>
              </w:rPr>
              <w:t>测结果表明：羊槽河（羊槽村段）、向阳村边沟段沟道底泥中pH、镉、铅、总汞、总砷、铜、镍、铬、锌均满足《土壤环境质量农用地土壤污染风险管控标准</w:t>
            </w:r>
            <w:r>
              <w:rPr>
                <w:rFonts w:hint="default" w:ascii="Times New Roman" w:hAnsi="Times New Roman" w:eastAsia="宋体" w:cs="Times New Roman"/>
                <w:color w:val="auto"/>
                <w:spacing w:val="-4"/>
                <w:highlight w:val="none"/>
                <w:lang w:val="en-US" w:eastAsia="zh-CN"/>
              </w:rPr>
              <w:t>(</w:t>
            </w:r>
            <w:r>
              <w:rPr>
                <w:rFonts w:hint="eastAsia" w:ascii="Times New Roman" w:hAnsi="Times New Roman" w:eastAsia="宋体" w:cs="Times New Roman"/>
                <w:color w:val="auto"/>
                <w:spacing w:val="-4"/>
                <w:highlight w:val="none"/>
                <w:lang w:val="en-US" w:eastAsia="zh-CN"/>
              </w:rPr>
              <w:t>试行</w:t>
            </w:r>
            <w:r>
              <w:rPr>
                <w:rFonts w:hint="default" w:ascii="Times New Roman" w:hAnsi="Times New Roman" w:eastAsia="宋体" w:cs="Times New Roman"/>
                <w:color w:val="auto"/>
                <w:spacing w:val="-4"/>
                <w:highlight w:val="none"/>
                <w:lang w:val="en-US" w:eastAsia="zh-CN"/>
              </w:rPr>
              <w:t>)</w:t>
            </w:r>
            <w:r>
              <w:rPr>
                <w:rFonts w:hint="eastAsia" w:ascii="Times New Roman" w:hAnsi="Times New Roman" w:eastAsia="宋体" w:cs="Times New Roman"/>
                <w:color w:val="auto"/>
                <w:spacing w:val="-4"/>
                <w:highlight w:val="none"/>
                <w:lang w:val="en-US" w:eastAsia="zh-CN"/>
              </w:rPr>
              <w:t>》</w:t>
            </w:r>
            <w:r>
              <w:rPr>
                <w:rFonts w:hint="default" w:ascii="Times New Roman" w:hAnsi="Times New Roman" w:eastAsia="宋体" w:cs="Times New Roman"/>
                <w:color w:val="auto"/>
                <w:spacing w:val="-4"/>
                <w:highlight w:val="none"/>
                <w:lang w:val="en-US" w:eastAsia="zh-CN"/>
              </w:rPr>
              <w:t>(GB 15618-2018)</w:t>
            </w:r>
            <w:r>
              <w:rPr>
                <w:rFonts w:hint="eastAsia" w:ascii="Times New Roman" w:hAnsi="Times New Roman" w:eastAsia="宋体" w:cs="Times New Roman"/>
                <w:color w:val="auto"/>
                <w:spacing w:val="-4"/>
                <w:highlight w:val="none"/>
                <w:lang w:val="en-US" w:eastAsia="zh-CN"/>
              </w:rPr>
              <w:t>中农用地土壤污染风险筛选值要求。</w:t>
            </w:r>
          </w:p>
          <w:p w14:paraId="49DD009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cs="Times New Roman"/>
                <w:b/>
                <w:bCs/>
                <w:color w:val="auto"/>
                <w:spacing w:val="-4"/>
                <w:lang w:val="en-US" w:eastAsia="zh-CN"/>
              </w:rPr>
            </w:pPr>
            <w:r>
              <w:rPr>
                <w:rFonts w:hint="eastAsia" w:ascii="Times New Roman" w:hAnsi="Times New Roman" w:cs="Times New Roman"/>
                <w:b/>
                <w:bCs/>
                <w:color w:val="auto"/>
                <w:spacing w:val="-4"/>
                <w:lang w:val="en-US" w:eastAsia="zh-CN"/>
              </w:rPr>
              <w:t>5 土壤环境现状</w:t>
            </w:r>
          </w:p>
          <w:p w14:paraId="384382C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（1）土壤类型</w:t>
            </w:r>
          </w:p>
          <w:p w14:paraId="3F3F9D5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评价区域土壤主要为灰褐，土类型主要以新积土为主。不存在黄绵土及灰钙土。</w:t>
            </w:r>
          </w:p>
          <w:p w14:paraId="0675031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新积土是因河流涨水泥沙积石或因人工治河造田垫的新土而形成的土壤。多分布于河滩地。为幼龄性土壤，有机质含量降低。河流沉积的土壤剖面上下均匀，人工堆垫的土壤层次混乱。新积土地多处于海拔较低的河谷地带，水热条件较好，可作为造林地或农田，但要防止洪水冲刷。</w:t>
            </w:r>
          </w:p>
          <w:p w14:paraId="26944E0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（2）土壤侵蚀强度</w:t>
            </w:r>
          </w:p>
          <w:p w14:paraId="58EBE35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固原市泾源县位于宁夏南部山区，地貌类型属黄土丘陵沟壑地貌，水土流失类型区属黄土丘陵沟壑区第二副区，项目区的水土流失形式为水力侵蚀。评价区以水力侵蚀为主的西北黄土高原区，土壤侵蚀模数允许值为1000t/km²•a。</w:t>
            </w:r>
          </w:p>
          <w:p w14:paraId="5B14984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imes New Roman" w:hAnsi="Times New Roman" w:cs="Times New Roman"/>
                <w:color w:val="auto"/>
                <w:spacing w:val="-4"/>
                <w:highlight w:val="none"/>
                <w:lang w:val="en-US" w:eastAsia="zh-CN"/>
              </w:rPr>
            </w:pPr>
            <w:r>
              <w:rPr>
                <w:rFonts w:hint="eastAsia" w:ascii="Times New Roman" w:hAnsi="Times New Roman" w:cs="Times New Roman"/>
                <w:color w:val="auto"/>
                <w:spacing w:val="-4"/>
                <w:highlight w:val="none"/>
                <w:lang w:val="en-US" w:eastAsia="zh-CN"/>
              </w:rPr>
              <w:t>查阅宁夏土壤侵蚀图和《土壤侵蚀分类分级标准》（SL 190-2007），并结合项目区地形、地貌、土壤及植被覆盖度等情况综合分析，确定项目区的土壤侵蚀以水力侵蚀为主，侵蚀强度为中度，平均土壤侵蚀模数为1200t/km</w:t>
            </w:r>
            <w:r>
              <w:rPr>
                <w:rFonts w:hint="eastAsia" w:ascii="Times New Roman" w:hAnsi="Times New Roman" w:cs="Times New Roman"/>
                <w:color w:val="auto"/>
                <w:spacing w:val="-4"/>
                <w:highlight w:val="none"/>
                <w:vertAlign w:val="superscript"/>
                <w:lang w:val="en-US" w:eastAsia="zh-CN"/>
              </w:rPr>
              <w:t>2</w:t>
            </w:r>
            <w:r>
              <w:rPr>
                <w:rFonts w:hint="eastAsia" w:ascii="Times New Roman" w:hAnsi="Times New Roman" w:cs="Times New Roman"/>
                <w:color w:val="auto"/>
                <w:spacing w:val="-4"/>
                <w:highlight w:val="none"/>
                <w:lang w:val="en-US" w:eastAsia="zh-CN"/>
              </w:rPr>
              <w:t>•a。</w:t>
            </w:r>
          </w:p>
          <w:p w14:paraId="00C269E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jc w:val="both"/>
              <w:textAlignment w:val="baseline"/>
              <w:rPr>
                <w:rFonts w:hint="eastAsia" w:ascii="Times New Roman" w:hAnsi="Times New Roman" w:eastAsia="宋体" w:cs="Times New Roman"/>
                <w:b/>
                <w:bCs/>
                <w:color w:val="auto"/>
                <w:spacing w:val="-4"/>
                <w:lang w:val="en-US" w:eastAsia="zh-CN"/>
              </w:rPr>
            </w:pPr>
            <w:r>
              <w:rPr>
                <w:rFonts w:hint="eastAsia" w:ascii="Times New Roman" w:hAnsi="Times New Roman" w:eastAsia="宋体" w:cs="Times New Roman"/>
                <w:b/>
                <w:bCs/>
                <w:color w:val="auto"/>
                <w:spacing w:val="-4"/>
                <w:lang w:val="en-US" w:eastAsia="zh-CN"/>
              </w:rPr>
              <w:t>6 生态环境</w:t>
            </w:r>
          </w:p>
          <w:p w14:paraId="54A53B1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firstLineChars="200"/>
              <w:textAlignment w:val="baseline"/>
              <w:rPr>
                <w:rFonts w:ascii="Times New Roman" w:hAnsi="Times New Roman" w:eastAsia="Times New Roman" w:cs="Times New Roman"/>
                <w:b/>
                <w:bCs/>
                <w:color w:val="auto"/>
                <w:spacing w:val="-2"/>
              </w:rPr>
            </w:pPr>
            <w:r>
              <w:rPr>
                <w:rFonts w:hint="eastAsia" w:ascii="Times New Roman" w:hAnsi="Times New Roman" w:eastAsia="宋体" w:cs="Times New Roman"/>
                <w:b/>
                <w:bCs/>
                <w:color w:val="auto"/>
                <w:spacing w:val="-2"/>
                <w:lang w:val="en-US" w:eastAsia="zh-CN"/>
              </w:rPr>
              <w:t>6</w:t>
            </w:r>
            <w:r>
              <w:rPr>
                <w:rFonts w:ascii="Times New Roman" w:hAnsi="Times New Roman" w:eastAsia="Times New Roman" w:cs="Times New Roman"/>
                <w:b/>
                <w:bCs/>
                <w:color w:val="auto"/>
                <w:spacing w:val="-2"/>
              </w:rPr>
              <w:t>.1 陆生生态环境现状</w:t>
            </w:r>
          </w:p>
          <w:p w14:paraId="69B519D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ascii="Times New Roman" w:hAnsi="Times New Roman" w:eastAsia="Times New Roman" w:cs="Times New Roman"/>
                <w:b/>
                <w:bCs/>
                <w:color w:val="auto"/>
                <w:spacing w:val="-2"/>
              </w:rPr>
            </w:pPr>
            <w:r>
              <w:rPr>
                <w:rFonts w:ascii="Times New Roman" w:hAnsi="Times New Roman" w:eastAsia="Times New Roman" w:cs="Times New Roman"/>
                <w:b/>
                <w:bCs/>
                <w:color w:val="auto"/>
                <w:spacing w:val="-2"/>
              </w:rPr>
              <w:t>（1）植被</w:t>
            </w:r>
          </w:p>
          <w:p w14:paraId="269A6BA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highlight w:val="none"/>
              </w:rPr>
            </w:pPr>
            <w:r>
              <w:rPr>
                <w:color w:val="auto"/>
                <w:spacing w:val="-3"/>
              </w:rPr>
              <w:t>对照宁夏植被区划图以及本次生态调查结论，项目区位于六盘山、南华</w:t>
            </w:r>
            <w:r>
              <w:rPr>
                <w:color w:val="auto"/>
                <w:spacing w:val="-1"/>
              </w:rPr>
              <w:t>山落叶阔叶林、山地草甸森林草原小区（</w:t>
            </w:r>
            <w:r>
              <w:rPr>
                <w:rFonts w:ascii="Times New Roman" w:hAnsi="Times New Roman" w:eastAsia="Times New Roman" w:cs="Times New Roman"/>
                <w:color w:val="auto"/>
                <w:spacing w:val="-1"/>
              </w:rPr>
              <w:t>IAL1a</w:t>
            </w:r>
            <w:r>
              <w:rPr>
                <w:color w:val="auto"/>
              </w:rPr>
              <w:t>），</w:t>
            </w:r>
            <w:r>
              <w:rPr>
                <w:color w:val="auto"/>
                <w:spacing w:val="-1"/>
              </w:rPr>
              <w:t>自然</w:t>
            </w:r>
            <w:r>
              <w:rPr>
                <w:color w:val="auto"/>
                <w:spacing w:val="-2"/>
              </w:rPr>
              <w:t>植被属于六盘山森</w:t>
            </w:r>
            <w:r>
              <w:rPr>
                <w:color w:val="auto"/>
                <w:spacing w:val="-7"/>
              </w:rPr>
              <w:t>林草原植被类型。经现场调查，项目区存在的植被主要为常见的</w:t>
            </w:r>
            <w:r>
              <w:rPr>
                <w:rFonts w:hint="eastAsia"/>
                <w:color w:val="auto"/>
                <w:spacing w:val="-7"/>
                <w:lang w:val="en-US" w:eastAsia="zh-CN"/>
              </w:rPr>
              <w:t>山杨、桦木、</w:t>
            </w:r>
            <w:r>
              <w:rPr>
                <w:rFonts w:hint="eastAsia"/>
                <w:color w:val="auto"/>
                <w:spacing w:val="-8"/>
                <w:lang w:val="en-US" w:eastAsia="zh-CN"/>
              </w:rPr>
              <w:t>牛尾蒿、铁杆蒿</w:t>
            </w:r>
            <w:r>
              <w:rPr>
                <w:color w:val="auto"/>
                <w:spacing w:val="-3"/>
              </w:rPr>
              <w:t>等</w:t>
            </w:r>
            <w:r>
              <w:rPr>
                <w:rFonts w:hint="eastAsia"/>
                <w:color w:val="auto"/>
                <w:spacing w:val="-3"/>
                <w:lang w:val="en-US" w:eastAsia="zh-CN"/>
              </w:rPr>
              <w:t>以及以春小麦为主，含洋</w:t>
            </w:r>
            <w:r>
              <w:rPr>
                <w:rFonts w:hint="eastAsia"/>
                <w:color w:val="auto"/>
                <w:spacing w:val="-3"/>
                <w:highlight w:val="none"/>
                <w:lang w:val="en-US" w:eastAsia="zh-CN"/>
              </w:rPr>
              <w:t>芋、糜谷、豆类油料为主的三年二熟作物</w:t>
            </w:r>
            <w:r>
              <w:rPr>
                <w:color w:val="auto"/>
                <w:spacing w:val="-8"/>
                <w:highlight w:val="none"/>
              </w:rPr>
              <w:t>，</w:t>
            </w:r>
            <w:r>
              <w:rPr>
                <w:color w:val="auto"/>
                <w:spacing w:val="-3"/>
                <w:highlight w:val="none"/>
              </w:rPr>
              <w:t>不存在珍稀濒危植被及保护物种。项目区域植被</w:t>
            </w:r>
            <w:r>
              <w:rPr>
                <w:rFonts w:hint="eastAsia"/>
                <w:color w:val="auto"/>
                <w:spacing w:val="-3"/>
                <w:highlight w:val="none"/>
                <w:lang w:val="en-US" w:eastAsia="zh-CN"/>
              </w:rPr>
              <w:t>区划</w:t>
            </w:r>
            <w:r>
              <w:rPr>
                <w:color w:val="auto"/>
                <w:spacing w:val="-6"/>
                <w:highlight w:val="none"/>
              </w:rPr>
              <w:t>见附图</w:t>
            </w:r>
            <w:r>
              <w:rPr>
                <w:rFonts w:hint="eastAsia" w:ascii="Times New Roman" w:hAnsi="Times New Roman" w:eastAsia="宋体" w:cs="Times New Roman"/>
                <w:color w:val="auto"/>
                <w:spacing w:val="-6"/>
                <w:highlight w:val="none"/>
                <w:lang w:val="en-US" w:eastAsia="zh-CN"/>
              </w:rPr>
              <w:t>1</w:t>
            </w:r>
            <w:r>
              <w:rPr>
                <w:rFonts w:hint="eastAsia" w:ascii="Times New Roman" w:hAnsi="Times New Roman" w:cs="Times New Roman"/>
                <w:color w:val="auto"/>
                <w:spacing w:val="-6"/>
                <w:highlight w:val="none"/>
                <w:lang w:val="en-US" w:eastAsia="zh-CN"/>
              </w:rPr>
              <w:t>3</w:t>
            </w:r>
            <w:r>
              <w:rPr>
                <w:color w:val="auto"/>
                <w:spacing w:val="-6"/>
                <w:highlight w:val="none"/>
              </w:rPr>
              <w:t>。</w:t>
            </w:r>
          </w:p>
          <w:p w14:paraId="5635D0E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highlight w:val="none"/>
                <w:lang w:val="en-US" w:eastAsia="zh-CN"/>
              </w:rPr>
            </w:pPr>
            <w:r>
              <w:rPr>
                <w:rFonts w:hint="eastAsia" w:ascii="Times New Roman" w:hAnsi="Times New Roman" w:eastAsia="Times New Roman" w:cs="Times New Roman"/>
                <w:b/>
                <w:bCs/>
                <w:color w:val="auto"/>
                <w:spacing w:val="-2"/>
                <w:highlight w:val="none"/>
                <w:lang w:val="en-US" w:eastAsia="zh-CN"/>
              </w:rPr>
              <w:t>（2）动物</w:t>
            </w:r>
          </w:p>
          <w:p w14:paraId="447A439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jc w:val="both"/>
              <w:textAlignment w:val="baseline"/>
              <w:rPr>
                <w:color w:val="auto"/>
              </w:rPr>
            </w:pPr>
            <w:r>
              <w:rPr>
                <w:color w:val="auto"/>
                <w:spacing w:val="5"/>
                <w:highlight w:val="none"/>
              </w:rPr>
              <w:t>泾源县内的野生动物种群已达上千种，野生动物</w:t>
            </w:r>
            <w:r>
              <w:rPr>
                <w:rFonts w:ascii="Times New Roman" w:hAnsi="Times New Roman" w:eastAsia="Times New Roman" w:cs="Times New Roman"/>
                <w:color w:val="auto"/>
                <w:spacing w:val="5"/>
                <w:highlight w:val="none"/>
              </w:rPr>
              <w:t>213</w:t>
            </w:r>
            <w:r>
              <w:rPr>
                <w:color w:val="auto"/>
                <w:spacing w:val="5"/>
                <w:highlight w:val="none"/>
              </w:rPr>
              <w:t>种，其</w:t>
            </w:r>
            <w:r>
              <w:rPr>
                <w:color w:val="auto"/>
                <w:spacing w:val="4"/>
                <w:highlight w:val="none"/>
              </w:rPr>
              <w:t>中两栖类</w:t>
            </w:r>
            <w:r>
              <w:rPr>
                <w:rFonts w:ascii="Times New Roman" w:hAnsi="Times New Roman" w:eastAsia="Times New Roman" w:cs="Times New Roman"/>
                <w:color w:val="auto"/>
                <w:spacing w:val="4"/>
                <w:highlight w:val="none"/>
              </w:rPr>
              <w:t>5</w:t>
            </w:r>
            <w:r>
              <w:rPr>
                <w:color w:val="auto"/>
                <w:spacing w:val="-2"/>
                <w:highlight w:val="none"/>
              </w:rPr>
              <w:t>种，爬行类</w:t>
            </w:r>
            <w:r>
              <w:rPr>
                <w:rFonts w:ascii="Times New Roman" w:hAnsi="Times New Roman" w:eastAsia="Times New Roman" w:cs="Times New Roman"/>
                <w:color w:val="auto"/>
                <w:spacing w:val="-2"/>
                <w:highlight w:val="none"/>
              </w:rPr>
              <w:t>4</w:t>
            </w:r>
            <w:r>
              <w:rPr>
                <w:color w:val="auto"/>
                <w:spacing w:val="-2"/>
                <w:highlight w:val="none"/>
              </w:rPr>
              <w:t>种，鸟类</w:t>
            </w:r>
            <w:r>
              <w:rPr>
                <w:rFonts w:ascii="Times New Roman" w:hAnsi="Times New Roman" w:eastAsia="Times New Roman" w:cs="Times New Roman"/>
                <w:color w:val="auto"/>
                <w:spacing w:val="-2"/>
                <w:highlight w:val="none"/>
              </w:rPr>
              <w:t>158</w:t>
            </w:r>
            <w:r>
              <w:rPr>
                <w:color w:val="auto"/>
                <w:spacing w:val="-2"/>
                <w:highlight w:val="none"/>
              </w:rPr>
              <w:t>种，哺乳类</w:t>
            </w:r>
            <w:r>
              <w:rPr>
                <w:rFonts w:ascii="Times New Roman" w:hAnsi="Times New Roman" w:eastAsia="Times New Roman" w:cs="Times New Roman"/>
                <w:color w:val="auto"/>
                <w:spacing w:val="-2"/>
                <w:highlight w:val="none"/>
              </w:rPr>
              <w:t>39</w:t>
            </w:r>
            <w:r>
              <w:rPr>
                <w:color w:val="auto"/>
                <w:spacing w:val="-2"/>
                <w:highlight w:val="none"/>
              </w:rPr>
              <w:t>种。经现场</w:t>
            </w:r>
            <w:r>
              <w:rPr>
                <w:color w:val="auto"/>
                <w:spacing w:val="-3"/>
                <w:highlight w:val="none"/>
              </w:rPr>
              <w:t>调查，评评价区域无大型野生动物分布，主要为小型爬行类动物、小型哺乳</w:t>
            </w:r>
            <w:r>
              <w:rPr>
                <w:color w:val="auto"/>
                <w:spacing w:val="-3"/>
              </w:rPr>
              <w:t>类动物及鸟类。其中爬行类动物主要有壁虎和蛇类；哺乳类动物主要有田鼠、野兔等；鸟类主要有乌鸦、喜鹊、麻雀等，无国家及地方珍稀保护动物在工程建设区域分布。此外</w:t>
            </w:r>
            <w:r>
              <w:rPr>
                <w:color w:val="auto"/>
                <w:spacing w:val="16"/>
              </w:rPr>
              <w:t xml:space="preserve"> </w:t>
            </w:r>
            <w:r>
              <w:rPr>
                <w:color w:val="auto"/>
                <w:spacing w:val="-2"/>
              </w:rPr>
              <w:t>项目占地区域内无湖泊、水库及大型河流水域，大型迁徙性（如鹰、野鸭、</w:t>
            </w:r>
            <w:r>
              <w:rPr>
                <w:color w:val="auto"/>
                <w:spacing w:val="-3"/>
              </w:rPr>
              <w:t>鹤等）候鸟不会在此栖息。</w:t>
            </w:r>
          </w:p>
          <w:p w14:paraId="4450D1E1">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6.2 水生生态环境现状</w:t>
            </w:r>
          </w:p>
          <w:p w14:paraId="21CC3D2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rPr>
            </w:pPr>
            <w:r>
              <w:rPr>
                <w:color w:val="auto"/>
                <w:spacing w:val="-3"/>
              </w:rPr>
              <w:t>流域内河道水体自净能力较弱，河岸护坡大多采用格宾砌护或浆砌石砌护，河道的生态系统及自净能力受到了破坏。由于流域内的植被种植结构单一，沿岸部分土质松散，河道纵切深，加之人类活动的影响，导致流域内水生态环境进一步恶化。近年来，河道沿线部分段岸坡存在植被枯死，裸露地</w:t>
            </w:r>
            <w:r>
              <w:rPr>
                <w:color w:val="auto"/>
                <w:spacing w:val="-1"/>
              </w:rPr>
              <w:t>增多现象，生态体系较差。</w:t>
            </w:r>
          </w:p>
          <w:p w14:paraId="69726CC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rPr>
            </w:pPr>
            <w:r>
              <w:rPr>
                <w:color w:val="auto"/>
                <w:spacing w:val="-3"/>
              </w:rPr>
              <w:t>经现场调查</w:t>
            </w:r>
            <w:r>
              <w:rPr>
                <w:rFonts w:hint="eastAsia"/>
                <w:color w:val="auto"/>
                <w:spacing w:val="-3"/>
                <w:lang w:val="en-US" w:eastAsia="zh-CN"/>
              </w:rPr>
              <w:t>羊槽河内</w:t>
            </w:r>
            <w:r>
              <w:rPr>
                <w:color w:val="auto"/>
                <w:spacing w:val="-3"/>
              </w:rPr>
              <w:t>主要有鲤鱼、鲫鱼、泥鳅等小型鱼类</w:t>
            </w:r>
            <w:r>
              <w:rPr>
                <w:rFonts w:hint="eastAsia"/>
                <w:color w:val="auto"/>
                <w:spacing w:val="-3"/>
                <w:lang w:val="en-US" w:eastAsia="zh-CN"/>
              </w:rPr>
              <w:t>为主</w:t>
            </w:r>
            <w:r>
              <w:rPr>
                <w:color w:val="auto"/>
                <w:spacing w:val="-3"/>
              </w:rPr>
              <w:t>。由于项目区河水较浅，鱼类资源较少，未发现国家保护鱼类。</w:t>
            </w:r>
          </w:p>
          <w:p w14:paraId="0E92ACD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7 地下水环境</w:t>
            </w:r>
          </w:p>
          <w:p w14:paraId="45725F3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color w:val="auto"/>
              </w:rPr>
            </w:pPr>
            <w:r>
              <w:rPr>
                <w:color w:val="auto"/>
                <w:spacing w:val="5"/>
              </w:rPr>
              <w:t>本项目</w:t>
            </w:r>
            <w:r>
              <w:rPr>
                <w:rFonts w:hint="eastAsia"/>
                <w:color w:val="auto"/>
                <w:spacing w:val="5"/>
                <w:lang w:val="en-US" w:eastAsia="zh-CN"/>
              </w:rPr>
              <w:t>属于</w:t>
            </w:r>
            <w:r>
              <w:rPr>
                <w:color w:val="auto"/>
                <w:spacing w:val="5"/>
              </w:rPr>
              <w:t>河湖整治</w:t>
            </w:r>
            <w:r>
              <w:rPr>
                <w:rFonts w:hint="eastAsia"/>
                <w:color w:val="auto"/>
                <w:spacing w:val="5"/>
                <w:lang w:val="en-US" w:eastAsia="zh-CN"/>
              </w:rPr>
              <w:t>和防洪排涝工程</w:t>
            </w:r>
            <w:r>
              <w:rPr>
                <w:color w:val="auto"/>
                <w:spacing w:val="5"/>
              </w:rPr>
              <w:t>，根据《环境影响评价技术导则</w:t>
            </w:r>
            <w:r>
              <w:rPr>
                <w:rFonts w:hint="eastAsia"/>
                <w:color w:val="auto"/>
                <w:spacing w:val="5"/>
                <w:lang w:val="en-US" w:eastAsia="zh-CN"/>
              </w:rPr>
              <w:t xml:space="preserve"> </w:t>
            </w:r>
            <w:r>
              <w:rPr>
                <w:color w:val="auto"/>
                <w:spacing w:val="4"/>
              </w:rPr>
              <w:t>地下水环境》</w:t>
            </w:r>
            <w:r>
              <w:rPr>
                <w:color w:val="auto"/>
                <w:spacing w:val="-1"/>
              </w:rPr>
              <w:t>（</w:t>
            </w:r>
            <w:r>
              <w:rPr>
                <w:rFonts w:ascii="Times New Roman" w:hAnsi="Times New Roman" w:eastAsia="Times New Roman" w:cs="Times New Roman"/>
                <w:color w:val="auto"/>
                <w:spacing w:val="-1"/>
              </w:rPr>
              <w:t>HJ</w:t>
            </w:r>
            <w:r>
              <w:rPr>
                <w:rFonts w:hint="eastAsia" w:ascii="Times New Roman" w:hAnsi="Times New Roman" w:eastAsia="宋体" w:cs="Times New Roman"/>
                <w:color w:val="auto"/>
                <w:spacing w:val="-1"/>
                <w:lang w:val="en-US" w:eastAsia="zh-CN"/>
              </w:rPr>
              <w:t xml:space="preserve"> </w:t>
            </w:r>
            <w:r>
              <w:rPr>
                <w:rFonts w:ascii="Times New Roman" w:hAnsi="Times New Roman" w:eastAsia="Times New Roman" w:cs="Times New Roman"/>
                <w:color w:val="auto"/>
                <w:spacing w:val="-1"/>
              </w:rPr>
              <w:t>610-2016</w:t>
            </w:r>
            <w:r>
              <w:rPr>
                <w:color w:val="auto"/>
                <w:spacing w:val="-1"/>
              </w:rPr>
              <w:t>）附录</w:t>
            </w:r>
            <w:r>
              <w:rPr>
                <w:rFonts w:ascii="Times New Roman" w:hAnsi="Times New Roman" w:eastAsia="Times New Roman" w:cs="Times New Roman"/>
                <w:color w:val="auto"/>
                <w:spacing w:val="-1"/>
              </w:rPr>
              <w:t>A</w:t>
            </w:r>
            <w:r>
              <w:rPr>
                <w:rFonts w:hint="eastAsia" w:ascii="Times New Roman" w:hAnsi="Times New Roman" w:eastAsia="宋体" w:cs="Times New Roman"/>
                <w:color w:val="auto"/>
                <w:spacing w:val="-31"/>
                <w:lang w:eastAsia="zh-CN"/>
              </w:rPr>
              <w:t>，</w:t>
            </w:r>
            <w:r>
              <w:rPr>
                <w:color w:val="auto"/>
                <w:spacing w:val="-1"/>
              </w:rPr>
              <w:t>本项目属于“</w:t>
            </w:r>
            <w:r>
              <w:rPr>
                <w:rFonts w:hint="eastAsia" w:ascii="Times New Roman" w:hAnsi="Times New Roman" w:eastAsia="宋体" w:cs="Times New Roman"/>
                <w:color w:val="auto"/>
                <w:spacing w:val="-1"/>
                <w:lang w:val="en-US" w:eastAsia="zh-CN"/>
              </w:rPr>
              <w:t>A 水利4、防洪排涝工程和5、河湖整治工程</w:t>
            </w:r>
            <w:r>
              <w:rPr>
                <w:color w:val="auto"/>
                <w:spacing w:val="-1"/>
              </w:rPr>
              <w:t>”，地下水环境影响评价</w:t>
            </w:r>
            <w:r>
              <w:rPr>
                <w:rFonts w:hint="eastAsia"/>
                <w:color w:val="auto"/>
                <w:spacing w:val="-1"/>
                <w:lang w:val="en-US" w:eastAsia="zh-CN"/>
              </w:rPr>
              <w:t>项目</w:t>
            </w:r>
            <w:r>
              <w:rPr>
                <w:color w:val="auto"/>
                <w:spacing w:val="-1"/>
              </w:rPr>
              <w:t>类别为</w:t>
            </w:r>
            <w:r>
              <w:rPr>
                <w:rFonts w:ascii="Times New Roman" w:hAnsi="Times New Roman" w:eastAsia="Times New Roman" w:cs="Times New Roman"/>
                <w:color w:val="auto"/>
                <w:spacing w:val="-1"/>
              </w:rPr>
              <w:t>IV</w:t>
            </w:r>
            <w:r>
              <w:rPr>
                <w:color w:val="auto"/>
                <w:spacing w:val="-1"/>
              </w:rPr>
              <w:t>类，不需要开展地下水</w:t>
            </w:r>
            <w:r>
              <w:rPr>
                <w:color w:val="auto"/>
                <w:spacing w:val="-2"/>
              </w:rPr>
              <w:t>环境现状调查。</w:t>
            </w:r>
          </w:p>
          <w:p w14:paraId="188825A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lang w:val="en-US" w:eastAsia="zh-CN"/>
              </w:rPr>
            </w:pPr>
            <w:r>
              <w:rPr>
                <w:rFonts w:hint="eastAsia" w:ascii="Times New Roman" w:hAnsi="Times New Roman" w:eastAsia="Times New Roman" w:cs="Times New Roman"/>
                <w:b/>
                <w:bCs/>
                <w:color w:val="auto"/>
                <w:spacing w:val="-2"/>
                <w:lang w:val="en-US" w:eastAsia="zh-CN"/>
              </w:rPr>
              <w:t>8 项目所在地主体功能区划</w:t>
            </w:r>
          </w:p>
          <w:p w14:paraId="2470B0E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jc w:val="both"/>
              <w:textAlignment w:val="baseline"/>
              <w:rPr>
                <w:color w:val="auto"/>
                <w:highlight w:val="none"/>
              </w:rPr>
            </w:pPr>
            <w:r>
              <w:rPr>
                <w:color w:val="auto"/>
                <w:spacing w:val="5"/>
              </w:rPr>
              <w:t>根据《自治区人民政府关于印发宁夏回族自治区主体功能区规划的通</w:t>
            </w:r>
            <w:r>
              <w:rPr>
                <w:color w:val="auto"/>
                <w:spacing w:val="-1"/>
              </w:rPr>
              <w:t>知》（宁政发〔</w:t>
            </w:r>
            <w:r>
              <w:rPr>
                <w:rFonts w:ascii="Times New Roman" w:hAnsi="Times New Roman" w:eastAsia="Times New Roman" w:cs="Times New Roman"/>
                <w:color w:val="auto"/>
                <w:spacing w:val="-1"/>
              </w:rPr>
              <w:t>2014</w:t>
            </w:r>
            <w:r>
              <w:rPr>
                <w:color w:val="auto"/>
                <w:spacing w:val="-1"/>
              </w:rPr>
              <w:t>〕</w:t>
            </w:r>
            <w:r>
              <w:rPr>
                <w:rFonts w:ascii="Times New Roman" w:hAnsi="Times New Roman" w:eastAsia="Times New Roman" w:cs="Times New Roman"/>
                <w:color w:val="auto"/>
                <w:spacing w:val="-1"/>
              </w:rPr>
              <w:t>53</w:t>
            </w:r>
            <w:r>
              <w:rPr>
                <w:color w:val="auto"/>
                <w:spacing w:val="-1"/>
              </w:rPr>
              <w:t>号，</w:t>
            </w:r>
            <w:r>
              <w:rPr>
                <w:rFonts w:ascii="Times New Roman" w:hAnsi="Times New Roman" w:eastAsia="Times New Roman" w:cs="Times New Roman"/>
                <w:color w:val="auto"/>
                <w:spacing w:val="-1"/>
              </w:rPr>
              <w:t>2014</w:t>
            </w:r>
            <w:r>
              <w:rPr>
                <w:color w:val="auto"/>
                <w:spacing w:val="-1"/>
              </w:rPr>
              <w:t>年</w:t>
            </w:r>
            <w:r>
              <w:rPr>
                <w:rFonts w:ascii="Times New Roman" w:hAnsi="Times New Roman" w:eastAsia="Times New Roman" w:cs="Times New Roman"/>
                <w:color w:val="auto"/>
                <w:spacing w:val="-1"/>
              </w:rPr>
              <w:t>6</w:t>
            </w:r>
            <w:r>
              <w:rPr>
                <w:color w:val="auto"/>
                <w:spacing w:val="-1"/>
              </w:rPr>
              <w:t>月</w:t>
            </w:r>
            <w:r>
              <w:rPr>
                <w:rFonts w:ascii="Times New Roman" w:hAnsi="Times New Roman" w:eastAsia="Times New Roman" w:cs="Times New Roman"/>
                <w:color w:val="auto"/>
                <w:spacing w:val="-1"/>
              </w:rPr>
              <w:t>18</w:t>
            </w:r>
            <w:r>
              <w:rPr>
                <w:color w:val="auto"/>
                <w:spacing w:val="-1"/>
              </w:rPr>
              <w:t>日</w:t>
            </w:r>
            <w:r>
              <w:rPr>
                <w:color w:val="auto"/>
                <w:spacing w:val="-41"/>
              </w:rPr>
              <w:t>）（</w:t>
            </w:r>
            <w:r>
              <w:rPr>
                <w:color w:val="auto"/>
                <w:spacing w:val="-1"/>
              </w:rPr>
              <w:t>以下简称《通知》</w:t>
            </w:r>
            <w:r>
              <w:rPr>
                <w:color w:val="auto"/>
                <w:spacing w:val="-41"/>
              </w:rPr>
              <w:t>），</w:t>
            </w:r>
            <w:r>
              <w:rPr>
                <w:color w:val="auto"/>
                <w:spacing w:val="-3"/>
              </w:rPr>
              <w:t>国土空间按开发内容分为以下主体功能区：分为重点开发区域、农产品主产区、重点生态功能区和禁止开</w:t>
            </w:r>
            <w:r>
              <w:rPr>
                <w:color w:val="auto"/>
                <w:spacing w:val="-3"/>
                <w:highlight w:val="none"/>
              </w:rPr>
              <w:t>发区域。本工程位于国家重点生态功能区</w:t>
            </w:r>
            <w:r>
              <w:rPr>
                <w:rFonts w:hint="eastAsia"/>
                <w:color w:val="auto"/>
                <w:spacing w:val="-3"/>
                <w:highlight w:val="none"/>
                <w:lang w:val="en-US" w:eastAsia="zh-CN"/>
              </w:rPr>
              <w:t>和国家禁止开发区域</w:t>
            </w:r>
            <w:r>
              <w:rPr>
                <w:color w:val="auto"/>
                <w:spacing w:val="-3"/>
                <w:highlight w:val="none"/>
              </w:rPr>
              <w:t>，本</w:t>
            </w:r>
            <w:r>
              <w:rPr>
                <w:rFonts w:hint="eastAsia"/>
                <w:color w:val="auto"/>
                <w:spacing w:val="-3"/>
                <w:highlight w:val="none"/>
                <w:lang w:val="en-US" w:eastAsia="zh-CN"/>
              </w:rPr>
              <w:t>项目</w:t>
            </w:r>
            <w:r>
              <w:rPr>
                <w:color w:val="auto"/>
                <w:spacing w:val="-2"/>
                <w:highlight w:val="none"/>
              </w:rPr>
              <w:t>与宁夏主体功能区划的位置关系图见附图</w:t>
            </w:r>
            <w:r>
              <w:rPr>
                <w:rFonts w:hint="eastAsia" w:ascii="Times New Roman" w:hAnsi="Times New Roman" w:eastAsia="宋体" w:cs="Times New Roman"/>
                <w:color w:val="auto"/>
                <w:spacing w:val="-2"/>
                <w:highlight w:val="none"/>
                <w:lang w:val="en-US" w:eastAsia="zh-CN"/>
              </w:rPr>
              <w:t>1</w:t>
            </w:r>
            <w:r>
              <w:rPr>
                <w:rFonts w:hint="eastAsia" w:ascii="Times New Roman" w:hAnsi="Times New Roman" w:cs="Times New Roman"/>
                <w:color w:val="auto"/>
                <w:spacing w:val="-2"/>
                <w:highlight w:val="none"/>
                <w:lang w:val="en-US" w:eastAsia="zh-CN"/>
              </w:rPr>
              <w:t>4</w:t>
            </w:r>
            <w:r>
              <w:rPr>
                <w:color w:val="auto"/>
                <w:spacing w:val="-2"/>
                <w:highlight w:val="none"/>
              </w:rPr>
              <w:t>。</w:t>
            </w:r>
          </w:p>
          <w:p w14:paraId="1F5F94A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spacing w:val="-1"/>
                <w:highlight w:val="none"/>
              </w:rPr>
            </w:pPr>
            <w:r>
              <w:rPr>
                <w:color w:val="auto"/>
                <w:spacing w:val="-3"/>
                <w:highlight w:val="none"/>
              </w:rPr>
              <w:t>生态功能区是指生态系统十分重要，关系全国或较大范围区域的生态安</w:t>
            </w:r>
            <w:r>
              <w:rPr>
                <w:color w:val="auto"/>
                <w:spacing w:val="-2"/>
                <w:highlight w:val="none"/>
              </w:rPr>
              <w:t>全，生态系统脆弱，需要在国土空间开发中限制进行大规模高强度工业化、</w:t>
            </w:r>
            <w:r>
              <w:rPr>
                <w:color w:val="auto"/>
                <w:spacing w:val="-1"/>
                <w:highlight w:val="none"/>
              </w:rPr>
              <w:t>城镇化开发，以保持并提高生态产品供给能力的区域。</w:t>
            </w:r>
          </w:p>
          <w:p w14:paraId="5F4AE0F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color w:val="auto"/>
                <w:spacing w:val="-1"/>
                <w:highlight w:val="none"/>
                <w:lang w:val="en-US"/>
              </w:rPr>
            </w:pPr>
            <w:r>
              <w:rPr>
                <w:rFonts w:hint="eastAsia"/>
                <w:color w:val="auto"/>
                <w:spacing w:val="-3"/>
                <w:highlight w:val="none"/>
                <w:lang w:val="en-US" w:eastAsia="zh-CN"/>
              </w:rPr>
              <w:t>国家禁止开发区域，为国家层面禁止开发区域，包括国家级自然保护区、世界文化自然遗产、国家级风景名胜区、国家森林公园和国家地质公园。</w:t>
            </w:r>
          </w:p>
          <w:p w14:paraId="3E7AAE4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eastAsia"/>
                <w:color w:val="auto"/>
                <w:spacing w:val="-3"/>
                <w:highlight w:val="none"/>
              </w:rPr>
            </w:pPr>
            <w:r>
              <w:rPr>
                <w:color w:val="auto"/>
                <w:spacing w:val="-3"/>
                <w:highlight w:val="none"/>
              </w:rPr>
              <w:t>本工程主要对</w:t>
            </w:r>
            <w:r>
              <w:rPr>
                <w:rFonts w:hint="eastAsia"/>
                <w:color w:val="auto"/>
                <w:spacing w:val="-3"/>
                <w:highlight w:val="none"/>
              </w:rPr>
              <w:t>泾源县黄花乡实施城乡供水一体化及水土保持、山洪及地质灾害，工程涉及对羊槽河</w:t>
            </w:r>
            <w:r>
              <w:rPr>
                <w:rFonts w:hint="eastAsia"/>
                <w:color w:val="auto"/>
                <w:spacing w:val="-3"/>
                <w:highlight w:val="none"/>
                <w:lang w:eastAsia="zh-CN"/>
              </w:rPr>
              <w:t>（</w:t>
            </w:r>
            <w:r>
              <w:rPr>
                <w:rFonts w:hint="eastAsia"/>
                <w:color w:val="auto"/>
                <w:spacing w:val="-3"/>
                <w:highlight w:val="none"/>
                <w:lang w:val="en-US" w:eastAsia="zh-CN"/>
              </w:rPr>
              <w:t>羊槽村段</w:t>
            </w:r>
            <w:r>
              <w:rPr>
                <w:rFonts w:hint="eastAsia"/>
                <w:color w:val="auto"/>
                <w:spacing w:val="-3"/>
                <w:highlight w:val="none"/>
                <w:lang w:eastAsia="zh-CN"/>
              </w:rPr>
              <w:t>）</w:t>
            </w:r>
            <w:r>
              <w:rPr>
                <w:rFonts w:hint="eastAsia"/>
                <w:color w:val="auto"/>
                <w:spacing w:val="-3"/>
                <w:highlight w:val="none"/>
              </w:rPr>
              <w:t>、生态沟渠及排洪渠的治理，通过河道生境构建、生态护坡工程、基底修复工程，减少陆域污染物入河、提高水体保持能力，有效控制沟渠两侧雨水径流污染，以提升羊槽河生态系统健康水平，修复农村水生态、水环境，增强农村防洪排涝能力。</w:t>
            </w:r>
          </w:p>
          <w:p w14:paraId="20811A7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Times New Roman" w:hAnsi="Times New Roman" w:eastAsia="Times New Roman" w:cs="Times New Roman"/>
                <w:b/>
                <w:bCs/>
                <w:color w:val="auto"/>
                <w:spacing w:val="-2"/>
                <w:highlight w:val="none"/>
                <w:lang w:val="en-US" w:eastAsia="zh-CN"/>
              </w:rPr>
            </w:pPr>
            <w:r>
              <w:rPr>
                <w:rFonts w:hint="eastAsia" w:ascii="Times New Roman" w:hAnsi="Times New Roman" w:eastAsia="Times New Roman" w:cs="Times New Roman"/>
                <w:b/>
                <w:bCs/>
                <w:color w:val="auto"/>
                <w:spacing w:val="-2"/>
                <w:highlight w:val="none"/>
                <w:lang w:val="en-US" w:eastAsia="zh-CN"/>
              </w:rPr>
              <w:t>9 项目所在地生态功能区划</w:t>
            </w:r>
          </w:p>
          <w:p w14:paraId="38BAEC0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8" w:firstLineChars="200"/>
              <w:jc w:val="both"/>
              <w:textAlignment w:val="baseline"/>
              <w:rPr>
                <w:rFonts w:hint="default" w:ascii="Times New Roman" w:hAnsi="Times New Roman" w:cs="Times New Roman"/>
                <w:color w:val="auto"/>
                <w:spacing w:val="-4"/>
                <w:highlight w:val="none"/>
                <w:lang w:val="en-US" w:eastAsia="zh-CN"/>
              </w:rPr>
            </w:pPr>
            <w:r>
              <w:rPr>
                <w:color w:val="auto"/>
                <w:spacing w:val="2"/>
                <w:highlight w:val="none"/>
              </w:rPr>
              <w:t>根据《宁夏生态功能区划》（</w:t>
            </w:r>
            <w:r>
              <w:rPr>
                <w:rFonts w:ascii="Times New Roman" w:hAnsi="Times New Roman" w:eastAsia="Times New Roman" w:cs="Times New Roman"/>
                <w:color w:val="auto"/>
                <w:spacing w:val="2"/>
                <w:highlight w:val="none"/>
              </w:rPr>
              <w:t>2003.</w:t>
            </w:r>
            <w:r>
              <w:rPr>
                <w:rFonts w:ascii="Times New Roman" w:hAnsi="Times New Roman" w:eastAsia="Times New Roman" w:cs="Times New Roman"/>
                <w:color w:val="auto"/>
                <w:spacing w:val="-32"/>
                <w:highlight w:val="none"/>
              </w:rPr>
              <w:t xml:space="preserve"> </w:t>
            </w:r>
            <w:r>
              <w:rPr>
                <w:rFonts w:ascii="Times New Roman" w:hAnsi="Times New Roman" w:eastAsia="Times New Roman" w:cs="Times New Roman"/>
                <w:color w:val="auto"/>
                <w:spacing w:val="2"/>
                <w:highlight w:val="none"/>
              </w:rPr>
              <w:t>10</w:t>
            </w:r>
            <w:r>
              <w:rPr>
                <w:color w:val="auto"/>
                <w:spacing w:val="24"/>
                <w:highlight w:val="none"/>
              </w:rPr>
              <w:t>），</w:t>
            </w:r>
            <w:r>
              <w:rPr>
                <w:color w:val="auto"/>
                <w:spacing w:val="2"/>
                <w:highlight w:val="none"/>
              </w:rPr>
              <w:t>宁夏生态功能区共划分为</w:t>
            </w:r>
            <w:r>
              <w:rPr>
                <w:rFonts w:hint="eastAsia"/>
                <w:color w:val="auto"/>
                <w:spacing w:val="-43"/>
                <w:highlight w:val="none"/>
                <w:lang w:val="en-US" w:eastAsia="zh-CN"/>
              </w:rPr>
              <w:t>3</w:t>
            </w:r>
            <w:r>
              <w:rPr>
                <w:color w:val="auto"/>
                <w:spacing w:val="1"/>
                <w:highlight w:val="none"/>
              </w:rPr>
              <w:t>个一级区，</w:t>
            </w:r>
            <w:r>
              <w:rPr>
                <w:rFonts w:ascii="Times New Roman" w:hAnsi="Times New Roman" w:eastAsia="Times New Roman" w:cs="Times New Roman"/>
                <w:color w:val="auto"/>
                <w:spacing w:val="1"/>
                <w:highlight w:val="none"/>
              </w:rPr>
              <w:t>10</w:t>
            </w:r>
            <w:r>
              <w:rPr>
                <w:color w:val="auto"/>
                <w:spacing w:val="1"/>
                <w:highlight w:val="none"/>
              </w:rPr>
              <w:t>个二级区，</w:t>
            </w:r>
            <w:r>
              <w:rPr>
                <w:rFonts w:ascii="Times New Roman" w:hAnsi="Times New Roman" w:eastAsia="Times New Roman" w:cs="Times New Roman"/>
                <w:color w:val="auto"/>
                <w:spacing w:val="1"/>
                <w:highlight w:val="none"/>
              </w:rPr>
              <w:t>37</w:t>
            </w:r>
            <w:r>
              <w:rPr>
                <w:color w:val="auto"/>
                <w:spacing w:val="1"/>
                <w:highlight w:val="none"/>
              </w:rPr>
              <w:t>个三级区。本工程位于六盘山山地河谷人工林</w:t>
            </w:r>
            <w:r>
              <w:rPr>
                <w:color w:val="auto"/>
                <w:spacing w:val="-3"/>
                <w:highlight w:val="none"/>
              </w:rPr>
              <w:t>草生态功能区，是以提供生态产品为主体功能的地区。项目所在区域生态功</w:t>
            </w:r>
            <w:r>
              <w:rPr>
                <w:color w:val="auto"/>
                <w:spacing w:val="-5"/>
                <w:highlight w:val="none"/>
              </w:rPr>
              <w:t>能区划见附图</w:t>
            </w:r>
            <w:r>
              <w:rPr>
                <w:rFonts w:hint="eastAsia" w:ascii="Times New Roman" w:hAnsi="Times New Roman" w:eastAsia="宋体" w:cs="Times New Roman"/>
                <w:color w:val="auto"/>
                <w:spacing w:val="-5"/>
                <w:highlight w:val="none"/>
                <w:lang w:val="en-US" w:eastAsia="zh-CN"/>
              </w:rPr>
              <w:t>1</w:t>
            </w:r>
            <w:r>
              <w:rPr>
                <w:rFonts w:hint="eastAsia" w:ascii="Times New Roman" w:hAnsi="Times New Roman" w:cs="Times New Roman"/>
                <w:color w:val="auto"/>
                <w:spacing w:val="-5"/>
                <w:highlight w:val="none"/>
                <w:lang w:val="en-US" w:eastAsia="zh-CN"/>
              </w:rPr>
              <w:t>5</w:t>
            </w:r>
            <w:r>
              <w:rPr>
                <w:color w:val="auto"/>
                <w:spacing w:val="-5"/>
                <w:highlight w:val="none"/>
              </w:rPr>
              <w:t>。</w:t>
            </w:r>
          </w:p>
        </w:tc>
      </w:tr>
      <w:tr w14:paraId="67F3E40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931" w:hRule="atLeast"/>
        </w:trPr>
        <w:tc>
          <w:tcPr>
            <w:tcW w:w="466" w:type="dxa"/>
            <w:tcBorders>
              <w:tl2br w:val="nil"/>
              <w:tr2bl w:val="nil"/>
            </w:tcBorders>
            <w:vAlign w:val="top"/>
          </w:tcPr>
          <w:p w14:paraId="17D26776">
            <w:pPr>
              <w:pStyle w:val="19"/>
              <w:spacing w:before="78" w:line="231"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 xml:space="preserve">与 项 目 有 关 的 原 有 环 境 </w:t>
            </w:r>
            <w:r>
              <w:rPr>
                <w:rFonts w:hint="eastAsia" w:cs="宋体"/>
                <w:b/>
                <w:bCs/>
                <w:color w:val="auto"/>
                <w:spacing w:val="-3"/>
                <w:lang w:val="en-US" w:eastAsia="zh-CN"/>
              </w:rPr>
              <w:t>污 染 和 生 态 破 坏 问 题</w:t>
            </w:r>
          </w:p>
          <w:p w14:paraId="1BE96033">
            <w:pPr>
              <w:pStyle w:val="19"/>
              <w:spacing w:before="78" w:line="231"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染 和 生 态 破 坏 问 题</w:t>
            </w:r>
          </w:p>
        </w:tc>
        <w:tc>
          <w:tcPr>
            <w:tcW w:w="8053" w:type="dxa"/>
            <w:tcBorders>
              <w:tl2br w:val="nil"/>
              <w:tr2bl w:val="nil"/>
            </w:tcBorders>
            <w:vAlign w:val="top"/>
          </w:tcPr>
          <w:p w14:paraId="442824F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jc w:val="both"/>
              <w:textAlignment w:val="baseline"/>
              <w:rPr>
                <w:color w:val="auto"/>
                <w:spacing w:val="5"/>
              </w:rPr>
            </w:pPr>
            <w:r>
              <w:rPr>
                <w:color w:val="auto"/>
                <w:spacing w:val="5"/>
              </w:rPr>
              <w:t>本项目建设主体为</w:t>
            </w:r>
            <w:r>
              <w:rPr>
                <w:rFonts w:hint="default"/>
                <w:color w:val="auto"/>
                <w:spacing w:val="5"/>
                <w:lang w:val="en-US" w:eastAsia="zh-CN"/>
              </w:rPr>
              <w:t>国录健康旅游产业发展（宁夏）</w:t>
            </w:r>
            <w:r>
              <w:rPr>
                <w:rFonts w:hint="eastAsia"/>
                <w:color w:val="auto"/>
                <w:spacing w:val="5"/>
                <w:lang w:val="en-US" w:eastAsia="zh-CN"/>
              </w:rPr>
              <w:t>有</w:t>
            </w:r>
            <w:r>
              <w:rPr>
                <w:rFonts w:hint="default"/>
                <w:color w:val="auto"/>
                <w:spacing w:val="5"/>
                <w:lang w:val="en-US" w:eastAsia="zh-CN"/>
              </w:rPr>
              <w:t>限公司</w:t>
            </w:r>
            <w:r>
              <w:rPr>
                <w:color w:val="auto"/>
                <w:spacing w:val="5"/>
              </w:rPr>
              <w:t>，建设性质为新建，尚未动工建设，未造成环境污染及生态破坏问题。</w:t>
            </w:r>
          </w:p>
          <w:p w14:paraId="0D7A7AE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highlight w:val="none"/>
              </w:rPr>
            </w:pPr>
            <w:r>
              <w:rPr>
                <w:color w:val="auto"/>
                <w:spacing w:val="-3"/>
                <w:highlight w:val="none"/>
              </w:rPr>
              <w:t>通过对</w:t>
            </w:r>
            <w:r>
              <w:rPr>
                <w:rFonts w:hint="eastAsia"/>
                <w:color w:val="auto"/>
                <w:spacing w:val="-3"/>
                <w:highlight w:val="none"/>
                <w:lang w:val="en-US" w:eastAsia="zh-CN"/>
              </w:rPr>
              <w:t>现状</w:t>
            </w:r>
            <w:r>
              <w:rPr>
                <w:rFonts w:hint="eastAsia"/>
                <w:color w:val="auto"/>
                <w:spacing w:val="5"/>
                <w:highlight w:val="none"/>
                <w:lang w:val="en-US" w:eastAsia="zh-CN"/>
              </w:rPr>
              <w:t>河道、生态沟渠和排洪渠的</w:t>
            </w:r>
            <w:r>
              <w:rPr>
                <w:color w:val="auto"/>
                <w:spacing w:val="5"/>
                <w:highlight w:val="none"/>
              </w:rPr>
              <w:t>现场勘查，项目区现状存</w:t>
            </w:r>
            <w:r>
              <w:rPr>
                <w:color w:val="auto"/>
                <w:spacing w:val="4"/>
                <w:highlight w:val="none"/>
              </w:rPr>
              <w:t>在岸坡</w:t>
            </w:r>
            <w:r>
              <w:rPr>
                <w:rFonts w:hint="eastAsia"/>
                <w:color w:val="auto"/>
                <w:spacing w:val="4"/>
                <w:highlight w:val="none"/>
                <w:lang w:val="en-US" w:eastAsia="zh-CN"/>
              </w:rPr>
              <w:t>破损、</w:t>
            </w:r>
            <w:r>
              <w:rPr>
                <w:color w:val="auto"/>
                <w:spacing w:val="4"/>
                <w:highlight w:val="none"/>
              </w:rPr>
              <w:t>垮</w:t>
            </w:r>
            <w:r>
              <w:rPr>
                <w:color w:val="auto"/>
                <w:spacing w:val="-3"/>
                <w:highlight w:val="none"/>
              </w:rPr>
              <w:t>塌</w:t>
            </w:r>
            <w:r>
              <w:rPr>
                <w:rFonts w:hint="eastAsia"/>
                <w:color w:val="auto"/>
                <w:spacing w:val="-3"/>
                <w:highlight w:val="none"/>
                <w:lang w:eastAsia="zh-CN"/>
              </w:rPr>
              <w:t>，</w:t>
            </w:r>
            <w:r>
              <w:rPr>
                <w:color w:val="auto"/>
                <w:spacing w:val="-3"/>
                <w:highlight w:val="none"/>
              </w:rPr>
              <w:t>原有</w:t>
            </w:r>
            <w:r>
              <w:rPr>
                <w:rFonts w:hint="eastAsia"/>
                <w:color w:val="auto"/>
                <w:spacing w:val="-3"/>
                <w:highlight w:val="none"/>
                <w:lang w:val="en-US" w:eastAsia="zh-CN"/>
              </w:rPr>
              <w:t>河道生境结构单一、</w:t>
            </w:r>
            <w:r>
              <w:rPr>
                <w:color w:val="auto"/>
                <w:spacing w:val="-3"/>
                <w:highlight w:val="none"/>
              </w:rPr>
              <w:t>护岸侵蚀严重、没有巡护道路或巡护道路不通畅。部分河段现状自</w:t>
            </w:r>
            <w:r>
              <w:rPr>
                <w:color w:val="auto"/>
                <w:highlight w:val="none"/>
              </w:rPr>
              <w:t>然缓冲带人为干扰情况严重，基本丧失动物</w:t>
            </w:r>
            <w:r>
              <w:rPr>
                <w:color w:val="auto"/>
                <w:spacing w:val="-1"/>
                <w:highlight w:val="none"/>
              </w:rPr>
              <w:t>栖息、水质拦截净化作用。</w:t>
            </w:r>
          </w:p>
          <w:p w14:paraId="3F857CE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color w:val="auto"/>
                <w:highlight w:val="none"/>
              </w:rPr>
            </w:pPr>
            <w:r>
              <w:rPr>
                <w:color w:val="auto"/>
                <w:spacing w:val="-1"/>
                <w:highlight w:val="none"/>
              </w:rPr>
              <w:t>主要存在以下几个方面问题：</w:t>
            </w:r>
          </w:p>
          <w:p w14:paraId="5CED1820">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b/>
                <w:bCs/>
                <w:color w:val="auto"/>
                <w:highlight w:val="none"/>
              </w:rPr>
            </w:pPr>
            <w:r>
              <w:rPr>
                <w:rFonts w:ascii="Times New Roman" w:hAnsi="Times New Roman" w:eastAsia="Times New Roman" w:cs="Times New Roman"/>
                <w:b/>
                <w:bCs/>
                <w:color w:val="auto"/>
                <w:spacing w:val="-3"/>
                <w:highlight w:val="none"/>
              </w:rPr>
              <w:t xml:space="preserve">1 </w:t>
            </w:r>
            <w:r>
              <w:rPr>
                <w:b/>
                <w:bCs/>
                <w:color w:val="auto"/>
                <w:spacing w:val="-3"/>
                <w:highlight w:val="none"/>
              </w:rPr>
              <w:t>水源涵养能力较低</w:t>
            </w:r>
          </w:p>
          <w:p w14:paraId="26B153E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4" w:firstLineChars="200"/>
              <w:jc w:val="both"/>
              <w:textAlignment w:val="baseline"/>
              <w:rPr>
                <w:color w:val="auto"/>
                <w:spacing w:val="-1"/>
                <w:highlight w:val="none"/>
              </w:rPr>
            </w:pPr>
            <w:r>
              <w:rPr>
                <w:rFonts w:hint="eastAsia"/>
                <w:b/>
                <w:bCs/>
                <w:color w:val="auto"/>
                <w:spacing w:val="-2"/>
                <w:highlight w:val="none"/>
                <w:lang w:val="en-US" w:eastAsia="zh-CN"/>
              </w:rPr>
              <w:t>羊槽</w:t>
            </w:r>
            <w:r>
              <w:rPr>
                <w:b/>
                <w:bCs/>
                <w:color w:val="auto"/>
                <w:spacing w:val="-2"/>
                <w:highlight w:val="none"/>
              </w:rPr>
              <w:t>河</w:t>
            </w:r>
            <w:r>
              <w:rPr>
                <w:rFonts w:hint="eastAsia"/>
                <w:b/>
                <w:bCs/>
                <w:color w:val="auto"/>
                <w:spacing w:val="-2"/>
                <w:highlight w:val="none"/>
                <w:lang w:eastAsia="zh-CN"/>
              </w:rPr>
              <w:t>（</w:t>
            </w:r>
            <w:r>
              <w:rPr>
                <w:rFonts w:hint="eastAsia"/>
                <w:b/>
                <w:bCs/>
                <w:color w:val="auto"/>
                <w:spacing w:val="-2"/>
                <w:highlight w:val="none"/>
                <w:lang w:val="en-US" w:eastAsia="zh-CN"/>
              </w:rPr>
              <w:t>羊槽村段</w:t>
            </w:r>
            <w:r>
              <w:rPr>
                <w:rFonts w:hint="eastAsia"/>
                <w:b/>
                <w:bCs/>
                <w:color w:val="auto"/>
                <w:spacing w:val="-2"/>
                <w:highlight w:val="none"/>
                <w:lang w:eastAsia="zh-CN"/>
              </w:rPr>
              <w:t>）</w:t>
            </w:r>
            <w:r>
              <w:rPr>
                <w:rFonts w:hint="eastAsia"/>
                <w:b/>
                <w:bCs/>
                <w:color w:val="auto"/>
                <w:spacing w:val="-2"/>
                <w:highlight w:val="none"/>
                <w:lang w:val="en-US" w:eastAsia="zh-CN"/>
              </w:rPr>
              <w:t>及生态沟渠普遍存在</w:t>
            </w:r>
            <w:r>
              <w:rPr>
                <w:b/>
                <w:bCs/>
                <w:color w:val="auto"/>
                <w:spacing w:val="-2"/>
                <w:highlight w:val="none"/>
              </w:rPr>
              <w:t>水源涵养能力</w:t>
            </w:r>
            <w:r>
              <w:rPr>
                <w:b/>
                <w:bCs/>
                <w:color w:val="auto"/>
                <w:spacing w:val="-3"/>
                <w:highlight w:val="none"/>
              </w:rPr>
              <w:t>弱</w:t>
            </w:r>
            <w:r>
              <w:rPr>
                <w:rFonts w:hint="eastAsia"/>
                <w:b/>
                <w:bCs/>
                <w:color w:val="auto"/>
                <w:spacing w:val="-3"/>
                <w:highlight w:val="none"/>
                <w:lang w:eastAsia="zh-CN"/>
              </w:rPr>
              <w:t>、</w:t>
            </w:r>
            <w:r>
              <w:rPr>
                <w:rFonts w:hint="eastAsia"/>
                <w:b/>
                <w:bCs/>
                <w:color w:val="auto"/>
                <w:spacing w:val="-3"/>
                <w:highlight w:val="none"/>
                <w:lang w:val="en-US" w:eastAsia="zh-CN"/>
              </w:rPr>
              <w:t>生态系统稳定性不强、外源污染阻隔拦截能力弱的问题</w:t>
            </w:r>
            <w:r>
              <w:rPr>
                <w:rFonts w:hint="eastAsia"/>
                <w:b/>
                <w:bCs/>
                <w:color w:val="auto"/>
                <w:spacing w:val="-3"/>
                <w:highlight w:val="none"/>
                <w:lang w:eastAsia="zh-CN"/>
              </w:rPr>
              <w:t>。</w:t>
            </w:r>
            <w:r>
              <w:rPr>
                <w:color w:val="auto"/>
                <w:spacing w:val="-3"/>
                <w:highlight w:val="none"/>
              </w:rPr>
              <w:t>部分区域河道</w:t>
            </w:r>
            <w:r>
              <w:rPr>
                <w:rFonts w:hint="eastAsia"/>
                <w:color w:val="auto"/>
                <w:spacing w:val="-3"/>
                <w:highlight w:val="none"/>
                <w:lang w:eastAsia="zh-CN"/>
              </w:rPr>
              <w:t>、</w:t>
            </w:r>
            <w:r>
              <w:rPr>
                <w:rFonts w:hint="eastAsia"/>
                <w:color w:val="auto"/>
                <w:spacing w:val="-3"/>
                <w:highlight w:val="none"/>
                <w:lang w:val="en-US" w:eastAsia="zh-CN"/>
              </w:rPr>
              <w:t>沟渠</w:t>
            </w:r>
            <w:r>
              <w:rPr>
                <w:color w:val="auto"/>
                <w:spacing w:val="-3"/>
                <w:highlight w:val="none"/>
              </w:rPr>
              <w:t>淤堵，切断水流，导致下游干涸。河道</w:t>
            </w:r>
            <w:r>
              <w:rPr>
                <w:rFonts w:hint="eastAsia"/>
                <w:color w:val="auto"/>
                <w:spacing w:val="-3"/>
                <w:highlight w:val="none"/>
                <w:lang w:eastAsia="zh-CN"/>
              </w:rPr>
              <w:t>、</w:t>
            </w:r>
            <w:r>
              <w:rPr>
                <w:rFonts w:hint="eastAsia"/>
                <w:color w:val="auto"/>
                <w:spacing w:val="-3"/>
                <w:highlight w:val="none"/>
                <w:lang w:val="en-US" w:eastAsia="zh-CN"/>
              </w:rPr>
              <w:t>沟渠整体生境状况较差，河滨缓冲带退化，水生生物物种单一，无法维持水生态系统的稳定性，水体无法及时完成自净；</w:t>
            </w:r>
            <w:r>
              <w:rPr>
                <w:color w:val="auto"/>
                <w:spacing w:val="-3"/>
                <w:highlight w:val="none"/>
              </w:rPr>
              <w:t>两岸植被覆盖率较低，伴随着降雨，将</w:t>
            </w:r>
            <w:r>
              <w:rPr>
                <w:color w:val="auto"/>
                <w:spacing w:val="-2"/>
                <w:highlight w:val="none"/>
              </w:rPr>
              <w:t>河流两岸面源污染直接入河</w:t>
            </w:r>
            <w:r>
              <w:rPr>
                <w:rFonts w:hint="eastAsia"/>
                <w:color w:val="auto"/>
                <w:spacing w:val="-2"/>
                <w:highlight w:val="none"/>
                <w:lang w:eastAsia="zh-CN"/>
              </w:rPr>
              <w:t>、</w:t>
            </w:r>
            <w:r>
              <w:rPr>
                <w:rFonts w:hint="eastAsia"/>
                <w:color w:val="auto"/>
                <w:spacing w:val="-2"/>
                <w:highlight w:val="none"/>
                <w:lang w:val="en-US" w:eastAsia="zh-CN"/>
              </w:rPr>
              <w:t>生态沟渠</w:t>
            </w:r>
            <w:r>
              <w:rPr>
                <w:color w:val="auto"/>
                <w:spacing w:val="-2"/>
                <w:highlight w:val="none"/>
              </w:rPr>
              <w:t>，</w:t>
            </w:r>
            <w:r>
              <w:rPr>
                <w:rFonts w:hint="eastAsia"/>
                <w:color w:val="auto"/>
                <w:spacing w:val="-2"/>
                <w:highlight w:val="none"/>
                <w:lang w:val="en-US" w:eastAsia="zh-CN"/>
              </w:rPr>
              <w:t>外源污染阻隔拦截能力</w:t>
            </w:r>
            <w:r>
              <w:rPr>
                <w:color w:val="auto"/>
                <w:spacing w:val="-1"/>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9"/>
              <w:gridCol w:w="3980"/>
            </w:tblGrid>
            <w:tr w14:paraId="21F5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jc w:val="center"/>
              </w:trPr>
              <w:tc>
                <w:tcPr>
                  <w:tcW w:w="3979" w:type="dxa"/>
                </w:tcPr>
                <w:p w14:paraId="08279EC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spacing w:val="-1"/>
                      <w:highlight w:val="none"/>
                      <w:vertAlign w:val="baseline"/>
                    </w:rPr>
                  </w:pPr>
                  <w:r>
                    <w:rPr>
                      <w:rFonts w:hint="eastAsia" w:eastAsia="宋体"/>
                      <w:color w:val="auto"/>
                      <w:lang w:eastAsia="zh-CN"/>
                    </w:rPr>
                    <w:drawing>
                      <wp:inline distT="0" distB="0" distL="114300" distR="114300">
                        <wp:extent cx="2605405" cy="2085340"/>
                        <wp:effectExtent l="0" t="0" r="4445" b="10160"/>
                        <wp:docPr id="7" name="图片 7" descr="微信图片_202505290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529011005"/>
                                <pic:cNvPicPr>
                                  <a:picLocks noChangeAspect="1"/>
                                </pic:cNvPicPr>
                              </pic:nvPicPr>
                              <pic:blipFill>
                                <a:blip r:embed="rId23"/>
                                <a:stretch>
                                  <a:fillRect/>
                                </a:stretch>
                              </pic:blipFill>
                              <pic:spPr>
                                <a:xfrm>
                                  <a:off x="0" y="0"/>
                                  <a:ext cx="2605405" cy="2085340"/>
                                </a:xfrm>
                                <a:prstGeom prst="rect">
                                  <a:avLst/>
                                </a:prstGeom>
                              </pic:spPr>
                            </pic:pic>
                          </a:graphicData>
                        </a:graphic>
                      </wp:inline>
                    </w:drawing>
                  </w:r>
                </w:p>
              </w:tc>
              <w:tc>
                <w:tcPr>
                  <w:tcW w:w="3980" w:type="dxa"/>
                </w:tcPr>
                <w:p w14:paraId="3E00D266">
                  <w:pPr>
                    <w:pStyle w:val="14"/>
                    <w:keepNext w:val="0"/>
                    <w:keepLines w:val="0"/>
                    <w:widowControl/>
                    <w:suppressLineNumbers w:val="0"/>
                    <w:ind w:left="0" w:leftChars="0" w:right="0" w:rightChars="0" w:firstLine="0" w:firstLineChars="0"/>
                    <w:jc w:val="center"/>
                    <w:rPr>
                      <w:color w:val="auto"/>
                      <w:spacing w:val="-1"/>
                      <w:highlight w:val="none"/>
                      <w:vertAlign w:val="baseline"/>
                    </w:rPr>
                  </w:pPr>
                  <w:r>
                    <w:rPr>
                      <w:color w:val="auto"/>
                    </w:rPr>
                    <w:drawing>
                      <wp:inline distT="0" distB="0" distL="114300" distR="114300">
                        <wp:extent cx="2205990" cy="2120900"/>
                        <wp:effectExtent l="0" t="0" r="3810" b="1270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24"/>
                                <a:srcRect t="23174"/>
                                <a:stretch>
                                  <a:fillRect/>
                                </a:stretch>
                              </pic:blipFill>
                              <pic:spPr>
                                <a:xfrm>
                                  <a:off x="0" y="0"/>
                                  <a:ext cx="2205990" cy="2120900"/>
                                </a:xfrm>
                                <a:prstGeom prst="rect">
                                  <a:avLst/>
                                </a:prstGeom>
                                <a:noFill/>
                                <a:ln w="9525">
                                  <a:noFill/>
                                </a:ln>
                              </pic:spPr>
                            </pic:pic>
                          </a:graphicData>
                        </a:graphic>
                      </wp:inline>
                    </w:drawing>
                  </w:r>
                </w:p>
              </w:tc>
            </w:tr>
            <w:tr w14:paraId="47AD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9" w:type="dxa"/>
                  <w:vAlign w:val="top"/>
                </w:tcPr>
                <w:p w14:paraId="197898FD">
                  <w:pPr>
                    <w:pStyle w:val="19"/>
                    <w:widowControl w:val="0"/>
                    <w:spacing w:before="179" w:line="350" w:lineRule="auto"/>
                    <w:ind w:left="0" w:leftChars="0" w:right="0" w:rightChars="0" w:firstLine="0" w:firstLineChars="0"/>
                    <w:jc w:val="center"/>
                    <w:rPr>
                      <w:rFonts w:hint="default" w:eastAsia="宋体"/>
                      <w:color w:val="auto"/>
                      <w:spacing w:val="-1"/>
                      <w:highlight w:val="none"/>
                      <w:vertAlign w:val="baseline"/>
                      <w:lang w:val="en-US" w:eastAsia="zh-CN"/>
                    </w:rPr>
                  </w:pPr>
                  <w:r>
                    <w:rPr>
                      <w:rFonts w:hint="eastAsia" w:ascii="Times New Roman" w:hAnsi="Times New Roman" w:eastAsia="宋体" w:cs="Times New Roman"/>
                      <w:b/>
                      <w:bCs/>
                      <w:snapToGrid w:val="0"/>
                      <w:color w:val="auto"/>
                      <w:spacing w:val="6"/>
                      <w:kern w:val="0"/>
                      <w:sz w:val="21"/>
                      <w:szCs w:val="21"/>
                      <w:lang w:val="en-US" w:eastAsia="zh-CN" w:bidi="ar-SA"/>
                    </w:rPr>
                    <w:t>羊槽河河道现状（上游）</w:t>
                  </w:r>
                </w:p>
              </w:tc>
              <w:tc>
                <w:tcPr>
                  <w:tcW w:w="3980" w:type="dxa"/>
                  <w:vAlign w:val="top"/>
                </w:tcPr>
                <w:p w14:paraId="31B8B043">
                  <w:pPr>
                    <w:pStyle w:val="19"/>
                    <w:widowControl w:val="0"/>
                    <w:spacing w:before="179" w:line="350" w:lineRule="auto"/>
                    <w:ind w:left="0" w:leftChars="0" w:right="0" w:rightChars="0" w:firstLine="0" w:firstLineChars="0"/>
                    <w:jc w:val="center"/>
                    <w:rPr>
                      <w:color w:val="auto"/>
                      <w:spacing w:val="-1"/>
                      <w:highlight w:val="none"/>
                      <w:vertAlign w:val="baseline"/>
                    </w:rPr>
                  </w:pPr>
                  <w:r>
                    <w:rPr>
                      <w:rFonts w:hint="eastAsia" w:ascii="Times New Roman" w:hAnsi="Times New Roman" w:eastAsia="宋体" w:cs="Times New Roman"/>
                      <w:b/>
                      <w:bCs/>
                      <w:snapToGrid w:val="0"/>
                      <w:color w:val="auto"/>
                      <w:spacing w:val="6"/>
                      <w:kern w:val="0"/>
                      <w:sz w:val="21"/>
                      <w:szCs w:val="21"/>
                      <w:lang w:val="en-US" w:eastAsia="zh-CN" w:bidi="ar-SA"/>
                    </w:rPr>
                    <w:t>羊槽河河道现状（下游）</w:t>
                  </w:r>
                </w:p>
              </w:tc>
            </w:tr>
            <w:tr w14:paraId="0630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3979" w:type="dxa"/>
                </w:tcPr>
                <w:p w14:paraId="51A5E7E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olor w:val="auto"/>
                      <w:spacing w:val="-1"/>
                      <w:highlight w:val="none"/>
                      <w:vertAlign w:val="baseline"/>
                      <w:lang w:eastAsia="zh-CN"/>
                    </w:rPr>
                  </w:pPr>
                  <w:r>
                    <w:rPr>
                      <w:rFonts w:hint="eastAsia" w:eastAsia="宋体"/>
                      <w:color w:val="auto"/>
                      <w:spacing w:val="-1"/>
                      <w:highlight w:val="none"/>
                      <w:vertAlign w:val="baseline"/>
                      <w:lang w:eastAsia="zh-CN"/>
                    </w:rPr>
                    <w:drawing>
                      <wp:inline distT="0" distB="0" distL="114300" distR="114300">
                        <wp:extent cx="2387600" cy="2830830"/>
                        <wp:effectExtent l="0" t="0" r="0" b="0"/>
                        <wp:docPr id="5" name="图片 5" descr="微信图片_2025052810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528103819"/>
                                <pic:cNvPicPr>
                                  <a:picLocks noChangeAspect="1"/>
                                </pic:cNvPicPr>
                              </pic:nvPicPr>
                              <pic:blipFill>
                                <a:blip r:embed="rId25"/>
                                <a:srcRect b="18202"/>
                                <a:stretch>
                                  <a:fillRect/>
                                </a:stretch>
                              </pic:blipFill>
                              <pic:spPr>
                                <a:xfrm>
                                  <a:off x="0" y="0"/>
                                  <a:ext cx="2387600" cy="2830830"/>
                                </a:xfrm>
                                <a:prstGeom prst="rect">
                                  <a:avLst/>
                                </a:prstGeom>
                              </pic:spPr>
                            </pic:pic>
                          </a:graphicData>
                        </a:graphic>
                      </wp:inline>
                    </w:drawing>
                  </w:r>
                </w:p>
              </w:tc>
              <w:tc>
                <w:tcPr>
                  <w:tcW w:w="3980" w:type="dxa"/>
                </w:tcPr>
                <w:p w14:paraId="65E0C47C">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olor w:val="auto"/>
                      <w:spacing w:val="-1"/>
                      <w:highlight w:val="none"/>
                      <w:vertAlign w:val="baseline"/>
                      <w:lang w:eastAsia="zh-CN"/>
                    </w:rPr>
                  </w:pPr>
                  <w:r>
                    <w:rPr>
                      <w:rFonts w:hint="eastAsia" w:eastAsia="宋体"/>
                      <w:color w:val="auto"/>
                      <w:spacing w:val="-1"/>
                      <w:highlight w:val="none"/>
                      <w:vertAlign w:val="baseline"/>
                      <w:lang w:eastAsia="zh-CN"/>
                    </w:rPr>
                    <w:drawing>
                      <wp:inline distT="0" distB="0" distL="114300" distR="114300">
                        <wp:extent cx="1922145" cy="2787015"/>
                        <wp:effectExtent l="0" t="0" r="1905" b="13335"/>
                        <wp:docPr id="11" name="图片 11" descr="bcd2ae0cd8209158e125449fa6b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cd2ae0cd8209158e125449fa6b33dc"/>
                                <pic:cNvPicPr>
                                  <a:picLocks noChangeAspect="1"/>
                                </pic:cNvPicPr>
                              </pic:nvPicPr>
                              <pic:blipFill>
                                <a:blip r:embed="rId26"/>
                                <a:stretch>
                                  <a:fillRect/>
                                </a:stretch>
                              </pic:blipFill>
                              <pic:spPr>
                                <a:xfrm>
                                  <a:off x="0" y="0"/>
                                  <a:ext cx="1922145" cy="2787015"/>
                                </a:xfrm>
                                <a:prstGeom prst="rect">
                                  <a:avLst/>
                                </a:prstGeom>
                              </pic:spPr>
                            </pic:pic>
                          </a:graphicData>
                        </a:graphic>
                      </wp:inline>
                    </w:drawing>
                  </w:r>
                </w:p>
              </w:tc>
            </w:tr>
            <w:tr w14:paraId="4C5A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979" w:type="dxa"/>
                  <w:vAlign w:val="top"/>
                </w:tcPr>
                <w:p w14:paraId="22DBE837">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生态沟渠现状（一）</w:t>
                  </w:r>
                </w:p>
              </w:tc>
              <w:tc>
                <w:tcPr>
                  <w:tcW w:w="3980" w:type="dxa"/>
                  <w:vAlign w:val="top"/>
                </w:tcPr>
                <w:p w14:paraId="0BB83B81">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生态沟渠现状</w:t>
                  </w:r>
                  <w:r>
                    <w:rPr>
                      <w:rFonts w:hint="eastAsia" w:ascii="Times New Roman" w:hAnsi="Times New Roman" w:cs="Times New Roman"/>
                      <w:b/>
                      <w:bCs/>
                      <w:snapToGrid w:val="0"/>
                      <w:color w:val="auto"/>
                      <w:spacing w:val="6"/>
                      <w:kern w:val="0"/>
                      <w:sz w:val="21"/>
                      <w:szCs w:val="21"/>
                      <w:lang w:val="en-US" w:eastAsia="zh-CN" w:bidi="ar-SA"/>
                    </w:rPr>
                    <w:t>（二）</w:t>
                  </w:r>
                </w:p>
              </w:tc>
            </w:tr>
          </w:tbl>
          <w:p w14:paraId="603F3A4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Times New Roman" w:cs="Times New Roman"/>
                <w:b/>
                <w:bCs/>
                <w:color w:val="auto"/>
                <w:spacing w:val="-3"/>
                <w:highlight w:val="none"/>
                <w:lang w:val="en-US" w:eastAsia="zh-CN"/>
              </w:rPr>
            </w:pPr>
            <w:r>
              <w:rPr>
                <w:rFonts w:hint="eastAsia" w:ascii="Times New Roman" w:hAnsi="Times New Roman" w:eastAsia="Times New Roman" w:cs="Times New Roman"/>
                <w:b/>
                <w:bCs/>
                <w:color w:val="auto"/>
                <w:spacing w:val="-3"/>
                <w:highlight w:val="none"/>
                <w:lang w:val="en-US" w:eastAsia="zh-CN"/>
              </w:rPr>
              <w:t>2 排洪渠防洪能力弱</w:t>
            </w:r>
          </w:p>
          <w:p w14:paraId="0376841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jc w:val="both"/>
              <w:textAlignment w:val="baseline"/>
              <w:rPr>
                <w:rFonts w:hint="eastAsia"/>
                <w:color w:val="auto"/>
                <w:spacing w:val="-3"/>
                <w:highlight w:val="none"/>
                <w:lang w:val="en-US" w:eastAsia="zh-CN"/>
              </w:rPr>
            </w:pPr>
            <w:r>
              <w:rPr>
                <w:rFonts w:hint="eastAsia"/>
                <w:b/>
                <w:bCs/>
                <w:color w:val="auto"/>
                <w:spacing w:val="-3"/>
                <w:highlight w:val="none"/>
                <w:lang w:val="en-US" w:eastAsia="zh-CN"/>
              </w:rPr>
              <w:t>排洪渠（平凉庄村、红土村、沙塘村）现状生态流量不足、陆域缓冲带缺失岸坡保护措施不完备。</w:t>
            </w:r>
            <w:r>
              <w:rPr>
                <w:rFonts w:hint="eastAsia"/>
                <w:color w:val="auto"/>
                <w:spacing w:val="-3"/>
                <w:highlight w:val="none"/>
                <w:lang w:val="en-US" w:eastAsia="zh-CN"/>
              </w:rPr>
              <w:t>山洪引流渠现状日常流量不足，渠道狭窄，局部水土流失严重，河道泥沙含量淤堵渠道，且渠道范围内存在多处区域裸露，植物种类单一；渠道与陆域相接处存在多处坍塌，部分岸坡土质疏松；渠道水土保持措施不完善，缓冲带缺失，不利于地表径流的拦截，污染拦截和隔离效果差。</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9"/>
              <w:gridCol w:w="3950"/>
            </w:tblGrid>
            <w:tr w14:paraId="2F2C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3" w:hRule="atLeast"/>
                <w:jc w:val="center"/>
              </w:trPr>
              <w:tc>
                <w:tcPr>
                  <w:tcW w:w="3949" w:type="dxa"/>
                </w:tcPr>
                <w:p w14:paraId="636AAB8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color w:val="auto"/>
                      <w:spacing w:val="-3"/>
                      <w:highlight w:val="none"/>
                      <w:vertAlign w:val="baseline"/>
                      <w:lang w:val="en-US" w:eastAsia="zh-CN"/>
                    </w:rPr>
                  </w:pPr>
                  <w:r>
                    <w:rPr>
                      <w:rFonts w:hint="eastAsia" w:eastAsia="宋体"/>
                      <w:color w:val="auto"/>
                      <w:lang w:eastAsia="zh-CN"/>
                    </w:rPr>
                    <w:drawing>
                      <wp:inline distT="0" distB="0" distL="114300" distR="114300">
                        <wp:extent cx="2313305" cy="2803525"/>
                        <wp:effectExtent l="0" t="0" r="10795" b="15875"/>
                        <wp:docPr id="12" name="图片 12" descr="bcd2ae0cd8209158e125449fa6b3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cd2ae0cd8209158e125449fa6b33dc"/>
                                <pic:cNvPicPr>
                                  <a:picLocks noChangeAspect="1"/>
                                </pic:cNvPicPr>
                              </pic:nvPicPr>
                              <pic:blipFill>
                                <a:blip r:embed="rId26"/>
                                <a:srcRect b="16455"/>
                                <a:stretch>
                                  <a:fillRect/>
                                </a:stretch>
                              </pic:blipFill>
                              <pic:spPr>
                                <a:xfrm>
                                  <a:off x="0" y="0"/>
                                  <a:ext cx="2313305" cy="2803525"/>
                                </a:xfrm>
                                <a:prstGeom prst="rect">
                                  <a:avLst/>
                                </a:prstGeom>
                              </pic:spPr>
                            </pic:pic>
                          </a:graphicData>
                        </a:graphic>
                      </wp:inline>
                    </w:drawing>
                  </w:r>
                </w:p>
              </w:tc>
              <w:tc>
                <w:tcPr>
                  <w:tcW w:w="3950" w:type="dxa"/>
                </w:tcPr>
                <w:p w14:paraId="3481691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color w:val="auto"/>
                      <w:spacing w:val="-3"/>
                      <w:highlight w:val="none"/>
                      <w:vertAlign w:val="baseline"/>
                      <w:lang w:val="en-US" w:eastAsia="zh-CN"/>
                    </w:rPr>
                  </w:pPr>
                  <w:r>
                    <w:rPr>
                      <w:rFonts w:hint="default"/>
                      <w:color w:val="auto"/>
                      <w:spacing w:val="-3"/>
                      <w:highlight w:val="none"/>
                      <w:vertAlign w:val="baseline"/>
                      <w:lang w:val="en-US" w:eastAsia="zh-CN"/>
                    </w:rPr>
                    <w:drawing>
                      <wp:inline distT="0" distB="0" distL="114300" distR="114300">
                        <wp:extent cx="1935480" cy="2806065"/>
                        <wp:effectExtent l="0" t="0" r="7620" b="13335"/>
                        <wp:docPr id="13" name="图片 13" descr="微信图片_202505281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528103842"/>
                                <pic:cNvPicPr>
                                  <a:picLocks noChangeAspect="1"/>
                                </pic:cNvPicPr>
                              </pic:nvPicPr>
                              <pic:blipFill>
                                <a:blip r:embed="rId27"/>
                                <a:stretch>
                                  <a:fillRect/>
                                </a:stretch>
                              </pic:blipFill>
                              <pic:spPr>
                                <a:xfrm>
                                  <a:off x="0" y="0"/>
                                  <a:ext cx="1935480" cy="2806065"/>
                                </a:xfrm>
                                <a:prstGeom prst="rect">
                                  <a:avLst/>
                                </a:prstGeom>
                              </pic:spPr>
                            </pic:pic>
                          </a:graphicData>
                        </a:graphic>
                      </wp:inline>
                    </w:drawing>
                  </w:r>
                </w:p>
              </w:tc>
            </w:tr>
            <w:tr w14:paraId="4B0F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49" w:type="dxa"/>
                  <w:vAlign w:val="top"/>
                </w:tcPr>
                <w:p w14:paraId="58EC9D76">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排洪渠现状（一）</w:t>
                  </w:r>
                </w:p>
              </w:tc>
              <w:tc>
                <w:tcPr>
                  <w:tcW w:w="3950" w:type="dxa"/>
                  <w:vAlign w:val="top"/>
                </w:tcPr>
                <w:p w14:paraId="0B83D384">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排洪渠现状（二）</w:t>
                  </w:r>
                </w:p>
              </w:tc>
            </w:tr>
            <w:tr w14:paraId="02B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4" w:hRule="atLeast"/>
                <w:jc w:val="center"/>
              </w:trPr>
              <w:tc>
                <w:tcPr>
                  <w:tcW w:w="3949" w:type="dxa"/>
                </w:tcPr>
                <w:p w14:paraId="1170E82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color w:val="auto"/>
                      <w:spacing w:val="-3"/>
                      <w:highlight w:val="none"/>
                      <w:vertAlign w:val="baseline"/>
                      <w:lang w:val="en-US" w:eastAsia="zh-CN"/>
                    </w:rPr>
                  </w:pPr>
                  <w:r>
                    <w:rPr>
                      <w:rFonts w:hint="default"/>
                      <w:color w:val="auto"/>
                      <w:spacing w:val="-3"/>
                      <w:highlight w:val="none"/>
                      <w:vertAlign w:val="baseline"/>
                      <w:lang w:val="en-US" w:eastAsia="zh-CN"/>
                    </w:rPr>
                    <w:drawing>
                      <wp:inline distT="0" distB="0" distL="114300" distR="114300">
                        <wp:extent cx="2056130" cy="2981325"/>
                        <wp:effectExtent l="0" t="0" r="1270" b="9525"/>
                        <wp:docPr id="14" name="图片 14" descr="微信图片_2025052810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528103901"/>
                                <pic:cNvPicPr>
                                  <a:picLocks noChangeAspect="1"/>
                                </pic:cNvPicPr>
                              </pic:nvPicPr>
                              <pic:blipFill>
                                <a:blip r:embed="rId28"/>
                                <a:stretch>
                                  <a:fillRect/>
                                </a:stretch>
                              </pic:blipFill>
                              <pic:spPr>
                                <a:xfrm>
                                  <a:off x="0" y="0"/>
                                  <a:ext cx="2056130" cy="2981325"/>
                                </a:xfrm>
                                <a:prstGeom prst="rect">
                                  <a:avLst/>
                                </a:prstGeom>
                              </pic:spPr>
                            </pic:pic>
                          </a:graphicData>
                        </a:graphic>
                      </wp:inline>
                    </w:drawing>
                  </w:r>
                </w:p>
              </w:tc>
              <w:tc>
                <w:tcPr>
                  <w:tcW w:w="3950" w:type="dxa"/>
                </w:tcPr>
                <w:p w14:paraId="3DE256A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color w:val="auto"/>
                      <w:spacing w:val="-3"/>
                      <w:highlight w:val="none"/>
                      <w:vertAlign w:val="baseline"/>
                      <w:lang w:val="en-US" w:eastAsia="zh-CN"/>
                    </w:rPr>
                  </w:pPr>
                  <w:r>
                    <w:rPr>
                      <w:rFonts w:hint="default"/>
                      <w:color w:val="auto"/>
                      <w:spacing w:val="-3"/>
                      <w:highlight w:val="none"/>
                      <w:vertAlign w:val="baseline"/>
                      <w:lang w:val="en-US" w:eastAsia="zh-CN"/>
                    </w:rPr>
                    <w:drawing>
                      <wp:inline distT="0" distB="0" distL="114300" distR="114300">
                        <wp:extent cx="2402840" cy="3024505"/>
                        <wp:effectExtent l="0" t="0" r="0" b="0"/>
                        <wp:docPr id="15" name="图片 15" descr="微信图片_202505281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528103912"/>
                                <pic:cNvPicPr>
                                  <a:picLocks noChangeAspect="1"/>
                                </pic:cNvPicPr>
                              </pic:nvPicPr>
                              <pic:blipFill>
                                <a:blip r:embed="rId29"/>
                                <a:srcRect b="13163"/>
                                <a:stretch>
                                  <a:fillRect/>
                                </a:stretch>
                              </pic:blipFill>
                              <pic:spPr>
                                <a:xfrm>
                                  <a:off x="0" y="0"/>
                                  <a:ext cx="2402840" cy="3024505"/>
                                </a:xfrm>
                                <a:prstGeom prst="rect">
                                  <a:avLst/>
                                </a:prstGeom>
                              </pic:spPr>
                            </pic:pic>
                          </a:graphicData>
                        </a:graphic>
                      </wp:inline>
                    </w:drawing>
                  </w:r>
                </w:p>
              </w:tc>
            </w:tr>
            <w:tr w14:paraId="2F8E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49" w:type="dxa"/>
                  <w:vAlign w:val="top"/>
                </w:tcPr>
                <w:p w14:paraId="1BEF4AF7">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排洪渠现状（三）</w:t>
                  </w:r>
                </w:p>
              </w:tc>
              <w:tc>
                <w:tcPr>
                  <w:tcW w:w="3950" w:type="dxa"/>
                  <w:vAlign w:val="top"/>
                </w:tcPr>
                <w:p w14:paraId="3EE31609">
                  <w:pPr>
                    <w:pStyle w:val="19"/>
                    <w:widowControl w:val="0"/>
                    <w:spacing w:before="179" w:line="350" w:lineRule="auto"/>
                    <w:ind w:left="0" w:leftChars="0" w:right="0" w:rightChars="0" w:firstLine="0" w:firstLineChars="0"/>
                    <w:jc w:val="center"/>
                    <w:rPr>
                      <w:rFonts w:hint="default"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排洪渠现状（四）</w:t>
                  </w:r>
                </w:p>
              </w:tc>
            </w:tr>
          </w:tbl>
          <w:p w14:paraId="1AB0F94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default" w:ascii="Times New Roman" w:hAnsi="Times New Roman" w:eastAsia="Times New Roman" w:cs="Times New Roman"/>
                <w:b/>
                <w:bCs/>
                <w:color w:val="auto"/>
                <w:spacing w:val="-3"/>
                <w:highlight w:val="yellow"/>
                <w:lang w:val="en-US" w:eastAsia="zh-CN"/>
              </w:rPr>
            </w:pPr>
          </w:p>
        </w:tc>
      </w:tr>
      <w:tr w14:paraId="3D8C623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333" w:hRule="atLeast"/>
        </w:trPr>
        <w:tc>
          <w:tcPr>
            <w:tcW w:w="466" w:type="dxa"/>
            <w:tcBorders>
              <w:tl2br w:val="nil"/>
              <w:tr2bl w:val="nil"/>
            </w:tcBorders>
            <w:vAlign w:val="center"/>
          </w:tcPr>
          <w:p w14:paraId="6236EEDB">
            <w:pPr>
              <w:pStyle w:val="19"/>
              <w:spacing w:before="78" w:line="231"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cs="宋体"/>
                <w:b/>
                <w:bCs/>
                <w:color w:val="auto"/>
                <w:spacing w:val="-3"/>
                <w:lang w:val="en-US" w:eastAsia="zh-CN"/>
              </w:rPr>
              <w:t>环境保护目标</w:t>
            </w:r>
          </w:p>
        </w:tc>
        <w:tc>
          <w:tcPr>
            <w:tcW w:w="8053" w:type="dxa"/>
            <w:tcBorders>
              <w:tl2br w:val="nil"/>
              <w:tr2bl w:val="nil"/>
            </w:tcBorders>
            <w:vAlign w:val="top"/>
          </w:tcPr>
          <w:p w14:paraId="1249BC3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48" w:firstLineChars="200"/>
              <w:textAlignment w:val="baseline"/>
              <w:rPr>
                <w:color w:val="auto"/>
              </w:rPr>
            </w:pPr>
            <w:r>
              <w:rPr>
                <w:rFonts w:ascii="Times New Roman" w:hAnsi="Times New Roman" w:eastAsia="Times New Roman" w:cs="Times New Roman"/>
                <w:b/>
                <w:bCs/>
                <w:color w:val="auto"/>
                <w:spacing w:val="-8"/>
              </w:rPr>
              <w:t>1</w:t>
            </w:r>
            <w:r>
              <w:rPr>
                <w:rFonts w:ascii="Times New Roman" w:hAnsi="Times New Roman" w:eastAsia="Times New Roman" w:cs="Times New Roman"/>
                <w:b/>
                <w:bCs/>
                <w:color w:val="auto"/>
                <w:spacing w:val="7"/>
              </w:rPr>
              <w:t xml:space="preserve"> </w:t>
            </w:r>
            <w:r>
              <w:rPr>
                <w:b/>
                <w:bCs/>
                <w:color w:val="auto"/>
                <w:spacing w:val="-8"/>
              </w:rPr>
              <w:t>大气环境</w:t>
            </w:r>
          </w:p>
          <w:p w14:paraId="6B82E2D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cs="Times New Roman"/>
                <w:color w:val="auto"/>
              </w:rPr>
            </w:pPr>
            <w:r>
              <w:rPr>
                <w:rFonts w:hint="default" w:ascii="Times New Roman" w:hAnsi="Times New Roman" w:cs="Times New Roman"/>
                <w:color w:val="auto"/>
                <w:spacing w:val="-3"/>
              </w:rPr>
              <w:t>本项目废气排放主要集中在施工期，首要大气污染物为扬尘，主要来源于土石方开挖和回填等，其排放为无组织、间歇性面源的特点。工程施工作业面分散，扬尘产生源有一定流动性。此外，项目施工期还有施工机械、运输车辆产生的尾气等，但排放量均不大，且较为分散。</w:t>
            </w:r>
            <w:r>
              <w:rPr>
                <w:rFonts w:hint="eastAsia" w:ascii="Times New Roman" w:hAnsi="Times New Roman" w:cs="Times New Roman"/>
                <w:color w:val="auto"/>
                <w:spacing w:val="-3"/>
                <w:lang w:val="en-US" w:eastAsia="zh-CN"/>
              </w:rPr>
              <w:t>本项目位于泾源县黄花乡，属环境空气二类功能区，</w:t>
            </w:r>
            <w:r>
              <w:rPr>
                <w:rFonts w:hint="default" w:ascii="Times New Roman" w:hAnsi="Times New Roman" w:cs="Times New Roman"/>
                <w:color w:val="auto"/>
                <w:spacing w:val="-3"/>
              </w:rPr>
              <w:t>根据《环境影响评价</w:t>
            </w:r>
            <w:r>
              <w:rPr>
                <w:rFonts w:hint="default" w:ascii="Times New Roman" w:hAnsi="Times New Roman" w:cs="Times New Roman"/>
                <w:color w:val="auto"/>
              </w:rPr>
              <w:t>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大气环境》（</w:t>
            </w:r>
            <w:r>
              <w:rPr>
                <w:rFonts w:hint="default" w:ascii="Times New Roman" w:hAnsi="Times New Roman" w:eastAsia="Times New Roman" w:cs="Times New Roman"/>
                <w:color w:val="auto"/>
              </w:rPr>
              <w:t>HJ</w:t>
            </w:r>
            <w:r>
              <w:rPr>
                <w:rFonts w:hint="eastAsia" w:ascii="Times New Roman" w:hAnsi="Times New Roman" w:eastAsia="宋体" w:cs="Times New Roman"/>
                <w:color w:val="auto"/>
                <w:lang w:val="en-US" w:eastAsia="zh-CN"/>
              </w:rPr>
              <w:t xml:space="preserve"> </w:t>
            </w:r>
            <w:r>
              <w:rPr>
                <w:rFonts w:hint="default" w:ascii="Times New Roman" w:hAnsi="Times New Roman" w:eastAsia="Times New Roman" w:cs="Times New Roman"/>
                <w:color w:val="auto"/>
              </w:rPr>
              <w:t>2.2-2018</w:t>
            </w:r>
            <w:r>
              <w:rPr>
                <w:rFonts w:hint="default" w:ascii="Times New Roman" w:hAnsi="Times New Roman" w:cs="Times New Roman"/>
                <w:color w:val="auto"/>
                <w:spacing w:val="3"/>
              </w:rPr>
              <w:t>），</w:t>
            </w:r>
            <w:r>
              <w:rPr>
                <w:rFonts w:hint="default" w:ascii="Times New Roman" w:hAnsi="Times New Roman" w:cs="Times New Roman"/>
                <w:color w:val="auto"/>
                <w:spacing w:val="-1"/>
              </w:rPr>
              <w:t>确定大气环境评价工作等级为三级，考虑到施工机械、施工车辆大气污染范围控制在周边</w:t>
            </w:r>
            <w:r>
              <w:rPr>
                <w:rFonts w:hint="default" w:ascii="Times New Roman" w:hAnsi="Times New Roman" w:eastAsia="Times New Roman" w:cs="Times New Roman"/>
                <w:color w:val="auto"/>
                <w:spacing w:val="-1"/>
              </w:rPr>
              <w:t>200m</w:t>
            </w:r>
            <w:r>
              <w:rPr>
                <w:rFonts w:hint="default" w:ascii="Times New Roman" w:hAnsi="Times New Roman" w:cs="Times New Roman"/>
                <w:color w:val="auto"/>
                <w:spacing w:val="-1"/>
              </w:rPr>
              <w:t>范围内，故大气</w:t>
            </w:r>
            <w:r>
              <w:rPr>
                <w:rFonts w:hint="default" w:ascii="Times New Roman" w:hAnsi="Times New Roman" w:cs="Times New Roman"/>
                <w:color w:val="auto"/>
                <w:spacing w:val="-2"/>
              </w:rPr>
              <w:t>环境影响评价范围为施工区域周边</w:t>
            </w:r>
            <w:r>
              <w:rPr>
                <w:rFonts w:hint="default" w:ascii="Times New Roman" w:hAnsi="Times New Roman" w:eastAsia="Times New Roman" w:cs="Times New Roman"/>
                <w:color w:val="auto"/>
                <w:spacing w:val="-2"/>
              </w:rPr>
              <w:t>200m</w:t>
            </w:r>
            <w:r>
              <w:rPr>
                <w:rFonts w:hint="default" w:ascii="Times New Roman" w:hAnsi="Times New Roman" w:eastAsia="宋体" w:cs="Times New Roman"/>
                <w:color w:val="auto"/>
                <w:spacing w:val="-29"/>
                <w:lang w:eastAsia="zh-CN"/>
              </w:rPr>
              <w:t>。</w:t>
            </w:r>
            <w:r>
              <w:rPr>
                <w:rFonts w:hint="eastAsia" w:ascii="Times New Roman" w:hAnsi="Times New Roman" w:cs="Times New Roman"/>
                <w:color w:val="auto"/>
                <w:spacing w:val="-2"/>
                <w:lang w:val="en-US" w:eastAsia="zh-CN"/>
              </w:rPr>
              <w:t>大气环境保护目标具体</w:t>
            </w:r>
            <w:r>
              <w:rPr>
                <w:rFonts w:hint="default" w:ascii="Times New Roman" w:hAnsi="Times New Roman" w:cs="Times New Roman"/>
                <w:color w:val="auto"/>
                <w:spacing w:val="-2"/>
              </w:rPr>
              <w:t>见表</w:t>
            </w:r>
            <w:r>
              <w:rPr>
                <w:rFonts w:hint="default" w:ascii="Times New Roman" w:hAnsi="Times New Roman" w:cs="Times New Roman"/>
                <w:color w:val="auto"/>
                <w:spacing w:val="-2"/>
                <w:lang w:val="en-US" w:eastAsia="zh-CN"/>
              </w:rPr>
              <w:t>3-</w:t>
            </w:r>
            <w:r>
              <w:rPr>
                <w:rFonts w:hint="eastAsia" w:ascii="Times New Roman" w:hAnsi="Times New Roman" w:cs="Times New Roman"/>
                <w:color w:val="auto"/>
                <w:spacing w:val="-2"/>
                <w:lang w:val="en-US" w:eastAsia="zh-CN"/>
              </w:rPr>
              <w:t>12</w:t>
            </w:r>
            <w:r>
              <w:rPr>
                <w:rFonts w:hint="default" w:ascii="Times New Roman" w:hAnsi="Times New Roman" w:cs="Times New Roman"/>
                <w:color w:val="auto"/>
                <w:spacing w:val="-2"/>
              </w:rPr>
              <w:t>。</w:t>
            </w:r>
          </w:p>
          <w:p w14:paraId="251B0A1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color w:val="auto"/>
              </w:rPr>
            </w:pPr>
            <w:r>
              <w:rPr>
                <w:rFonts w:ascii="Times New Roman" w:hAnsi="Times New Roman" w:eastAsia="Times New Roman" w:cs="Times New Roman"/>
                <w:b/>
                <w:bCs/>
                <w:color w:val="auto"/>
                <w:spacing w:val="-7"/>
              </w:rPr>
              <w:t>2</w:t>
            </w:r>
            <w:r>
              <w:rPr>
                <w:rFonts w:ascii="Times New Roman" w:hAnsi="Times New Roman" w:eastAsia="Times New Roman" w:cs="Times New Roman"/>
                <w:b/>
                <w:bCs/>
                <w:color w:val="auto"/>
                <w:spacing w:val="8"/>
              </w:rPr>
              <w:t xml:space="preserve"> </w:t>
            </w:r>
            <w:r>
              <w:rPr>
                <w:b/>
                <w:bCs/>
                <w:color w:val="auto"/>
                <w:spacing w:val="-7"/>
              </w:rPr>
              <w:t>声环境</w:t>
            </w:r>
          </w:p>
          <w:p w14:paraId="211C22C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color w:val="auto"/>
              </w:rPr>
            </w:pPr>
            <w:r>
              <w:rPr>
                <w:color w:val="auto"/>
                <w:spacing w:val="-1"/>
              </w:rPr>
              <w:t>根据《环境影响评价技术导则</w:t>
            </w:r>
            <w:r>
              <w:rPr>
                <w:rFonts w:hint="eastAsia"/>
                <w:color w:val="auto"/>
                <w:spacing w:val="-1"/>
                <w:lang w:val="en-US" w:eastAsia="zh-CN"/>
              </w:rPr>
              <w:t xml:space="preserve"> </w:t>
            </w:r>
            <w:r>
              <w:rPr>
                <w:color w:val="auto"/>
                <w:spacing w:val="-1"/>
              </w:rPr>
              <w:t>声环境》（</w:t>
            </w:r>
            <w:r>
              <w:rPr>
                <w:rFonts w:ascii="Times New Roman" w:hAnsi="Times New Roman" w:eastAsia="Times New Roman" w:cs="Times New Roman"/>
                <w:color w:val="auto"/>
                <w:spacing w:val="-1"/>
              </w:rPr>
              <w:t>HJ</w:t>
            </w:r>
            <w:r>
              <w:rPr>
                <w:rFonts w:hint="eastAsia" w:ascii="Times New Roman" w:hAnsi="Times New Roman" w:eastAsia="宋体" w:cs="Times New Roman"/>
                <w:color w:val="auto"/>
                <w:spacing w:val="-1"/>
                <w:lang w:val="en-US" w:eastAsia="zh-CN"/>
              </w:rPr>
              <w:t xml:space="preserve"> </w:t>
            </w:r>
            <w:r>
              <w:rPr>
                <w:rFonts w:ascii="Times New Roman" w:hAnsi="Times New Roman" w:eastAsia="Times New Roman" w:cs="Times New Roman"/>
                <w:color w:val="auto"/>
                <w:spacing w:val="-1"/>
              </w:rPr>
              <w:t>2.4-2021</w:t>
            </w:r>
            <w:r>
              <w:rPr>
                <w:color w:val="auto"/>
                <w:spacing w:val="11"/>
              </w:rPr>
              <w:t>），</w:t>
            </w:r>
            <w:r>
              <w:rPr>
                <w:color w:val="auto"/>
                <w:spacing w:val="-1"/>
              </w:rPr>
              <w:t>项目所在区域</w:t>
            </w:r>
            <w:r>
              <w:rPr>
                <w:color w:val="auto"/>
                <w:spacing w:val="-3"/>
              </w:rPr>
              <w:t>声环境功能区为</w:t>
            </w:r>
            <w:r>
              <w:rPr>
                <w:rFonts w:ascii="Times New Roman" w:hAnsi="Times New Roman" w:eastAsia="Times New Roman" w:cs="Times New Roman"/>
                <w:color w:val="auto"/>
                <w:spacing w:val="-3"/>
              </w:rPr>
              <w:t>2</w:t>
            </w:r>
            <w:r>
              <w:rPr>
                <w:color w:val="auto"/>
                <w:spacing w:val="-3"/>
              </w:rPr>
              <w:t>类，评价等级确定为二级评价，确定本次声环境影响评价</w:t>
            </w:r>
            <w:r>
              <w:rPr>
                <w:color w:val="auto"/>
              </w:rPr>
              <w:t xml:space="preserve"> </w:t>
            </w:r>
            <w:r>
              <w:rPr>
                <w:color w:val="auto"/>
                <w:spacing w:val="-1"/>
              </w:rPr>
              <w:t>范围为占地范围外</w:t>
            </w:r>
            <w:r>
              <w:rPr>
                <w:rFonts w:ascii="Times New Roman" w:hAnsi="Times New Roman" w:eastAsia="Times New Roman" w:cs="Times New Roman"/>
                <w:color w:val="auto"/>
                <w:spacing w:val="-1"/>
              </w:rPr>
              <w:t>200m</w:t>
            </w:r>
            <w:r>
              <w:rPr>
                <w:color w:val="auto"/>
                <w:spacing w:val="-1"/>
              </w:rPr>
              <w:t>范围内区域，</w:t>
            </w:r>
            <w:r>
              <w:rPr>
                <w:rFonts w:hint="eastAsia" w:ascii="Times New Roman" w:hAnsi="Times New Roman" w:cs="Times New Roman"/>
                <w:color w:val="auto"/>
                <w:spacing w:val="-2"/>
                <w:lang w:val="en-US" w:eastAsia="zh-CN"/>
              </w:rPr>
              <w:t>声环境保护目标具体</w:t>
            </w:r>
            <w:r>
              <w:rPr>
                <w:rFonts w:hint="default" w:ascii="Times New Roman" w:hAnsi="Times New Roman" w:cs="Times New Roman"/>
                <w:color w:val="auto"/>
                <w:spacing w:val="-2"/>
              </w:rPr>
              <w:t>见表</w:t>
            </w:r>
            <w:r>
              <w:rPr>
                <w:rFonts w:hint="default" w:ascii="Times New Roman" w:hAnsi="Times New Roman" w:cs="Times New Roman"/>
                <w:color w:val="auto"/>
                <w:spacing w:val="-2"/>
                <w:lang w:val="en-US" w:eastAsia="zh-CN"/>
              </w:rPr>
              <w:t>3-</w:t>
            </w:r>
            <w:r>
              <w:rPr>
                <w:rFonts w:hint="eastAsia" w:ascii="Times New Roman" w:hAnsi="Times New Roman" w:cs="Times New Roman"/>
                <w:color w:val="auto"/>
                <w:spacing w:val="-2"/>
                <w:lang w:val="en-US" w:eastAsia="zh-CN"/>
              </w:rPr>
              <w:t>12。</w:t>
            </w:r>
          </w:p>
          <w:p w14:paraId="74030BC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rPr>
            </w:pPr>
            <w:r>
              <w:rPr>
                <w:rFonts w:hint="default" w:ascii="Times New Roman" w:hAnsi="Times New Roman" w:eastAsia="Times New Roman" w:cs="Times New Roman"/>
                <w:b/>
                <w:bCs/>
                <w:color w:val="auto"/>
                <w:spacing w:val="-2"/>
              </w:rPr>
              <w:t xml:space="preserve">3 </w:t>
            </w:r>
            <w:r>
              <w:rPr>
                <w:rFonts w:hint="default" w:ascii="Times New Roman" w:hAnsi="Times New Roman" w:cs="Times New Roman"/>
                <w:b/>
                <w:bCs/>
                <w:color w:val="auto"/>
                <w:spacing w:val="-2"/>
              </w:rPr>
              <w:t>地表水环境</w:t>
            </w:r>
          </w:p>
          <w:p w14:paraId="3219491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cs="Times New Roman"/>
                <w:color w:val="auto"/>
              </w:rPr>
            </w:pPr>
            <w:r>
              <w:rPr>
                <w:rFonts w:hint="default" w:ascii="Times New Roman" w:hAnsi="Times New Roman" w:cs="Times New Roman"/>
                <w:color w:val="auto"/>
                <w:spacing w:val="-3"/>
              </w:rPr>
              <w:t>根据项目特点，项目属于水文要素影响型建设项目，本项目施工期工程</w:t>
            </w:r>
            <w:r>
              <w:rPr>
                <w:rFonts w:hint="default" w:ascii="Times New Roman" w:hAnsi="Times New Roman" w:cs="Times New Roman"/>
                <w:color w:val="auto"/>
                <w:spacing w:val="-2"/>
              </w:rPr>
              <w:t>扰动地表水水底面</w:t>
            </w:r>
            <w:r>
              <w:rPr>
                <w:rFonts w:hint="default" w:ascii="Times New Roman" w:hAnsi="Times New Roman" w:cs="Times New Roman"/>
                <w:color w:val="auto"/>
                <w:spacing w:val="-2"/>
                <w:highlight w:val="none"/>
              </w:rPr>
              <w:t>积约为</w:t>
            </w:r>
            <w:r>
              <w:rPr>
                <w:rFonts w:hint="default" w:ascii="Times New Roman" w:hAnsi="Times New Roman" w:eastAsia="Times New Roman" w:cs="Times New Roman"/>
                <w:color w:val="auto"/>
                <w:spacing w:val="-2"/>
                <w:highlight w:val="none"/>
              </w:rPr>
              <w:t>0.</w:t>
            </w:r>
            <w:r>
              <w:rPr>
                <w:rFonts w:hint="eastAsia" w:ascii="Times New Roman" w:hAnsi="Times New Roman" w:eastAsia="宋体" w:cs="Times New Roman"/>
                <w:color w:val="auto"/>
                <w:spacing w:val="-2"/>
                <w:highlight w:val="none"/>
                <w:lang w:val="en-US" w:eastAsia="zh-CN"/>
              </w:rPr>
              <w:t>13</w:t>
            </w:r>
            <w:r>
              <w:rPr>
                <w:rFonts w:hint="default" w:ascii="Times New Roman" w:hAnsi="Times New Roman" w:eastAsia="Times New Roman" w:cs="Times New Roman"/>
                <w:color w:val="auto"/>
                <w:spacing w:val="-2"/>
                <w:highlight w:val="none"/>
              </w:rPr>
              <w:t>km</w:t>
            </w:r>
            <w:r>
              <w:rPr>
                <w:rFonts w:hint="default" w:ascii="Times New Roman" w:hAnsi="Times New Roman" w:eastAsia="Times New Roman" w:cs="Times New Roman"/>
                <w:color w:val="auto"/>
                <w:spacing w:val="-2"/>
                <w:position w:val="7"/>
                <w:sz w:val="15"/>
                <w:szCs w:val="15"/>
                <w:highlight w:val="none"/>
              </w:rPr>
              <w:t>2</w:t>
            </w: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0.</w:t>
            </w:r>
            <w:r>
              <w:rPr>
                <w:rFonts w:hint="eastAsia" w:ascii="Times New Roman" w:hAnsi="Times New Roman" w:eastAsia="宋体" w:cs="Times New Roman"/>
                <w:color w:val="auto"/>
                <w:spacing w:val="-2"/>
                <w:highlight w:val="none"/>
                <w:lang w:val="en-US" w:eastAsia="zh-CN"/>
              </w:rPr>
              <w:t>13</w:t>
            </w:r>
            <w:r>
              <w:rPr>
                <w:rFonts w:hint="default" w:ascii="Times New Roman" w:hAnsi="Times New Roman" w:eastAsia="Times New Roman" w:cs="Times New Roman"/>
                <w:color w:val="auto"/>
                <w:spacing w:val="-2"/>
                <w:highlight w:val="none"/>
              </w:rPr>
              <w:t>km</w:t>
            </w:r>
            <w:r>
              <w:rPr>
                <w:rFonts w:hint="default" w:ascii="Times New Roman" w:hAnsi="Times New Roman" w:eastAsia="Times New Roman" w:cs="Times New Roman"/>
                <w:color w:val="auto"/>
                <w:spacing w:val="-2"/>
                <w:position w:val="7"/>
                <w:sz w:val="15"/>
                <w:szCs w:val="15"/>
                <w:highlight w:val="none"/>
              </w:rPr>
              <w:t>2</w:t>
            </w:r>
            <w:r>
              <w:rPr>
                <w:rFonts w:hint="default" w:ascii="Times New Roman" w:hAnsi="Times New Roman" w:eastAsia="Times New Roman" w:cs="Times New Roman"/>
                <w:color w:val="auto"/>
                <w:spacing w:val="-2"/>
                <w:highlight w:val="none"/>
              </w:rPr>
              <w:t>&lt;0.2</w:t>
            </w:r>
            <w:r>
              <w:rPr>
                <w:rFonts w:hint="default" w:ascii="Times New Roman" w:hAnsi="Times New Roman" w:eastAsia="Times New Roman" w:cs="Times New Roman"/>
                <w:color w:val="auto"/>
                <w:spacing w:val="-2"/>
              </w:rPr>
              <w:t>km</w:t>
            </w:r>
            <w:r>
              <w:rPr>
                <w:rFonts w:hint="default" w:ascii="Times New Roman" w:hAnsi="Times New Roman" w:eastAsia="Times New Roman" w:cs="Times New Roman"/>
                <w:color w:val="auto"/>
                <w:spacing w:val="-2"/>
                <w:position w:val="7"/>
                <w:sz w:val="15"/>
                <w:szCs w:val="15"/>
              </w:rPr>
              <w:t>2</w:t>
            </w:r>
            <w:r>
              <w:rPr>
                <w:rFonts w:hint="default" w:ascii="Times New Roman" w:hAnsi="Times New Roman" w:cs="Times New Roman"/>
                <w:color w:val="auto"/>
                <w:spacing w:val="-2"/>
              </w:rPr>
              <w:t>，本次环评水文要素</w:t>
            </w:r>
            <w:r>
              <w:rPr>
                <w:rFonts w:hint="default" w:ascii="Times New Roman" w:hAnsi="Times New Roman" w:cs="Times New Roman"/>
                <w:color w:val="auto"/>
                <w:spacing w:val="-1"/>
              </w:rPr>
              <w:t>影响型评价等级为三级。</w:t>
            </w:r>
          </w:p>
          <w:p w14:paraId="7FE32EC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cs="Times New Roman"/>
                <w:color w:val="auto"/>
                <w:spacing w:val="-1"/>
              </w:rPr>
            </w:pPr>
            <w:r>
              <w:rPr>
                <w:rFonts w:hint="default" w:ascii="Times New Roman" w:hAnsi="Times New Roman" w:cs="Times New Roman"/>
                <w:color w:val="auto"/>
                <w:spacing w:val="-1"/>
              </w:rPr>
              <w:t>本项目主要进行</w:t>
            </w:r>
            <w:r>
              <w:rPr>
                <w:rFonts w:hint="default" w:ascii="Times New Roman" w:hAnsi="Times New Roman" w:cs="Times New Roman"/>
                <w:color w:val="auto"/>
                <w:spacing w:val="-1"/>
                <w:lang w:val="en-US" w:eastAsia="zh-CN"/>
              </w:rPr>
              <w:t>河道</w:t>
            </w:r>
            <w:r>
              <w:rPr>
                <w:rFonts w:hint="eastAsia" w:ascii="Times New Roman" w:hAnsi="Times New Roman" w:cs="Times New Roman"/>
                <w:color w:val="auto"/>
                <w:spacing w:val="-1"/>
                <w:lang w:val="en-US" w:eastAsia="zh-CN"/>
              </w:rPr>
              <w:t>、生态沟渠和排洪渠的</w:t>
            </w:r>
            <w:r>
              <w:rPr>
                <w:rFonts w:hint="default" w:ascii="Times New Roman" w:hAnsi="Times New Roman" w:cs="Times New Roman"/>
                <w:color w:val="auto"/>
                <w:spacing w:val="-1"/>
                <w:lang w:val="en-US" w:eastAsia="zh-CN"/>
              </w:rPr>
              <w:t>生境构建工程、生态护坡工程、基底修复工程等</w:t>
            </w:r>
            <w:r>
              <w:rPr>
                <w:rFonts w:hint="default" w:ascii="Times New Roman" w:hAnsi="Times New Roman" w:cs="Times New Roman"/>
                <w:color w:val="auto"/>
                <w:spacing w:val="-1"/>
              </w:rPr>
              <w:t>，改善河道</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沟道及排洪渠</w:t>
            </w:r>
            <w:r>
              <w:rPr>
                <w:rFonts w:hint="default" w:ascii="Times New Roman" w:hAnsi="Times New Roman" w:cs="Times New Roman"/>
                <w:color w:val="auto"/>
                <w:spacing w:val="-1"/>
              </w:rPr>
              <w:t>生态环境，对天然水体性状及下游增减水影响不大，本次地表水环境影响评价范围为</w:t>
            </w:r>
            <w:r>
              <w:rPr>
                <w:rFonts w:hint="default" w:ascii="Times New Roman" w:hAnsi="Times New Roman" w:cs="Times New Roman"/>
                <w:color w:val="auto"/>
                <w:spacing w:val="-1"/>
                <w:lang w:val="en-US" w:eastAsia="zh-CN"/>
              </w:rPr>
              <w:t>工程建设与修复</w:t>
            </w:r>
            <w:r>
              <w:rPr>
                <w:rFonts w:hint="default" w:ascii="Times New Roman" w:hAnsi="Times New Roman" w:cs="Times New Roman"/>
                <w:color w:val="auto"/>
                <w:spacing w:val="-1"/>
              </w:rPr>
              <w:t>涉及河道及下游500m区域。</w:t>
            </w:r>
            <w:r>
              <w:rPr>
                <w:rFonts w:hint="eastAsia" w:ascii="Times New Roman" w:hAnsi="Times New Roman" w:cs="Times New Roman"/>
                <w:color w:val="auto"/>
                <w:spacing w:val="-1"/>
                <w:lang w:val="en-US" w:eastAsia="zh-CN"/>
              </w:rPr>
              <w:t>水</w:t>
            </w:r>
            <w:r>
              <w:rPr>
                <w:rFonts w:hint="eastAsia" w:ascii="Times New Roman" w:hAnsi="Times New Roman" w:cs="Times New Roman"/>
                <w:color w:val="auto"/>
                <w:spacing w:val="-2"/>
                <w:lang w:val="en-US" w:eastAsia="zh-CN"/>
              </w:rPr>
              <w:t>环境保护目标具体</w:t>
            </w:r>
            <w:r>
              <w:rPr>
                <w:rFonts w:hint="default" w:ascii="Times New Roman" w:hAnsi="Times New Roman" w:cs="Times New Roman"/>
                <w:color w:val="auto"/>
                <w:spacing w:val="-2"/>
              </w:rPr>
              <w:t>见表</w:t>
            </w:r>
            <w:r>
              <w:rPr>
                <w:rFonts w:hint="default" w:ascii="Times New Roman" w:hAnsi="Times New Roman" w:cs="Times New Roman"/>
                <w:color w:val="auto"/>
                <w:spacing w:val="-2"/>
                <w:lang w:val="en-US" w:eastAsia="zh-CN"/>
              </w:rPr>
              <w:t>3-</w:t>
            </w:r>
            <w:r>
              <w:rPr>
                <w:rFonts w:hint="eastAsia" w:ascii="Times New Roman" w:hAnsi="Times New Roman" w:cs="Times New Roman"/>
                <w:color w:val="auto"/>
                <w:spacing w:val="-2"/>
                <w:lang w:val="en-US" w:eastAsia="zh-CN"/>
              </w:rPr>
              <w:t>12。</w:t>
            </w:r>
          </w:p>
          <w:p w14:paraId="75B196C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rPr>
            </w:pPr>
            <w:r>
              <w:rPr>
                <w:rFonts w:hint="default" w:ascii="Times New Roman" w:hAnsi="Times New Roman" w:eastAsia="Times New Roman" w:cs="Times New Roman"/>
                <w:b/>
                <w:bCs/>
                <w:color w:val="auto"/>
                <w:spacing w:val="-2"/>
              </w:rPr>
              <w:t>4 地下水环境</w:t>
            </w:r>
          </w:p>
          <w:p w14:paraId="65A3A85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cs="Times New Roman"/>
                <w:color w:val="auto"/>
                <w:spacing w:val="-3"/>
              </w:rPr>
            </w:pPr>
            <w:r>
              <w:rPr>
                <w:rFonts w:hint="default" w:ascii="Times New Roman" w:hAnsi="Times New Roman" w:cs="Times New Roman"/>
                <w:color w:val="auto"/>
                <w:spacing w:val="-3"/>
              </w:rPr>
              <w:t>根据《环境影响评价技术导则 地下水环境》（HJ610-2016）附录A，本项目为Ⅳ类项目，Ⅳ类项目不开展地下水环境影响评价。</w:t>
            </w:r>
          </w:p>
          <w:p w14:paraId="5B9DE3C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Times New Roman" w:cs="Times New Roman"/>
                <w:b/>
                <w:bCs/>
                <w:color w:val="auto"/>
                <w:spacing w:val="-2"/>
              </w:rPr>
            </w:pPr>
            <w:r>
              <w:rPr>
                <w:rFonts w:hint="default" w:ascii="Times New Roman" w:hAnsi="Times New Roman" w:eastAsia="Times New Roman" w:cs="Times New Roman"/>
                <w:b/>
                <w:bCs/>
                <w:color w:val="auto"/>
                <w:spacing w:val="-2"/>
                <w:lang w:val="en-US" w:eastAsia="zh-CN"/>
              </w:rPr>
              <w:t xml:space="preserve">5 </w:t>
            </w:r>
            <w:r>
              <w:rPr>
                <w:rFonts w:hint="default" w:ascii="Times New Roman" w:hAnsi="Times New Roman" w:eastAsia="Times New Roman" w:cs="Times New Roman"/>
                <w:b/>
                <w:bCs/>
                <w:color w:val="auto"/>
                <w:spacing w:val="-2"/>
              </w:rPr>
              <w:t>生态环境</w:t>
            </w:r>
          </w:p>
          <w:p w14:paraId="4CEC9BF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spacing w:val="-2"/>
              </w:rPr>
              <w:t>根据《环境影响评价技术导则 生态影响》（</w:t>
            </w:r>
            <w:r>
              <w:rPr>
                <w:rFonts w:hint="default" w:ascii="Times New Roman" w:hAnsi="Times New Roman" w:eastAsia="Times New Roman" w:cs="Times New Roman"/>
                <w:color w:val="auto"/>
                <w:spacing w:val="-2"/>
              </w:rPr>
              <w:t>HJ19-2022</w:t>
            </w:r>
            <w:r>
              <w:rPr>
                <w:rFonts w:hint="default" w:ascii="Times New Roman" w:hAnsi="Times New Roman" w:cs="Times New Roman"/>
                <w:color w:val="auto"/>
                <w:spacing w:val="-1"/>
              </w:rPr>
              <w:t>），</w:t>
            </w:r>
            <w:r>
              <w:rPr>
                <w:rFonts w:hint="default" w:ascii="Times New Roman" w:hAnsi="Times New Roman" w:cs="Times New Roman"/>
                <w:color w:val="auto"/>
                <w:spacing w:val="-2"/>
              </w:rPr>
              <w:t>本项目所在</w:t>
            </w:r>
            <w:r>
              <w:rPr>
                <w:rFonts w:hint="default" w:ascii="Times New Roman" w:hAnsi="Times New Roman" w:cs="Times New Roman"/>
                <w:color w:val="auto"/>
                <w:spacing w:val="-1"/>
              </w:rPr>
              <w:t>区域为不涉及自然保护区、生态红线等环境敏感区，按照生态导则</w:t>
            </w:r>
            <w:r>
              <w:rPr>
                <w:rFonts w:hint="default" w:ascii="Times New Roman" w:hAnsi="Times New Roman" w:eastAsia="Times New Roman" w:cs="Times New Roman"/>
                <w:color w:val="auto"/>
                <w:spacing w:val="-1"/>
              </w:rPr>
              <w:t>6.</w:t>
            </w:r>
            <w:r>
              <w:rPr>
                <w:rFonts w:hint="default" w:ascii="Times New Roman" w:hAnsi="Times New Roman" w:eastAsia="Times New Roman" w:cs="Times New Roman"/>
                <w:color w:val="auto"/>
                <w:spacing w:val="-2"/>
              </w:rPr>
              <w:t>1.2</w:t>
            </w:r>
            <w:r>
              <w:rPr>
                <w:rFonts w:hint="default" w:ascii="Times New Roman" w:hAnsi="Times New Roman" w:cs="Times New Roman"/>
                <w:color w:val="auto"/>
                <w:spacing w:val="-2"/>
              </w:rPr>
              <w:t>，</w:t>
            </w:r>
            <w:r>
              <w:rPr>
                <w:rFonts w:hint="default" w:ascii="Times New Roman" w:hAnsi="Times New Roman" w:cs="Times New Roman"/>
                <w:color w:val="auto"/>
                <w:spacing w:val="-3"/>
              </w:rPr>
              <w:t>本项目生态评价等级为三级。综合考虑工程影响区域生态完整性，工程生态</w:t>
            </w:r>
            <w:r>
              <w:rPr>
                <w:rFonts w:hint="default" w:ascii="Times New Roman" w:hAnsi="Times New Roman" w:cs="Times New Roman"/>
                <w:color w:val="auto"/>
                <w:spacing w:val="-2"/>
              </w:rPr>
              <w:t>评价范围为项目施工区域及其范围外</w:t>
            </w:r>
            <w:r>
              <w:rPr>
                <w:rFonts w:hint="eastAsia" w:ascii="Times New Roman" w:hAnsi="Times New Roman" w:cs="Times New Roman"/>
                <w:color w:val="auto"/>
                <w:spacing w:val="-2"/>
                <w:lang w:val="en-US" w:eastAsia="zh-CN"/>
              </w:rPr>
              <w:t>3</w:t>
            </w:r>
            <w:r>
              <w:rPr>
                <w:rFonts w:hint="default" w:ascii="Times New Roman" w:hAnsi="Times New Roman" w:eastAsia="Times New Roman" w:cs="Times New Roman"/>
                <w:color w:val="auto"/>
                <w:spacing w:val="-2"/>
              </w:rPr>
              <w:t>00m</w:t>
            </w:r>
            <w:r>
              <w:rPr>
                <w:rFonts w:hint="default" w:ascii="Times New Roman" w:hAnsi="Times New Roman" w:cs="Times New Roman"/>
                <w:color w:val="auto"/>
                <w:spacing w:val="-2"/>
              </w:rPr>
              <w:t>范围。</w:t>
            </w:r>
          </w:p>
          <w:p w14:paraId="535CD8A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cs="Times New Roman"/>
                <w:color w:val="auto"/>
                <w:spacing w:val="-3"/>
                <w:highlight w:val="none"/>
                <w:lang w:val="en-US" w:eastAsia="zh-CN"/>
              </w:rPr>
            </w:pPr>
            <w:r>
              <w:rPr>
                <w:rFonts w:hint="default" w:ascii="Times New Roman" w:hAnsi="Times New Roman" w:cs="Times New Roman"/>
                <w:color w:val="auto"/>
                <w:spacing w:val="-1"/>
                <w:highlight w:val="none"/>
              </w:rPr>
              <w:t>本项目主要环境保护目标</w:t>
            </w:r>
            <w:r>
              <w:rPr>
                <w:rFonts w:hint="eastAsia" w:ascii="Times New Roman" w:hAnsi="Times New Roman" w:cs="Times New Roman"/>
                <w:color w:val="auto"/>
                <w:spacing w:val="-1"/>
                <w:highlight w:val="none"/>
                <w:lang w:val="en-US" w:eastAsia="zh-CN"/>
              </w:rPr>
              <w:t>见</w:t>
            </w:r>
            <w:r>
              <w:rPr>
                <w:rFonts w:hint="default" w:ascii="Times New Roman" w:hAnsi="Times New Roman" w:cs="Times New Roman"/>
                <w:color w:val="auto"/>
                <w:spacing w:val="-1"/>
                <w:highlight w:val="none"/>
              </w:rPr>
              <w:t>表</w:t>
            </w:r>
            <w:r>
              <w:rPr>
                <w:rFonts w:hint="eastAsia" w:ascii="Times New Roman" w:hAnsi="Times New Roman" w:cs="Times New Roman"/>
                <w:color w:val="auto"/>
                <w:spacing w:val="-1"/>
                <w:highlight w:val="none"/>
                <w:lang w:val="en-US" w:eastAsia="zh-CN"/>
              </w:rPr>
              <w:t>3-12</w:t>
            </w:r>
            <w:r>
              <w:rPr>
                <w:rFonts w:hint="default" w:ascii="Times New Roman" w:hAnsi="Times New Roman" w:cs="Times New Roman"/>
                <w:color w:val="auto"/>
                <w:spacing w:val="-1"/>
                <w:highlight w:val="none"/>
              </w:rPr>
              <w:t>。环境保护目标</w:t>
            </w:r>
            <w:r>
              <w:rPr>
                <w:rFonts w:hint="default" w:ascii="Times New Roman" w:hAnsi="Times New Roman" w:cs="Times New Roman"/>
                <w:color w:val="auto"/>
                <w:spacing w:val="-2"/>
                <w:highlight w:val="none"/>
              </w:rPr>
              <w:t>分布图见附图</w:t>
            </w:r>
            <w:r>
              <w:rPr>
                <w:rFonts w:hint="eastAsia" w:ascii="Times New Roman" w:hAnsi="Times New Roman" w:eastAsia="宋体" w:cs="Times New Roman"/>
                <w:color w:val="auto"/>
                <w:spacing w:val="-2"/>
                <w:highlight w:val="none"/>
                <w:lang w:val="en-US" w:eastAsia="zh-CN"/>
              </w:rPr>
              <w:t>1</w:t>
            </w:r>
            <w:r>
              <w:rPr>
                <w:rFonts w:hint="eastAsia" w:ascii="Times New Roman" w:hAnsi="Times New Roman" w:cs="Times New Roman"/>
                <w:color w:val="auto"/>
                <w:spacing w:val="-2"/>
                <w:highlight w:val="none"/>
                <w:lang w:val="en-US" w:eastAsia="zh-CN"/>
              </w:rPr>
              <w:t>6</w:t>
            </w:r>
            <w:r>
              <w:rPr>
                <w:rFonts w:hint="default" w:ascii="Times New Roman" w:hAnsi="Times New Roman" w:cs="Times New Roman"/>
                <w:color w:val="auto"/>
                <w:spacing w:val="-2"/>
                <w:highlight w:val="none"/>
              </w:rPr>
              <w:t>。</w:t>
            </w:r>
          </w:p>
          <w:p w14:paraId="4BA8415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lang w:val="en-US" w:eastAsia="zh-CN"/>
              </w:rPr>
              <w:t>表3-</w:t>
            </w:r>
            <w:r>
              <w:rPr>
                <w:rFonts w:hint="eastAsia" w:ascii="Times New Roman" w:hAnsi="Times New Roman" w:cs="Times New Roman"/>
                <w:b/>
                <w:bCs/>
                <w:color w:val="auto"/>
                <w:spacing w:val="6"/>
                <w:sz w:val="21"/>
                <w:szCs w:val="21"/>
                <w:lang w:val="en-US" w:eastAsia="zh-CN"/>
              </w:rPr>
              <w:t>12</w:t>
            </w:r>
            <w:r>
              <w:rPr>
                <w:rFonts w:hint="default" w:ascii="Times New Roman" w:hAnsi="Times New Roman" w:cs="Times New Roman"/>
                <w:b/>
                <w:bCs/>
                <w:color w:val="auto"/>
                <w:spacing w:val="6"/>
                <w:sz w:val="21"/>
                <w:szCs w:val="21"/>
                <w:lang w:val="en-US" w:eastAsia="zh-CN"/>
              </w:rPr>
              <w:t xml:space="preserve">  </w:t>
            </w:r>
            <w:r>
              <w:rPr>
                <w:rFonts w:hint="default" w:ascii="Times New Roman" w:hAnsi="Times New Roman" w:cs="Times New Roman"/>
                <w:b/>
                <w:bCs/>
                <w:color w:val="auto"/>
                <w:spacing w:val="6"/>
                <w:sz w:val="21"/>
                <w:szCs w:val="21"/>
              </w:rPr>
              <w:t>项目主要环境保护目标一览表</w:t>
            </w:r>
          </w:p>
          <w:tbl>
            <w:tblPr>
              <w:tblStyle w:val="15"/>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5"/>
              <w:gridCol w:w="897"/>
              <w:gridCol w:w="1173"/>
              <w:gridCol w:w="1395"/>
              <w:gridCol w:w="1287"/>
              <w:gridCol w:w="2598"/>
            </w:tblGrid>
            <w:tr w14:paraId="200EA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0" w:hRule="atLeast"/>
                <w:tblHeader/>
                <w:jc w:val="center"/>
              </w:trPr>
              <w:tc>
                <w:tcPr>
                  <w:tcW w:w="357" w:type="pct"/>
                  <w:vMerge w:val="restart"/>
                  <w:noWrap w:val="0"/>
                  <w:vAlign w:val="center"/>
                </w:tcPr>
                <w:p w14:paraId="54E84CCF">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7449019B">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w:t>
                  </w:r>
                </w:p>
              </w:tc>
              <w:tc>
                <w:tcPr>
                  <w:tcW w:w="3001" w:type="pct"/>
                  <w:gridSpan w:val="4"/>
                  <w:noWrap w:val="0"/>
                  <w:vAlign w:val="center"/>
                </w:tcPr>
                <w:p w14:paraId="03DF146E">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环境保护目标</w:t>
                  </w:r>
                </w:p>
              </w:tc>
              <w:tc>
                <w:tcPr>
                  <w:tcW w:w="1641" w:type="pct"/>
                  <w:vMerge w:val="restart"/>
                  <w:noWrap w:val="0"/>
                  <w:vAlign w:val="center"/>
                </w:tcPr>
                <w:p w14:paraId="7124B874">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保护要求</w:t>
                  </w:r>
                </w:p>
              </w:tc>
            </w:tr>
            <w:tr w14:paraId="09B61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blHeader/>
                <w:jc w:val="center"/>
              </w:trPr>
              <w:tc>
                <w:tcPr>
                  <w:tcW w:w="357" w:type="pct"/>
                  <w:vMerge w:val="continue"/>
                  <w:noWrap w:val="0"/>
                  <w:vAlign w:val="center"/>
                </w:tcPr>
                <w:p w14:paraId="7CCE76C8">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239C83C6">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740" w:type="pct"/>
                  <w:noWrap w:val="0"/>
                  <w:vAlign w:val="center"/>
                </w:tcPr>
                <w:p w14:paraId="00699955">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w:t>
                  </w:r>
                </w:p>
              </w:tc>
              <w:tc>
                <w:tcPr>
                  <w:tcW w:w="881" w:type="pct"/>
                  <w:noWrap w:val="0"/>
                  <w:vAlign w:val="center"/>
                </w:tcPr>
                <w:p w14:paraId="5A4FAF42">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812" w:type="pct"/>
                  <w:noWrap w:val="0"/>
                  <w:vAlign w:val="center"/>
                </w:tcPr>
                <w:p w14:paraId="3A6D1EDB">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1641" w:type="pct"/>
                  <w:vMerge w:val="continue"/>
                  <w:noWrap w:val="0"/>
                  <w:vAlign w:val="center"/>
                </w:tcPr>
                <w:p w14:paraId="2FD6B05D">
                  <w:pPr>
                    <w:snapToGrid w:val="0"/>
                    <w:spacing w:line="240" w:lineRule="auto"/>
                    <w:ind w:firstLine="0" w:firstLineChars="0"/>
                    <w:jc w:val="center"/>
                    <w:rPr>
                      <w:rFonts w:hint="default" w:ascii="Times New Roman" w:hAnsi="Times New Roman" w:eastAsia="宋体" w:cs="Times New Roman"/>
                      <w:b/>
                      <w:color w:val="auto"/>
                      <w:sz w:val="21"/>
                      <w:szCs w:val="21"/>
                    </w:rPr>
                  </w:pPr>
                </w:p>
              </w:tc>
            </w:tr>
            <w:tr w14:paraId="3051D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357" w:type="pct"/>
                  <w:vMerge w:val="restart"/>
                  <w:noWrap w:val="0"/>
                  <w:vAlign w:val="center"/>
                </w:tcPr>
                <w:p w14:paraId="04A565D7">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大气</w:t>
                  </w:r>
                </w:p>
              </w:tc>
              <w:tc>
                <w:tcPr>
                  <w:tcW w:w="566" w:type="pct"/>
                  <w:noWrap w:val="0"/>
                  <w:vAlign w:val="center"/>
                </w:tcPr>
                <w:p w14:paraId="22133F28">
                  <w:pPr>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平凉庄</w:t>
                  </w:r>
                  <w:r>
                    <w:rPr>
                      <w:rFonts w:hint="eastAsia" w:ascii="Times New Roman" w:hAnsi="Times New Roman" w:eastAsia="宋体" w:cs="Times New Roman"/>
                      <w:color w:val="auto"/>
                      <w:sz w:val="21"/>
                      <w:szCs w:val="21"/>
                      <w:lang w:val="en-US" w:eastAsia="zh-CN"/>
                    </w:rPr>
                    <w:t>村</w:t>
                  </w:r>
                </w:p>
              </w:tc>
              <w:tc>
                <w:tcPr>
                  <w:tcW w:w="740" w:type="pct"/>
                  <w:noWrap w:val="0"/>
                  <w:vAlign w:val="center"/>
                </w:tcPr>
                <w:p w14:paraId="1110EC0D">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村庄，85户</w:t>
                  </w:r>
                </w:p>
              </w:tc>
              <w:tc>
                <w:tcPr>
                  <w:tcW w:w="881" w:type="pct"/>
                  <w:noWrap w:val="0"/>
                  <w:vAlign w:val="center"/>
                </w:tcPr>
                <w:p w14:paraId="15361EA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106°24′</w:t>
                  </w:r>
                  <w:r>
                    <w:rPr>
                      <w:rFonts w:hint="eastAsia" w:ascii="Times New Roman" w:hAnsi="Times New Roman" w:eastAsia="宋体" w:cs="Times New Roman"/>
                      <w:color w:val="auto"/>
                      <w:sz w:val="21"/>
                      <w:szCs w:val="21"/>
                      <w:lang w:val="en-US" w:eastAsia="zh-CN"/>
                    </w:rPr>
                    <w:t>21.386</w:t>
                  </w:r>
                  <w:r>
                    <w:rPr>
                      <w:rFonts w:hint="default" w:ascii="Times New Roman" w:hAnsi="Times New Roman" w:eastAsia="宋体" w:cs="Times New Roman"/>
                      <w:color w:val="auto"/>
                      <w:sz w:val="21"/>
                      <w:szCs w:val="21"/>
                    </w:rPr>
                    <w:t>″</w:t>
                  </w:r>
                </w:p>
              </w:tc>
              <w:tc>
                <w:tcPr>
                  <w:tcW w:w="812" w:type="pct"/>
                  <w:noWrap w:val="0"/>
                  <w:vAlign w:val="center"/>
                </w:tcPr>
                <w:p w14:paraId="3561C6A0">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35°30′</w:t>
                  </w:r>
                  <w:r>
                    <w:rPr>
                      <w:rFonts w:hint="eastAsia" w:ascii="Times New Roman" w:hAnsi="Times New Roman" w:eastAsia="宋体" w:cs="Times New Roman"/>
                      <w:color w:val="auto"/>
                      <w:sz w:val="21"/>
                      <w:szCs w:val="21"/>
                      <w:lang w:val="en-US" w:eastAsia="zh-CN"/>
                    </w:rPr>
                    <w:t>16.354</w:t>
                  </w:r>
                  <w:r>
                    <w:rPr>
                      <w:rFonts w:hint="default" w:ascii="Times New Roman" w:hAnsi="Times New Roman" w:eastAsia="宋体" w:cs="Times New Roman"/>
                      <w:color w:val="auto"/>
                      <w:sz w:val="21"/>
                      <w:szCs w:val="21"/>
                    </w:rPr>
                    <w:t>″</w:t>
                  </w:r>
                </w:p>
              </w:tc>
              <w:tc>
                <w:tcPr>
                  <w:tcW w:w="1641" w:type="pct"/>
                  <w:vMerge w:val="restart"/>
                  <w:noWrap w:val="0"/>
                  <w:vAlign w:val="center"/>
                </w:tcPr>
                <w:p w14:paraId="49A254EF">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环境空气质量达到二类区要求</w:t>
                  </w:r>
                  <w:r>
                    <w:rPr>
                      <w:rFonts w:hint="default" w:ascii="Times New Roman" w:hAnsi="Times New Roman" w:eastAsia="宋体" w:cs="Times New Roman"/>
                      <w:color w:val="auto"/>
                      <w:sz w:val="21"/>
                      <w:szCs w:val="21"/>
                      <w:lang w:eastAsia="zh-CN"/>
                    </w:rPr>
                    <w:t>。</w:t>
                  </w:r>
                </w:p>
              </w:tc>
            </w:tr>
            <w:tr w14:paraId="647E3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0C1397D6">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0DC1CDF6">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羊槽村</w:t>
                  </w:r>
                </w:p>
              </w:tc>
              <w:tc>
                <w:tcPr>
                  <w:tcW w:w="740" w:type="pct"/>
                  <w:noWrap w:val="0"/>
                  <w:vAlign w:val="center"/>
                </w:tcPr>
                <w:p w14:paraId="6F9BAB8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村庄，200户</w:t>
                  </w:r>
                </w:p>
              </w:tc>
              <w:tc>
                <w:tcPr>
                  <w:tcW w:w="881" w:type="pct"/>
                  <w:noWrap w:val="0"/>
                  <w:vAlign w:val="center"/>
                </w:tcPr>
                <w:p w14:paraId="55596C5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106°25′</w:t>
                  </w:r>
                  <w:r>
                    <w:rPr>
                      <w:rFonts w:hint="eastAsia" w:ascii="Times New Roman" w:hAnsi="Times New Roman" w:eastAsia="宋体" w:cs="Times New Roman"/>
                      <w:color w:val="auto"/>
                      <w:sz w:val="21"/>
                      <w:szCs w:val="21"/>
                      <w:lang w:val="en-US" w:eastAsia="zh-CN"/>
                    </w:rPr>
                    <w:t>2.095</w:t>
                  </w:r>
                  <w:r>
                    <w:rPr>
                      <w:rFonts w:hint="default" w:ascii="Times New Roman" w:hAnsi="Times New Roman" w:eastAsia="宋体" w:cs="Times New Roman"/>
                      <w:color w:val="auto"/>
                      <w:sz w:val="21"/>
                      <w:szCs w:val="21"/>
                    </w:rPr>
                    <w:t>″</w:t>
                  </w:r>
                </w:p>
              </w:tc>
              <w:tc>
                <w:tcPr>
                  <w:tcW w:w="812" w:type="pct"/>
                  <w:noWrap w:val="0"/>
                  <w:vAlign w:val="center"/>
                </w:tcPr>
                <w:p w14:paraId="1608ABBD">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35°29′</w:t>
                  </w:r>
                  <w:r>
                    <w:rPr>
                      <w:rFonts w:hint="eastAsia" w:ascii="Times New Roman" w:hAnsi="Times New Roman" w:eastAsia="宋体" w:cs="Times New Roman"/>
                      <w:color w:val="auto"/>
                      <w:sz w:val="21"/>
                      <w:szCs w:val="21"/>
                      <w:lang w:val="en-US" w:eastAsia="zh-CN"/>
                    </w:rPr>
                    <w:t>28.872</w:t>
                  </w:r>
                  <w:r>
                    <w:rPr>
                      <w:rFonts w:hint="default" w:ascii="Times New Roman" w:hAnsi="Times New Roman" w:eastAsia="宋体" w:cs="Times New Roman"/>
                      <w:color w:val="auto"/>
                      <w:sz w:val="21"/>
                      <w:szCs w:val="21"/>
                    </w:rPr>
                    <w:t>″</w:t>
                  </w:r>
                </w:p>
              </w:tc>
              <w:tc>
                <w:tcPr>
                  <w:tcW w:w="1641" w:type="pct"/>
                  <w:vMerge w:val="continue"/>
                  <w:noWrap w:val="0"/>
                  <w:vAlign w:val="center"/>
                </w:tcPr>
                <w:p w14:paraId="76C4FD24">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688A2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79AEC001">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38B60A56">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红土村</w:t>
                  </w:r>
                </w:p>
              </w:tc>
              <w:tc>
                <w:tcPr>
                  <w:tcW w:w="740" w:type="pct"/>
                  <w:noWrap w:val="0"/>
                  <w:vAlign w:val="center"/>
                </w:tcPr>
                <w:p w14:paraId="42463C55">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村庄，100户</w:t>
                  </w:r>
                </w:p>
              </w:tc>
              <w:tc>
                <w:tcPr>
                  <w:tcW w:w="881" w:type="pct"/>
                  <w:noWrap w:val="0"/>
                  <w:vAlign w:val="center"/>
                </w:tcPr>
                <w:p w14:paraId="17C9365D">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23.240</w:t>
                  </w:r>
                  <w:r>
                    <w:rPr>
                      <w:rFonts w:hint="default" w:ascii="Times New Roman" w:hAnsi="Times New Roman" w:eastAsia="宋体" w:cs="Times New Roman"/>
                      <w:color w:val="auto"/>
                      <w:sz w:val="21"/>
                      <w:szCs w:val="21"/>
                    </w:rPr>
                    <w:t>″</w:t>
                  </w:r>
                </w:p>
              </w:tc>
              <w:tc>
                <w:tcPr>
                  <w:tcW w:w="812" w:type="pct"/>
                  <w:noWrap w:val="0"/>
                  <w:vAlign w:val="center"/>
                </w:tcPr>
                <w:p w14:paraId="784D5C0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10.367</w:t>
                  </w:r>
                  <w:r>
                    <w:rPr>
                      <w:rFonts w:hint="default" w:ascii="Times New Roman" w:hAnsi="Times New Roman" w:eastAsia="宋体" w:cs="Times New Roman"/>
                      <w:color w:val="auto"/>
                      <w:sz w:val="21"/>
                      <w:szCs w:val="21"/>
                    </w:rPr>
                    <w:t>″</w:t>
                  </w:r>
                </w:p>
              </w:tc>
              <w:tc>
                <w:tcPr>
                  <w:tcW w:w="1641" w:type="pct"/>
                  <w:vMerge w:val="continue"/>
                  <w:noWrap w:val="0"/>
                  <w:vAlign w:val="center"/>
                </w:tcPr>
                <w:p w14:paraId="3FFCAC40">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BADB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1DA795CD">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49310140">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八大阶</w:t>
                  </w:r>
                </w:p>
              </w:tc>
              <w:tc>
                <w:tcPr>
                  <w:tcW w:w="740" w:type="pct"/>
                  <w:noWrap w:val="0"/>
                  <w:vAlign w:val="center"/>
                </w:tcPr>
                <w:p w14:paraId="6F5413D1">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村庄，25户</w:t>
                  </w:r>
                </w:p>
              </w:tc>
              <w:tc>
                <w:tcPr>
                  <w:tcW w:w="881" w:type="pct"/>
                  <w:shd w:val="clear" w:color="auto" w:fill="auto"/>
                  <w:noWrap w:val="0"/>
                  <w:vAlign w:val="center"/>
                </w:tcPr>
                <w:p w14:paraId="077DC801">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1.284</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15F7E469">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30.174</w:t>
                  </w:r>
                  <w:r>
                    <w:rPr>
                      <w:rFonts w:hint="default" w:ascii="Times New Roman" w:hAnsi="Times New Roman" w:eastAsia="宋体" w:cs="Times New Roman"/>
                      <w:color w:val="auto"/>
                      <w:sz w:val="21"/>
                      <w:szCs w:val="21"/>
                    </w:rPr>
                    <w:t>″</w:t>
                  </w:r>
                </w:p>
              </w:tc>
              <w:tc>
                <w:tcPr>
                  <w:tcW w:w="1641" w:type="pct"/>
                  <w:vMerge w:val="continue"/>
                  <w:noWrap w:val="0"/>
                  <w:vAlign w:val="center"/>
                </w:tcPr>
                <w:p w14:paraId="6DD46C8F">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4DA8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038D0FE0">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738802A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沙塘川</w:t>
                  </w:r>
                </w:p>
              </w:tc>
              <w:tc>
                <w:tcPr>
                  <w:tcW w:w="740" w:type="pct"/>
                  <w:noWrap w:val="0"/>
                  <w:vAlign w:val="center"/>
                </w:tcPr>
                <w:p w14:paraId="64C5BB12">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村庄，20户</w:t>
                  </w:r>
                </w:p>
              </w:tc>
              <w:tc>
                <w:tcPr>
                  <w:tcW w:w="881" w:type="pct"/>
                  <w:shd w:val="clear" w:color="auto" w:fill="auto"/>
                  <w:noWrap w:val="0"/>
                  <w:vAlign w:val="center"/>
                </w:tcPr>
                <w:p w14:paraId="555E2E5A">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43.830</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59C11491">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54.643</w:t>
                  </w:r>
                  <w:r>
                    <w:rPr>
                      <w:rFonts w:hint="default" w:ascii="Times New Roman" w:hAnsi="Times New Roman" w:eastAsia="宋体" w:cs="Times New Roman"/>
                      <w:color w:val="auto"/>
                      <w:sz w:val="21"/>
                      <w:szCs w:val="21"/>
                    </w:rPr>
                    <w:t>″</w:t>
                  </w:r>
                </w:p>
              </w:tc>
              <w:tc>
                <w:tcPr>
                  <w:tcW w:w="1641" w:type="pct"/>
                  <w:vMerge w:val="continue"/>
                  <w:noWrap w:val="0"/>
                  <w:vAlign w:val="center"/>
                </w:tcPr>
                <w:p w14:paraId="63C1B753">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7A55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309F6C18">
                  <w:pPr>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566" w:type="pct"/>
                  <w:noWrap w:val="0"/>
                  <w:vAlign w:val="center"/>
                </w:tcPr>
                <w:p w14:paraId="4D65A2C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沿川子</w:t>
                  </w:r>
                </w:p>
              </w:tc>
              <w:tc>
                <w:tcPr>
                  <w:tcW w:w="740" w:type="pct"/>
                  <w:shd w:val="clear" w:color="auto" w:fill="auto"/>
                  <w:noWrap w:val="0"/>
                  <w:vAlign w:val="center"/>
                </w:tcPr>
                <w:p w14:paraId="1A2B0559">
                  <w:pPr>
                    <w:snapToGrid w:val="0"/>
                    <w:spacing w:line="240" w:lineRule="auto"/>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村庄，20户</w:t>
                  </w:r>
                </w:p>
              </w:tc>
              <w:tc>
                <w:tcPr>
                  <w:tcW w:w="881" w:type="pct"/>
                  <w:shd w:val="clear" w:color="auto" w:fill="auto"/>
                  <w:noWrap w:val="0"/>
                  <w:vAlign w:val="center"/>
                </w:tcPr>
                <w:p w14:paraId="7FBD9752">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47.753</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22CF2923">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54.989</w:t>
                  </w:r>
                  <w:r>
                    <w:rPr>
                      <w:rFonts w:hint="default" w:ascii="Times New Roman" w:hAnsi="Times New Roman" w:eastAsia="宋体" w:cs="Times New Roman"/>
                      <w:color w:val="auto"/>
                      <w:sz w:val="21"/>
                      <w:szCs w:val="21"/>
                    </w:rPr>
                    <w:t>″</w:t>
                  </w:r>
                </w:p>
              </w:tc>
              <w:tc>
                <w:tcPr>
                  <w:tcW w:w="1641" w:type="pct"/>
                  <w:vMerge w:val="continue"/>
                  <w:noWrap w:val="0"/>
                  <w:vAlign w:val="center"/>
                </w:tcPr>
                <w:p w14:paraId="569A3C7F">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81B8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restart"/>
                  <w:noWrap w:val="0"/>
                  <w:vAlign w:val="center"/>
                </w:tcPr>
                <w:p w14:paraId="674A5DD7">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w:t>
                  </w:r>
                </w:p>
              </w:tc>
              <w:tc>
                <w:tcPr>
                  <w:tcW w:w="566" w:type="pct"/>
                  <w:noWrap w:val="0"/>
                  <w:vAlign w:val="center"/>
                </w:tcPr>
                <w:p w14:paraId="0DB72264">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平凉庄村</w:t>
                  </w:r>
                </w:p>
              </w:tc>
              <w:tc>
                <w:tcPr>
                  <w:tcW w:w="740" w:type="pct"/>
                  <w:noWrap w:val="0"/>
                  <w:vAlign w:val="center"/>
                </w:tcPr>
                <w:p w14:paraId="338CE68F">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村庄，85户</w:t>
                  </w:r>
                </w:p>
              </w:tc>
              <w:tc>
                <w:tcPr>
                  <w:tcW w:w="881" w:type="pct"/>
                  <w:noWrap w:val="0"/>
                  <w:vAlign w:val="center"/>
                </w:tcPr>
                <w:p w14:paraId="157034A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106°24′</w:t>
                  </w:r>
                  <w:r>
                    <w:rPr>
                      <w:rFonts w:hint="eastAsia" w:ascii="Times New Roman" w:hAnsi="Times New Roman" w:eastAsia="宋体" w:cs="Times New Roman"/>
                      <w:color w:val="auto"/>
                      <w:sz w:val="21"/>
                      <w:szCs w:val="21"/>
                      <w:lang w:val="en-US" w:eastAsia="zh-CN"/>
                    </w:rPr>
                    <w:t>21.386</w:t>
                  </w:r>
                  <w:r>
                    <w:rPr>
                      <w:rFonts w:hint="default" w:ascii="Times New Roman" w:hAnsi="Times New Roman" w:eastAsia="宋体" w:cs="Times New Roman"/>
                      <w:color w:val="auto"/>
                      <w:sz w:val="21"/>
                      <w:szCs w:val="21"/>
                    </w:rPr>
                    <w:t>″</w:t>
                  </w:r>
                </w:p>
              </w:tc>
              <w:tc>
                <w:tcPr>
                  <w:tcW w:w="812" w:type="pct"/>
                  <w:noWrap w:val="0"/>
                  <w:vAlign w:val="center"/>
                </w:tcPr>
                <w:p w14:paraId="78AA15CD">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35°30′</w:t>
                  </w:r>
                  <w:r>
                    <w:rPr>
                      <w:rFonts w:hint="eastAsia" w:ascii="Times New Roman" w:hAnsi="Times New Roman" w:eastAsia="宋体" w:cs="Times New Roman"/>
                      <w:color w:val="auto"/>
                      <w:sz w:val="21"/>
                      <w:szCs w:val="21"/>
                      <w:lang w:val="en-US" w:eastAsia="zh-CN"/>
                    </w:rPr>
                    <w:t>16.354</w:t>
                  </w:r>
                  <w:r>
                    <w:rPr>
                      <w:rFonts w:hint="default" w:ascii="Times New Roman" w:hAnsi="Times New Roman" w:eastAsia="宋体" w:cs="Times New Roman"/>
                      <w:color w:val="auto"/>
                      <w:sz w:val="21"/>
                      <w:szCs w:val="21"/>
                    </w:rPr>
                    <w:t>″</w:t>
                  </w:r>
                </w:p>
              </w:tc>
              <w:tc>
                <w:tcPr>
                  <w:tcW w:w="1641" w:type="pct"/>
                  <w:vMerge w:val="restart"/>
                  <w:noWrap w:val="0"/>
                  <w:vAlign w:val="center"/>
                </w:tcPr>
                <w:p w14:paraId="5938205B">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区域声环境达到</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类标准要求</w:t>
                  </w:r>
                  <w:r>
                    <w:rPr>
                      <w:rFonts w:hint="default" w:ascii="Times New Roman" w:hAnsi="Times New Roman" w:eastAsia="宋体" w:cs="Times New Roman"/>
                      <w:color w:val="auto"/>
                      <w:sz w:val="21"/>
                      <w:szCs w:val="21"/>
                      <w:lang w:eastAsia="zh-CN"/>
                    </w:rPr>
                    <w:t>。</w:t>
                  </w:r>
                </w:p>
              </w:tc>
            </w:tr>
            <w:tr w14:paraId="28574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357" w:type="pct"/>
                  <w:vMerge w:val="continue"/>
                  <w:noWrap w:val="0"/>
                  <w:vAlign w:val="center"/>
                </w:tcPr>
                <w:p w14:paraId="217F5772">
                  <w:pPr>
                    <w:pStyle w:val="26"/>
                    <w:rPr>
                      <w:rFonts w:hint="default" w:ascii="Times New Roman" w:hAnsi="Times New Roman" w:eastAsia="宋体" w:cs="Times New Roman"/>
                      <w:color w:val="auto"/>
                      <w:sz w:val="21"/>
                      <w:szCs w:val="21"/>
                    </w:rPr>
                  </w:pPr>
                </w:p>
              </w:tc>
              <w:tc>
                <w:tcPr>
                  <w:tcW w:w="566" w:type="pct"/>
                  <w:noWrap w:val="0"/>
                  <w:vAlign w:val="center"/>
                </w:tcPr>
                <w:p w14:paraId="785285AE">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羊槽村</w:t>
                  </w:r>
                </w:p>
              </w:tc>
              <w:tc>
                <w:tcPr>
                  <w:tcW w:w="740" w:type="pct"/>
                  <w:noWrap w:val="0"/>
                  <w:vAlign w:val="center"/>
                </w:tcPr>
                <w:p w14:paraId="7FB9BF7A">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村庄，200户</w:t>
                  </w:r>
                </w:p>
              </w:tc>
              <w:tc>
                <w:tcPr>
                  <w:tcW w:w="881" w:type="pct"/>
                  <w:noWrap w:val="0"/>
                  <w:vAlign w:val="center"/>
                </w:tcPr>
                <w:p w14:paraId="5746752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106°25′</w:t>
                  </w:r>
                  <w:r>
                    <w:rPr>
                      <w:rFonts w:hint="eastAsia" w:ascii="Times New Roman" w:hAnsi="Times New Roman" w:eastAsia="宋体" w:cs="Times New Roman"/>
                      <w:color w:val="auto"/>
                      <w:sz w:val="21"/>
                      <w:szCs w:val="21"/>
                      <w:lang w:val="en-US" w:eastAsia="zh-CN"/>
                    </w:rPr>
                    <w:t>2.095</w:t>
                  </w:r>
                  <w:r>
                    <w:rPr>
                      <w:rFonts w:hint="default" w:ascii="Times New Roman" w:hAnsi="Times New Roman" w:eastAsia="宋体" w:cs="Times New Roman"/>
                      <w:color w:val="auto"/>
                      <w:sz w:val="21"/>
                      <w:szCs w:val="21"/>
                    </w:rPr>
                    <w:t>″</w:t>
                  </w:r>
                </w:p>
              </w:tc>
              <w:tc>
                <w:tcPr>
                  <w:tcW w:w="812" w:type="pct"/>
                  <w:noWrap w:val="0"/>
                  <w:vAlign w:val="center"/>
                </w:tcPr>
                <w:p w14:paraId="3AE60160">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35°29′</w:t>
                  </w:r>
                  <w:r>
                    <w:rPr>
                      <w:rFonts w:hint="eastAsia" w:ascii="Times New Roman" w:hAnsi="Times New Roman" w:eastAsia="宋体" w:cs="Times New Roman"/>
                      <w:color w:val="auto"/>
                      <w:sz w:val="21"/>
                      <w:szCs w:val="21"/>
                      <w:lang w:val="en-US" w:eastAsia="zh-CN"/>
                    </w:rPr>
                    <w:t>28.872</w:t>
                  </w:r>
                  <w:r>
                    <w:rPr>
                      <w:rFonts w:hint="default" w:ascii="Times New Roman" w:hAnsi="Times New Roman" w:eastAsia="宋体" w:cs="Times New Roman"/>
                      <w:color w:val="auto"/>
                      <w:sz w:val="21"/>
                      <w:szCs w:val="21"/>
                    </w:rPr>
                    <w:t>″</w:t>
                  </w:r>
                </w:p>
              </w:tc>
              <w:tc>
                <w:tcPr>
                  <w:tcW w:w="1641" w:type="pct"/>
                  <w:vMerge w:val="continue"/>
                  <w:noWrap w:val="0"/>
                  <w:vAlign w:val="center"/>
                </w:tcPr>
                <w:p w14:paraId="3DF043F8">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D358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5ED2E312">
                  <w:pPr>
                    <w:pStyle w:val="26"/>
                    <w:rPr>
                      <w:rFonts w:hint="default" w:ascii="Times New Roman" w:hAnsi="Times New Roman" w:eastAsia="宋体" w:cs="Times New Roman"/>
                      <w:color w:val="auto"/>
                      <w:sz w:val="21"/>
                      <w:szCs w:val="21"/>
                    </w:rPr>
                  </w:pPr>
                </w:p>
              </w:tc>
              <w:tc>
                <w:tcPr>
                  <w:tcW w:w="566" w:type="pct"/>
                  <w:noWrap w:val="0"/>
                  <w:vAlign w:val="center"/>
                </w:tcPr>
                <w:p w14:paraId="73713B63">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黄花乡司法所</w:t>
                  </w:r>
                </w:p>
              </w:tc>
              <w:tc>
                <w:tcPr>
                  <w:tcW w:w="740" w:type="pct"/>
                  <w:noWrap w:val="0"/>
                  <w:vAlign w:val="center"/>
                </w:tcPr>
                <w:p w14:paraId="183011F7">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机关单位</w:t>
                  </w:r>
                </w:p>
              </w:tc>
              <w:tc>
                <w:tcPr>
                  <w:tcW w:w="881" w:type="pct"/>
                  <w:noWrap w:val="0"/>
                  <w:vAlign w:val="center"/>
                </w:tcPr>
                <w:p w14:paraId="01932F0B">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0.828</w:t>
                  </w:r>
                  <w:r>
                    <w:rPr>
                      <w:rFonts w:hint="default" w:ascii="Times New Roman" w:hAnsi="Times New Roman" w:eastAsia="宋体" w:cs="Times New Roman"/>
                      <w:color w:val="auto"/>
                      <w:sz w:val="21"/>
                      <w:szCs w:val="21"/>
                    </w:rPr>
                    <w:t>″</w:t>
                  </w:r>
                </w:p>
              </w:tc>
              <w:tc>
                <w:tcPr>
                  <w:tcW w:w="812" w:type="pct"/>
                  <w:noWrap w:val="0"/>
                  <w:vAlign w:val="center"/>
                </w:tcPr>
                <w:p w14:paraId="7683AA21">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16.464</w:t>
                  </w:r>
                  <w:r>
                    <w:rPr>
                      <w:rFonts w:hint="default" w:ascii="Times New Roman" w:hAnsi="Times New Roman" w:eastAsia="宋体" w:cs="Times New Roman"/>
                      <w:color w:val="auto"/>
                      <w:sz w:val="21"/>
                      <w:szCs w:val="21"/>
                    </w:rPr>
                    <w:t>″</w:t>
                  </w:r>
                </w:p>
              </w:tc>
              <w:tc>
                <w:tcPr>
                  <w:tcW w:w="1641" w:type="pct"/>
                  <w:vMerge w:val="continue"/>
                  <w:noWrap w:val="0"/>
                  <w:vAlign w:val="center"/>
                </w:tcPr>
                <w:p w14:paraId="2BAADBBA">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CC70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0A12E4D3">
                  <w:pPr>
                    <w:pStyle w:val="26"/>
                    <w:rPr>
                      <w:rFonts w:hint="default" w:ascii="Times New Roman" w:hAnsi="Times New Roman" w:eastAsia="宋体" w:cs="Times New Roman"/>
                      <w:color w:val="auto"/>
                      <w:sz w:val="21"/>
                      <w:szCs w:val="21"/>
                    </w:rPr>
                  </w:pPr>
                </w:p>
              </w:tc>
              <w:tc>
                <w:tcPr>
                  <w:tcW w:w="566" w:type="pct"/>
                  <w:noWrap w:val="0"/>
                  <w:vAlign w:val="center"/>
                </w:tcPr>
                <w:p w14:paraId="560D533C">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黄花乡派出所</w:t>
                  </w:r>
                </w:p>
              </w:tc>
              <w:tc>
                <w:tcPr>
                  <w:tcW w:w="740" w:type="pct"/>
                  <w:noWrap w:val="0"/>
                  <w:vAlign w:val="center"/>
                </w:tcPr>
                <w:p w14:paraId="44E422B6">
                  <w:pPr>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机关单位</w:t>
                  </w:r>
                </w:p>
              </w:tc>
              <w:tc>
                <w:tcPr>
                  <w:tcW w:w="881" w:type="pct"/>
                  <w:shd w:val="clear" w:color="auto" w:fill="auto"/>
                  <w:noWrap w:val="0"/>
                  <w:vAlign w:val="center"/>
                </w:tcPr>
                <w:p w14:paraId="5FDB3763">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15.524</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42180E27">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16.071</w:t>
                  </w:r>
                  <w:r>
                    <w:rPr>
                      <w:rFonts w:hint="default" w:ascii="Times New Roman" w:hAnsi="Times New Roman" w:eastAsia="宋体" w:cs="Times New Roman"/>
                      <w:color w:val="auto"/>
                      <w:sz w:val="21"/>
                      <w:szCs w:val="21"/>
                    </w:rPr>
                    <w:t>″</w:t>
                  </w:r>
                </w:p>
              </w:tc>
              <w:tc>
                <w:tcPr>
                  <w:tcW w:w="1641" w:type="pct"/>
                  <w:vMerge w:val="continue"/>
                  <w:noWrap w:val="0"/>
                  <w:vAlign w:val="center"/>
                </w:tcPr>
                <w:p w14:paraId="392DD64F">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14D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78B5AAFD">
                  <w:pPr>
                    <w:pStyle w:val="26"/>
                    <w:rPr>
                      <w:rFonts w:hint="default" w:ascii="Times New Roman" w:hAnsi="Times New Roman" w:eastAsia="宋体" w:cs="Times New Roman"/>
                      <w:color w:val="auto"/>
                      <w:sz w:val="21"/>
                      <w:szCs w:val="21"/>
                    </w:rPr>
                  </w:pPr>
                </w:p>
              </w:tc>
              <w:tc>
                <w:tcPr>
                  <w:tcW w:w="566" w:type="pct"/>
                  <w:noWrap w:val="0"/>
                  <w:vAlign w:val="center"/>
                </w:tcPr>
                <w:p w14:paraId="0C4CF95B">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黄花乡卫生院</w:t>
                  </w:r>
                </w:p>
              </w:tc>
              <w:tc>
                <w:tcPr>
                  <w:tcW w:w="740" w:type="pct"/>
                  <w:noWrap w:val="0"/>
                  <w:vAlign w:val="center"/>
                </w:tcPr>
                <w:p w14:paraId="69DDAF4F">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机关单位</w:t>
                  </w:r>
                </w:p>
              </w:tc>
              <w:tc>
                <w:tcPr>
                  <w:tcW w:w="881" w:type="pct"/>
                  <w:noWrap w:val="0"/>
                  <w:vAlign w:val="center"/>
                </w:tcPr>
                <w:p w14:paraId="5ED1D6EC">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20.410</w:t>
                  </w:r>
                  <w:r>
                    <w:rPr>
                      <w:rFonts w:hint="default" w:ascii="Times New Roman" w:hAnsi="Times New Roman" w:eastAsia="宋体" w:cs="Times New Roman"/>
                      <w:color w:val="auto"/>
                      <w:sz w:val="21"/>
                      <w:szCs w:val="21"/>
                    </w:rPr>
                    <w:t>″</w:t>
                  </w:r>
                </w:p>
              </w:tc>
              <w:tc>
                <w:tcPr>
                  <w:tcW w:w="812" w:type="pct"/>
                  <w:noWrap w:val="0"/>
                  <w:vAlign w:val="center"/>
                </w:tcPr>
                <w:p w14:paraId="52BD2C54">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17.580</w:t>
                  </w:r>
                  <w:r>
                    <w:rPr>
                      <w:rFonts w:hint="default" w:ascii="Times New Roman" w:hAnsi="Times New Roman" w:eastAsia="宋体" w:cs="Times New Roman"/>
                      <w:color w:val="auto"/>
                      <w:sz w:val="21"/>
                      <w:szCs w:val="21"/>
                    </w:rPr>
                    <w:t>″</w:t>
                  </w:r>
                </w:p>
              </w:tc>
              <w:tc>
                <w:tcPr>
                  <w:tcW w:w="1641" w:type="pct"/>
                  <w:vMerge w:val="continue"/>
                  <w:noWrap w:val="0"/>
                  <w:vAlign w:val="center"/>
                </w:tcPr>
                <w:p w14:paraId="4093C1E1">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3574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3FA666C2">
                  <w:pPr>
                    <w:pStyle w:val="26"/>
                    <w:rPr>
                      <w:rFonts w:hint="default" w:ascii="Times New Roman" w:hAnsi="Times New Roman" w:eastAsia="宋体" w:cs="Times New Roman"/>
                      <w:color w:val="auto"/>
                      <w:sz w:val="21"/>
                      <w:szCs w:val="21"/>
                    </w:rPr>
                  </w:pPr>
                </w:p>
              </w:tc>
              <w:tc>
                <w:tcPr>
                  <w:tcW w:w="566" w:type="pct"/>
                  <w:noWrap w:val="0"/>
                  <w:vAlign w:val="center"/>
                </w:tcPr>
                <w:p w14:paraId="7EEA4551">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黄花乡平凉庄小学</w:t>
                  </w:r>
                </w:p>
              </w:tc>
              <w:tc>
                <w:tcPr>
                  <w:tcW w:w="740" w:type="pct"/>
                  <w:noWrap w:val="0"/>
                  <w:vAlign w:val="center"/>
                </w:tcPr>
                <w:p w14:paraId="4DADBC09">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机关单位</w:t>
                  </w:r>
                </w:p>
              </w:tc>
              <w:tc>
                <w:tcPr>
                  <w:tcW w:w="881" w:type="pct"/>
                  <w:shd w:val="clear" w:color="auto" w:fill="auto"/>
                  <w:noWrap w:val="0"/>
                  <w:vAlign w:val="center"/>
                </w:tcPr>
                <w:p w14:paraId="35A5D901">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29.622</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6FBA97C4">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20.866</w:t>
                  </w:r>
                  <w:r>
                    <w:rPr>
                      <w:rFonts w:hint="default" w:ascii="Times New Roman" w:hAnsi="Times New Roman" w:eastAsia="宋体" w:cs="Times New Roman"/>
                      <w:color w:val="auto"/>
                      <w:sz w:val="21"/>
                      <w:szCs w:val="21"/>
                    </w:rPr>
                    <w:t>″</w:t>
                  </w:r>
                </w:p>
              </w:tc>
              <w:tc>
                <w:tcPr>
                  <w:tcW w:w="1641" w:type="pct"/>
                  <w:vMerge w:val="continue"/>
                  <w:noWrap w:val="0"/>
                  <w:vAlign w:val="center"/>
                </w:tcPr>
                <w:p w14:paraId="3364911D">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1B7F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4AC6D99F">
                  <w:pPr>
                    <w:pStyle w:val="26"/>
                    <w:rPr>
                      <w:rFonts w:hint="default" w:ascii="Times New Roman" w:hAnsi="Times New Roman" w:eastAsia="宋体" w:cs="Times New Roman"/>
                      <w:color w:val="auto"/>
                      <w:sz w:val="21"/>
                      <w:szCs w:val="21"/>
                    </w:rPr>
                  </w:pPr>
                </w:p>
              </w:tc>
              <w:tc>
                <w:tcPr>
                  <w:tcW w:w="566" w:type="pct"/>
                  <w:noWrap w:val="0"/>
                  <w:vAlign w:val="center"/>
                </w:tcPr>
                <w:p w14:paraId="5FE2ADDF">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红土村</w:t>
                  </w:r>
                </w:p>
              </w:tc>
              <w:tc>
                <w:tcPr>
                  <w:tcW w:w="740" w:type="pct"/>
                  <w:shd w:val="clear" w:color="auto" w:fill="auto"/>
                  <w:noWrap w:val="0"/>
                  <w:vAlign w:val="center"/>
                </w:tcPr>
                <w:p w14:paraId="3D388DA6">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村庄，100户</w:t>
                  </w:r>
                </w:p>
              </w:tc>
              <w:tc>
                <w:tcPr>
                  <w:tcW w:w="881" w:type="pct"/>
                  <w:shd w:val="clear" w:color="auto" w:fill="auto"/>
                  <w:noWrap w:val="0"/>
                  <w:vAlign w:val="center"/>
                </w:tcPr>
                <w:p w14:paraId="6EA431D5">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23.240</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5087D5E0">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10.367</w:t>
                  </w:r>
                  <w:r>
                    <w:rPr>
                      <w:rFonts w:hint="default" w:ascii="Times New Roman" w:hAnsi="Times New Roman" w:eastAsia="宋体" w:cs="Times New Roman"/>
                      <w:color w:val="auto"/>
                      <w:sz w:val="21"/>
                      <w:szCs w:val="21"/>
                    </w:rPr>
                    <w:t>″</w:t>
                  </w:r>
                </w:p>
              </w:tc>
              <w:tc>
                <w:tcPr>
                  <w:tcW w:w="1641" w:type="pct"/>
                  <w:vMerge w:val="continue"/>
                  <w:noWrap w:val="0"/>
                  <w:vAlign w:val="center"/>
                </w:tcPr>
                <w:p w14:paraId="659C23D9">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492D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233C9439">
                  <w:pPr>
                    <w:pStyle w:val="26"/>
                    <w:rPr>
                      <w:rFonts w:hint="default" w:ascii="Times New Roman" w:hAnsi="Times New Roman" w:eastAsia="宋体" w:cs="Times New Roman"/>
                      <w:color w:val="auto"/>
                      <w:sz w:val="21"/>
                      <w:szCs w:val="21"/>
                    </w:rPr>
                  </w:pPr>
                </w:p>
              </w:tc>
              <w:tc>
                <w:tcPr>
                  <w:tcW w:w="566" w:type="pct"/>
                  <w:noWrap w:val="0"/>
                  <w:vAlign w:val="center"/>
                </w:tcPr>
                <w:p w14:paraId="2524FB0D">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八大阶</w:t>
                  </w:r>
                </w:p>
              </w:tc>
              <w:tc>
                <w:tcPr>
                  <w:tcW w:w="740" w:type="pct"/>
                  <w:shd w:val="clear" w:color="auto" w:fill="auto"/>
                  <w:noWrap w:val="0"/>
                  <w:vAlign w:val="center"/>
                </w:tcPr>
                <w:p w14:paraId="3CB22046">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村庄，25户</w:t>
                  </w:r>
                </w:p>
              </w:tc>
              <w:tc>
                <w:tcPr>
                  <w:tcW w:w="881" w:type="pct"/>
                  <w:shd w:val="clear" w:color="auto" w:fill="auto"/>
                  <w:noWrap w:val="0"/>
                  <w:vAlign w:val="center"/>
                </w:tcPr>
                <w:p w14:paraId="6E3A125F">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1.284</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0B4B35F2">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30.174</w:t>
                  </w:r>
                  <w:r>
                    <w:rPr>
                      <w:rFonts w:hint="default" w:ascii="Times New Roman" w:hAnsi="Times New Roman" w:eastAsia="宋体" w:cs="Times New Roman"/>
                      <w:color w:val="auto"/>
                      <w:sz w:val="21"/>
                      <w:szCs w:val="21"/>
                    </w:rPr>
                    <w:t>″</w:t>
                  </w:r>
                </w:p>
              </w:tc>
              <w:tc>
                <w:tcPr>
                  <w:tcW w:w="1641" w:type="pct"/>
                  <w:vMerge w:val="continue"/>
                  <w:noWrap w:val="0"/>
                  <w:vAlign w:val="center"/>
                </w:tcPr>
                <w:p w14:paraId="51725E85">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E55D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52EEE142">
                  <w:pPr>
                    <w:pStyle w:val="26"/>
                    <w:rPr>
                      <w:rFonts w:hint="default" w:ascii="Times New Roman" w:hAnsi="Times New Roman" w:eastAsia="宋体" w:cs="Times New Roman"/>
                      <w:color w:val="auto"/>
                      <w:sz w:val="21"/>
                      <w:szCs w:val="21"/>
                    </w:rPr>
                  </w:pPr>
                </w:p>
              </w:tc>
              <w:tc>
                <w:tcPr>
                  <w:tcW w:w="566" w:type="pct"/>
                  <w:noWrap w:val="0"/>
                  <w:vAlign w:val="center"/>
                </w:tcPr>
                <w:p w14:paraId="0A3425D8">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沙塘川</w:t>
                  </w:r>
                </w:p>
              </w:tc>
              <w:tc>
                <w:tcPr>
                  <w:tcW w:w="740" w:type="pct"/>
                  <w:noWrap w:val="0"/>
                  <w:vAlign w:val="center"/>
                </w:tcPr>
                <w:p w14:paraId="11115FE0">
                  <w:pPr>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村庄，20户</w:t>
                  </w:r>
                </w:p>
              </w:tc>
              <w:tc>
                <w:tcPr>
                  <w:tcW w:w="881" w:type="pct"/>
                  <w:noWrap w:val="0"/>
                  <w:vAlign w:val="center"/>
                </w:tcPr>
                <w:p w14:paraId="0EA570BE">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43.830</w:t>
                  </w:r>
                  <w:r>
                    <w:rPr>
                      <w:rFonts w:hint="default" w:ascii="Times New Roman" w:hAnsi="Times New Roman" w:eastAsia="宋体" w:cs="Times New Roman"/>
                      <w:color w:val="auto"/>
                      <w:sz w:val="21"/>
                      <w:szCs w:val="21"/>
                    </w:rPr>
                    <w:t>″</w:t>
                  </w:r>
                </w:p>
              </w:tc>
              <w:tc>
                <w:tcPr>
                  <w:tcW w:w="812" w:type="pct"/>
                  <w:noWrap w:val="0"/>
                  <w:vAlign w:val="center"/>
                </w:tcPr>
                <w:p w14:paraId="517694D2">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54.643</w:t>
                  </w:r>
                  <w:r>
                    <w:rPr>
                      <w:rFonts w:hint="default" w:ascii="Times New Roman" w:hAnsi="Times New Roman" w:eastAsia="宋体" w:cs="Times New Roman"/>
                      <w:color w:val="auto"/>
                      <w:sz w:val="21"/>
                      <w:szCs w:val="21"/>
                    </w:rPr>
                    <w:t>″</w:t>
                  </w:r>
                </w:p>
              </w:tc>
              <w:tc>
                <w:tcPr>
                  <w:tcW w:w="1641" w:type="pct"/>
                  <w:vMerge w:val="continue"/>
                  <w:noWrap w:val="0"/>
                  <w:vAlign w:val="center"/>
                </w:tcPr>
                <w:p w14:paraId="5197E839">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C6C7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357" w:type="pct"/>
                  <w:vMerge w:val="continue"/>
                  <w:noWrap w:val="0"/>
                  <w:vAlign w:val="center"/>
                </w:tcPr>
                <w:p w14:paraId="1B3CD33A">
                  <w:pPr>
                    <w:pStyle w:val="26"/>
                    <w:rPr>
                      <w:rFonts w:hint="default" w:ascii="Times New Roman" w:hAnsi="Times New Roman" w:eastAsia="宋体" w:cs="Times New Roman"/>
                      <w:color w:val="auto"/>
                      <w:sz w:val="21"/>
                      <w:szCs w:val="21"/>
                    </w:rPr>
                  </w:pPr>
                </w:p>
              </w:tc>
              <w:tc>
                <w:tcPr>
                  <w:tcW w:w="566" w:type="pct"/>
                  <w:noWrap w:val="0"/>
                  <w:vAlign w:val="center"/>
                </w:tcPr>
                <w:p w14:paraId="1ED0475F">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沿川子</w:t>
                  </w:r>
                </w:p>
              </w:tc>
              <w:tc>
                <w:tcPr>
                  <w:tcW w:w="740" w:type="pct"/>
                  <w:shd w:val="clear" w:color="auto" w:fill="auto"/>
                  <w:noWrap w:val="0"/>
                  <w:vAlign w:val="center"/>
                </w:tcPr>
                <w:p w14:paraId="369D0D57">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村庄，20户</w:t>
                  </w:r>
                </w:p>
              </w:tc>
              <w:tc>
                <w:tcPr>
                  <w:tcW w:w="881" w:type="pct"/>
                  <w:shd w:val="clear" w:color="auto" w:fill="auto"/>
                  <w:noWrap w:val="0"/>
                  <w:vAlign w:val="center"/>
                </w:tcPr>
                <w:p w14:paraId="6782C62B">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106°2</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47.753</w:t>
                  </w:r>
                  <w:r>
                    <w:rPr>
                      <w:rFonts w:hint="default" w:ascii="Times New Roman" w:hAnsi="Times New Roman" w:eastAsia="宋体" w:cs="Times New Roman"/>
                      <w:color w:val="auto"/>
                      <w:sz w:val="21"/>
                      <w:szCs w:val="21"/>
                    </w:rPr>
                    <w:t>″</w:t>
                  </w:r>
                </w:p>
              </w:tc>
              <w:tc>
                <w:tcPr>
                  <w:tcW w:w="812" w:type="pct"/>
                  <w:shd w:val="clear" w:color="auto" w:fill="auto"/>
                  <w:noWrap w:val="0"/>
                  <w:vAlign w:val="center"/>
                </w:tcPr>
                <w:p w14:paraId="6782086C">
                  <w:pPr>
                    <w:snapToGrid w:val="0"/>
                    <w:spacing w:line="240" w:lineRule="auto"/>
                    <w:ind w:firstLine="0" w:firstLineChars="0"/>
                    <w:jc w:val="center"/>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color w:val="auto"/>
                      <w:sz w:val="21"/>
                      <w:szCs w:val="21"/>
                    </w:rPr>
                    <w:t>35°</w:t>
                  </w:r>
                  <w:r>
                    <w:rPr>
                      <w:rFonts w:hint="eastAsia"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54.989</w:t>
                  </w:r>
                  <w:r>
                    <w:rPr>
                      <w:rFonts w:hint="default" w:ascii="Times New Roman" w:hAnsi="Times New Roman" w:eastAsia="宋体" w:cs="Times New Roman"/>
                      <w:color w:val="auto"/>
                      <w:sz w:val="21"/>
                      <w:szCs w:val="21"/>
                    </w:rPr>
                    <w:t>″</w:t>
                  </w:r>
                </w:p>
              </w:tc>
              <w:tc>
                <w:tcPr>
                  <w:tcW w:w="1641" w:type="pct"/>
                  <w:vMerge w:val="continue"/>
                  <w:noWrap w:val="0"/>
                  <w:vAlign w:val="center"/>
                </w:tcPr>
                <w:p w14:paraId="3C5C28B8">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B17E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357" w:type="pct"/>
                  <w:noWrap w:val="0"/>
                  <w:vAlign w:val="center"/>
                </w:tcPr>
                <w:p w14:paraId="50252D9D">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地表水</w:t>
                  </w:r>
                </w:p>
              </w:tc>
              <w:tc>
                <w:tcPr>
                  <w:tcW w:w="566" w:type="pct"/>
                  <w:noWrap w:val="0"/>
                  <w:vAlign w:val="center"/>
                </w:tcPr>
                <w:p w14:paraId="58EA15B7">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羊槽河</w:t>
                  </w:r>
                </w:p>
              </w:tc>
              <w:tc>
                <w:tcPr>
                  <w:tcW w:w="740" w:type="pct"/>
                  <w:noWrap w:val="0"/>
                  <w:vAlign w:val="center"/>
                </w:tcPr>
                <w:p w14:paraId="54DACA88">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w:t>
                  </w:r>
                </w:p>
              </w:tc>
              <w:tc>
                <w:tcPr>
                  <w:tcW w:w="881" w:type="pct"/>
                  <w:noWrap w:val="0"/>
                  <w:vAlign w:val="center"/>
                </w:tcPr>
                <w:p w14:paraId="1D94D423">
                  <w:pPr>
                    <w:snapToGrid w:val="0"/>
                    <w:spacing w:line="240" w:lineRule="auto"/>
                    <w:ind w:firstLine="0" w:firstLineChars="0"/>
                    <w:jc w:val="center"/>
                    <w:rPr>
                      <w:rFonts w:hint="eastAsia" w:ascii="Times New Roman" w:hAnsi="Times New Roman" w:eastAsia="宋体" w:cs="Times New Roman"/>
                      <w:color w:val="auto"/>
                      <w:spacing w:val="-12"/>
                      <w:sz w:val="21"/>
                      <w:szCs w:val="21"/>
                      <w:lang w:eastAsia="zh-CN"/>
                    </w:rPr>
                  </w:pPr>
                  <w:r>
                    <w:rPr>
                      <w:rFonts w:hint="eastAsia" w:ascii="Times New Roman" w:hAnsi="Times New Roman" w:eastAsia="宋体" w:cs="Times New Roman"/>
                      <w:color w:val="auto"/>
                      <w:spacing w:val="-12"/>
                      <w:sz w:val="21"/>
                      <w:szCs w:val="21"/>
                      <w:lang w:val="en-US" w:eastAsia="zh-CN"/>
                    </w:rPr>
                    <w:t>/</w:t>
                  </w:r>
                </w:p>
              </w:tc>
              <w:tc>
                <w:tcPr>
                  <w:tcW w:w="812" w:type="pct"/>
                  <w:noWrap w:val="0"/>
                  <w:vAlign w:val="center"/>
                </w:tcPr>
                <w:p w14:paraId="418B396C">
                  <w:pPr>
                    <w:snapToGrid w:val="0"/>
                    <w:spacing w:line="240" w:lineRule="auto"/>
                    <w:ind w:firstLine="0" w:firstLineChars="0"/>
                    <w:jc w:val="center"/>
                    <w:rPr>
                      <w:rFonts w:hint="eastAsia" w:ascii="Times New Roman" w:hAnsi="Times New Roman" w:eastAsia="宋体" w:cs="Times New Roman"/>
                      <w:color w:val="auto"/>
                      <w:spacing w:val="-12"/>
                      <w:sz w:val="21"/>
                      <w:szCs w:val="21"/>
                      <w:lang w:eastAsia="zh-CN"/>
                    </w:rPr>
                  </w:pPr>
                  <w:r>
                    <w:rPr>
                      <w:rFonts w:hint="eastAsia" w:ascii="Times New Roman" w:hAnsi="Times New Roman" w:eastAsia="宋体" w:cs="Times New Roman"/>
                      <w:color w:val="auto"/>
                      <w:spacing w:val="-12"/>
                      <w:sz w:val="21"/>
                      <w:szCs w:val="21"/>
                      <w:lang w:val="en-US" w:eastAsia="zh-CN"/>
                    </w:rPr>
                    <w:t>/</w:t>
                  </w:r>
                </w:p>
              </w:tc>
              <w:tc>
                <w:tcPr>
                  <w:tcW w:w="1641" w:type="pct"/>
                  <w:noWrap w:val="0"/>
                  <w:vAlign w:val="center"/>
                </w:tcPr>
                <w:p w14:paraId="5AE644F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rPr>
                    <w:t>《地表水环境质量标准》（GB</w:t>
                  </w:r>
                  <w:r>
                    <w:rPr>
                      <w:rFonts w:hint="eastAsia"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3838-2002）中</w:t>
                  </w:r>
                  <w:r>
                    <w:rPr>
                      <w:rFonts w:hint="default" w:ascii="Times New Roman" w:hAnsi="Times New Roman" w:eastAsia="宋体" w:cs="Times New Roman"/>
                      <w:color w:val="auto"/>
                      <w:spacing w:val="0"/>
                      <w:sz w:val="21"/>
                      <w:szCs w:val="21"/>
                      <w:lang w:val="en-US" w:eastAsia="zh-CN"/>
                    </w:rPr>
                    <w:t>IV</w:t>
                  </w:r>
                  <w:r>
                    <w:rPr>
                      <w:rFonts w:hint="default" w:ascii="Times New Roman" w:hAnsi="Times New Roman" w:eastAsia="宋体" w:cs="Times New Roman"/>
                      <w:color w:val="auto"/>
                      <w:spacing w:val="0"/>
                      <w:sz w:val="21"/>
                      <w:szCs w:val="21"/>
                    </w:rPr>
                    <w:t>类标准，</w:t>
                  </w:r>
                  <w:r>
                    <w:rPr>
                      <w:rFonts w:hint="default" w:ascii="Times New Roman" w:hAnsi="Times New Roman" w:eastAsia="宋体" w:cs="Times New Roman"/>
                      <w:color w:val="auto"/>
                      <w:spacing w:val="0"/>
                      <w:sz w:val="21"/>
                      <w:szCs w:val="21"/>
                      <w:lang w:val="en-US" w:eastAsia="zh-CN"/>
                    </w:rPr>
                    <w:t>维持羊槽河现有功能。</w:t>
                  </w:r>
                </w:p>
              </w:tc>
            </w:tr>
            <w:tr w14:paraId="24949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7" w:type="pct"/>
                  <w:vMerge w:val="restart"/>
                  <w:noWrap w:val="0"/>
                  <w:vAlign w:val="center"/>
                </w:tcPr>
                <w:p w14:paraId="1E422E03">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w:t>
                  </w:r>
                </w:p>
                <w:p w14:paraId="655B603D">
                  <w:pPr>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tc>
              <w:tc>
                <w:tcPr>
                  <w:tcW w:w="2188" w:type="pct"/>
                  <w:gridSpan w:val="3"/>
                  <w:noWrap w:val="0"/>
                  <w:tcMar>
                    <w:left w:w="0" w:type="dxa"/>
                    <w:right w:w="0" w:type="dxa"/>
                  </w:tcMar>
                  <w:vAlign w:val="center"/>
                </w:tcPr>
                <w:p w14:paraId="4A70953A">
                  <w:pPr>
                    <w:keepNext w:val="0"/>
                    <w:keepLines w:val="0"/>
                    <w:widowControl/>
                    <w:suppressLineNumbers w:val="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工程沿线植被、河流水生动植物</w:t>
                  </w:r>
                </w:p>
              </w:tc>
              <w:tc>
                <w:tcPr>
                  <w:tcW w:w="812" w:type="pct"/>
                  <w:vMerge w:val="restart"/>
                  <w:noWrap w:val="0"/>
                  <w:vAlign w:val="center"/>
                </w:tcPr>
                <w:p w14:paraId="19B1F5E1">
                  <w:pPr>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641" w:type="pct"/>
                  <w:vMerge w:val="restart"/>
                  <w:noWrap w:val="0"/>
                  <w:vAlign w:val="center"/>
                </w:tcPr>
                <w:p w14:paraId="3CDE9D7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保护羊槽河及周边生态系统，并逐步补偿和恢复。</w:t>
                  </w:r>
                </w:p>
              </w:tc>
            </w:tr>
            <w:tr w14:paraId="58A19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357" w:type="pct"/>
                  <w:vMerge w:val="continue"/>
                  <w:noWrap w:val="0"/>
                  <w:vAlign w:val="center"/>
                </w:tcPr>
                <w:p w14:paraId="6A03F456">
                  <w:pPr>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188" w:type="pct"/>
                  <w:gridSpan w:val="3"/>
                  <w:noWrap w:val="0"/>
                  <w:tcMar>
                    <w:left w:w="0" w:type="dxa"/>
                    <w:right w:w="0" w:type="dxa"/>
                  </w:tcMar>
                  <w:vAlign w:val="center"/>
                </w:tcPr>
                <w:p w14:paraId="38F92496">
                  <w:pPr>
                    <w:keepNext w:val="0"/>
                    <w:keepLines w:val="0"/>
                    <w:widowControl/>
                    <w:suppressLineNumbers w:val="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野生动物（兽类、鸟类、两栖类等）</w:t>
                  </w:r>
                </w:p>
              </w:tc>
              <w:tc>
                <w:tcPr>
                  <w:tcW w:w="812" w:type="pct"/>
                  <w:vMerge w:val="continue"/>
                  <w:noWrap w:val="0"/>
                  <w:vAlign w:val="center"/>
                </w:tcPr>
                <w:p w14:paraId="41DB6A29">
                  <w:pPr>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641" w:type="pct"/>
                  <w:vMerge w:val="continue"/>
                  <w:noWrap w:val="0"/>
                  <w:vAlign w:val="center"/>
                </w:tcPr>
                <w:p w14:paraId="03C885B0">
                  <w:pPr>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E57D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357" w:type="pct"/>
                  <w:vMerge w:val="continue"/>
                  <w:noWrap w:val="0"/>
                  <w:vAlign w:val="center"/>
                </w:tcPr>
                <w:p w14:paraId="2528D720">
                  <w:pPr>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188" w:type="pct"/>
                  <w:gridSpan w:val="3"/>
                  <w:noWrap w:val="0"/>
                  <w:tcMar>
                    <w:left w:w="0" w:type="dxa"/>
                    <w:right w:w="0" w:type="dxa"/>
                  </w:tcMar>
                  <w:vAlign w:val="center"/>
                </w:tcPr>
                <w:p w14:paraId="02B178CD">
                  <w:pPr>
                    <w:keepNext w:val="0"/>
                    <w:keepLines w:val="0"/>
                    <w:widowControl/>
                    <w:suppressLineNumbers w:val="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施工营地及临时堆土场等临建设施</w:t>
                  </w:r>
                </w:p>
              </w:tc>
              <w:tc>
                <w:tcPr>
                  <w:tcW w:w="812" w:type="pct"/>
                  <w:vMerge w:val="continue"/>
                  <w:noWrap w:val="0"/>
                  <w:vAlign w:val="center"/>
                </w:tcPr>
                <w:p w14:paraId="254C105A">
                  <w:pPr>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641" w:type="pct"/>
                  <w:vMerge w:val="continue"/>
                  <w:noWrap w:val="0"/>
                  <w:vAlign w:val="center"/>
                </w:tcPr>
                <w:p w14:paraId="47D19F45">
                  <w:pPr>
                    <w:snapToGrid w:val="0"/>
                    <w:spacing w:line="240" w:lineRule="auto"/>
                    <w:ind w:firstLine="0" w:firstLineChars="0"/>
                    <w:jc w:val="center"/>
                    <w:rPr>
                      <w:rFonts w:hint="default" w:ascii="Times New Roman" w:hAnsi="Times New Roman" w:eastAsia="宋体" w:cs="Times New Roman"/>
                      <w:color w:val="auto"/>
                      <w:sz w:val="21"/>
                      <w:szCs w:val="21"/>
                    </w:rPr>
                  </w:pPr>
                </w:p>
              </w:tc>
            </w:tr>
          </w:tbl>
          <w:p w14:paraId="6EEBE35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cs="Times New Roman"/>
                <w:b/>
                <w:bCs/>
                <w:color w:val="auto"/>
                <w:spacing w:val="6"/>
                <w:sz w:val="21"/>
                <w:szCs w:val="21"/>
                <w:lang w:val="en-US" w:eastAsia="zh-CN"/>
              </w:rPr>
            </w:pPr>
          </w:p>
        </w:tc>
      </w:tr>
      <w:tr w14:paraId="24C0AFD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66" w:type="dxa"/>
            <w:tcBorders>
              <w:tl2br w:val="nil"/>
              <w:tr2bl w:val="nil"/>
            </w:tcBorders>
            <w:shd w:val="clear" w:color="auto" w:fill="auto"/>
            <w:vAlign w:val="center"/>
          </w:tcPr>
          <w:p w14:paraId="7C167E5E">
            <w:pPr>
              <w:pStyle w:val="19"/>
              <w:spacing w:before="78" w:line="231" w:lineRule="auto"/>
              <w:ind w:left="0" w:leftChars="0" w:right="0" w:rightChars="0" w:firstLine="0" w:firstLineChars="0"/>
              <w:jc w:val="center"/>
              <w:rPr>
                <w:rFonts w:hint="eastAsia" w:ascii="宋体" w:hAnsi="宋体" w:eastAsia="宋体" w:cs="宋体"/>
                <w:snapToGrid w:val="0"/>
                <w:color w:val="auto"/>
                <w:kern w:val="0"/>
                <w:sz w:val="24"/>
                <w:szCs w:val="24"/>
                <w:lang w:val="en-US" w:eastAsia="zh-CN" w:bidi="ar-SA"/>
              </w:rPr>
            </w:pPr>
            <w:r>
              <w:rPr>
                <w:rFonts w:hint="eastAsia" w:cs="宋体"/>
                <w:b/>
                <w:bCs/>
                <w:color w:val="auto"/>
                <w:spacing w:val="-3"/>
                <w:lang w:val="en-US" w:eastAsia="zh-CN"/>
              </w:rPr>
              <w:t>评 价 标 准</w:t>
            </w:r>
          </w:p>
        </w:tc>
        <w:tc>
          <w:tcPr>
            <w:tcW w:w="8053" w:type="dxa"/>
            <w:tcBorders>
              <w:tl2br w:val="nil"/>
              <w:tr2bl w:val="nil"/>
            </w:tcBorders>
            <w:shd w:val="clear" w:color="auto" w:fill="auto"/>
            <w:vAlign w:val="top"/>
          </w:tcPr>
          <w:p w14:paraId="610D5E7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70" w:firstLineChars="200"/>
              <w:textAlignment w:val="baseline"/>
              <w:rPr>
                <w:rFonts w:hint="default" w:ascii="Times New Roman" w:hAnsi="Times New Roman" w:eastAsia="宋体" w:cs="Times New Roman"/>
                <w:b/>
                <w:bCs/>
                <w:color w:val="auto"/>
                <w:spacing w:val="-3"/>
                <w:lang w:val="en-US" w:eastAsia="zh-CN"/>
              </w:rPr>
            </w:pPr>
            <w:r>
              <w:rPr>
                <w:rFonts w:hint="eastAsia" w:ascii="Times New Roman" w:hAnsi="Times New Roman" w:eastAsia="宋体" w:cs="Times New Roman"/>
                <w:b/>
                <w:bCs/>
                <w:color w:val="auto"/>
                <w:spacing w:val="-3"/>
                <w:lang w:val="en-US" w:eastAsia="zh-CN"/>
              </w:rPr>
              <w:t>1.环境质量标准</w:t>
            </w:r>
          </w:p>
          <w:p w14:paraId="4DB8776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color w:val="auto"/>
              </w:rPr>
            </w:pPr>
            <w:r>
              <w:rPr>
                <w:rFonts w:ascii="Times New Roman" w:hAnsi="Times New Roman" w:eastAsia="Times New Roman" w:cs="Times New Roman"/>
                <w:b/>
                <w:bCs/>
                <w:color w:val="auto"/>
                <w:spacing w:val="-3"/>
              </w:rPr>
              <w:t>1</w:t>
            </w:r>
            <w:r>
              <w:rPr>
                <w:rFonts w:hint="eastAsia" w:ascii="Times New Roman" w:hAnsi="Times New Roman" w:eastAsia="宋体" w:cs="Times New Roman"/>
                <w:b/>
                <w:bCs/>
                <w:color w:val="auto"/>
                <w:spacing w:val="-3"/>
                <w:lang w:val="en-US" w:eastAsia="zh-CN"/>
              </w:rPr>
              <w:t>.1</w:t>
            </w:r>
            <w:r>
              <w:rPr>
                <w:rFonts w:ascii="Times New Roman" w:hAnsi="Times New Roman" w:eastAsia="Times New Roman" w:cs="Times New Roman"/>
                <w:b/>
                <w:bCs/>
                <w:color w:val="auto"/>
                <w:spacing w:val="-3"/>
              </w:rPr>
              <w:t xml:space="preserve"> </w:t>
            </w:r>
            <w:r>
              <w:rPr>
                <w:b/>
                <w:bCs/>
                <w:color w:val="auto"/>
                <w:spacing w:val="-3"/>
              </w:rPr>
              <w:t>大气环境质量标准</w:t>
            </w:r>
          </w:p>
          <w:p w14:paraId="5A6B8FF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spacing w:val="-2"/>
              </w:rPr>
            </w:pPr>
            <w:r>
              <w:rPr>
                <w:rFonts w:hint="default" w:ascii="Times New Roman" w:hAnsi="Times New Roman" w:cs="Times New Roman"/>
                <w:color w:val="auto"/>
                <w:spacing w:val="-2"/>
              </w:rPr>
              <w:t>空气环境质量执行《环境空气质量标准》（GB</w:t>
            </w:r>
            <w:r>
              <w:rPr>
                <w:rFonts w:hint="eastAsia" w:ascii="Times New Roman" w:hAnsi="Times New Roman" w:cs="Times New Roman"/>
                <w:color w:val="auto"/>
                <w:spacing w:val="-2"/>
                <w:lang w:val="en-US" w:eastAsia="zh-CN"/>
              </w:rPr>
              <w:t xml:space="preserve"> </w:t>
            </w:r>
            <w:r>
              <w:rPr>
                <w:rFonts w:hint="default" w:ascii="Times New Roman" w:hAnsi="Times New Roman" w:cs="Times New Roman"/>
                <w:color w:val="auto"/>
                <w:spacing w:val="-2"/>
              </w:rPr>
              <w:t>3095-2012）及2018年修改单中的二级标准。主要指标见下表：</w:t>
            </w:r>
          </w:p>
          <w:p w14:paraId="556D71C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b/>
                <w:bCs/>
                <w:color w:val="auto"/>
                <w:spacing w:val="6"/>
                <w:sz w:val="21"/>
                <w:szCs w:val="21"/>
                <w:lang w:val="en-US" w:eastAsia="zh-CN"/>
              </w:rPr>
            </w:pPr>
            <w:r>
              <w:rPr>
                <w:rFonts w:hint="default" w:ascii="Times New Roman" w:hAnsi="Times New Roman" w:cs="Times New Roman"/>
                <w:b/>
                <w:bCs/>
                <w:color w:val="auto"/>
                <w:spacing w:val="6"/>
                <w:sz w:val="21"/>
                <w:szCs w:val="21"/>
                <w:lang w:val="en-US" w:eastAsia="zh-CN"/>
              </w:rPr>
              <w:t>表3-1</w:t>
            </w:r>
            <w:r>
              <w:rPr>
                <w:rFonts w:hint="eastAsia" w:ascii="Times New Roman" w:hAnsi="Times New Roman" w:cs="Times New Roman"/>
                <w:b/>
                <w:bCs/>
                <w:color w:val="auto"/>
                <w:spacing w:val="6"/>
                <w:sz w:val="21"/>
                <w:szCs w:val="21"/>
                <w:lang w:val="en-US" w:eastAsia="zh-CN"/>
              </w:rPr>
              <w:t>3</w:t>
            </w:r>
            <w:r>
              <w:rPr>
                <w:rFonts w:hint="default" w:ascii="Times New Roman" w:hAnsi="Times New Roman" w:cs="Times New Roman"/>
                <w:b/>
                <w:bCs/>
                <w:color w:val="auto"/>
                <w:spacing w:val="6"/>
                <w:sz w:val="21"/>
                <w:szCs w:val="21"/>
                <w:lang w:val="en-US" w:eastAsia="zh-CN"/>
              </w:rPr>
              <w:t xml:space="preserve">  环境空气评价标准</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28"/>
              <w:gridCol w:w="1003"/>
              <w:gridCol w:w="1316"/>
              <w:gridCol w:w="1317"/>
              <w:gridCol w:w="1316"/>
              <w:gridCol w:w="1317"/>
            </w:tblGrid>
            <w:tr w14:paraId="3CE928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628" w:type="dxa"/>
                  <w:vMerge w:val="restart"/>
                  <w:tcBorders>
                    <w:tl2br w:val="nil"/>
                    <w:tr2bl w:val="nil"/>
                  </w:tcBorders>
                  <w:vAlign w:val="center"/>
                </w:tcPr>
                <w:p w14:paraId="3B69AB5E">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标准名称及标准号</w:t>
                  </w:r>
                </w:p>
              </w:tc>
              <w:tc>
                <w:tcPr>
                  <w:tcW w:w="1003" w:type="dxa"/>
                  <w:vMerge w:val="restart"/>
                  <w:tcBorders>
                    <w:tl2br w:val="nil"/>
                    <w:tr2bl w:val="nil"/>
                  </w:tcBorders>
                  <w:vAlign w:val="center"/>
                </w:tcPr>
                <w:p w14:paraId="470FFD36">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级（类）别</w:t>
                  </w:r>
                </w:p>
              </w:tc>
              <w:tc>
                <w:tcPr>
                  <w:tcW w:w="2633" w:type="dxa"/>
                  <w:gridSpan w:val="2"/>
                  <w:vMerge w:val="restart"/>
                  <w:tcBorders>
                    <w:tl2br w:val="nil"/>
                    <w:tr2bl w:val="nil"/>
                  </w:tcBorders>
                  <w:vAlign w:val="center"/>
                </w:tcPr>
                <w:p w14:paraId="2DA54FB4">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污染因子</w:t>
                  </w:r>
                </w:p>
              </w:tc>
              <w:tc>
                <w:tcPr>
                  <w:tcW w:w="2633" w:type="dxa"/>
                  <w:gridSpan w:val="2"/>
                  <w:tcBorders>
                    <w:tl2br w:val="nil"/>
                    <w:tr2bl w:val="nil"/>
                  </w:tcBorders>
                  <w:vAlign w:val="center"/>
                </w:tcPr>
                <w:p w14:paraId="6FE655AA">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标准值</w:t>
                  </w:r>
                </w:p>
              </w:tc>
            </w:tr>
            <w:tr w14:paraId="68AB9E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1628" w:type="dxa"/>
                  <w:vMerge w:val="continue"/>
                  <w:tcBorders>
                    <w:tl2br w:val="nil"/>
                    <w:tr2bl w:val="nil"/>
                  </w:tcBorders>
                  <w:vAlign w:val="center"/>
                </w:tcPr>
                <w:p w14:paraId="1C40F043">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003" w:type="dxa"/>
                  <w:vMerge w:val="continue"/>
                  <w:tcBorders>
                    <w:tl2br w:val="nil"/>
                    <w:tr2bl w:val="nil"/>
                  </w:tcBorders>
                  <w:vAlign w:val="center"/>
                </w:tcPr>
                <w:p w14:paraId="0BFCC2BB">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2633" w:type="dxa"/>
                  <w:gridSpan w:val="2"/>
                  <w:vMerge w:val="continue"/>
                  <w:tcBorders>
                    <w:tl2br w:val="nil"/>
                    <w:tr2bl w:val="nil"/>
                  </w:tcBorders>
                  <w:vAlign w:val="center"/>
                </w:tcPr>
                <w:p w14:paraId="556A983E">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316" w:type="dxa"/>
                  <w:tcBorders>
                    <w:tl2br w:val="nil"/>
                    <w:tr2bl w:val="nil"/>
                  </w:tcBorders>
                  <w:vAlign w:val="center"/>
                </w:tcPr>
                <w:p w14:paraId="32B6CF43">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单位</w:t>
                  </w:r>
                </w:p>
              </w:tc>
              <w:tc>
                <w:tcPr>
                  <w:tcW w:w="1317" w:type="dxa"/>
                  <w:tcBorders>
                    <w:tl2br w:val="nil"/>
                    <w:tr2bl w:val="nil"/>
                  </w:tcBorders>
                  <w:vAlign w:val="center"/>
                </w:tcPr>
                <w:p w14:paraId="066F054C">
                  <w:pPr>
                    <w:widowControl w:val="0"/>
                    <w:snapToGrid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数值</w:t>
                  </w:r>
                </w:p>
              </w:tc>
            </w:tr>
            <w:tr w14:paraId="78E583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restart"/>
                  <w:tcBorders>
                    <w:tl2br w:val="nil"/>
                    <w:tr2bl w:val="nil"/>
                  </w:tcBorders>
                  <w:vAlign w:val="center"/>
                </w:tcPr>
                <w:p w14:paraId="3F02A6B8">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《环境空气质量标准》(GB3095-2012)</w:t>
                  </w:r>
                  <w:r>
                    <w:rPr>
                      <w:rFonts w:hint="default" w:ascii="Times New Roman" w:hAnsi="Times New Roman" w:eastAsia="宋体" w:cs="Times New Roman"/>
                      <w:color w:val="auto"/>
                      <w:sz w:val="21"/>
                      <w:szCs w:val="21"/>
                    </w:rPr>
                    <w:t>及2018年修改单</w:t>
                  </w:r>
                </w:p>
              </w:tc>
              <w:tc>
                <w:tcPr>
                  <w:tcW w:w="1003" w:type="dxa"/>
                  <w:vMerge w:val="restart"/>
                  <w:tcBorders>
                    <w:tl2br w:val="nil"/>
                    <w:tr2bl w:val="nil"/>
                  </w:tcBorders>
                  <w:vAlign w:val="center"/>
                </w:tcPr>
                <w:p w14:paraId="260954F7">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二级</w:t>
                  </w:r>
                </w:p>
              </w:tc>
              <w:tc>
                <w:tcPr>
                  <w:tcW w:w="1316" w:type="dxa"/>
                  <w:tcBorders>
                    <w:tl2br w:val="nil"/>
                    <w:tr2bl w:val="nil"/>
                  </w:tcBorders>
                  <w:shd w:val="clear" w:color="auto" w:fill="auto"/>
                  <w:vAlign w:val="center"/>
                </w:tcPr>
                <w:p w14:paraId="4F9EB3B5">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O₃</w:t>
                  </w:r>
                </w:p>
              </w:tc>
              <w:tc>
                <w:tcPr>
                  <w:tcW w:w="1317" w:type="dxa"/>
                  <w:tcBorders>
                    <w:tl2br w:val="nil"/>
                    <w:tr2bl w:val="nil"/>
                  </w:tcBorders>
                  <w:vAlign w:val="center"/>
                </w:tcPr>
                <w:p w14:paraId="3E5AE013">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日最大8小时</w:t>
                  </w:r>
                </w:p>
              </w:tc>
              <w:tc>
                <w:tcPr>
                  <w:tcW w:w="1316" w:type="dxa"/>
                  <w:tcBorders>
                    <w:tl2br w:val="nil"/>
                    <w:tr2bl w:val="nil"/>
                  </w:tcBorders>
                  <w:shd w:val="clear" w:color="auto" w:fill="auto"/>
                  <w:vAlign w:val="center"/>
                </w:tcPr>
                <w:p w14:paraId="0F3F35A4">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μg/m</w:t>
                  </w:r>
                  <w:r>
                    <w:rPr>
                      <w:rFonts w:hint="default" w:ascii="Times New Roman" w:hAnsi="Times New Roman" w:eastAsia="宋体" w:cs="Times New Roman"/>
                      <w:color w:val="auto"/>
                      <w:sz w:val="21"/>
                      <w:szCs w:val="21"/>
                      <w:vertAlign w:val="superscript"/>
                      <w:lang w:val="en-US" w:eastAsia="zh-CN"/>
                    </w:rPr>
                    <w:t>3</w:t>
                  </w:r>
                </w:p>
              </w:tc>
              <w:tc>
                <w:tcPr>
                  <w:tcW w:w="1317" w:type="dxa"/>
                  <w:tcBorders>
                    <w:tl2br w:val="nil"/>
                    <w:tr2bl w:val="nil"/>
                  </w:tcBorders>
                  <w:shd w:val="clear" w:color="auto" w:fill="auto"/>
                  <w:vAlign w:val="center"/>
                </w:tcPr>
                <w:p w14:paraId="40755F8D">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160</w:t>
                  </w:r>
                </w:p>
              </w:tc>
            </w:tr>
            <w:tr w14:paraId="6CFB1E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continue"/>
                  <w:tcBorders>
                    <w:tl2br w:val="nil"/>
                    <w:tr2bl w:val="nil"/>
                  </w:tcBorders>
                  <w:vAlign w:val="center"/>
                </w:tcPr>
                <w:p w14:paraId="5F8AB1D4">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003" w:type="dxa"/>
                  <w:vMerge w:val="continue"/>
                  <w:tcBorders>
                    <w:tl2br w:val="nil"/>
                    <w:tr2bl w:val="nil"/>
                  </w:tcBorders>
                  <w:vAlign w:val="center"/>
                </w:tcPr>
                <w:p w14:paraId="701C91D8">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52274D32">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SO₂</w:t>
                  </w:r>
                </w:p>
              </w:tc>
              <w:tc>
                <w:tcPr>
                  <w:tcW w:w="1317" w:type="dxa"/>
                  <w:vMerge w:val="restart"/>
                  <w:tcBorders>
                    <w:tl2br w:val="nil"/>
                    <w:tr2bl w:val="nil"/>
                  </w:tcBorders>
                  <w:vAlign w:val="center"/>
                </w:tcPr>
                <w:p w14:paraId="5793004C">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年均值</w:t>
                  </w:r>
                </w:p>
              </w:tc>
              <w:tc>
                <w:tcPr>
                  <w:tcW w:w="1316" w:type="dxa"/>
                  <w:tcBorders>
                    <w:tl2br w:val="nil"/>
                    <w:tr2bl w:val="nil"/>
                  </w:tcBorders>
                  <w:shd w:val="clear" w:color="auto" w:fill="auto"/>
                  <w:vAlign w:val="center"/>
                </w:tcPr>
                <w:p w14:paraId="1F6B76EF">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μg/m</w:t>
                  </w:r>
                  <w:r>
                    <w:rPr>
                      <w:rFonts w:hint="default" w:ascii="Times New Roman" w:hAnsi="Times New Roman" w:eastAsia="宋体" w:cs="Times New Roman"/>
                      <w:color w:val="auto"/>
                      <w:sz w:val="21"/>
                      <w:szCs w:val="21"/>
                      <w:vertAlign w:val="superscript"/>
                      <w:lang w:val="en-US" w:eastAsia="zh-CN"/>
                    </w:rPr>
                    <w:t>3</w:t>
                  </w:r>
                </w:p>
              </w:tc>
              <w:tc>
                <w:tcPr>
                  <w:tcW w:w="1317" w:type="dxa"/>
                  <w:tcBorders>
                    <w:tl2br w:val="nil"/>
                    <w:tr2bl w:val="nil"/>
                  </w:tcBorders>
                  <w:shd w:val="clear" w:color="auto" w:fill="auto"/>
                  <w:vAlign w:val="center"/>
                </w:tcPr>
                <w:p w14:paraId="225273DB">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35</w:t>
                  </w:r>
                </w:p>
              </w:tc>
            </w:tr>
            <w:tr w14:paraId="46AC66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continue"/>
                  <w:tcBorders>
                    <w:tl2br w:val="nil"/>
                    <w:tr2bl w:val="nil"/>
                  </w:tcBorders>
                  <w:vAlign w:val="center"/>
                </w:tcPr>
                <w:p w14:paraId="2D617E25">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003" w:type="dxa"/>
                  <w:vMerge w:val="continue"/>
                  <w:tcBorders>
                    <w:tl2br w:val="nil"/>
                    <w:tr2bl w:val="nil"/>
                  </w:tcBorders>
                  <w:vAlign w:val="center"/>
                </w:tcPr>
                <w:p w14:paraId="3A0C66EA">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78909926">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NO₂</w:t>
                  </w:r>
                </w:p>
              </w:tc>
              <w:tc>
                <w:tcPr>
                  <w:tcW w:w="1317" w:type="dxa"/>
                  <w:vMerge w:val="continue"/>
                  <w:tcBorders>
                    <w:tl2br w:val="nil"/>
                    <w:tr2bl w:val="nil"/>
                  </w:tcBorders>
                  <w:vAlign w:val="center"/>
                </w:tcPr>
                <w:p w14:paraId="707D78DA">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3F3DAD32">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μg/m³</w:t>
                  </w:r>
                </w:p>
              </w:tc>
              <w:tc>
                <w:tcPr>
                  <w:tcW w:w="1317" w:type="dxa"/>
                  <w:tcBorders>
                    <w:tl2br w:val="nil"/>
                    <w:tr2bl w:val="nil"/>
                  </w:tcBorders>
                  <w:shd w:val="clear" w:color="auto" w:fill="auto"/>
                  <w:vAlign w:val="center"/>
                </w:tcPr>
                <w:p w14:paraId="478D495A">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40</w:t>
                  </w:r>
                </w:p>
              </w:tc>
            </w:tr>
            <w:tr w14:paraId="6F8E23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continue"/>
                  <w:tcBorders>
                    <w:tl2br w:val="nil"/>
                    <w:tr2bl w:val="nil"/>
                  </w:tcBorders>
                  <w:vAlign w:val="center"/>
                </w:tcPr>
                <w:p w14:paraId="214F1300">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003" w:type="dxa"/>
                  <w:vMerge w:val="continue"/>
                  <w:tcBorders>
                    <w:tl2br w:val="nil"/>
                    <w:tr2bl w:val="nil"/>
                  </w:tcBorders>
                  <w:vAlign w:val="center"/>
                </w:tcPr>
                <w:p w14:paraId="6B0F8560">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442FE795">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PM10</w:t>
                  </w:r>
                </w:p>
              </w:tc>
              <w:tc>
                <w:tcPr>
                  <w:tcW w:w="1317" w:type="dxa"/>
                  <w:vMerge w:val="continue"/>
                  <w:tcBorders>
                    <w:tl2br w:val="nil"/>
                    <w:tr2bl w:val="nil"/>
                  </w:tcBorders>
                  <w:vAlign w:val="center"/>
                </w:tcPr>
                <w:p w14:paraId="51E5A028">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5BC1B46A">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μg/m</w:t>
                  </w:r>
                  <w:r>
                    <w:rPr>
                      <w:rFonts w:hint="default" w:ascii="Times New Roman" w:hAnsi="Times New Roman" w:eastAsia="宋体" w:cs="Times New Roman"/>
                      <w:color w:val="auto"/>
                      <w:sz w:val="21"/>
                      <w:szCs w:val="21"/>
                      <w:vertAlign w:val="superscript"/>
                      <w:lang w:val="en-US" w:eastAsia="zh-CN"/>
                    </w:rPr>
                    <w:t>3</w:t>
                  </w:r>
                </w:p>
              </w:tc>
              <w:tc>
                <w:tcPr>
                  <w:tcW w:w="1317" w:type="dxa"/>
                  <w:tcBorders>
                    <w:tl2br w:val="nil"/>
                    <w:tr2bl w:val="nil"/>
                  </w:tcBorders>
                  <w:shd w:val="clear" w:color="auto" w:fill="auto"/>
                  <w:vAlign w:val="center"/>
                </w:tcPr>
                <w:p w14:paraId="723D92A8">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70</w:t>
                  </w:r>
                </w:p>
              </w:tc>
            </w:tr>
            <w:tr w14:paraId="16538C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continue"/>
                  <w:tcBorders>
                    <w:tl2br w:val="nil"/>
                    <w:tr2bl w:val="nil"/>
                  </w:tcBorders>
                  <w:vAlign w:val="center"/>
                </w:tcPr>
                <w:p w14:paraId="29CF3028">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003" w:type="dxa"/>
                  <w:vMerge w:val="continue"/>
                  <w:tcBorders>
                    <w:tl2br w:val="nil"/>
                    <w:tr2bl w:val="nil"/>
                  </w:tcBorders>
                  <w:vAlign w:val="center"/>
                </w:tcPr>
                <w:p w14:paraId="45A32EBC">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2AC5E571">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PM2.5</w:t>
                  </w:r>
                </w:p>
              </w:tc>
              <w:tc>
                <w:tcPr>
                  <w:tcW w:w="1317" w:type="dxa"/>
                  <w:vMerge w:val="continue"/>
                  <w:tcBorders>
                    <w:tl2br w:val="nil"/>
                    <w:tr2bl w:val="nil"/>
                  </w:tcBorders>
                  <w:vAlign w:val="center"/>
                </w:tcPr>
                <w:p w14:paraId="484DDAD5">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02A48CAC">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μg/m³</w:t>
                  </w:r>
                </w:p>
              </w:tc>
              <w:tc>
                <w:tcPr>
                  <w:tcW w:w="1317" w:type="dxa"/>
                  <w:tcBorders>
                    <w:tl2br w:val="nil"/>
                    <w:tr2bl w:val="nil"/>
                  </w:tcBorders>
                  <w:shd w:val="clear" w:color="auto" w:fill="auto"/>
                  <w:vAlign w:val="center"/>
                </w:tcPr>
                <w:p w14:paraId="0EC13D28">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35</w:t>
                  </w:r>
                </w:p>
              </w:tc>
            </w:tr>
            <w:tr w14:paraId="6A9181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628" w:type="dxa"/>
                  <w:vMerge w:val="continue"/>
                  <w:tcBorders>
                    <w:tl2br w:val="nil"/>
                    <w:tr2bl w:val="nil"/>
                  </w:tcBorders>
                  <w:vAlign w:val="center"/>
                </w:tcPr>
                <w:p w14:paraId="021C559F">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003" w:type="dxa"/>
                  <w:vMerge w:val="continue"/>
                  <w:tcBorders>
                    <w:tl2br w:val="nil"/>
                    <w:tr2bl w:val="nil"/>
                  </w:tcBorders>
                  <w:vAlign w:val="center"/>
                </w:tcPr>
                <w:p w14:paraId="323CEFA2">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316" w:type="dxa"/>
                  <w:tcBorders>
                    <w:tl2br w:val="nil"/>
                    <w:tr2bl w:val="nil"/>
                  </w:tcBorders>
                  <w:shd w:val="clear" w:color="auto" w:fill="auto"/>
                  <w:vAlign w:val="center"/>
                </w:tcPr>
                <w:p w14:paraId="21942831">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w:t>
                  </w:r>
                </w:p>
              </w:tc>
              <w:tc>
                <w:tcPr>
                  <w:tcW w:w="1317" w:type="dxa"/>
                  <w:tcBorders>
                    <w:tl2br w:val="nil"/>
                    <w:tr2bl w:val="nil"/>
                  </w:tcBorders>
                  <w:vAlign w:val="center"/>
                </w:tcPr>
                <w:p w14:paraId="042921A4">
                  <w:pPr>
                    <w:widowControl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日均值</w:t>
                  </w:r>
                </w:p>
              </w:tc>
              <w:tc>
                <w:tcPr>
                  <w:tcW w:w="1316" w:type="dxa"/>
                  <w:tcBorders>
                    <w:tl2br w:val="nil"/>
                    <w:tr2bl w:val="nil"/>
                  </w:tcBorders>
                  <w:shd w:val="clear" w:color="auto" w:fill="auto"/>
                  <w:vAlign w:val="center"/>
                </w:tcPr>
                <w:p w14:paraId="19815139">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mg/m³</w:t>
                  </w:r>
                </w:p>
              </w:tc>
              <w:tc>
                <w:tcPr>
                  <w:tcW w:w="1317" w:type="dxa"/>
                  <w:tcBorders>
                    <w:tl2br w:val="nil"/>
                    <w:tr2bl w:val="nil"/>
                  </w:tcBorders>
                  <w:shd w:val="clear" w:color="auto" w:fill="auto"/>
                  <w:vAlign w:val="center"/>
                </w:tcPr>
                <w:p w14:paraId="69C71F72">
                  <w:pPr>
                    <w:widowControl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4</w:t>
                  </w:r>
                </w:p>
              </w:tc>
            </w:tr>
          </w:tbl>
          <w:p w14:paraId="5B28117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ascii="Times New Roman" w:hAnsi="Times New Roman" w:eastAsia="Times New Roman" w:cs="Times New Roman"/>
                <w:b/>
                <w:bCs/>
                <w:color w:val="auto"/>
                <w:spacing w:val="-3"/>
              </w:rPr>
            </w:pPr>
            <w:r>
              <w:rPr>
                <w:rFonts w:hint="eastAsia" w:ascii="Times New Roman" w:hAnsi="Times New Roman" w:eastAsia="Times New Roman" w:cs="Times New Roman"/>
                <w:b/>
                <w:bCs/>
                <w:color w:val="auto"/>
                <w:spacing w:val="-3"/>
                <w:lang w:val="en-US" w:eastAsia="zh-CN"/>
              </w:rPr>
              <w:t xml:space="preserve">1.2 </w:t>
            </w:r>
            <w:r>
              <w:rPr>
                <w:rFonts w:ascii="Times New Roman" w:hAnsi="Times New Roman" w:eastAsia="Times New Roman" w:cs="Times New Roman"/>
                <w:b/>
                <w:bCs/>
                <w:color w:val="auto"/>
                <w:spacing w:val="-3"/>
              </w:rPr>
              <w:t>声环境质量标准</w:t>
            </w:r>
          </w:p>
          <w:p w14:paraId="3C11EF2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cs="Times New Roman"/>
                <w:color w:val="auto"/>
                <w:spacing w:val="-2"/>
              </w:rPr>
            </w:pPr>
            <w:r>
              <w:rPr>
                <w:rFonts w:hint="default" w:ascii="Times New Roman" w:hAnsi="Times New Roman" w:cs="Times New Roman"/>
                <w:color w:val="auto"/>
                <w:spacing w:val="-2"/>
              </w:rPr>
              <w:t>声环境质量执行《声环境质量标准》（GB3096-2008）中的2类区标准。 主要指标见下表：</w:t>
            </w:r>
          </w:p>
          <w:p w14:paraId="5266A07D">
            <w:pPr>
              <w:pStyle w:val="19"/>
              <w:spacing w:before="29" w:line="221" w:lineRule="auto"/>
              <w:ind w:left="0" w:leftChars="0" w:right="0" w:rightChars="0" w:firstLine="0" w:firstLineChars="0"/>
              <w:jc w:val="center"/>
              <w:rPr>
                <w:rFonts w:ascii="Times New Roman" w:hAnsi="Times New Roman" w:eastAsia="Times New Roman" w:cs="Times New Roman"/>
                <w:color w:val="auto"/>
                <w:sz w:val="21"/>
                <w:szCs w:val="21"/>
              </w:rPr>
            </w:pPr>
            <w:r>
              <w:rPr>
                <w:b/>
                <w:bCs/>
                <w:color w:val="auto"/>
                <w:spacing w:val="5"/>
                <w:sz w:val="21"/>
                <w:szCs w:val="21"/>
              </w:rPr>
              <w:t>表</w:t>
            </w:r>
            <w:r>
              <w:rPr>
                <w:rFonts w:ascii="Times New Roman" w:hAnsi="Times New Roman" w:eastAsia="Times New Roman" w:cs="Times New Roman"/>
                <w:b/>
                <w:bCs/>
                <w:color w:val="auto"/>
                <w:spacing w:val="5"/>
                <w:sz w:val="21"/>
                <w:szCs w:val="21"/>
              </w:rPr>
              <w:t>3-1</w:t>
            </w:r>
            <w:r>
              <w:rPr>
                <w:rFonts w:hint="eastAsia" w:ascii="Times New Roman" w:hAnsi="Times New Roman" w:cs="Times New Roman"/>
                <w:b/>
                <w:bCs/>
                <w:color w:val="auto"/>
                <w:spacing w:val="5"/>
                <w:sz w:val="21"/>
                <w:szCs w:val="21"/>
                <w:lang w:val="en-US" w:eastAsia="zh-CN"/>
              </w:rPr>
              <w:t>4</w:t>
            </w:r>
            <w:r>
              <w:rPr>
                <w:rFonts w:ascii="Times New Roman" w:hAnsi="Times New Roman" w:eastAsia="Times New Roman" w:cs="Times New Roman"/>
                <w:b/>
                <w:bCs/>
                <w:color w:val="auto"/>
                <w:spacing w:val="5"/>
                <w:sz w:val="21"/>
                <w:szCs w:val="21"/>
              </w:rPr>
              <w:t xml:space="preserve">  </w:t>
            </w:r>
            <w:r>
              <w:rPr>
                <w:b/>
                <w:bCs/>
                <w:color w:val="auto"/>
                <w:spacing w:val="5"/>
                <w:sz w:val="21"/>
                <w:szCs w:val="21"/>
              </w:rPr>
              <w:t>声环境评价标准</w:t>
            </w:r>
          </w:p>
          <w:p w14:paraId="59E4BB22">
            <w:pPr>
              <w:spacing w:line="17" w:lineRule="auto"/>
              <w:rPr>
                <w:rFonts w:ascii="Arial"/>
                <w:color w:val="auto"/>
                <w:sz w:val="21"/>
                <w:szCs w:val="21"/>
              </w:rPr>
            </w:pPr>
          </w:p>
          <w:tbl>
            <w:tblPr>
              <w:tblStyle w:val="18"/>
              <w:tblW w:w="789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634"/>
              <w:gridCol w:w="2632"/>
              <w:gridCol w:w="2632"/>
            </w:tblGrid>
            <w:tr w14:paraId="45763A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2634" w:type="dxa"/>
                  <w:tcBorders>
                    <w:tl2br w:val="nil"/>
                    <w:tr2bl w:val="nil"/>
                  </w:tcBorders>
                  <w:vAlign w:val="center"/>
                </w:tcPr>
                <w:p w14:paraId="165348D9">
                  <w:pPr>
                    <w:pStyle w:val="19"/>
                    <w:spacing w:before="96" w:line="228" w:lineRule="auto"/>
                    <w:ind w:left="0" w:leftChars="0" w:right="0" w:rightChars="0" w:firstLine="0" w:firstLineChars="0"/>
                    <w:jc w:val="center"/>
                    <w:rPr>
                      <w:color w:val="auto"/>
                      <w:sz w:val="21"/>
                      <w:szCs w:val="21"/>
                    </w:rPr>
                  </w:pPr>
                  <w:r>
                    <w:rPr>
                      <w:b/>
                      <w:bCs/>
                      <w:color w:val="auto"/>
                      <w:spacing w:val="5"/>
                      <w:sz w:val="21"/>
                      <w:szCs w:val="21"/>
                    </w:rPr>
                    <w:t>功能类型</w:t>
                  </w:r>
                </w:p>
              </w:tc>
              <w:tc>
                <w:tcPr>
                  <w:tcW w:w="2632" w:type="dxa"/>
                  <w:tcBorders>
                    <w:tl2br w:val="nil"/>
                    <w:tr2bl w:val="nil"/>
                  </w:tcBorders>
                  <w:vAlign w:val="center"/>
                </w:tcPr>
                <w:p w14:paraId="35B2F0B6">
                  <w:pPr>
                    <w:pStyle w:val="19"/>
                    <w:spacing w:before="96" w:line="228" w:lineRule="auto"/>
                    <w:ind w:left="0" w:leftChars="0" w:right="0" w:rightChars="0" w:firstLine="0" w:firstLineChars="0"/>
                    <w:jc w:val="center"/>
                    <w:rPr>
                      <w:rFonts w:hint="eastAsia" w:eastAsia="宋体"/>
                      <w:color w:val="auto"/>
                      <w:sz w:val="21"/>
                      <w:szCs w:val="21"/>
                      <w:lang w:eastAsia="zh-CN"/>
                    </w:rPr>
                  </w:pPr>
                  <w:r>
                    <w:rPr>
                      <w:b/>
                      <w:bCs/>
                      <w:color w:val="auto"/>
                      <w:spacing w:val="6"/>
                      <w:sz w:val="21"/>
                      <w:szCs w:val="21"/>
                    </w:rPr>
                    <w:t>昼间标准</w:t>
                  </w:r>
                  <w:r>
                    <w:rPr>
                      <w:rFonts w:hint="eastAsia"/>
                      <w:b/>
                      <w:bCs/>
                      <w:color w:val="auto"/>
                      <w:spacing w:val="6"/>
                      <w:sz w:val="21"/>
                      <w:szCs w:val="21"/>
                      <w:lang w:eastAsia="zh-CN"/>
                    </w:rPr>
                    <w:t>（</w:t>
                  </w:r>
                  <w:r>
                    <w:rPr>
                      <w:rFonts w:ascii="Times New Roman" w:hAnsi="Times New Roman" w:eastAsia="Times New Roman" w:cs="Times New Roman"/>
                      <w:b/>
                      <w:bCs/>
                      <w:color w:val="auto"/>
                      <w:sz w:val="21"/>
                      <w:szCs w:val="21"/>
                    </w:rPr>
                    <w:t>dB</w:t>
                  </w:r>
                  <w:r>
                    <w:rPr>
                      <w:rFonts w:ascii="Times New Roman" w:hAnsi="Times New Roman" w:eastAsia="Times New Roman" w:cs="Times New Roman"/>
                      <w:b/>
                      <w:bCs/>
                      <w:color w:val="auto"/>
                      <w:spacing w:val="5"/>
                      <w:sz w:val="21"/>
                      <w:szCs w:val="21"/>
                    </w:rPr>
                    <w:t>(A)</w:t>
                  </w:r>
                  <w:r>
                    <w:rPr>
                      <w:rFonts w:hint="eastAsia"/>
                      <w:b/>
                      <w:bCs/>
                      <w:color w:val="auto"/>
                      <w:spacing w:val="6"/>
                      <w:sz w:val="21"/>
                      <w:szCs w:val="21"/>
                      <w:lang w:eastAsia="zh-CN"/>
                    </w:rPr>
                    <w:t>）</w:t>
                  </w:r>
                </w:p>
              </w:tc>
              <w:tc>
                <w:tcPr>
                  <w:tcW w:w="2632" w:type="dxa"/>
                  <w:tcBorders>
                    <w:tl2br w:val="nil"/>
                    <w:tr2bl w:val="nil"/>
                  </w:tcBorders>
                  <w:vAlign w:val="center"/>
                </w:tcPr>
                <w:p w14:paraId="09ED89A5">
                  <w:pPr>
                    <w:pStyle w:val="19"/>
                    <w:spacing w:before="96" w:line="228" w:lineRule="auto"/>
                    <w:ind w:left="0" w:leftChars="0" w:right="0" w:rightChars="0" w:firstLine="0" w:firstLineChars="0"/>
                    <w:jc w:val="center"/>
                    <w:rPr>
                      <w:color w:val="auto"/>
                      <w:sz w:val="21"/>
                      <w:szCs w:val="21"/>
                    </w:rPr>
                  </w:pPr>
                  <w:r>
                    <w:rPr>
                      <w:b/>
                      <w:bCs/>
                      <w:color w:val="auto"/>
                      <w:spacing w:val="5"/>
                      <w:sz w:val="21"/>
                      <w:szCs w:val="21"/>
                    </w:rPr>
                    <w:t>夜间标准</w:t>
                  </w:r>
                  <w:r>
                    <w:rPr>
                      <w:rFonts w:ascii="Times New Roman" w:hAnsi="Times New Roman" w:eastAsia="Times New Roman" w:cs="Times New Roman"/>
                      <w:b/>
                      <w:bCs/>
                      <w:color w:val="auto"/>
                      <w:sz w:val="21"/>
                      <w:szCs w:val="21"/>
                    </w:rPr>
                    <w:t>dB</w:t>
                  </w:r>
                  <w:r>
                    <w:rPr>
                      <w:rFonts w:ascii="Times New Roman" w:hAnsi="Times New Roman" w:eastAsia="Times New Roman" w:cs="Times New Roman"/>
                      <w:b/>
                      <w:bCs/>
                      <w:color w:val="auto"/>
                      <w:spacing w:val="5"/>
                      <w:sz w:val="21"/>
                      <w:szCs w:val="21"/>
                    </w:rPr>
                    <w:t>(A)</w:t>
                  </w:r>
                  <w:r>
                    <w:rPr>
                      <w:rFonts w:hint="eastAsia"/>
                      <w:b/>
                      <w:bCs/>
                      <w:color w:val="auto"/>
                      <w:spacing w:val="6"/>
                      <w:sz w:val="21"/>
                      <w:szCs w:val="21"/>
                      <w:lang w:eastAsia="zh-CN"/>
                    </w:rPr>
                    <w:t>）</w:t>
                  </w:r>
                </w:p>
              </w:tc>
            </w:tr>
            <w:tr w14:paraId="2206D4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2634" w:type="dxa"/>
                  <w:tcBorders>
                    <w:tl2br w:val="nil"/>
                    <w:tr2bl w:val="nil"/>
                  </w:tcBorders>
                  <w:vAlign w:val="center"/>
                </w:tcPr>
                <w:p w14:paraId="21E16E25">
                  <w:pPr>
                    <w:spacing w:before="141" w:line="195" w:lineRule="auto"/>
                    <w:ind w:left="0" w:leftChars="0" w:right="0" w:rightChars="0"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2632" w:type="dxa"/>
                  <w:tcBorders>
                    <w:tl2br w:val="nil"/>
                    <w:tr2bl w:val="nil"/>
                  </w:tcBorders>
                  <w:vAlign w:val="center"/>
                </w:tcPr>
                <w:p w14:paraId="32C7D1C8">
                  <w:pPr>
                    <w:spacing w:before="141" w:line="195" w:lineRule="auto"/>
                    <w:ind w:left="0" w:leftChars="0" w:right="0" w:rightChars="0"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60</w:t>
                  </w:r>
                </w:p>
              </w:tc>
              <w:tc>
                <w:tcPr>
                  <w:tcW w:w="2632" w:type="dxa"/>
                  <w:tcBorders>
                    <w:tl2br w:val="nil"/>
                    <w:tr2bl w:val="nil"/>
                  </w:tcBorders>
                  <w:vAlign w:val="center"/>
                </w:tcPr>
                <w:p w14:paraId="1DA1780E">
                  <w:pPr>
                    <w:spacing w:before="141" w:line="195" w:lineRule="auto"/>
                    <w:ind w:left="0" w:leftChars="0" w:right="0" w:rightChars="0"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50</w:t>
                  </w:r>
                </w:p>
              </w:tc>
            </w:tr>
          </w:tbl>
          <w:p w14:paraId="572621D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1.3 地表水环境质量标准</w:t>
            </w:r>
          </w:p>
          <w:p w14:paraId="24991987">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default" w:ascii="Times New Roman" w:hAnsi="Times New Roman" w:cs="Times New Roman"/>
                <w:color w:val="auto"/>
                <w:spacing w:val="-2"/>
                <w:highlight w:val="none"/>
              </w:rPr>
            </w:pPr>
            <w:r>
              <w:rPr>
                <w:rFonts w:hint="default" w:ascii="Times New Roman" w:hAnsi="Times New Roman" w:cs="Times New Roman"/>
                <w:color w:val="auto"/>
                <w:spacing w:val="-2"/>
              </w:rPr>
              <w:t>所在地主要地表水体为</w:t>
            </w:r>
            <w:r>
              <w:rPr>
                <w:rFonts w:hint="default" w:ascii="Times New Roman" w:hAnsi="Times New Roman" w:cs="Times New Roman"/>
                <w:color w:val="auto"/>
                <w:spacing w:val="-2"/>
                <w:lang w:val="en-US" w:eastAsia="zh-CN"/>
              </w:rPr>
              <w:t>羊槽</w:t>
            </w:r>
            <w:r>
              <w:rPr>
                <w:rFonts w:hint="default" w:ascii="Times New Roman" w:hAnsi="Times New Roman" w:cs="Times New Roman"/>
                <w:color w:val="auto"/>
                <w:spacing w:val="-2"/>
              </w:rPr>
              <w:t>河，水质执行《地表水环境质量标准》（G</w:t>
            </w:r>
            <w:r>
              <w:rPr>
                <w:rFonts w:hint="default" w:ascii="Times New Roman" w:hAnsi="Times New Roman" w:cs="Times New Roman"/>
                <w:color w:val="auto"/>
                <w:spacing w:val="-2"/>
                <w:lang w:val="en-US" w:eastAsia="zh-CN"/>
              </w:rPr>
              <w:t>B</w:t>
            </w:r>
            <w:r>
              <w:rPr>
                <w:rFonts w:hint="default" w:ascii="Times New Roman" w:hAnsi="Times New Roman" w:cs="Times New Roman"/>
                <w:color w:val="auto"/>
                <w:spacing w:val="-2"/>
              </w:rPr>
              <w:t>3838-2002）表1中</w:t>
            </w:r>
            <w:r>
              <w:rPr>
                <w:rFonts w:hint="default" w:ascii="Times New Roman" w:hAnsi="Times New Roman" w:cs="Times New Roman"/>
                <w:color w:val="auto"/>
                <w:spacing w:val="-2"/>
                <w:lang w:eastAsia="zh-CN"/>
              </w:rPr>
              <w:t>Ⅳ类</w:t>
            </w:r>
            <w:r>
              <w:rPr>
                <w:rFonts w:hint="default" w:ascii="Times New Roman" w:hAnsi="Times New Roman" w:cs="Times New Roman"/>
                <w:color w:val="auto"/>
                <w:spacing w:val="-2"/>
                <w:highlight w:val="none"/>
              </w:rPr>
              <w:t>标准。主要指标见下表：</w:t>
            </w:r>
          </w:p>
          <w:p w14:paraId="5B0BAFB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b/>
                <w:bCs/>
                <w:color w:val="auto"/>
                <w:spacing w:val="6"/>
                <w:sz w:val="21"/>
                <w:szCs w:val="21"/>
                <w:highlight w:val="none"/>
                <w:lang w:val="en-US" w:eastAsia="zh-CN"/>
              </w:rPr>
            </w:pPr>
            <w:r>
              <w:rPr>
                <w:rFonts w:hint="eastAsia" w:ascii="Times New Roman" w:hAnsi="Times New Roman" w:cs="Times New Roman"/>
                <w:b/>
                <w:bCs/>
                <w:color w:val="auto"/>
                <w:spacing w:val="6"/>
                <w:sz w:val="21"/>
                <w:szCs w:val="21"/>
                <w:highlight w:val="none"/>
                <w:lang w:val="en-US" w:eastAsia="zh-CN"/>
              </w:rPr>
              <w:t>表3-15  地表水环境评价标准</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85"/>
              <w:gridCol w:w="780"/>
              <w:gridCol w:w="660"/>
              <w:gridCol w:w="1935"/>
              <w:gridCol w:w="1184"/>
            </w:tblGrid>
            <w:tr w14:paraId="190B5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6" w:type="dxa"/>
                  <w:tcBorders>
                    <w:tl2br w:val="nil"/>
                    <w:tr2bl w:val="nil"/>
                  </w:tcBorders>
                  <w:vAlign w:val="center"/>
                </w:tcPr>
                <w:p w14:paraId="535BD7EC">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序号</w:t>
                  </w:r>
                </w:p>
              </w:tc>
              <w:tc>
                <w:tcPr>
                  <w:tcW w:w="2685" w:type="dxa"/>
                  <w:tcBorders>
                    <w:tl2br w:val="nil"/>
                    <w:tr2bl w:val="nil"/>
                  </w:tcBorders>
                  <w:vAlign w:val="center"/>
                </w:tcPr>
                <w:p w14:paraId="747B3C56">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评价因子</w:t>
                  </w:r>
                </w:p>
              </w:tc>
              <w:tc>
                <w:tcPr>
                  <w:tcW w:w="780" w:type="dxa"/>
                  <w:tcBorders>
                    <w:tl2br w:val="nil"/>
                    <w:tr2bl w:val="nil"/>
                  </w:tcBorders>
                  <w:vAlign w:val="center"/>
                </w:tcPr>
                <w:p w14:paraId="71DD4414">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标准限值</w:t>
                  </w:r>
                </w:p>
              </w:tc>
              <w:tc>
                <w:tcPr>
                  <w:tcW w:w="660" w:type="dxa"/>
                  <w:tcBorders>
                    <w:tl2br w:val="nil"/>
                    <w:tr2bl w:val="nil"/>
                  </w:tcBorders>
                  <w:vAlign w:val="center"/>
                </w:tcPr>
                <w:p w14:paraId="06A72772">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序号</w:t>
                  </w:r>
                </w:p>
              </w:tc>
              <w:tc>
                <w:tcPr>
                  <w:tcW w:w="1935" w:type="dxa"/>
                  <w:tcBorders>
                    <w:tl2br w:val="nil"/>
                    <w:tr2bl w:val="nil"/>
                  </w:tcBorders>
                  <w:vAlign w:val="center"/>
                </w:tcPr>
                <w:p w14:paraId="62EBF9A2">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评价因子</w:t>
                  </w:r>
                </w:p>
              </w:tc>
              <w:tc>
                <w:tcPr>
                  <w:tcW w:w="1184" w:type="dxa"/>
                  <w:tcBorders>
                    <w:tl2br w:val="nil"/>
                    <w:tr2bl w:val="nil"/>
                  </w:tcBorders>
                  <w:vAlign w:val="center"/>
                </w:tcPr>
                <w:p w14:paraId="202ED4EF">
                  <w:pPr>
                    <w:pStyle w:val="19"/>
                    <w:widowControl w:val="0"/>
                    <w:spacing w:before="96" w:line="228" w:lineRule="auto"/>
                    <w:ind w:left="0" w:leftChars="0" w:right="0" w:rightChars="0" w:firstLine="0" w:firstLineChars="0"/>
                    <w:jc w:val="center"/>
                    <w:rPr>
                      <w:rFonts w:hint="default"/>
                      <w:b/>
                      <w:bCs/>
                      <w:color w:val="auto"/>
                      <w:spacing w:val="5"/>
                      <w:sz w:val="21"/>
                      <w:szCs w:val="21"/>
                      <w:lang w:val="en-US" w:eastAsia="zh-CN"/>
                    </w:rPr>
                  </w:pPr>
                  <w:r>
                    <w:rPr>
                      <w:rFonts w:hint="eastAsia"/>
                      <w:b/>
                      <w:bCs/>
                      <w:color w:val="auto"/>
                      <w:spacing w:val="5"/>
                      <w:sz w:val="21"/>
                      <w:szCs w:val="21"/>
                      <w:lang w:val="en-US" w:eastAsia="zh-CN"/>
                    </w:rPr>
                    <w:t>标准限值</w:t>
                  </w:r>
                </w:p>
              </w:tc>
            </w:tr>
            <w:tr w14:paraId="25936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6" w:type="dxa"/>
                  <w:tcBorders>
                    <w:tl2br w:val="nil"/>
                    <w:tr2bl w:val="nil"/>
                  </w:tcBorders>
                  <w:shd w:val="clear" w:color="auto" w:fill="auto"/>
                  <w:vAlign w:val="center"/>
                </w:tcPr>
                <w:p w14:paraId="3D101F7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w:t>
                  </w:r>
                </w:p>
              </w:tc>
              <w:tc>
                <w:tcPr>
                  <w:tcW w:w="2685" w:type="dxa"/>
                  <w:tcBorders>
                    <w:tl2br w:val="nil"/>
                    <w:tr2bl w:val="nil"/>
                  </w:tcBorders>
                  <w:shd w:val="clear" w:color="auto" w:fill="auto"/>
                  <w:vAlign w:val="center"/>
                </w:tcPr>
                <w:p w14:paraId="65AC01D7">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pH</w:t>
                  </w:r>
                </w:p>
              </w:tc>
              <w:tc>
                <w:tcPr>
                  <w:tcW w:w="780" w:type="dxa"/>
                  <w:tcBorders>
                    <w:tl2br w:val="nil"/>
                    <w:tr2bl w:val="nil"/>
                  </w:tcBorders>
                  <w:shd w:val="clear" w:color="auto" w:fill="auto"/>
                  <w:vAlign w:val="center"/>
                </w:tcPr>
                <w:p w14:paraId="3E0BF5A7">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6～9</w:t>
                  </w:r>
                </w:p>
              </w:tc>
              <w:tc>
                <w:tcPr>
                  <w:tcW w:w="660" w:type="dxa"/>
                  <w:tcBorders>
                    <w:tl2br w:val="nil"/>
                    <w:tr2bl w:val="nil"/>
                  </w:tcBorders>
                  <w:shd w:val="clear" w:color="auto" w:fill="auto"/>
                  <w:vAlign w:val="center"/>
                </w:tcPr>
                <w:p w14:paraId="25D4EFD0">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12</w:t>
                  </w:r>
                </w:p>
              </w:tc>
              <w:tc>
                <w:tcPr>
                  <w:tcW w:w="1935" w:type="dxa"/>
                  <w:tcBorders>
                    <w:tl2br w:val="nil"/>
                    <w:tr2bl w:val="nil"/>
                  </w:tcBorders>
                  <w:shd w:val="clear" w:color="auto" w:fill="auto"/>
                  <w:vAlign w:val="center"/>
                </w:tcPr>
                <w:p w14:paraId="038FE0D9">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砷</w:t>
                  </w:r>
                </w:p>
              </w:tc>
              <w:tc>
                <w:tcPr>
                  <w:tcW w:w="1184" w:type="dxa"/>
                  <w:tcBorders>
                    <w:tl2br w:val="nil"/>
                    <w:tr2bl w:val="nil"/>
                  </w:tcBorders>
                  <w:shd w:val="clear" w:color="auto" w:fill="auto"/>
                  <w:vAlign w:val="center"/>
                </w:tcPr>
                <w:p w14:paraId="03B27D7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≤0.1</w:t>
                  </w:r>
                </w:p>
              </w:tc>
            </w:tr>
            <w:tr w14:paraId="0C977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614C5EEB">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2</w:t>
                  </w:r>
                </w:p>
              </w:tc>
              <w:tc>
                <w:tcPr>
                  <w:tcW w:w="2685" w:type="dxa"/>
                  <w:tcBorders>
                    <w:tl2br w:val="nil"/>
                    <w:tr2bl w:val="nil"/>
                  </w:tcBorders>
                  <w:shd w:val="clear" w:color="auto" w:fill="auto"/>
                  <w:vAlign w:val="center"/>
                </w:tcPr>
                <w:p w14:paraId="043FF3E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溶解氧</w:t>
                  </w:r>
                </w:p>
              </w:tc>
              <w:tc>
                <w:tcPr>
                  <w:tcW w:w="780" w:type="dxa"/>
                  <w:tcBorders>
                    <w:tl2br w:val="nil"/>
                    <w:tr2bl w:val="nil"/>
                  </w:tcBorders>
                  <w:shd w:val="clear" w:color="auto" w:fill="auto"/>
                  <w:vAlign w:val="center"/>
                </w:tcPr>
                <w:p w14:paraId="12368DE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≥3</w:t>
                  </w:r>
                </w:p>
              </w:tc>
              <w:tc>
                <w:tcPr>
                  <w:tcW w:w="660" w:type="dxa"/>
                  <w:tcBorders>
                    <w:tl2br w:val="nil"/>
                    <w:tr2bl w:val="nil"/>
                  </w:tcBorders>
                  <w:shd w:val="clear" w:color="auto" w:fill="auto"/>
                  <w:vAlign w:val="center"/>
                </w:tcPr>
                <w:p w14:paraId="76A484C1">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13</w:t>
                  </w:r>
                </w:p>
              </w:tc>
              <w:tc>
                <w:tcPr>
                  <w:tcW w:w="1935" w:type="dxa"/>
                  <w:tcBorders>
                    <w:tl2br w:val="nil"/>
                    <w:tr2bl w:val="nil"/>
                  </w:tcBorders>
                  <w:shd w:val="clear" w:color="auto" w:fill="auto"/>
                  <w:vAlign w:val="center"/>
                </w:tcPr>
                <w:p w14:paraId="691BB4D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总氮（以 N 计）</w:t>
                  </w:r>
                </w:p>
              </w:tc>
              <w:tc>
                <w:tcPr>
                  <w:tcW w:w="1184" w:type="dxa"/>
                  <w:tcBorders>
                    <w:tl2br w:val="nil"/>
                    <w:tr2bl w:val="nil"/>
                  </w:tcBorders>
                  <w:shd w:val="clear" w:color="auto" w:fill="auto"/>
                  <w:vAlign w:val="center"/>
                </w:tcPr>
                <w:p w14:paraId="542EF91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≤1.5</w:t>
                  </w:r>
                </w:p>
              </w:tc>
            </w:tr>
            <w:tr w14:paraId="234A5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5BAD0A78">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3</w:t>
                  </w:r>
                </w:p>
              </w:tc>
              <w:tc>
                <w:tcPr>
                  <w:tcW w:w="2685" w:type="dxa"/>
                  <w:tcBorders>
                    <w:tl2br w:val="nil"/>
                    <w:tr2bl w:val="nil"/>
                  </w:tcBorders>
                  <w:shd w:val="clear" w:color="auto" w:fill="auto"/>
                  <w:vAlign w:val="center"/>
                </w:tcPr>
                <w:p w14:paraId="62BA2366">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化学需氧量（COD）</w:t>
                  </w:r>
                </w:p>
              </w:tc>
              <w:tc>
                <w:tcPr>
                  <w:tcW w:w="780" w:type="dxa"/>
                  <w:tcBorders>
                    <w:tl2br w:val="nil"/>
                    <w:tr2bl w:val="nil"/>
                  </w:tcBorders>
                  <w:shd w:val="clear" w:color="auto" w:fill="auto"/>
                  <w:vAlign w:val="center"/>
                </w:tcPr>
                <w:p w14:paraId="695ADD4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≤30</w:t>
                  </w:r>
                </w:p>
              </w:tc>
              <w:tc>
                <w:tcPr>
                  <w:tcW w:w="660" w:type="dxa"/>
                  <w:tcBorders>
                    <w:tl2br w:val="nil"/>
                    <w:tr2bl w:val="nil"/>
                  </w:tcBorders>
                  <w:shd w:val="clear" w:color="auto" w:fill="auto"/>
                  <w:vAlign w:val="center"/>
                </w:tcPr>
                <w:p w14:paraId="32F3B94C">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14</w:t>
                  </w:r>
                </w:p>
              </w:tc>
              <w:tc>
                <w:tcPr>
                  <w:tcW w:w="1935" w:type="dxa"/>
                  <w:tcBorders>
                    <w:tl2br w:val="nil"/>
                    <w:tr2bl w:val="nil"/>
                  </w:tcBorders>
                  <w:shd w:val="clear" w:color="auto" w:fill="auto"/>
                  <w:vAlign w:val="center"/>
                </w:tcPr>
                <w:p w14:paraId="4940CFBD">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汞</w:t>
                  </w:r>
                </w:p>
              </w:tc>
              <w:tc>
                <w:tcPr>
                  <w:tcW w:w="1184" w:type="dxa"/>
                  <w:tcBorders>
                    <w:tl2br w:val="nil"/>
                    <w:tr2bl w:val="nil"/>
                  </w:tcBorders>
                  <w:shd w:val="clear" w:color="auto" w:fill="auto"/>
                  <w:vAlign w:val="center"/>
                </w:tcPr>
                <w:p w14:paraId="30404B65">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≤0.001</w:t>
                  </w:r>
                </w:p>
              </w:tc>
            </w:tr>
            <w:tr w14:paraId="48A01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259ABBD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4</w:t>
                  </w:r>
                </w:p>
              </w:tc>
              <w:tc>
                <w:tcPr>
                  <w:tcW w:w="2685" w:type="dxa"/>
                  <w:tcBorders>
                    <w:tl2br w:val="nil"/>
                    <w:tr2bl w:val="nil"/>
                  </w:tcBorders>
                  <w:shd w:val="clear" w:color="auto" w:fill="auto"/>
                  <w:vAlign w:val="center"/>
                </w:tcPr>
                <w:p w14:paraId="6CC0338B">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五日生化需氧量（BOD</w:t>
                  </w:r>
                  <w:r>
                    <w:rPr>
                      <w:rFonts w:ascii="Times New Roman" w:hAnsi="Times New Roman" w:eastAsia="Times New Roman" w:cs="Times New Roman"/>
                      <w:color w:val="auto"/>
                      <w:sz w:val="21"/>
                      <w:szCs w:val="21"/>
                      <w:vertAlign w:val="subscript"/>
                    </w:rPr>
                    <w:t>5</w:t>
                  </w:r>
                  <w:r>
                    <w:rPr>
                      <w:rFonts w:ascii="Times New Roman" w:hAnsi="Times New Roman" w:eastAsia="Times New Roman" w:cs="Times New Roman"/>
                      <w:color w:val="auto"/>
                      <w:sz w:val="21"/>
                      <w:szCs w:val="21"/>
                    </w:rPr>
                    <w:t>）</w:t>
                  </w:r>
                </w:p>
              </w:tc>
              <w:tc>
                <w:tcPr>
                  <w:tcW w:w="780" w:type="dxa"/>
                  <w:tcBorders>
                    <w:tl2br w:val="nil"/>
                    <w:tr2bl w:val="nil"/>
                  </w:tcBorders>
                  <w:shd w:val="clear" w:color="auto" w:fill="auto"/>
                  <w:vAlign w:val="center"/>
                </w:tcPr>
                <w:p w14:paraId="7AD38BEF">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≤6</w:t>
                  </w:r>
                </w:p>
              </w:tc>
              <w:tc>
                <w:tcPr>
                  <w:tcW w:w="660" w:type="dxa"/>
                  <w:tcBorders>
                    <w:tl2br w:val="nil"/>
                    <w:tr2bl w:val="nil"/>
                  </w:tcBorders>
                  <w:shd w:val="clear" w:color="auto" w:fill="auto"/>
                  <w:vAlign w:val="center"/>
                </w:tcPr>
                <w:p w14:paraId="374E4ED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15</w:t>
                  </w:r>
                </w:p>
              </w:tc>
              <w:tc>
                <w:tcPr>
                  <w:tcW w:w="1935" w:type="dxa"/>
                  <w:tcBorders>
                    <w:tl2br w:val="nil"/>
                    <w:tr2bl w:val="nil"/>
                  </w:tcBorders>
                  <w:shd w:val="clear" w:color="auto" w:fill="auto"/>
                  <w:vAlign w:val="center"/>
                </w:tcPr>
                <w:p w14:paraId="465C3A0C">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铬（六价）</w:t>
                  </w:r>
                </w:p>
              </w:tc>
              <w:tc>
                <w:tcPr>
                  <w:tcW w:w="1184" w:type="dxa"/>
                  <w:tcBorders>
                    <w:tl2br w:val="nil"/>
                    <w:tr2bl w:val="nil"/>
                  </w:tcBorders>
                  <w:shd w:val="clear" w:color="auto" w:fill="auto"/>
                  <w:vAlign w:val="center"/>
                </w:tcPr>
                <w:p w14:paraId="24C55770">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≤0.05</w:t>
                  </w:r>
                </w:p>
              </w:tc>
            </w:tr>
            <w:tr w14:paraId="0B7E3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279E026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5</w:t>
                  </w:r>
                </w:p>
              </w:tc>
              <w:tc>
                <w:tcPr>
                  <w:tcW w:w="2685" w:type="dxa"/>
                  <w:tcBorders>
                    <w:tl2br w:val="nil"/>
                    <w:tr2bl w:val="nil"/>
                  </w:tcBorders>
                  <w:shd w:val="clear" w:color="auto" w:fill="auto"/>
                  <w:vAlign w:val="center"/>
                </w:tcPr>
                <w:p w14:paraId="15E9959B">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氨氮（NH3-N）</w:t>
                  </w:r>
                </w:p>
              </w:tc>
              <w:tc>
                <w:tcPr>
                  <w:tcW w:w="780" w:type="dxa"/>
                  <w:tcBorders>
                    <w:tl2br w:val="nil"/>
                    <w:tr2bl w:val="nil"/>
                  </w:tcBorders>
                  <w:shd w:val="clear" w:color="auto" w:fill="auto"/>
                  <w:vAlign w:val="center"/>
                </w:tcPr>
                <w:p w14:paraId="0A96A2BD">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≤1.5</w:t>
                  </w:r>
                </w:p>
              </w:tc>
              <w:tc>
                <w:tcPr>
                  <w:tcW w:w="660" w:type="dxa"/>
                  <w:tcBorders>
                    <w:tl2br w:val="nil"/>
                    <w:tr2bl w:val="nil"/>
                  </w:tcBorders>
                  <w:shd w:val="clear" w:color="auto" w:fill="auto"/>
                  <w:vAlign w:val="center"/>
                </w:tcPr>
                <w:p w14:paraId="0D280BEB">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16</w:t>
                  </w:r>
                </w:p>
              </w:tc>
              <w:tc>
                <w:tcPr>
                  <w:tcW w:w="1935" w:type="dxa"/>
                  <w:tcBorders>
                    <w:tl2br w:val="nil"/>
                    <w:tr2bl w:val="nil"/>
                  </w:tcBorders>
                  <w:shd w:val="clear" w:color="auto" w:fill="auto"/>
                  <w:vAlign w:val="center"/>
                </w:tcPr>
                <w:p w14:paraId="2620C92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氰化物</w:t>
                  </w:r>
                </w:p>
              </w:tc>
              <w:tc>
                <w:tcPr>
                  <w:tcW w:w="1184" w:type="dxa"/>
                  <w:tcBorders>
                    <w:tl2br w:val="nil"/>
                    <w:tr2bl w:val="nil"/>
                  </w:tcBorders>
                  <w:shd w:val="clear" w:color="auto" w:fill="auto"/>
                  <w:vAlign w:val="center"/>
                </w:tcPr>
                <w:p w14:paraId="450621D9">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≤0.2</w:t>
                  </w:r>
                </w:p>
              </w:tc>
            </w:tr>
            <w:tr w14:paraId="020F3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36180C6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6</w:t>
                  </w:r>
                </w:p>
              </w:tc>
              <w:tc>
                <w:tcPr>
                  <w:tcW w:w="2685" w:type="dxa"/>
                  <w:tcBorders>
                    <w:tl2br w:val="nil"/>
                    <w:tr2bl w:val="nil"/>
                  </w:tcBorders>
                  <w:shd w:val="clear" w:color="auto" w:fill="auto"/>
                  <w:vAlign w:val="center"/>
                </w:tcPr>
                <w:p w14:paraId="128EDD56">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总磷（以 P 计）</w:t>
                  </w:r>
                </w:p>
              </w:tc>
              <w:tc>
                <w:tcPr>
                  <w:tcW w:w="780" w:type="dxa"/>
                  <w:tcBorders>
                    <w:tl2br w:val="nil"/>
                    <w:tr2bl w:val="nil"/>
                  </w:tcBorders>
                  <w:shd w:val="clear" w:color="auto" w:fill="auto"/>
                  <w:vAlign w:val="center"/>
                </w:tcPr>
                <w:p w14:paraId="1C7D885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≤0.3</w:t>
                  </w:r>
                </w:p>
              </w:tc>
              <w:tc>
                <w:tcPr>
                  <w:tcW w:w="660" w:type="dxa"/>
                  <w:tcBorders>
                    <w:tl2br w:val="nil"/>
                    <w:tr2bl w:val="nil"/>
                  </w:tcBorders>
                  <w:shd w:val="clear" w:color="auto" w:fill="auto"/>
                  <w:vAlign w:val="center"/>
                </w:tcPr>
                <w:p w14:paraId="5A66A7D5">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17</w:t>
                  </w:r>
                </w:p>
              </w:tc>
              <w:tc>
                <w:tcPr>
                  <w:tcW w:w="1935" w:type="dxa"/>
                  <w:tcBorders>
                    <w:tl2br w:val="nil"/>
                    <w:tr2bl w:val="nil"/>
                  </w:tcBorders>
                  <w:shd w:val="clear" w:color="auto" w:fill="auto"/>
                  <w:vAlign w:val="center"/>
                </w:tcPr>
                <w:p w14:paraId="2FF24188">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硫化物</w:t>
                  </w:r>
                </w:p>
              </w:tc>
              <w:tc>
                <w:tcPr>
                  <w:tcW w:w="1184" w:type="dxa"/>
                  <w:tcBorders>
                    <w:tl2br w:val="nil"/>
                    <w:tr2bl w:val="nil"/>
                  </w:tcBorders>
                  <w:shd w:val="clear" w:color="auto" w:fill="auto"/>
                  <w:vAlign w:val="center"/>
                </w:tcPr>
                <w:p w14:paraId="49A5935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≤0.5</w:t>
                  </w:r>
                </w:p>
              </w:tc>
            </w:tr>
            <w:tr w14:paraId="21203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1629B4DF">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7</w:t>
                  </w:r>
                </w:p>
              </w:tc>
              <w:tc>
                <w:tcPr>
                  <w:tcW w:w="2685" w:type="dxa"/>
                  <w:tcBorders>
                    <w:tl2br w:val="nil"/>
                    <w:tr2bl w:val="nil"/>
                  </w:tcBorders>
                  <w:shd w:val="clear" w:color="auto" w:fill="auto"/>
                  <w:vAlign w:val="center"/>
                </w:tcPr>
                <w:p w14:paraId="572790F9">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铜</w:t>
                  </w:r>
                </w:p>
              </w:tc>
              <w:tc>
                <w:tcPr>
                  <w:tcW w:w="780" w:type="dxa"/>
                  <w:tcBorders>
                    <w:tl2br w:val="nil"/>
                    <w:tr2bl w:val="nil"/>
                  </w:tcBorders>
                  <w:shd w:val="clear" w:color="auto" w:fill="auto"/>
                  <w:vAlign w:val="center"/>
                </w:tcPr>
                <w:p w14:paraId="0CF15898">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≤1.0</w:t>
                  </w:r>
                </w:p>
              </w:tc>
              <w:tc>
                <w:tcPr>
                  <w:tcW w:w="660" w:type="dxa"/>
                  <w:tcBorders>
                    <w:tl2br w:val="nil"/>
                    <w:tr2bl w:val="nil"/>
                  </w:tcBorders>
                  <w:shd w:val="clear" w:color="auto" w:fill="auto"/>
                  <w:vAlign w:val="center"/>
                </w:tcPr>
                <w:p w14:paraId="17591ED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18</w:t>
                  </w:r>
                </w:p>
              </w:tc>
              <w:tc>
                <w:tcPr>
                  <w:tcW w:w="1935" w:type="dxa"/>
                  <w:tcBorders>
                    <w:tl2br w:val="nil"/>
                    <w:tr2bl w:val="nil"/>
                  </w:tcBorders>
                  <w:shd w:val="clear" w:color="auto" w:fill="auto"/>
                  <w:vAlign w:val="center"/>
                </w:tcPr>
                <w:p w14:paraId="0C55C32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铅</w:t>
                  </w:r>
                </w:p>
              </w:tc>
              <w:tc>
                <w:tcPr>
                  <w:tcW w:w="1184" w:type="dxa"/>
                  <w:tcBorders>
                    <w:tl2br w:val="nil"/>
                    <w:tr2bl w:val="nil"/>
                  </w:tcBorders>
                  <w:shd w:val="clear" w:color="auto" w:fill="auto"/>
                  <w:vAlign w:val="center"/>
                </w:tcPr>
                <w:p w14:paraId="2D916702">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≤0.05</w:t>
                  </w:r>
                </w:p>
              </w:tc>
            </w:tr>
            <w:tr w14:paraId="5FE12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3C579D97">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8</w:t>
                  </w:r>
                </w:p>
              </w:tc>
              <w:tc>
                <w:tcPr>
                  <w:tcW w:w="2685" w:type="dxa"/>
                  <w:tcBorders>
                    <w:tl2br w:val="nil"/>
                    <w:tr2bl w:val="nil"/>
                  </w:tcBorders>
                  <w:shd w:val="clear" w:color="auto" w:fill="auto"/>
                  <w:vAlign w:val="center"/>
                </w:tcPr>
                <w:p w14:paraId="4B74A4DC">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锌</w:t>
                  </w:r>
                </w:p>
              </w:tc>
              <w:tc>
                <w:tcPr>
                  <w:tcW w:w="780" w:type="dxa"/>
                  <w:tcBorders>
                    <w:tl2br w:val="nil"/>
                    <w:tr2bl w:val="nil"/>
                  </w:tcBorders>
                  <w:shd w:val="clear" w:color="auto" w:fill="auto"/>
                  <w:vAlign w:val="center"/>
                </w:tcPr>
                <w:p w14:paraId="5DD4E2B5">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≤2.0</w:t>
                  </w:r>
                </w:p>
              </w:tc>
              <w:tc>
                <w:tcPr>
                  <w:tcW w:w="660" w:type="dxa"/>
                  <w:tcBorders>
                    <w:tl2br w:val="nil"/>
                    <w:tr2bl w:val="nil"/>
                  </w:tcBorders>
                  <w:shd w:val="clear" w:color="auto" w:fill="auto"/>
                  <w:vAlign w:val="center"/>
                </w:tcPr>
                <w:p w14:paraId="45C6C80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19</w:t>
                  </w:r>
                </w:p>
              </w:tc>
              <w:tc>
                <w:tcPr>
                  <w:tcW w:w="1935" w:type="dxa"/>
                  <w:tcBorders>
                    <w:tl2br w:val="nil"/>
                    <w:tr2bl w:val="nil"/>
                  </w:tcBorders>
                  <w:shd w:val="clear" w:color="auto" w:fill="auto"/>
                  <w:vAlign w:val="center"/>
                </w:tcPr>
                <w:p w14:paraId="18F752AF">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石油类</w:t>
                  </w:r>
                </w:p>
              </w:tc>
              <w:tc>
                <w:tcPr>
                  <w:tcW w:w="1184" w:type="dxa"/>
                  <w:tcBorders>
                    <w:tl2br w:val="nil"/>
                    <w:tr2bl w:val="nil"/>
                  </w:tcBorders>
                  <w:shd w:val="clear" w:color="auto" w:fill="auto"/>
                  <w:vAlign w:val="center"/>
                </w:tcPr>
                <w:p w14:paraId="2223DA26">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≤0.5</w:t>
                  </w:r>
                </w:p>
              </w:tc>
            </w:tr>
            <w:tr w14:paraId="08544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15E7D21B">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9</w:t>
                  </w:r>
                </w:p>
              </w:tc>
              <w:tc>
                <w:tcPr>
                  <w:tcW w:w="2685" w:type="dxa"/>
                  <w:tcBorders>
                    <w:tl2br w:val="nil"/>
                    <w:tr2bl w:val="nil"/>
                  </w:tcBorders>
                  <w:shd w:val="clear" w:color="auto" w:fill="auto"/>
                  <w:vAlign w:val="center"/>
                </w:tcPr>
                <w:p w14:paraId="332212A9">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氟化物（以 F</w:t>
                  </w:r>
                  <w:r>
                    <w:rPr>
                      <w:rFonts w:ascii="Times New Roman" w:hAnsi="Times New Roman" w:eastAsia="Times New Roman" w:cs="Times New Roman"/>
                      <w:color w:val="auto"/>
                      <w:sz w:val="21"/>
                      <w:szCs w:val="21"/>
                      <w:vertAlign w:val="superscript"/>
                    </w:rPr>
                    <w:t>-</w:t>
                  </w:r>
                  <w:r>
                    <w:rPr>
                      <w:rFonts w:ascii="Times New Roman" w:hAnsi="Times New Roman" w:eastAsia="Times New Roman" w:cs="Times New Roman"/>
                      <w:color w:val="auto"/>
                      <w:sz w:val="21"/>
                      <w:szCs w:val="21"/>
                    </w:rPr>
                    <w:t>计）</w:t>
                  </w:r>
                </w:p>
              </w:tc>
              <w:tc>
                <w:tcPr>
                  <w:tcW w:w="780" w:type="dxa"/>
                  <w:tcBorders>
                    <w:tl2br w:val="nil"/>
                    <w:tr2bl w:val="nil"/>
                  </w:tcBorders>
                  <w:shd w:val="clear" w:color="auto" w:fill="auto"/>
                  <w:vAlign w:val="center"/>
                </w:tcPr>
                <w:p w14:paraId="4CB45111">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≤1.5</w:t>
                  </w:r>
                </w:p>
              </w:tc>
              <w:tc>
                <w:tcPr>
                  <w:tcW w:w="660" w:type="dxa"/>
                  <w:tcBorders>
                    <w:tl2br w:val="nil"/>
                    <w:tr2bl w:val="nil"/>
                  </w:tcBorders>
                  <w:shd w:val="clear" w:color="auto" w:fill="auto"/>
                  <w:vAlign w:val="center"/>
                </w:tcPr>
                <w:p w14:paraId="7AD2E56F">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20</w:t>
                  </w:r>
                </w:p>
              </w:tc>
              <w:tc>
                <w:tcPr>
                  <w:tcW w:w="1935" w:type="dxa"/>
                  <w:tcBorders>
                    <w:tl2br w:val="nil"/>
                    <w:tr2bl w:val="nil"/>
                  </w:tcBorders>
                  <w:shd w:val="clear" w:color="auto" w:fill="auto"/>
                  <w:vAlign w:val="center"/>
                </w:tcPr>
                <w:p w14:paraId="4125C3AC">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硒</w:t>
                  </w:r>
                </w:p>
              </w:tc>
              <w:tc>
                <w:tcPr>
                  <w:tcW w:w="1184" w:type="dxa"/>
                  <w:tcBorders>
                    <w:tl2br w:val="nil"/>
                    <w:tr2bl w:val="nil"/>
                  </w:tcBorders>
                  <w:shd w:val="clear" w:color="auto" w:fill="auto"/>
                  <w:vAlign w:val="center"/>
                </w:tcPr>
                <w:p w14:paraId="13026F2E">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≤0.02</w:t>
                  </w:r>
                </w:p>
              </w:tc>
            </w:tr>
            <w:tr w14:paraId="740E8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44378368">
                  <w:pPr>
                    <w:widowControl w:val="0"/>
                    <w:spacing w:before="141"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10</w:t>
                  </w:r>
                </w:p>
              </w:tc>
              <w:tc>
                <w:tcPr>
                  <w:tcW w:w="2685" w:type="dxa"/>
                  <w:tcBorders>
                    <w:tl2br w:val="nil"/>
                    <w:tr2bl w:val="nil"/>
                  </w:tcBorders>
                  <w:shd w:val="clear" w:color="auto" w:fill="auto"/>
                  <w:vAlign w:val="center"/>
                </w:tcPr>
                <w:p w14:paraId="204D250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高锰酸钾指数</w:t>
                  </w:r>
                </w:p>
              </w:tc>
              <w:tc>
                <w:tcPr>
                  <w:tcW w:w="780" w:type="dxa"/>
                  <w:tcBorders>
                    <w:tl2br w:val="nil"/>
                    <w:tr2bl w:val="nil"/>
                  </w:tcBorders>
                  <w:shd w:val="clear" w:color="auto" w:fill="auto"/>
                  <w:vAlign w:val="center"/>
                </w:tcPr>
                <w:p w14:paraId="6568E4E1">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≤10</w:t>
                  </w:r>
                </w:p>
              </w:tc>
              <w:tc>
                <w:tcPr>
                  <w:tcW w:w="660" w:type="dxa"/>
                  <w:tcBorders>
                    <w:tl2br w:val="nil"/>
                    <w:tr2bl w:val="nil"/>
                  </w:tcBorders>
                  <w:vAlign w:val="center"/>
                </w:tcPr>
                <w:p w14:paraId="3BB88413">
                  <w:pPr>
                    <w:widowControl w:val="0"/>
                    <w:spacing w:before="141"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21</w:t>
                  </w:r>
                </w:p>
              </w:tc>
              <w:tc>
                <w:tcPr>
                  <w:tcW w:w="1935" w:type="dxa"/>
                  <w:tcBorders>
                    <w:tl2br w:val="nil"/>
                    <w:tr2bl w:val="nil"/>
                  </w:tcBorders>
                  <w:shd w:val="clear" w:color="auto" w:fill="auto"/>
                  <w:vAlign w:val="center"/>
                </w:tcPr>
                <w:p w14:paraId="2FADBF66">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隔</w:t>
                  </w:r>
                </w:p>
              </w:tc>
              <w:tc>
                <w:tcPr>
                  <w:tcW w:w="1184" w:type="dxa"/>
                  <w:tcBorders>
                    <w:tl2br w:val="nil"/>
                    <w:tr2bl w:val="nil"/>
                  </w:tcBorders>
                  <w:shd w:val="clear" w:color="auto" w:fill="auto"/>
                  <w:vAlign w:val="center"/>
                </w:tcPr>
                <w:p w14:paraId="181A9E04">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≤0.005</w:t>
                  </w:r>
                </w:p>
              </w:tc>
            </w:tr>
            <w:tr w14:paraId="2674B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6" w:type="dxa"/>
                  <w:tcBorders>
                    <w:tl2br w:val="nil"/>
                    <w:tr2bl w:val="nil"/>
                  </w:tcBorders>
                  <w:shd w:val="clear" w:color="auto" w:fill="auto"/>
                  <w:vAlign w:val="center"/>
                </w:tcPr>
                <w:p w14:paraId="710CD31A">
                  <w:pPr>
                    <w:widowControl w:val="0"/>
                    <w:spacing w:before="141"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w:t>
                  </w:r>
                </w:p>
              </w:tc>
              <w:tc>
                <w:tcPr>
                  <w:tcW w:w="2685" w:type="dxa"/>
                  <w:tcBorders>
                    <w:tl2br w:val="nil"/>
                    <w:tr2bl w:val="nil"/>
                  </w:tcBorders>
                  <w:shd w:val="clear" w:color="auto" w:fill="auto"/>
                  <w:vAlign w:val="center"/>
                </w:tcPr>
                <w:p w14:paraId="5D505EAD">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挥发酚</w:t>
                  </w:r>
                </w:p>
              </w:tc>
              <w:tc>
                <w:tcPr>
                  <w:tcW w:w="780" w:type="dxa"/>
                  <w:tcBorders>
                    <w:tl2br w:val="nil"/>
                    <w:tr2bl w:val="nil"/>
                  </w:tcBorders>
                  <w:shd w:val="clear" w:color="auto" w:fill="auto"/>
                  <w:vAlign w:val="center"/>
                </w:tcPr>
                <w:p w14:paraId="443B9023">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≤0.01</w:t>
                  </w:r>
                </w:p>
              </w:tc>
              <w:tc>
                <w:tcPr>
                  <w:tcW w:w="660" w:type="dxa"/>
                  <w:tcBorders>
                    <w:tl2br w:val="nil"/>
                    <w:tr2bl w:val="nil"/>
                  </w:tcBorders>
                  <w:vAlign w:val="center"/>
                </w:tcPr>
                <w:p w14:paraId="15B6408F">
                  <w:pPr>
                    <w:widowControl w:val="0"/>
                    <w:spacing w:before="141" w:line="195" w:lineRule="auto"/>
                    <w:ind w:left="0" w:leftChars="0" w:right="0" w:rightChars="0" w:firstLine="0" w:firstLineChars="0"/>
                    <w:jc w:val="center"/>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w:t>
                  </w:r>
                </w:p>
              </w:tc>
              <w:tc>
                <w:tcPr>
                  <w:tcW w:w="1935" w:type="dxa"/>
                  <w:tcBorders>
                    <w:tl2br w:val="nil"/>
                    <w:tr2bl w:val="nil"/>
                  </w:tcBorders>
                  <w:shd w:val="clear" w:color="auto" w:fill="auto"/>
                  <w:vAlign w:val="center"/>
                </w:tcPr>
                <w:p w14:paraId="0D267A01">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阴离子表面活性剂</w:t>
                  </w:r>
                </w:p>
              </w:tc>
              <w:tc>
                <w:tcPr>
                  <w:tcW w:w="1184" w:type="dxa"/>
                  <w:tcBorders>
                    <w:tl2br w:val="nil"/>
                    <w:tr2bl w:val="nil"/>
                  </w:tcBorders>
                  <w:shd w:val="clear" w:color="auto" w:fill="auto"/>
                  <w:vAlign w:val="center"/>
                </w:tcPr>
                <w:p w14:paraId="03FC4CCC">
                  <w:pPr>
                    <w:widowControl w:val="0"/>
                    <w:spacing w:before="141" w:line="195" w:lineRule="auto"/>
                    <w:ind w:left="0" w:leftChars="0" w:right="0" w:rightChars="0" w:firstLine="0" w:firstLineChars="0"/>
                    <w:jc w:val="center"/>
                    <w:rPr>
                      <w:rFonts w:hint="eastAsia" w:ascii="Times New Roman" w:hAnsi="Times New Roman" w:eastAsia="Times New Roman" w:cs="Times New Roman"/>
                      <w:color w:val="auto"/>
                      <w:sz w:val="21"/>
                      <w:szCs w:val="21"/>
                      <w:lang w:val="en-US" w:eastAsia="zh-CN"/>
                    </w:rPr>
                  </w:pPr>
                  <w:r>
                    <w:rPr>
                      <w:rFonts w:ascii="Times New Roman" w:hAnsi="Times New Roman" w:eastAsia="Times New Roman" w:cs="Times New Roman"/>
                      <w:color w:val="auto"/>
                      <w:sz w:val="21"/>
                      <w:szCs w:val="21"/>
                    </w:rPr>
                    <w:t>≤0.3</w:t>
                  </w:r>
                </w:p>
              </w:tc>
            </w:tr>
          </w:tbl>
          <w:p w14:paraId="2361D89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b/>
                <w:bCs/>
                <w:color w:val="auto"/>
                <w:spacing w:val="6"/>
                <w:sz w:val="21"/>
                <w:szCs w:val="21"/>
                <w:highlight w:val="yellow"/>
                <w:lang w:val="en-US" w:eastAsia="zh-CN"/>
              </w:rPr>
            </w:pPr>
          </w:p>
          <w:p w14:paraId="1ACD030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 污染物排放标准</w:t>
            </w:r>
          </w:p>
          <w:p w14:paraId="2694697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2.1 大气污染物排放</w:t>
            </w:r>
          </w:p>
          <w:p w14:paraId="5FB8D0E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宋体" w:cs="Times New Roman"/>
                <w:color w:val="auto"/>
                <w:spacing w:val="-2"/>
                <w:highlight w:val="none"/>
                <w:lang w:val="en-US" w:eastAsia="zh-CN"/>
              </w:rPr>
            </w:pPr>
            <w:r>
              <w:rPr>
                <w:rFonts w:hint="default" w:ascii="Times New Roman" w:hAnsi="Times New Roman" w:eastAsia="宋体" w:cs="Times New Roman"/>
                <w:color w:val="auto"/>
                <w:spacing w:val="-2"/>
                <w:lang w:val="en-US" w:eastAsia="zh-CN"/>
              </w:rPr>
              <w:t>施工期废气执行《大气污染物综合排放标</w:t>
            </w:r>
            <w:r>
              <w:rPr>
                <w:rFonts w:hint="default" w:ascii="Times New Roman" w:hAnsi="Times New Roman" w:eastAsia="宋体" w:cs="Times New Roman"/>
                <w:color w:val="auto"/>
                <w:spacing w:val="-2"/>
                <w:highlight w:val="none"/>
                <w:lang w:val="en-US" w:eastAsia="zh-CN"/>
              </w:rPr>
              <w:t>准》（GB16297-1996）中表2新污染源大气污染物排放限值中无组织排放监控限值。具体详见表</w:t>
            </w:r>
            <w:r>
              <w:rPr>
                <w:rFonts w:hint="eastAsia" w:ascii="Times New Roman" w:hAnsi="Times New Roman" w:eastAsia="宋体" w:cs="Times New Roman"/>
                <w:color w:val="auto"/>
                <w:spacing w:val="-2"/>
                <w:highlight w:val="none"/>
                <w:lang w:val="en-US" w:eastAsia="zh-CN"/>
              </w:rPr>
              <w:t>3-</w:t>
            </w:r>
            <w:r>
              <w:rPr>
                <w:rFonts w:hint="eastAsia" w:ascii="Times New Roman" w:hAnsi="Times New Roman" w:cs="Times New Roman"/>
                <w:color w:val="auto"/>
                <w:spacing w:val="-2"/>
                <w:highlight w:val="none"/>
                <w:lang w:val="en-US" w:eastAsia="zh-CN"/>
              </w:rPr>
              <w:t>16</w:t>
            </w:r>
            <w:r>
              <w:rPr>
                <w:rFonts w:hint="default" w:ascii="Times New Roman" w:hAnsi="Times New Roman" w:eastAsia="宋体" w:cs="Times New Roman"/>
                <w:color w:val="auto"/>
                <w:spacing w:val="-2"/>
                <w:highlight w:val="none"/>
                <w:lang w:val="en-US" w:eastAsia="zh-CN"/>
              </w:rPr>
              <w:t>。</w:t>
            </w:r>
          </w:p>
          <w:p w14:paraId="75FDC64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6"/>
                <w:sz w:val="21"/>
                <w:szCs w:val="21"/>
                <w:highlight w:val="none"/>
                <w:lang w:val="en-US" w:eastAsia="zh-CN"/>
              </w:rPr>
            </w:pPr>
            <w:r>
              <w:rPr>
                <w:rFonts w:hint="eastAsia" w:ascii="Times New Roman" w:hAnsi="Times New Roman" w:eastAsia="宋体" w:cs="Times New Roman"/>
                <w:b/>
                <w:bCs/>
                <w:color w:val="auto"/>
                <w:spacing w:val="6"/>
                <w:sz w:val="21"/>
                <w:szCs w:val="21"/>
                <w:highlight w:val="none"/>
                <w:lang w:val="en-US" w:eastAsia="zh-CN"/>
              </w:rPr>
              <w:t>表3-</w:t>
            </w:r>
            <w:r>
              <w:rPr>
                <w:rFonts w:hint="eastAsia" w:ascii="Times New Roman" w:hAnsi="Times New Roman" w:cs="Times New Roman"/>
                <w:b/>
                <w:bCs/>
                <w:color w:val="auto"/>
                <w:spacing w:val="6"/>
                <w:sz w:val="21"/>
                <w:szCs w:val="21"/>
                <w:highlight w:val="none"/>
                <w:lang w:val="en-US" w:eastAsia="zh-CN"/>
              </w:rPr>
              <w:t>16</w:t>
            </w:r>
            <w:r>
              <w:rPr>
                <w:rFonts w:hint="eastAsia"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val="en-US" w:eastAsia="zh-CN"/>
              </w:rPr>
              <w:t>施工扬尘污染物排放</w:t>
            </w:r>
            <w:r>
              <w:rPr>
                <w:rFonts w:hint="eastAsia" w:ascii="Times New Roman" w:hAnsi="Times New Roman" w:eastAsia="宋体" w:cs="Times New Roman"/>
                <w:b/>
                <w:bCs/>
                <w:color w:val="auto"/>
                <w:spacing w:val="6"/>
                <w:sz w:val="21"/>
                <w:szCs w:val="21"/>
                <w:highlight w:val="none"/>
                <w:lang w:val="en-US" w:eastAsia="zh-CN"/>
              </w:rPr>
              <w:t>标准</w:t>
            </w:r>
          </w:p>
          <w:tbl>
            <w:tblPr>
              <w:tblStyle w:val="16"/>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14:paraId="724F2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46" w:type="dxa"/>
                  <w:vMerge w:val="restart"/>
                  <w:tcBorders>
                    <w:tl2br w:val="nil"/>
                    <w:tr2bl w:val="nil"/>
                  </w:tcBorders>
                  <w:vAlign w:val="center"/>
                </w:tcPr>
                <w:p w14:paraId="4508569F">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w:t>
                  </w:r>
                </w:p>
              </w:tc>
              <w:tc>
                <w:tcPr>
                  <w:tcW w:w="5292" w:type="dxa"/>
                  <w:gridSpan w:val="2"/>
                  <w:tcBorders>
                    <w:tl2br w:val="nil"/>
                    <w:tr2bl w:val="nil"/>
                  </w:tcBorders>
                  <w:vAlign w:val="center"/>
                </w:tcPr>
                <w:p w14:paraId="5454B14D">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无组织排放监控浓度限值</w:t>
                  </w:r>
                </w:p>
              </w:tc>
            </w:tr>
            <w:tr w14:paraId="57469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646" w:type="dxa"/>
                  <w:vMerge w:val="continue"/>
                  <w:tcBorders>
                    <w:tl2br w:val="nil"/>
                    <w:tr2bl w:val="nil"/>
                  </w:tcBorders>
                  <w:vAlign w:val="center"/>
                </w:tcPr>
                <w:p w14:paraId="0561F25C">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2646" w:type="dxa"/>
                  <w:tcBorders>
                    <w:tl2br w:val="nil"/>
                    <w:tr2bl w:val="nil"/>
                  </w:tcBorders>
                  <w:vAlign w:val="center"/>
                </w:tcPr>
                <w:p w14:paraId="08E52B84">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监控点</w:t>
                  </w:r>
                </w:p>
              </w:tc>
              <w:tc>
                <w:tcPr>
                  <w:tcW w:w="2646" w:type="dxa"/>
                  <w:tcBorders>
                    <w:tl2br w:val="nil"/>
                    <w:tr2bl w:val="nil"/>
                  </w:tcBorders>
                  <w:vAlign w:val="center"/>
                </w:tcPr>
                <w:p w14:paraId="33463614">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浓度（mg/m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r>
            <w:tr w14:paraId="73537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46" w:type="dxa"/>
                  <w:tcBorders>
                    <w:tl2br w:val="nil"/>
                    <w:tr2bl w:val="nil"/>
                  </w:tcBorders>
                  <w:vAlign w:val="center"/>
                </w:tcPr>
                <w:p w14:paraId="6A88BB17">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646" w:type="dxa"/>
                  <w:tcBorders>
                    <w:tl2br w:val="nil"/>
                    <w:tr2bl w:val="nil"/>
                  </w:tcBorders>
                  <w:vAlign w:val="center"/>
                </w:tcPr>
                <w:p w14:paraId="012528A9">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周界外浓度最高点</w:t>
                  </w:r>
                </w:p>
              </w:tc>
              <w:tc>
                <w:tcPr>
                  <w:tcW w:w="2646" w:type="dxa"/>
                  <w:tcBorders>
                    <w:tl2br w:val="nil"/>
                    <w:tr2bl w:val="nil"/>
                  </w:tcBorders>
                  <w:vAlign w:val="center"/>
                </w:tcPr>
                <w:p w14:paraId="66A7C2E1">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r>
          </w:tbl>
          <w:p w14:paraId="4B40C6C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2.2 噪声排放标准</w:t>
            </w:r>
          </w:p>
          <w:p w14:paraId="5C746583">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textAlignment w:val="baseline"/>
              <w:rPr>
                <w:rFonts w:hint="default" w:ascii="Times New Roman" w:hAnsi="Times New Roman" w:eastAsia="宋体" w:cs="Times New Roman"/>
                <w:snapToGrid w:val="0"/>
                <w:color w:val="auto"/>
                <w:spacing w:val="-2"/>
                <w:kern w:val="0"/>
                <w:sz w:val="24"/>
                <w:szCs w:val="24"/>
                <w:highlight w:val="none"/>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项目施工期噪</w:t>
            </w:r>
            <w:r>
              <w:rPr>
                <w:rFonts w:hint="default" w:ascii="Times New Roman" w:hAnsi="Times New Roman" w:eastAsia="宋体" w:cs="Times New Roman"/>
                <w:snapToGrid w:val="0"/>
                <w:color w:val="auto"/>
                <w:spacing w:val="-2"/>
                <w:kern w:val="0"/>
                <w:sz w:val="24"/>
                <w:szCs w:val="24"/>
                <w:highlight w:val="none"/>
                <w:lang w:val="en-US" w:eastAsia="zh-CN" w:bidi="ar-SA"/>
              </w:rPr>
              <w:t>声执行《建筑施工场界环境噪声排放标准》（GB</w:t>
            </w:r>
            <w:r>
              <w:rPr>
                <w:rFonts w:hint="eastAsia" w:ascii="Times New Roman" w:hAnsi="Times New Roman" w:eastAsia="宋体" w:cs="Times New Roman"/>
                <w:snapToGrid w:val="0"/>
                <w:color w:val="auto"/>
                <w:spacing w:val="-2"/>
                <w:kern w:val="0"/>
                <w:sz w:val="24"/>
                <w:szCs w:val="24"/>
                <w:highlight w:val="none"/>
                <w:lang w:val="en-US" w:eastAsia="zh-CN" w:bidi="ar-SA"/>
              </w:rPr>
              <w:t xml:space="preserve"> </w:t>
            </w:r>
            <w:r>
              <w:rPr>
                <w:rFonts w:hint="default" w:ascii="Times New Roman" w:hAnsi="Times New Roman" w:eastAsia="宋体" w:cs="Times New Roman"/>
                <w:snapToGrid w:val="0"/>
                <w:color w:val="auto"/>
                <w:spacing w:val="-2"/>
                <w:kern w:val="0"/>
                <w:sz w:val="24"/>
                <w:szCs w:val="24"/>
                <w:highlight w:val="none"/>
                <w:lang w:val="en-US" w:eastAsia="zh-CN" w:bidi="ar-SA"/>
              </w:rPr>
              <w:t>12523-2011）</w:t>
            </w:r>
            <w:r>
              <w:rPr>
                <w:rFonts w:hint="eastAsia" w:ascii="Times New Roman" w:hAnsi="Times New Roman" w:eastAsia="宋体" w:cs="Times New Roman"/>
                <w:snapToGrid w:val="0"/>
                <w:color w:val="auto"/>
                <w:spacing w:val="-2"/>
                <w:kern w:val="0"/>
                <w:sz w:val="24"/>
                <w:szCs w:val="24"/>
                <w:highlight w:val="none"/>
                <w:lang w:val="en-US" w:eastAsia="zh-CN" w:bidi="ar-SA"/>
              </w:rPr>
              <w:t>，具体详</w:t>
            </w:r>
            <w:r>
              <w:rPr>
                <w:rFonts w:hint="default" w:ascii="Times New Roman" w:hAnsi="Times New Roman" w:eastAsia="宋体" w:cs="Times New Roman"/>
                <w:snapToGrid w:val="0"/>
                <w:color w:val="auto"/>
                <w:spacing w:val="-2"/>
                <w:kern w:val="0"/>
                <w:sz w:val="24"/>
                <w:szCs w:val="24"/>
                <w:highlight w:val="none"/>
                <w:lang w:val="en-US" w:eastAsia="zh-CN" w:bidi="ar-SA"/>
              </w:rPr>
              <w:t>见表</w:t>
            </w:r>
            <w:r>
              <w:rPr>
                <w:rFonts w:hint="eastAsia" w:ascii="Times New Roman" w:hAnsi="Times New Roman" w:eastAsia="宋体" w:cs="Times New Roman"/>
                <w:snapToGrid w:val="0"/>
                <w:color w:val="auto"/>
                <w:spacing w:val="-2"/>
                <w:kern w:val="0"/>
                <w:sz w:val="24"/>
                <w:szCs w:val="24"/>
                <w:highlight w:val="none"/>
                <w:lang w:val="en-US" w:eastAsia="zh-CN" w:bidi="ar-SA"/>
              </w:rPr>
              <w:t>3-17</w:t>
            </w:r>
            <w:r>
              <w:rPr>
                <w:rFonts w:hint="default" w:ascii="Times New Roman" w:hAnsi="Times New Roman" w:eastAsia="宋体" w:cs="Times New Roman"/>
                <w:snapToGrid w:val="0"/>
                <w:color w:val="auto"/>
                <w:spacing w:val="-2"/>
                <w:kern w:val="0"/>
                <w:sz w:val="24"/>
                <w:szCs w:val="24"/>
                <w:highlight w:val="none"/>
                <w:lang w:val="en-US" w:eastAsia="zh-CN" w:bidi="ar-SA"/>
              </w:rPr>
              <w:t>。</w:t>
            </w:r>
          </w:p>
          <w:p w14:paraId="75485AC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6"/>
                <w:sz w:val="21"/>
                <w:szCs w:val="21"/>
                <w:highlight w:val="none"/>
                <w:lang w:val="en-US" w:eastAsia="zh-CN"/>
              </w:rPr>
            </w:pPr>
            <w:r>
              <w:rPr>
                <w:rFonts w:hint="eastAsia" w:ascii="Times New Roman" w:hAnsi="Times New Roman" w:eastAsia="宋体" w:cs="Times New Roman"/>
                <w:b/>
                <w:bCs/>
                <w:color w:val="auto"/>
                <w:spacing w:val="6"/>
                <w:sz w:val="21"/>
                <w:szCs w:val="21"/>
                <w:highlight w:val="none"/>
                <w:lang w:val="en-US" w:eastAsia="zh-CN"/>
              </w:rPr>
              <w:t>表3-</w:t>
            </w:r>
            <w:r>
              <w:rPr>
                <w:rFonts w:hint="eastAsia" w:ascii="Times New Roman" w:hAnsi="Times New Roman" w:cs="Times New Roman"/>
                <w:b/>
                <w:bCs/>
                <w:color w:val="auto"/>
                <w:spacing w:val="6"/>
                <w:sz w:val="21"/>
                <w:szCs w:val="21"/>
                <w:highlight w:val="none"/>
                <w:lang w:val="en-US" w:eastAsia="zh-CN"/>
              </w:rPr>
              <w:t>17</w:t>
            </w:r>
            <w:r>
              <w:rPr>
                <w:rFonts w:hint="eastAsia"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val="en-US" w:eastAsia="zh-CN"/>
              </w:rPr>
              <w:t>施工噪声</w:t>
            </w:r>
            <w:r>
              <w:rPr>
                <w:rFonts w:hint="eastAsia" w:ascii="Times New Roman" w:hAnsi="Times New Roman" w:eastAsia="宋体" w:cs="Times New Roman"/>
                <w:b/>
                <w:bCs/>
                <w:color w:val="auto"/>
                <w:spacing w:val="6"/>
                <w:sz w:val="21"/>
                <w:szCs w:val="21"/>
                <w:highlight w:val="none"/>
                <w:lang w:val="en-US" w:eastAsia="zh-CN"/>
              </w:rPr>
              <w:t>排放标准限值</w:t>
            </w:r>
          </w:p>
          <w:tbl>
            <w:tblPr>
              <w:tblStyle w:val="16"/>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8"/>
              <w:gridCol w:w="3710"/>
            </w:tblGrid>
            <w:tr w14:paraId="19BDE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28" w:type="dxa"/>
                  <w:tcBorders>
                    <w:tl2br w:val="nil"/>
                    <w:tr2bl w:val="nil"/>
                  </w:tcBorders>
                  <w:vAlign w:val="center"/>
                </w:tcPr>
                <w:p w14:paraId="4A2FC2E5">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r>
                    <w:rPr>
                      <w:rFonts w:hint="eastAsia"/>
                      <w:b/>
                      <w:bCs/>
                      <w:color w:val="auto"/>
                      <w:spacing w:val="6"/>
                      <w:sz w:val="20"/>
                      <w:szCs w:val="20"/>
                      <w:lang w:eastAsia="zh-CN"/>
                    </w:rPr>
                    <w:t>（</w:t>
                  </w:r>
                  <w:r>
                    <w:rPr>
                      <w:rFonts w:ascii="Times New Roman" w:hAnsi="Times New Roman" w:eastAsia="Times New Roman" w:cs="Times New Roman"/>
                      <w:b/>
                      <w:bCs/>
                      <w:color w:val="auto"/>
                      <w:sz w:val="20"/>
                      <w:szCs w:val="20"/>
                    </w:rPr>
                    <w:t>dB</w:t>
                  </w:r>
                  <w:r>
                    <w:rPr>
                      <w:rFonts w:ascii="Times New Roman" w:hAnsi="Times New Roman" w:eastAsia="Times New Roman" w:cs="Times New Roman"/>
                      <w:b/>
                      <w:bCs/>
                      <w:color w:val="auto"/>
                      <w:spacing w:val="5"/>
                      <w:sz w:val="20"/>
                      <w:szCs w:val="20"/>
                    </w:rPr>
                    <w:t>(A)</w:t>
                  </w:r>
                  <w:r>
                    <w:rPr>
                      <w:rFonts w:hint="eastAsia"/>
                      <w:b/>
                      <w:bCs/>
                      <w:color w:val="auto"/>
                      <w:spacing w:val="6"/>
                      <w:sz w:val="20"/>
                      <w:szCs w:val="20"/>
                      <w:lang w:eastAsia="zh-CN"/>
                    </w:rPr>
                    <w:t>）</w:t>
                  </w:r>
                </w:p>
              </w:tc>
              <w:tc>
                <w:tcPr>
                  <w:tcW w:w="3710" w:type="dxa"/>
                  <w:tcBorders>
                    <w:tl2br w:val="nil"/>
                    <w:tr2bl w:val="nil"/>
                  </w:tcBorders>
                  <w:vAlign w:val="center"/>
                </w:tcPr>
                <w:p w14:paraId="08F45ACC">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夜间</w:t>
                  </w:r>
                  <w:r>
                    <w:rPr>
                      <w:rFonts w:hint="eastAsia"/>
                      <w:b/>
                      <w:bCs/>
                      <w:color w:val="auto"/>
                      <w:spacing w:val="6"/>
                      <w:sz w:val="20"/>
                      <w:szCs w:val="20"/>
                      <w:lang w:eastAsia="zh-CN"/>
                    </w:rPr>
                    <w:t>（</w:t>
                  </w:r>
                  <w:r>
                    <w:rPr>
                      <w:rFonts w:ascii="Times New Roman" w:hAnsi="Times New Roman" w:eastAsia="Times New Roman" w:cs="Times New Roman"/>
                      <w:b/>
                      <w:bCs/>
                      <w:color w:val="auto"/>
                      <w:sz w:val="20"/>
                      <w:szCs w:val="20"/>
                    </w:rPr>
                    <w:t>dB</w:t>
                  </w:r>
                  <w:r>
                    <w:rPr>
                      <w:rFonts w:ascii="Times New Roman" w:hAnsi="Times New Roman" w:eastAsia="Times New Roman" w:cs="Times New Roman"/>
                      <w:b/>
                      <w:bCs/>
                      <w:color w:val="auto"/>
                      <w:spacing w:val="5"/>
                      <w:sz w:val="20"/>
                      <w:szCs w:val="20"/>
                    </w:rPr>
                    <w:t>(A)</w:t>
                  </w:r>
                  <w:r>
                    <w:rPr>
                      <w:rFonts w:hint="eastAsia"/>
                      <w:b/>
                      <w:bCs/>
                      <w:color w:val="auto"/>
                      <w:spacing w:val="6"/>
                      <w:sz w:val="20"/>
                      <w:szCs w:val="20"/>
                      <w:lang w:eastAsia="zh-CN"/>
                    </w:rPr>
                    <w:t>）</w:t>
                  </w:r>
                </w:p>
              </w:tc>
            </w:tr>
            <w:tr w14:paraId="678D4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228" w:type="dxa"/>
                  <w:tcBorders>
                    <w:tl2br w:val="nil"/>
                    <w:tr2bl w:val="nil"/>
                  </w:tcBorders>
                  <w:vAlign w:val="center"/>
                </w:tcPr>
                <w:p w14:paraId="43304014">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70</w:t>
                  </w:r>
                </w:p>
              </w:tc>
              <w:tc>
                <w:tcPr>
                  <w:tcW w:w="3710" w:type="dxa"/>
                  <w:tcBorders>
                    <w:tl2br w:val="nil"/>
                    <w:tr2bl w:val="nil"/>
                  </w:tcBorders>
                  <w:vAlign w:val="center"/>
                </w:tcPr>
                <w:p w14:paraId="38BF27B7">
                  <w:pPr>
                    <w:pStyle w:val="28"/>
                    <w:keepNext w:val="0"/>
                    <w:keepLines w:val="0"/>
                    <w:widowControl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55</w:t>
                  </w:r>
                </w:p>
              </w:tc>
            </w:tr>
          </w:tbl>
          <w:p w14:paraId="1CA8017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2.3 固体废物</w:t>
            </w:r>
          </w:p>
          <w:p w14:paraId="0D007C56">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textAlignment w:val="baseline"/>
              <w:rPr>
                <w:rFonts w:hint="default" w:ascii="Times New Roman" w:hAnsi="Times New Roman" w:eastAsia="Times New Roman" w:cs="Times New Roman"/>
                <w:b/>
                <w:bCs/>
                <w:snapToGrid w:val="0"/>
                <w:color w:val="auto"/>
                <w:spacing w:val="-3"/>
                <w:kern w:val="0"/>
                <w:sz w:val="21"/>
                <w:szCs w:val="21"/>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施工期生活垃圾、建筑垃圾等收集转运应满足防渗漏、防雨淋、防扬尘等要求。</w:t>
            </w:r>
          </w:p>
        </w:tc>
      </w:tr>
      <w:tr w14:paraId="66BF269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466" w:type="dxa"/>
            <w:tcBorders>
              <w:tl2br w:val="nil"/>
              <w:tr2bl w:val="nil"/>
            </w:tcBorders>
            <w:shd w:val="clear" w:color="auto" w:fill="auto"/>
            <w:vAlign w:val="center"/>
          </w:tcPr>
          <w:p w14:paraId="1712B6B7">
            <w:pPr>
              <w:pStyle w:val="19"/>
              <w:spacing w:before="78" w:line="231" w:lineRule="auto"/>
              <w:ind w:left="0" w:leftChars="0" w:right="0" w:rightChars="0" w:firstLine="0" w:firstLineChars="0"/>
              <w:jc w:val="center"/>
              <w:rPr>
                <w:rFonts w:hint="default" w:ascii="宋体" w:hAnsi="宋体" w:eastAsia="宋体" w:cs="宋体"/>
                <w:b/>
                <w:bCs/>
                <w:snapToGrid w:val="0"/>
                <w:color w:val="auto"/>
                <w:spacing w:val="-3"/>
                <w:kern w:val="0"/>
                <w:sz w:val="24"/>
                <w:szCs w:val="24"/>
                <w:lang w:val="en-US" w:eastAsia="zh-CN" w:bidi="ar-SA"/>
              </w:rPr>
            </w:pPr>
            <w:r>
              <w:rPr>
                <w:rFonts w:hint="eastAsia" w:cs="宋体"/>
                <w:b/>
                <w:bCs/>
                <w:color w:val="auto"/>
                <w:spacing w:val="-3"/>
                <w:lang w:val="en-US" w:eastAsia="zh-CN"/>
              </w:rPr>
              <w:t>其他</w:t>
            </w:r>
          </w:p>
        </w:tc>
        <w:tc>
          <w:tcPr>
            <w:tcW w:w="8053" w:type="dxa"/>
            <w:tcBorders>
              <w:tl2br w:val="nil"/>
              <w:tr2bl w:val="nil"/>
            </w:tcBorders>
            <w:shd w:val="clear" w:color="auto" w:fill="auto"/>
            <w:vAlign w:val="center"/>
          </w:tcPr>
          <w:p w14:paraId="481215F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Times New Roman" w:cs="Times New Roman"/>
                <w:b/>
                <w:bCs/>
                <w:snapToGrid w:val="0"/>
                <w:color w:val="auto"/>
                <w:spacing w:val="-3"/>
                <w:kern w:val="0"/>
                <w:sz w:val="24"/>
                <w:szCs w:val="24"/>
                <w:lang w:val="en-US" w:eastAsia="zh-CN" w:bidi="ar-SA"/>
              </w:rPr>
            </w:pPr>
            <w:r>
              <w:rPr>
                <w:rFonts w:hint="eastAsia" w:ascii="Times New Roman" w:hAnsi="Times New Roman" w:eastAsia="Times New Roman" w:cs="Times New Roman"/>
                <w:b/>
                <w:bCs/>
                <w:color w:val="auto"/>
                <w:spacing w:val="-3"/>
                <w:lang w:val="en-US" w:eastAsia="zh-CN"/>
              </w:rPr>
              <w:t>无</w:t>
            </w:r>
          </w:p>
        </w:tc>
      </w:tr>
    </w:tbl>
    <w:p w14:paraId="3B258EA3">
      <w:pPr>
        <w:spacing w:before="98" w:line="211" w:lineRule="auto"/>
        <w:ind w:left="2757"/>
        <w:outlineLvl w:val="0"/>
        <w:rPr>
          <w:rFonts w:ascii="黑体" w:hAnsi="黑体" w:eastAsia="黑体" w:cs="黑体"/>
          <w:b/>
          <w:bCs/>
          <w:color w:val="auto"/>
          <w:spacing w:val="-6"/>
          <w:sz w:val="30"/>
          <w:szCs w:val="30"/>
        </w:rPr>
        <w:sectPr>
          <w:footerReference r:id="rId8" w:type="default"/>
          <w:pgSz w:w="11906" w:h="16839"/>
          <w:pgMar w:top="1440" w:right="1803" w:bottom="1440" w:left="1803" w:header="0" w:footer="1181" w:gutter="0"/>
          <w:pgBorders>
            <w:top w:val="none" w:sz="0" w:space="0"/>
            <w:left w:val="none" w:sz="0" w:space="0"/>
            <w:bottom w:val="none" w:sz="0" w:space="0"/>
            <w:right w:val="none" w:sz="0" w:space="0"/>
          </w:pgBorders>
          <w:pgNumType w:fmt="decimal"/>
          <w:cols w:space="720" w:num="1"/>
        </w:sectPr>
      </w:pPr>
    </w:p>
    <w:p w14:paraId="7B2FCA0A">
      <w:pPr>
        <w:spacing w:before="98" w:line="211" w:lineRule="auto"/>
        <w:ind w:left="2757"/>
        <w:outlineLvl w:val="0"/>
        <w:rPr>
          <w:rFonts w:ascii="黑体" w:hAnsi="黑体" w:eastAsia="黑体" w:cs="黑体"/>
          <w:color w:val="auto"/>
          <w:sz w:val="30"/>
          <w:szCs w:val="30"/>
        </w:rPr>
      </w:pPr>
      <w:r>
        <w:rPr>
          <w:rFonts w:ascii="黑体" w:hAnsi="黑体" w:eastAsia="黑体" w:cs="黑体"/>
          <w:b/>
          <w:bCs/>
          <w:color w:val="auto"/>
          <w:spacing w:val="-6"/>
          <w:sz w:val="30"/>
          <w:szCs w:val="30"/>
        </w:rPr>
        <w:t>四、生态环境影响分析</w:t>
      </w:r>
    </w:p>
    <w:tbl>
      <w:tblPr>
        <w:tblStyle w:val="18"/>
        <w:tblW w:w="8443" w:type="dxa"/>
        <w:tblInd w:w="1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7629"/>
      </w:tblGrid>
      <w:tr w14:paraId="2324A61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16" w:hRule="atLeast"/>
        </w:trPr>
        <w:tc>
          <w:tcPr>
            <w:tcW w:w="814" w:type="dxa"/>
            <w:tcBorders>
              <w:tl2br w:val="nil"/>
              <w:tr2bl w:val="nil"/>
            </w:tcBorders>
            <w:vAlign w:val="center"/>
          </w:tcPr>
          <w:p w14:paraId="2FFC1D6F">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施工期</w:t>
            </w:r>
          </w:p>
          <w:p w14:paraId="7EC86D0B">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生态环</w:t>
            </w:r>
          </w:p>
          <w:p w14:paraId="146E2A58">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境影响</w:t>
            </w:r>
          </w:p>
          <w:p w14:paraId="30BA4E68">
            <w:pPr>
              <w:pStyle w:val="19"/>
              <w:spacing w:before="78" w:line="231" w:lineRule="auto"/>
              <w:ind w:left="0" w:leftChars="0" w:right="0" w:rightChars="0" w:firstLine="0" w:firstLineChars="0"/>
              <w:jc w:val="center"/>
              <w:rPr>
                <w:color w:val="auto"/>
              </w:rPr>
            </w:pPr>
            <w:r>
              <w:rPr>
                <w:rFonts w:hint="eastAsia" w:ascii="宋体" w:hAnsi="宋体" w:eastAsia="宋体" w:cs="宋体"/>
                <w:b/>
                <w:bCs/>
                <w:color w:val="auto"/>
                <w:spacing w:val="-3"/>
                <w:lang w:val="en-US" w:eastAsia="zh-CN"/>
              </w:rPr>
              <w:t>分析</w:t>
            </w:r>
          </w:p>
        </w:tc>
        <w:tc>
          <w:tcPr>
            <w:tcW w:w="7629" w:type="dxa"/>
            <w:tcBorders>
              <w:tl2br w:val="nil"/>
              <w:tr2bl w:val="nil"/>
            </w:tcBorders>
            <w:vAlign w:val="top"/>
          </w:tcPr>
          <w:p w14:paraId="69A52A6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color w:val="auto"/>
              </w:rPr>
            </w:pPr>
            <w:r>
              <w:rPr>
                <w:rFonts w:ascii="Times New Roman" w:hAnsi="Times New Roman" w:eastAsia="Times New Roman" w:cs="Times New Roman"/>
                <w:b/>
                <w:bCs/>
                <w:color w:val="auto"/>
                <w:spacing w:val="-3"/>
              </w:rPr>
              <w:t xml:space="preserve">1 </w:t>
            </w:r>
            <w:r>
              <w:rPr>
                <w:b/>
                <w:bCs/>
                <w:color w:val="auto"/>
                <w:spacing w:val="-3"/>
              </w:rPr>
              <w:t>水环境影响分析</w:t>
            </w:r>
          </w:p>
          <w:p w14:paraId="5F90A2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本项目区不设置施工生活营地，施工生活营地依托周边村庄，项目施工期无生活污水产生。</w:t>
            </w:r>
            <w:r>
              <w:rPr>
                <w:rFonts w:hint="default" w:ascii="Times New Roman" w:hAnsi="Times New Roman" w:eastAsia="宋体" w:cs="Times New Roman"/>
                <w:snapToGrid w:val="0"/>
                <w:color w:val="auto"/>
                <w:spacing w:val="-2"/>
                <w:kern w:val="0"/>
                <w:sz w:val="24"/>
                <w:szCs w:val="24"/>
                <w:lang w:val="en-US" w:eastAsia="zh-CN" w:bidi="ar-SA"/>
              </w:rPr>
              <w:t>本项目施工期对水环境造成影响主要</w:t>
            </w:r>
            <w:r>
              <w:rPr>
                <w:rFonts w:hint="eastAsia" w:ascii="Times New Roman" w:hAnsi="Times New Roman" w:eastAsia="宋体" w:cs="Times New Roman"/>
                <w:snapToGrid w:val="0"/>
                <w:color w:val="auto"/>
                <w:spacing w:val="-2"/>
                <w:kern w:val="0"/>
                <w:sz w:val="24"/>
                <w:szCs w:val="24"/>
                <w:lang w:val="en-US" w:eastAsia="zh-CN" w:bidi="ar-SA"/>
              </w:rPr>
              <w:t>为施工</w:t>
            </w:r>
            <w:r>
              <w:rPr>
                <w:rFonts w:hint="default" w:ascii="Times New Roman" w:hAnsi="Times New Roman" w:eastAsia="宋体" w:cs="Times New Roman"/>
                <w:snapToGrid w:val="0"/>
                <w:color w:val="auto"/>
                <w:spacing w:val="-2"/>
                <w:kern w:val="0"/>
                <w:sz w:val="24"/>
                <w:szCs w:val="24"/>
                <w:lang w:val="en-US" w:eastAsia="zh-CN" w:bidi="ar-SA"/>
              </w:rPr>
              <w:t>废水。</w:t>
            </w:r>
          </w:p>
          <w:p w14:paraId="3B143FC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本项目施工现场严禁进行机械、设备的维修工作。因此不产生含油机修废水。施工期间产生的废水主要为施工机械冲洗产生的废水等，主要污染物是</w:t>
            </w:r>
            <w:r>
              <w:rPr>
                <w:rFonts w:hint="default" w:ascii="Times New Roman" w:hAnsi="Times New Roman" w:eastAsia="宋体" w:cs="Times New Roman"/>
                <w:snapToGrid w:val="0"/>
                <w:color w:val="auto"/>
                <w:spacing w:val="-2"/>
                <w:kern w:val="0"/>
                <w:sz w:val="24"/>
                <w:szCs w:val="24"/>
                <w:lang w:val="en-US" w:eastAsia="zh-CN" w:bidi="ar-SA"/>
              </w:rPr>
              <w:t>SS</w:t>
            </w:r>
            <w:r>
              <w:rPr>
                <w:rFonts w:hint="eastAsia" w:ascii="Times New Roman" w:hAnsi="Times New Roman" w:eastAsia="宋体" w:cs="Times New Roman"/>
                <w:snapToGrid w:val="0"/>
                <w:color w:val="auto"/>
                <w:spacing w:val="-2"/>
                <w:kern w:val="0"/>
                <w:sz w:val="24"/>
                <w:szCs w:val="24"/>
                <w:lang w:val="en-US" w:eastAsia="zh-CN" w:bidi="ar-SA"/>
              </w:rPr>
              <w:t>。施工现场设置临时沉淀池，对施工废水进行沉淀处理。经沉淀处理后，回用于施工场地洒水降尘等，不外排。</w:t>
            </w:r>
            <w:r>
              <w:rPr>
                <w:color w:val="auto"/>
                <w:spacing w:val="-2"/>
              </w:rPr>
              <w:t>河道施工过程会引起局部水域泥沙的再悬浮，从而引起</w:t>
            </w:r>
            <w:r>
              <w:rPr>
                <w:rFonts w:ascii="Times New Roman" w:hAnsi="Times New Roman" w:eastAsia="Times New Roman" w:cs="Times New Roman"/>
                <w:color w:val="auto"/>
                <w:spacing w:val="-2"/>
              </w:rPr>
              <w:t>SS</w:t>
            </w:r>
            <w:r>
              <w:rPr>
                <w:color w:val="auto"/>
                <w:spacing w:val="-2"/>
              </w:rPr>
              <w:t>的增加。</w:t>
            </w:r>
            <w:r>
              <w:rPr>
                <w:color w:val="auto"/>
                <w:spacing w:val="-1"/>
              </w:rPr>
              <w:t>根据调查发现，</w:t>
            </w:r>
            <w:r>
              <w:rPr>
                <w:rFonts w:hint="eastAsia"/>
                <w:color w:val="auto"/>
                <w:spacing w:val="-1"/>
                <w:lang w:val="en-US" w:eastAsia="zh-CN"/>
              </w:rPr>
              <w:t>本项目所涉及河道、沟渠等</w:t>
            </w:r>
            <w:r>
              <w:rPr>
                <w:color w:val="auto"/>
                <w:spacing w:val="-1"/>
              </w:rPr>
              <w:t>属于季节性河流，在夏季大量降雨产生山洪时水流较大，枯水期流量较小，本次施工选在非汛期施工，施工过程对</w:t>
            </w:r>
            <w:r>
              <w:rPr>
                <w:rFonts w:hint="eastAsia"/>
                <w:color w:val="auto"/>
                <w:spacing w:val="-1"/>
                <w:lang w:val="en-US" w:eastAsia="zh-CN"/>
              </w:rPr>
              <w:t>羊槽河、生态沟渠和排水渠的</w:t>
            </w:r>
            <w:r>
              <w:rPr>
                <w:color w:val="auto"/>
                <w:spacing w:val="-1"/>
              </w:rPr>
              <w:t>水环境质量的影响较小。</w:t>
            </w:r>
          </w:p>
          <w:p w14:paraId="2A2132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综上分析，项目施工期废水对周围环境产生影响较小。</w:t>
            </w:r>
          </w:p>
          <w:p w14:paraId="1A831B9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Times New Roman" w:hAnsi="Times New Roman" w:eastAsia="Times New Roman" w:cs="Times New Roman"/>
                <w:b/>
                <w:bCs/>
                <w:color w:val="auto"/>
                <w:spacing w:val="-3"/>
              </w:rPr>
            </w:pPr>
            <w:r>
              <w:rPr>
                <w:rFonts w:ascii="Times New Roman" w:hAnsi="Times New Roman" w:eastAsia="Times New Roman" w:cs="Times New Roman"/>
                <w:b/>
                <w:bCs/>
                <w:color w:val="auto"/>
                <w:spacing w:val="-3"/>
              </w:rPr>
              <w:t>2 大气环境影响分析</w:t>
            </w:r>
          </w:p>
          <w:p w14:paraId="0DE017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施工期废气主要为施工扬尘、施工机械尾气和清淤臭味。</w:t>
            </w:r>
          </w:p>
          <w:p w14:paraId="7E0C9B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（1）施工扬尘</w:t>
            </w:r>
          </w:p>
          <w:p w14:paraId="5E955F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作业面的裸露地面，在干燥天气，尤其是在大风时容易产生扬尘；开挖面、开挖场、推整点和利用料堆放场等施工作业面均会产生扬尘；扬尘产生量与作业面大小、施工机械、施工方法、天气状况及洒水频率等都有关系。项目施工区主要是土方开挖、临时料堆放等施工过程会产生粉尘。施工中土石方开挖等产生的扬尘，基本上都是间歇式排放。一般只要定时洒水，施工作业面扬尘即可得到有效控制，对环境影响较小。</w:t>
            </w:r>
          </w:p>
          <w:p w14:paraId="34FEBA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）施工机械和车辆尾气</w:t>
            </w:r>
          </w:p>
          <w:p w14:paraId="7D33EF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项目施工期间，使用液体燃料的施工机械及运输车辆排放的尾气中含有</w:t>
            </w:r>
            <w:r>
              <w:rPr>
                <w:rFonts w:hint="default" w:ascii="Times New Roman" w:hAnsi="Times New Roman" w:eastAsia="宋体" w:cs="Times New Roman"/>
                <w:snapToGrid w:val="0"/>
                <w:color w:val="auto"/>
                <w:spacing w:val="-2"/>
                <w:kern w:val="0"/>
                <w:sz w:val="24"/>
                <w:szCs w:val="24"/>
                <w:lang w:val="en-US" w:eastAsia="zh-CN" w:bidi="ar-SA"/>
              </w:rPr>
              <w:t>CO</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NO</w:t>
            </w:r>
            <w:r>
              <w:rPr>
                <w:rFonts w:hint="default" w:ascii="Times New Roman" w:hAnsi="Times New Roman" w:eastAsia="宋体" w:cs="Times New Roman"/>
                <w:snapToGrid w:val="0"/>
                <w:color w:val="auto"/>
                <w:spacing w:val="-2"/>
                <w:kern w:val="0"/>
                <w:sz w:val="24"/>
                <w:szCs w:val="24"/>
                <w:vertAlign w:val="subscript"/>
                <w:lang w:val="en-US" w:eastAsia="zh-CN" w:bidi="ar-SA"/>
              </w:rPr>
              <w:t>X</w:t>
            </w:r>
            <w:r>
              <w:rPr>
                <w:rFonts w:hint="eastAsia" w:ascii="Times New Roman" w:hAnsi="Times New Roman" w:eastAsia="宋体" w:cs="Times New Roman"/>
                <w:snapToGrid w:val="0"/>
                <w:color w:val="auto"/>
                <w:spacing w:val="-2"/>
                <w:kern w:val="0"/>
                <w:sz w:val="24"/>
                <w:szCs w:val="24"/>
                <w:lang w:val="en-US" w:eastAsia="zh-CN" w:bidi="ar-SA"/>
              </w:rPr>
              <w:t>以及未完全燃烧的</w:t>
            </w:r>
            <w:r>
              <w:rPr>
                <w:rFonts w:hint="default" w:ascii="Times New Roman" w:hAnsi="Times New Roman" w:eastAsia="宋体" w:cs="Times New Roman"/>
                <w:snapToGrid w:val="0"/>
                <w:color w:val="auto"/>
                <w:spacing w:val="-2"/>
                <w:kern w:val="0"/>
                <w:sz w:val="24"/>
                <w:szCs w:val="24"/>
                <w:lang w:val="en-US" w:eastAsia="zh-CN" w:bidi="ar-SA"/>
              </w:rPr>
              <w:t>THC</w:t>
            </w:r>
            <w:r>
              <w:rPr>
                <w:rFonts w:hint="eastAsia" w:ascii="Times New Roman" w:hAnsi="Times New Roman" w:eastAsia="宋体" w:cs="Times New Roman"/>
                <w:snapToGrid w:val="0"/>
                <w:color w:val="auto"/>
                <w:spacing w:val="-2"/>
                <w:kern w:val="0"/>
                <w:sz w:val="24"/>
                <w:szCs w:val="24"/>
                <w:lang w:val="en-US" w:eastAsia="zh-CN" w:bidi="ar-SA"/>
              </w:rPr>
              <w:t>等，一般情况下，各种污染物的排放量不大。由于污染源较分散，且为流动性，影响是短期的、局部的。</w:t>
            </w:r>
          </w:p>
          <w:p w14:paraId="5E63BC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（3）清淤臭味</w:t>
            </w:r>
          </w:p>
          <w:p w14:paraId="05FE44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羊槽河（羊槽村段）及向阳村生态沟渠治理进行基底改善，河（沟）道清淤会有少量臭味产生。本项目羊槽河（羊槽村段）及向阳村生态沟渠现状水量较少，河（沟）底长满杂草，表层清淤基本不产生臭味。本项目采用环保型清淤方式，向河（沟）道淤泥层投加功能微生物抑制剂，减小淤泥散发的臭味，项目基底改善在非灌期（10~</w:t>
            </w:r>
            <w:r>
              <w:rPr>
                <w:rFonts w:hint="default" w:ascii="Times New Roman" w:hAnsi="Times New Roman" w:eastAsia="宋体" w:cs="Times New Roman"/>
                <w:snapToGrid w:val="0"/>
                <w:color w:val="auto"/>
                <w:spacing w:val="-2"/>
                <w:kern w:val="0"/>
                <w:sz w:val="24"/>
                <w:szCs w:val="24"/>
                <w:lang w:val="en-US" w:eastAsia="zh-CN" w:bidi="ar-SA"/>
              </w:rPr>
              <w:t>12</w:t>
            </w:r>
            <w:r>
              <w:rPr>
                <w:rFonts w:hint="eastAsia" w:ascii="Times New Roman" w:hAnsi="Times New Roman" w:eastAsia="宋体" w:cs="Times New Roman"/>
                <w:snapToGrid w:val="0"/>
                <w:color w:val="auto"/>
                <w:spacing w:val="-2"/>
                <w:kern w:val="0"/>
                <w:sz w:val="24"/>
                <w:szCs w:val="24"/>
                <w:lang w:val="en-US" w:eastAsia="zh-CN" w:bidi="ar-SA"/>
              </w:rPr>
              <w:t>月）避开汛期进行施工。采取以上措施后，本项目基底改善（河（沟）道清淤）过程产生的臭味对周围环境的影响不大。</w:t>
            </w:r>
          </w:p>
          <w:p w14:paraId="5567375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Times New Roman" w:hAnsi="Times New Roman" w:eastAsia="Times New Roman" w:cs="Times New Roman"/>
                <w:b/>
                <w:bCs/>
                <w:color w:val="auto"/>
                <w:spacing w:val="-3"/>
              </w:rPr>
            </w:pPr>
            <w:r>
              <w:rPr>
                <w:rFonts w:ascii="Times New Roman" w:hAnsi="Times New Roman" w:eastAsia="Times New Roman" w:cs="Times New Roman"/>
                <w:b/>
                <w:bCs/>
                <w:color w:val="auto"/>
                <w:spacing w:val="-3"/>
              </w:rPr>
              <w:t>3 噪声污染分析</w:t>
            </w:r>
          </w:p>
          <w:p w14:paraId="5AE820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（1）噪声源</w:t>
            </w:r>
          </w:p>
          <w:p w14:paraId="7718A7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本项目建设过程中使用的机械和设备主要有挖掘机、推土机、运输车等产生的噪声，参照《环境噪声与振动控制工程技术导则》（</w:t>
            </w:r>
            <w:r>
              <w:rPr>
                <w:rFonts w:hint="default" w:ascii="Times New Roman" w:hAnsi="Times New Roman" w:eastAsia="宋体" w:cs="Times New Roman"/>
                <w:snapToGrid w:val="0"/>
                <w:color w:val="auto"/>
                <w:spacing w:val="-2"/>
                <w:kern w:val="0"/>
                <w:sz w:val="24"/>
                <w:szCs w:val="24"/>
                <w:lang w:val="en-US" w:eastAsia="zh-CN" w:bidi="ar-SA"/>
              </w:rPr>
              <w:t>HJ</w:t>
            </w:r>
            <w:r>
              <w:rPr>
                <w:rFonts w:hint="eastAsia" w:ascii="Times New Roman" w:hAnsi="Times New Roman" w:eastAsia="宋体" w:cs="Times New Roman"/>
                <w:snapToGrid w:val="0"/>
                <w:color w:val="auto"/>
                <w:spacing w:val="-2"/>
                <w:kern w:val="0"/>
                <w:sz w:val="24"/>
                <w:szCs w:val="24"/>
                <w:lang w:val="en-US" w:eastAsia="zh-CN" w:bidi="ar-SA"/>
              </w:rPr>
              <w:t xml:space="preserve"> </w:t>
            </w:r>
            <w:r>
              <w:rPr>
                <w:rFonts w:hint="default" w:ascii="Times New Roman" w:hAnsi="Times New Roman" w:eastAsia="宋体" w:cs="Times New Roman"/>
                <w:snapToGrid w:val="0"/>
                <w:color w:val="auto"/>
                <w:spacing w:val="-2"/>
                <w:kern w:val="0"/>
                <w:sz w:val="24"/>
                <w:szCs w:val="24"/>
                <w:lang w:val="en-US" w:eastAsia="zh-CN" w:bidi="ar-SA"/>
              </w:rPr>
              <w:t>2034-2013</w:t>
            </w:r>
            <w:r>
              <w:rPr>
                <w:rFonts w:hint="eastAsia" w:ascii="Times New Roman" w:hAnsi="Times New Roman" w:eastAsia="宋体" w:cs="Times New Roman"/>
                <w:snapToGrid w:val="0"/>
                <w:color w:val="auto"/>
                <w:spacing w:val="-2"/>
                <w:kern w:val="0"/>
                <w:sz w:val="24"/>
                <w:szCs w:val="24"/>
                <w:lang w:val="en-US" w:eastAsia="zh-CN" w:bidi="ar-SA"/>
              </w:rPr>
              <w:t>）可知，挖掘机、推土机、运输车等施工设备距离噪声源</w:t>
            </w:r>
            <w:r>
              <w:rPr>
                <w:rFonts w:hint="default" w:ascii="Times New Roman" w:hAnsi="Times New Roman" w:eastAsia="宋体" w:cs="Times New Roman"/>
                <w:snapToGrid w:val="0"/>
                <w:color w:val="auto"/>
                <w:spacing w:val="-2"/>
                <w:kern w:val="0"/>
                <w:sz w:val="24"/>
                <w:szCs w:val="24"/>
                <w:lang w:val="en-US" w:eastAsia="zh-CN" w:bidi="ar-SA"/>
              </w:rPr>
              <w:t>5m</w:t>
            </w:r>
            <w:r>
              <w:rPr>
                <w:rFonts w:hint="eastAsia" w:ascii="Times New Roman" w:hAnsi="Times New Roman" w:eastAsia="宋体" w:cs="Times New Roman"/>
                <w:snapToGrid w:val="0"/>
                <w:color w:val="auto"/>
                <w:spacing w:val="-2"/>
                <w:kern w:val="0"/>
                <w:sz w:val="24"/>
                <w:szCs w:val="24"/>
                <w:lang w:val="en-US" w:eastAsia="zh-CN" w:bidi="ar-SA"/>
              </w:rPr>
              <w:t>处的噪声值在</w:t>
            </w:r>
            <w:r>
              <w:rPr>
                <w:rFonts w:hint="default" w:ascii="Times New Roman" w:hAnsi="Times New Roman" w:eastAsia="宋体" w:cs="Times New Roman"/>
                <w:snapToGrid w:val="0"/>
                <w:color w:val="auto"/>
                <w:spacing w:val="-2"/>
                <w:kern w:val="0"/>
                <w:sz w:val="24"/>
                <w:szCs w:val="24"/>
                <w:lang w:val="en-US" w:eastAsia="zh-CN" w:bidi="ar-SA"/>
              </w:rPr>
              <w:t>85~90dB</w:t>
            </w:r>
            <w:r>
              <w:rPr>
                <w:rFonts w:hint="eastAsia" w:ascii="Times New Roman" w:hAnsi="Times New Roman" w:eastAsia="宋体" w:cs="Times New Roman"/>
                <w:snapToGrid w:val="0"/>
                <w:color w:val="auto"/>
                <w:spacing w:val="-2"/>
                <w:kern w:val="0"/>
                <w:sz w:val="24"/>
                <w:szCs w:val="24"/>
                <w:lang w:val="en-US" w:eastAsia="zh-CN" w:bidi="ar-SA"/>
              </w:rPr>
              <w:t>（A）之间，这些施工机械产生的施工噪声属非稳态噪声源，仅在昼间进行施工。</w:t>
            </w:r>
          </w:p>
          <w:p w14:paraId="3CFE68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（2）施工期噪声影响预测模式</w:t>
            </w:r>
          </w:p>
          <w:p w14:paraId="092453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施工机械声源当作点声源，不考虑空气吸收，其噪声影响预测模式 为：</w:t>
            </w:r>
          </w:p>
          <w:p w14:paraId="675EBF6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L</w:t>
            </w:r>
            <w:r>
              <w:rPr>
                <w:rFonts w:hint="default" w:ascii="Times New Roman" w:hAnsi="Times New Roman" w:eastAsia="宋体" w:cs="Times New Roman"/>
                <w:snapToGrid w:val="0"/>
                <w:color w:val="auto"/>
                <w:spacing w:val="-2"/>
                <w:kern w:val="0"/>
                <w:sz w:val="24"/>
                <w:szCs w:val="24"/>
                <w:vertAlign w:val="subscript"/>
                <w:lang w:val="en-US" w:eastAsia="zh-CN" w:bidi="ar-SA"/>
              </w:rPr>
              <w:t>p</w:t>
            </w:r>
            <w:r>
              <w:rPr>
                <w:rFonts w:hint="default" w:ascii="Times New Roman" w:hAnsi="Times New Roman" w:eastAsia="宋体" w:cs="Times New Roman"/>
                <w:snapToGrid w:val="0"/>
                <w:color w:val="auto"/>
                <w:spacing w:val="-2"/>
                <w:kern w:val="0"/>
                <w:sz w:val="24"/>
                <w:szCs w:val="24"/>
                <w:lang w:val="en-US" w:eastAsia="zh-CN" w:bidi="ar-SA"/>
              </w:rPr>
              <w:t>=L</w:t>
            </w:r>
            <w:r>
              <w:rPr>
                <w:rFonts w:hint="default" w:ascii="Times New Roman" w:hAnsi="Times New Roman" w:eastAsia="宋体" w:cs="Times New Roman"/>
                <w:snapToGrid w:val="0"/>
                <w:color w:val="auto"/>
                <w:spacing w:val="-2"/>
                <w:kern w:val="0"/>
                <w:sz w:val="24"/>
                <w:szCs w:val="24"/>
                <w:vertAlign w:val="subscript"/>
                <w:lang w:val="en-US" w:eastAsia="zh-CN" w:bidi="ar-SA"/>
              </w:rPr>
              <w:t>P0</w:t>
            </w:r>
            <w:r>
              <w:rPr>
                <w:rFonts w:hint="default" w:ascii="Times New Roman" w:hAnsi="Times New Roman" w:eastAsia="宋体" w:cs="Times New Roman"/>
                <w:snapToGrid w:val="0"/>
                <w:color w:val="auto"/>
                <w:spacing w:val="-2"/>
                <w:kern w:val="0"/>
                <w:sz w:val="24"/>
                <w:szCs w:val="24"/>
                <w:lang w:val="en-US" w:eastAsia="zh-CN" w:bidi="ar-SA"/>
              </w:rPr>
              <w:t>-20Log(r/r</w:t>
            </w:r>
            <w:r>
              <w:rPr>
                <w:rFonts w:hint="default" w:ascii="Times New Roman" w:hAnsi="Times New Roman" w:eastAsia="宋体" w:cs="Times New Roman"/>
                <w:snapToGrid w:val="0"/>
                <w:color w:val="auto"/>
                <w:spacing w:val="-2"/>
                <w:kern w:val="0"/>
                <w:sz w:val="24"/>
                <w:szCs w:val="24"/>
                <w:vertAlign w:val="subscript"/>
                <w:lang w:val="en-US" w:eastAsia="zh-CN" w:bidi="ar-SA"/>
              </w:rPr>
              <w:t>0</w:t>
            </w:r>
            <w:r>
              <w:rPr>
                <w:rFonts w:hint="default" w:ascii="Times New Roman" w:hAnsi="Times New Roman" w:eastAsia="宋体" w:cs="Times New Roman"/>
                <w:snapToGrid w:val="0"/>
                <w:color w:val="auto"/>
                <w:spacing w:val="-2"/>
                <w:kern w:val="0"/>
                <w:sz w:val="24"/>
                <w:szCs w:val="24"/>
                <w:lang w:val="en-US" w:eastAsia="zh-CN" w:bidi="ar-SA"/>
              </w:rPr>
              <w:t>)</w:t>
            </w:r>
          </w:p>
          <w:p w14:paraId="5FE540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式中：</w:t>
            </w:r>
            <w:r>
              <w:rPr>
                <w:rFonts w:hint="default" w:ascii="Times New Roman" w:hAnsi="Times New Roman" w:eastAsia="宋体" w:cs="Times New Roman"/>
                <w:snapToGrid w:val="0"/>
                <w:color w:val="auto"/>
                <w:spacing w:val="-2"/>
                <w:kern w:val="0"/>
                <w:sz w:val="24"/>
                <w:szCs w:val="24"/>
                <w:lang w:val="en-US" w:eastAsia="zh-CN" w:bidi="ar-SA"/>
              </w:rPr>
              <w:t>L</w:t>
            </w:r>
            <w:r>
              <w:rPr>
                <w:rFonts w:hint="default" w:ascii="Times New Roman" w:hAnsi="Times New Roman" w:eastAsia="宋体" w:cs="Times New Roman"/>
                <w:snapToGrid w:val="0"/>
                <w:color w:val="auto"/>
                <w:spacing w:val="-2"/>
                <w:kern w:val="0"/>
                <w:sz w:val="24"/>
                <w:szCs w:val="24"/>
                <w:vertAlign w:val="subscript"/>
                <w:lang w:val="en-US" w:eastAsia="zh-CN" w:bidi="ar-SA"/>
              </w:rPr>
              <w:t>p</w:t>
            </w:r>
            <w:r>
              <w:rPr>
                <w:rFonts w:hint="default" w:ascii="Times New Roman" w:hAnsi="Times New Roman" w:eastAsia="宋体" w:cs="Times New Roman"/>
                <w:snapToGrid w:val="0"/>
                <w:color w:val="auto"/>
                <w:spacing w:val="-2"/>
                <w:kern w:val="0"/>
                <w:sz w:val="24"/>
                <w:szCs w:val="24"/>
                <w:lang w:val="en-US" w:eastAsia="zh-CN" w:bidi="ar-SA"/>
              </w:rPr>
              <w:t>-</w:t>
            </w:r>
            <w:r>
              <w:rPr>
                <w:rFonts w:hint="eastAsia" w:ascii="Times New Roman" w:hAnsi="Times New Roman" w:eastAsia="宋体" w:cs="Times New Roman"/>
                <w:snapToGrid w:val="0"/>
                <w:color w:val="auto"/>
                <w:spacing w:val="-2"/>
                <w:kern w:val="0"/>
                <w:sz w:val="24"/>
                <w:szCs w:val="24"/>
                <w:lang w:val="en-US" w:eastAsia="zh-CN" w:bidi="ar-SA"/>
              </w:rPr>
              <w:t>距声源</w:t>
            </w:r>
            <w:r>
              <w:rPr>
                <w:rFonts w:hint="default" w:ascii="Times New Roman" w:hAnsi="Times New Roman" w:eastAsia="宋体" w:cs="Times New Roman"/>
                <w:snapToGrid w:val="0"/>
                <w:color w:val="auto"/>
                <w:spacing w:val="-2"/>
                <w:kern w:val="0"/>
                <w:sz w:val="24"/>
                <w:szCs w:val="24"/>
                <w:lang w:val="en-US" w:eastAsia="zh-CN" w:bidi="ar-SA"/>
              </w:rPr>
              <w:t>r</w:t>
            </w:r>
            <w:r>
              <w:rPr>
                <w:rFonts w:hint="eastAsia" w:ascii="Times New Roman" w:hAnsi="Times New Roman" w:eastAsia="宋体" w:cs="Times New Roman"/>
                <w:snapToGrid w:val="0"/>
                <w:color w:val="auto"/>
                <w:spacing w:val="-2"/>
                <w:kern w:val="0"/>
                <w:sz w:val="24"/>
                <w:szCs w:val="24"/>
                <w:lang w:val="en-US" w:eastAsia="zh-CN" w:bidi="ar-SA"/>
              </w:rPr>
              <w:t>米处的施工噪声预测值，</w:t>
            </w:r>
            <w:r>
              <w:rPr>
                <w:rFonts w:hint="default" w:ascii="Times New Roman" w:hAnsi="Times New Roman" w:eastAsia="宋体" w:cs="Times New Roman"/>
                <w:snapToGrid w:val="0"/>
                <w:color w:val="auto"/>
                <w:spacing w:val="-2"/>
                <w:kern w:val="0"/>
                <w:sz w:val="24"/>
                <w:szCs w:val="24"/>
                <w:lang w:val="en-US" w:eastAsia="zh-CN" w:bidi="ar-SA"/>
              </w:rPr>
              <w:t>dB</w:t>
            </w:r>
            <w:r>
              <w:rPr>
                <w:rFonts w:hint="eastAsia" w:ascii="Times New Roman" w:hAnsi="Times New Roman" w:eastAsia="宋体" w:cs="Times New Roman"/>
                <w:snapToGrid w:val="0"/>
                <w:color w:val="auto"/>
                <w:spacing w:val="-2"/>
                <w:kern w:val="0"/>
                <w:sz w:val="24"/>
                <w:szCs w:val="24"/>
                <w:lang w:val="en-US" w:eastAsia="zh-CN" w:bidi="ar-SA"/>
              </w:rPr>
              <w:t>（A）；</w:t>
            </w:r>
          </w:p>
          <w:p w14:paraId="10CAD3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180" w:firstLineChars="5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L</w:t>
            </w:r>
            <w:r>
              <w:rPr>
                <w:rFonts w:hint="default" w:ascii="Times New Roman" w:hAnsi="Times New Roman" w:eastAsia="宋体" w:cs="Times New Roman"/>
                <w:snapToGrid w:val="0"/>
                <w:color w:val="auto"/>
                <w:spacing w:val="-2"/>
                <w:kern w:val="0"/>
                <w:sz w:val="24"/>
                <w:szCs w:val="24"/>
                <w:vertAlign w:val="subscript"/>
                <w:lang w:val="en-US" w:eastAsia="zh-CN" w:bidi="ar-SA"/>
              </w:rPr>
              <w:t>P0</w:t>
            </w:r>
            <w:r>
              <w:rPr>
                <w:rFonts w:hint="default" w:ascii="Times New Roman" w:hAnsi="Times New Roman" w:eastAsia="宋体" w:cs="Times New Roman"/>
                <w:snapToGrid w:val="0"/>
                <w:color w:val="auto"/>
                <w:spacing w:val="-2"/>
                <w:kern w:val="0"/>
                <w:sz w:val="24"/>
                <w:szCs w:val="24"/>
                <w:lang w:val="en-US" w:eastAsia="zh-CN" w:bidi="ar-SA"/>
              </w:rPr>
              <w:t>-</w:t>
            </w:r>
            <w:r>
              <w:rPr>
                <w:rFonts w:hint="eastAsia" w:ascii="Times New Roman" w:hAnsi="Times New Roman" w:eastAsia="宋体" w:cs="Times New Roman"/>
                <w:snapToGrid w:val="0"/>
                <w:color w:val="auto"/>
                <w:spacing w:val="-2"/>
                <w:kern w:val="0"/>
                <w:sz w:val="24"/>
                <w:szCs w:val="24"/>
                <w:lang w:val="en-US" w:eastAsia="zh-CN" w:bidi="ar-SA"/>
              </w:rPr>
              <w:t>距声源</w:t>
            </w:r>
            <w:r>
              <w:rPr>
                <w:rFonts w:hint="default" w:ascii="Times New Roman" w:hAnsi="Times New Roman" w:eastAsia="宋体" w:cs="Times New Roman"/>
                <w:snapToGrid w:val="0"/>
                <w:color w:val="auto"/>
                <w:spacing w:val="-2"/>
                <w:kern w:val="0"/>
                <w:sz w:val="24"/>
                <w:szCs w:val="24"/>
                <w:lang w:val="en-US" w:eastAsia="zh-CN" w:bidi="ar-SA"/>
              </w:rPr>
              <w:t>r</w:t>
            </w:r>
            <w:r>
              <w:rPr>
                <w:rFonts w:hint="default" w:ascii="Times New Roman" w:hAnsi="Times New Roman" w:eastAsia="宋体" w:cs="Times New Roman"/>
                <w:snapToGrid w:val="0"/>
                <w:color w:val="auto"/>
                <w:spacing w:val="-2"/>
                <w:kern w:val="0"/>
                <w:sz w:val="24"/>
                <w:szCs w:val="24"/>
                <w:vertAlign w:val="subscript"/>
                <w:lang w:val="en-US" w:eastAsia="zh-CN" w:bidi="ar-SA"/>
              </w:rPr>
              <w:t>0</w:t>
            </w:r>
            <w:r>
              <w:rPr>
                <w:rFonts w:hint="eastAsia" w:ascii="Times New Roman" w:hAnsi="Times New Roman" w:eastAsia="宋体" w:cs="Times New Roman"/>
                <w:snapToGrid w:val="0"/>
                <w:color w:val="auto"/>
                <w:spacing w:val="-2"/>
                <w:kern w:val="0"/>
                <w:sz w:val="24"/>
                <w:szCs w:val="24"/>
                <w:lang w:val="en-US" w:eastAsia="zh-CN" w:bidi="ar-SA"/>
              </w:rPr>
              <w:t>米处的参考声级，</w:t>
            </w:r>
            <w:r>
              <w:rPr>
                <w:rFonts w:hint="default" w:ascii="Times New Roman" w:hAnsi="Times New Roman" w:eastAsia="宋体" w:cs="Times New Roman"/>
                <w:snapToGrid w:val="0"/>
                <w:color w:val="auto"/>
                <w:spacing w:val="-2"/>
                <w:kern w:val="0"/>
                <w:sz w:val="24"/>
                <w:szCs w:val="24"/>
                <w:lang w:val="en-US" w:eastAsia="zh-CN" w:bidi="ar-SA"/>
              </w:rPr>
              <w:t>dB</w:t>
            </w:r>
            <w:r>
              <w:rPr>
                <w:rFonts w:hint="eastAsia" w:ascii="Times New Roman" w:hAnsi="Times New Roman" w:eastAsia="宋体" w:cs="Times New Roman"/>
                <w:snapToGrid w:val="0"/>
                <w:color w:val="auto"/>
                <w:spacing w:val="-2"/>
                <w:kern w:val="0"/>
                <w:sz w:val="24"/>
                <w:szCs w:val="24"/>
                <w:lang w:val="en-US" w:eastAsia="zh-CN" w:bidi="ar-SA"/>
              </w:rPr>
              <w:t>（A）。</w:t>
            </w:r>
          </w:p>
          <w:p w14:paraId="2FD444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（3）施工期噪声预测结果及影响分析</w:t>
            </w:r>
          </w:p>
          <w:p w14:paraId="711764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highlight w:val="none"/>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本项目施工机械产生的噪声随距离衰</w:t>
            </w:r>
            <w:r>
              <w:rPr>
                <w:rFonts w:hint="eastAsia" w:ascii="Times New Roman" w:hAnsi="Times New Roman" w:eastAsia="宋体" w:cs="Times New Roman"/>
                <w:snapToGrid w:val="0"/>
                <w:color w:val="auto"/>
                <w:spacing w:val="-2"/>
                <w:kern w:val="0"/>
                <w:sz w:val="24"/>
                <w:szCs w:val="24"/>
                <w:highlight w:val="none"/>
                <w:lang w:val="en-US" w:eastAsia="zh-CN" w:bidi="ar-SA"/>
              </w:rPr>
              <w:t>减情况见表4-1。</w:t>
            </w:r>
          </w:p>
          <w:p w14:paraId="32843B64">
            <w:pPr>
              <w:keepNext w:val="0"/>
              <w:keepLines w:val="0"/>
              <w:widowControl/>
              <w:suppressLineNumbers w:val="0"/>
              <w:ind w:left="0" w:leftChars="0" w:right="0" w:rightChars="0" w:firstLine="0" w:firstLineChars="0"/>
              <w:jc w:val="center"/>
              <w:rPr>
                <w:rFonts w:hint="eastAsia" w:ascii="Times New Roman" w:hAnsi="Times New Roman" w:eastAsia="宋体" w:cs="Times New Roman"/>
                <w:b/>
                <w:bCs/>
                <w:snapToGrid w:val="0"/>
                <w:color w:val="auto"/>
                <w:spacing w:val="6"/>
                <w:kern w:val="0"/>
                <w:sz w:val="21"/>
                <w:szCs w:val="21"/>
                <w:highlight w:val="none"/>
                <w:lang w:val="en-US" w:eastAsia="zh-CN" w:bidi="ar-SA"/>
              </w:rPr>
            </w:pPr>
            <w:r>
              <w:rPr>
                <w:rFonts w:hint="eastAsia" w:ascii="Times New Roman" w:hAnsi="Times New Roman" w:eastAsia="宋体" w:cs="Times New Roman"/>
                <w:b/>
                <w:bCs/>
                <w:snapToGrid w:val="0"/>
                <w:color w:val="auto"/>
                <w:spacing w:val="6"/>
                <w:kern w:val="0"/>
                <w:sz w:val="21"/>
                <w:szCs w:val="21"/>
                <w:highlight w:val="none"/>
                <w:lang w:val="en-US" w:eastAsia="zh-CN" w:bidi="ar-SA"/>
              </w:rPr>
              <w:t>表4-1  主要施工机械不同距离处的噪声级统计表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23"/>
              <w:gridCol w:w="598"/>
              <w:gridCol w:w="598"/>
              <w:gridCol w:w="598"/>
              <w:gridCol w:w="598"/>
              <w:gridCol w:w="598"/>
              <w:gridCol w:w="598"/>
              <w:gridCol w:w="598"/>
              <w:gridCol w:w="598"/>
              <w:gridCol w:w="598"/>
            </w:tblGrid>
            <w:tr w14:paraId="7FBD3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restart"/>
                  <w:tcBorders>
                    <w:tl2br w:val="nil"/>
                    <w:tr2bl w:val="nil"/>
                  </w:tcBorders>
                  <w:vAlign w:val="center"/>
                </w:tcPr>
                <w:p w14:paraId="5FFF8CEA">
                  <w:pPr>
                    <w:widowControl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编号</w:t>
                  </w:r>
                </w:p>
              </w:tc>
              <w:tc>
                <w:tcPr>
                  <w:tcW w:w="1323" w:type="dxa"/>
                  <w:vMerge w:val="restart"/>
                  <w:tcBorders>
                    <w:tl2br w:val="nil"/>
                    <w:tr2bl w:val="nil"/>
                  </w:tcBorders>
                  <w:vAlign w:val="center"/>
                </w:tcPr>
                <w:p w14:paraId="55EF2842">
                  <w:pPr>
                    <w:widowControl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设备名称</w:t>
                  </w:r>
                </w:p>
              </w:tc>
              <w:tc>
                <w:tcPr>
                  <w:tcW w:w="5382" w:type="dxa"/>
                  <w:gridSpan w:val="9"/>
                  <w:tcBorders>
                    <w:tl2br w:val="nil"/>
                    <w:tr2bl w:val="nil"/>
                  </w:tcBorders>
                  <w:vAlign w:val="center"/>
                </w:tcPr>
                <w:p w14:paraId="18B18678">
                  <w:pPr>
                    <w:widowControl w:val="0"/>
                    <w:spacing w:line="240" w:lineRule="auto"/>
                    <w:ind w:left="0" w:leftChars="0" w:right="0" w:rightChars="0"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距离</w:t>
                  </w:r>
                </w:p>
              </w:tc>
            </w:tr>
            <w:tr w14:paraId="4C70C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tcBorders>
                    <w:tl2br w:val="nil"/>
                    <w:tr2bl w:val="nil"/>
                  </w:tcBorders>
                  <w:vAlign w:val="center"/>
                </w:tcPr>
                <w:p w14:paraId="40437F40">
                  <w:pPr>
                    <w:widowControl w:val="0"/>
                    <w:spacing w:line="240" w:lineRule="auto"/>
                    <w:ind w:left="0" w:leftChars="0" w:right="0" w:rightChars="0" w:firstLine="0" w:firstLineChars="0"/>
                    <w:jc w:val="center"/>
                    <w:rPr>
                      <w:color w:val="auto"/>
                    </w:rPr>
                  </w:pPr>
                </w:p>
              </w:tc>
              <w:tc>
                <w:tcPr>
                  <w:tcW w:w="1323" w:type="dxa"/>
                  <w:vMerge w:val="continue"/>
                  <w:tcBorders>
                    <w:tl2br w:val="nil"/>
                    <w:tr2bl w:val="nil"/>
                  </w:tcBorders>
                  <w:vAlign w:val="center"/>
                </w:tcPr>
                <w:p w14:paraId="6B836654">
                  <w:pPr>
                    <w:widowControl w:val="0"/>
                    <w:spacing w:line="240" w:lineRule="auto"/>
                    <w:ind w:left="0" w:leftChars="0" w:right="0" w:rightChars="0" w:firstLine="0" w:firstLineChars="0"/>
                    <w:jc w:val="center"/>
                    <w:rPr>
                      <w:color w:val="auto"/>
                    </w:rPr>
                  </w:pPr>
                </w:p>
              </w:tc>
              <w:tc>
                <w:tcPr>
                  <w:tcW w:w="598" w:type="dxa"/>
                  <w:tcBorders>
                    <w:tl2br w:val="nil"/>
                    <w:tr2bl w:val="nil"/>
                  </w:tcBorders>
                  <w:shd w:val="clear" w:color="auto" w:fill="auto"/>
                  <w:vAlign w:val="center"/>
                </w:tcPr>
                <w:p w14:paraId="5EAEB24F">
                  <w:pPr>
                    <w:widowControl w:val="0"/>
                    <w:spacing w:line="240" w:lineRule="auto"/>
                    <w:ind w:left="0" w:leftChars="0" w:right="0" w:rightChars="0" w:firstLine="0" w:firstLineChars="0"/>
                    <w:jc w:val="center"/>
                    <w:rPr>
                      <w:rFonts w:hint="eastAsia"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5</w:t>
                  </w:r>
                </w:p>
              </w:tc>
              <w:tc>
                <w:tcPr>
                  <w:tcW w:w="598" w:type="dxa"/>
                  <w:tcBorders>
                    <w:tl2br w:val="nil"/>
                    <w:tr2bl w:val="nil"/>
                  </w:tcBorders>
                  <w:shd w:val="clear" w:color="auto" w:fill="auto"/>
                  <w:vAlign w:val="center"/>
                </w:tcPr>
                <w:p w14:paraId="46F47680">
                  <w:pPr>
                    <w:widowControl w:val="0"/>
                    <w:spacing w:line="240" w:lineRule="auto"/>
                    <w:ind w:left="0" w:leftChars="0" w:right="0" w:rightChars="0" w:firstLine="0" w:firstLineChars="0"/>
                    <w:jc w:val="center"/>
                    <w:rPr>
                      <w:rFonts w:hint="eastAsia"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10</w:t>
                  </w:r>
                </w:p>
              </w:tc>
              <w:tc>
                <w:tcPr>
                  <w:tcW w:w="598" w:type="dxa"/>
                  <w:tcBorders>
                    <w:tl2br w:val="nil"/>
                    <w:tr2bl w:val="nil"/>
                  </w:tcBorders>
                  <w:shd w:val="clear" w:color="auto" w:fill="auto"/>
                  <w:vAlign w:val="center"/>
                </w:tcPr>
                <w:p w14:paraId="2B59D620">
                  <w:pPr>
                    <w:widowControl w:val="0"/>
                    <w:spacing w:line="240" w:lineRule="auto"/>
                    <w:ind w:left="0" w:leftChars="0" w:right="0" w:rightChars="0" w:firstLine="0" w:firstLineChars="0"/>
                    <w:jc w:val="center"/>
                    <w:rPr>
                      <w:rFonts w:hint="default"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15</w:t>
                  </w:r>
                </w:p>
              </w:tc>
              <w:tc>
                <w:tcPr>
                  <w:tcW w:w="598" w:type="dxa"/>
                  <w:tcBorders>
                    <w:tl2br w:val="nil"/>
                    <w:tr2bl w:val="nil"/>
                  </w:tcBorders>
                  <w:shd w:val="clear" w:color="auto" w:fill="auto"/>
                  <w:vAlign w:val="center"/>
                </w:tcPr>
                <w:p w14:paraId="12CF8BC4">
                  <w:pPr>
                    <w:widowControl w:val="0"/>
                    <w:spacing w:line="240" w:lineRule="auto"/>
                    <w:ind w:left="0" w:leftChars="0" w:right="0" w:rightChars="0" w:firstLine="0" w:firstLineChars="0"/>
                    <w:jc w:val="center"/>
                    <w:rPr>
                      <w:rFonts w:hint="default"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25</w:t>
                  </w:r>
                </w:p>
              </w:tc>
              <w:tc>
                <w:tcPr>
                  <w:tcW w:w="598" w:type="dxa"/>
                  <w:tcBorders>
                    <w:tl2br w:val="nil"/>
                    <w:tr2bl w:val="nil"/>
                  </w:tcBorders>
                  <w:shd w:val="clear" w:color="auto" w:fill="auto"/>
                  <w:vAlign w:val="center"/>
                </w:tcPr>
                <w:p w14:paraId="71AC5583">
                  <w:pPr>
                    <w:widowControl w:val="0"/>
                    <w:spacing w:line="240" w:lineRule="auto"/>
                    <w:ind w:left="0" w:leftChars="0" w:right="0" w:rightChars="0" w:firstLine="0" w:firstLineChars="0"/>
                    <w:jc w:val="center"/>
                    <w:rPr>
                      <w:rFonts w:hint="default"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45</w:t>
                  </w:r>
                </w:p>
              </w:tc>
              <w:tc>
                <w:tcPr>
                  <w:tcW w:w="598" w:type="dxa"/>
                  <w:tcBorders>
                    <w:tl2br w:val="nil"/>
                    <w:tr2bl w:val="nil"/>
                  </w:tcBorders>
                  <w:shd w:val="clear" w:color="auto" w:fill="auto"/>
                  <w:vAlign w:val="center"/>
                </w:tcPr>
                <w:p w14:paraId="32101CE8">
                  <w:pPr>
                    <w:widowControl w:val="0"/>
                    <w:spacing w:line="240" w:lineRule="auto"/>
                    <w:ind w:left="0" w:leftChars="0" w:right="0" w:rightChars="0" w:firstLine="0" w:firstLineChars="0"/>
                    <w:jc w:val="center"/>
                    <w:rPr>
                      <w:rFonts w:hint="default"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65</w:t>
                  </w:r>
                </w:p>
              </w:tc>
              <w:tc>
                <w:tcPr>
                  <w:tcW w:w="598" w:type="dxa"/>
                  <w:tcBorders>
                    <w:tl2br w:val="nil"/>
                    <w:tr2bl w:val="nil"/>
                  </w:tcBorders>
                  <w:shd w:val="clear" w:color="auto" w:fill="auto"/>
                  <w:vAlign w:val="center"/>
                </w:tcPr>
                <w:p w14:paraId="5A27579D">
                  <w:pPr>
                    <w:widowControl w:val="0"/>
                    <w:spacing w:line="240" w:lineRule="auto"/>
                    <w:ind w:left="0" w:leftChars="0" w:right="0" w:rightChars="0" w:firstLine="0" w:firstLineChars="0"/>
                    <w:jc w:val="center"/>
                    <w:rPr>
                      <w:rFonts w:hint="eastAsia"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100</w:t>
                  </w:r>
                </w:p>
              </w:tc>
              <w:tc>
                <w:tcPr>
                  <w:tcW w:w="598" w:type="dxa"/>
                  <w:tcBorders>
                    <w:tl2br w:val="nil"/>
                    <w:tr2bl w:val="nil"/>
                  </w:tcBorders>
                  <w:shd w:val="clear" w:color="auto" w:fill="auto"/>
                  <w:vAlign w:val="center"/>
                </w:tcPr>
                <w:p w14:paraId="690672FD">
                  <w:pPr>
                    <w:widowControl w:val="0"/>
                    <w:spacing w:line="240" w:lineRule="auto"/>
                    <w:ind w:left="0" w:leftChars="0" w:right="0" w:rightChars="0" w:firstLine="0" w:firstLineChars="0"/>
                    <w:jc w:val="center"/>
                    <w:rPr>
                      <w:rFonts w:hint="eastAsia"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150</w:t>
                  </w:r>
                </w:p>
              </w:tc>
              <w:tc>
                <w:tcPr>
                  <w:tcW w:w="598" w:type="dxa"/>
                  <w:tcBorders>
                    <w:tl2br w:val="nil"/>
                    <w:tr2bl w:val="nil"/>
                  </w:tcBorders>
                  <w:shd w:val="clear" w:color="auto" w:fill="auto"/>
                  <w:vAlign w:val="center"/>
                </w:tcPr>
                <w:p w14:paraId="17F8B5F3">
                  <w:pPr>
                    <w:widowControl w:val="0"/>
                    <w:spacing w:line="240" w:lineRule="auto"/>
                    <w:ind w:left="0" w:leftChars="0" w:right="0" w:rightChars="0" w:firstLine="0" w:firstLineChars="0"/>
                    <w:jc w:val="center"/>
                    <w:rPr>
                      <w:rFonts w:hint="eastAsia"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color w:val="auto"/>
                      <w:sz w:val="21"/>
                      <w:szCs w:val="21"/>
                      <w:lang w:val="en-US" w:eastAsia="zh-CN"/>
                    </w:rPr>
                    <w:t>200</w:t>
                  </w:r>
                </w:p>
              </w:tc>
            </w:tr>
            <w:tr w14:paraId="2CE1E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53" w:type="dxa"/>
                  <w:tcBorders>
                    <w:tl2br w:val="nil"/>
                    <w:tr2bl w:val="nil"/>
                  </w:tcBorders>
                  <w:vAlign w:val="center"/>
                </w:tcPr>
                <w:p w14:paraId="633358E1">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323" w:type="dxa"/>
                  <w:tcBorders>
                    <w:tl2br w:val="nil"/>
                    <w:tr2bl w:val="nil"/>
                  </w:tcBorders>
                  <w:vAlign w:val="center"/>
                </w:tcPr>
                <w:p w14:paraId="74619813">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挖掘机</w:t>
                  </w:r>
                </w:p>
              </w:tc>
              <w:tc>
                <w:tcPr>
                  <w:tcW w:w="598" w:type="dxa"/>
                  <w:tcBorders>
                    <w:tl2br w:val="nil"/>
                    <w:tr2bl w:val="nil"/>
                  </w:tcBorders>
                  <w:vAlign w:val="center"/>
                </w:tcPr>
                <w:p w14:paraId="1437BCB2">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90</w:t>
                  </w:r>
                </w:p>
              </w:tc>
              <w:tc>
                <w:tcPr>
                  <w:tcW w:w="598" w:type="dxa"/>
                  <w:tcBorders>
                    <w:tl2br w:val="nil"/>
                    <w:tr2bl w:val="nil"/>
                  </w:tcBorders>
                  <w:vAlign w:val="center"/>
                </w:tcPr>
                <w:p w14:paraId="01EEA925">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84</w:t>
                  </w:r>
                </w:p>
              </w:tc>
              <w:tc>
                <w:tcPr>
                  <w:tcW w:w="598" w:type="dxa"/>
                  <w:tcBorders>
                    <w:tl2br w:val="nil"/>
                    <w:tr2bl w:val="nil"/>
                  </w:tcBorders>
                  <w:vAlign w:val="center"/>
                </w:tcPr>
                <w:p w14:paraId="12C6DA13">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78</w:t>
                  </w:r>
                </w:p>
              </w:tc>
              <w:tc>
                <w:tcPr>
                  <w:tcW w:w="598" w:type="dxa"/>
                  <w:tcBorders>
                    <w:tl2br w:val="nil"/>
                    <w:tr2bl w:val="nil"/>
                  </w:tcBorders>
                  <w:vAlign w:val="center"/>
                </w:tcPr>
                <w:p w14:paraId="6A2531FB">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63</w:t>
                  </w:r>
                </w:p>
              </w:tc>
              <w:tc>
                <w:tcPr>
                  <w:tcW w:w="598" w:type="dxa"/>
                  <w:tcBorders>
                    <w:tl2br w:val="nil"/>
                    <w:tr2bl w:val="nil"/>
                  </w:tcBorders>
                  <w:vAlign w:val="center"/>
                </w:tcPr>
                <w:p w14:paraId="29DAE0F4">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w:t>
                  </w:r>
                </w:p>
              </w:tc>
              <w:tc>
                <w:tcPr>
                  <w:tcW w:w="598" w:type="dxa"/>
                  <w:tcBorders>
                    <w:tl2br w:val="nil"/>
                    <w:tr2bl w:val="nil"/>
                  </w:tcBorders>
                  <w:vAlign w:val="center"/>
                </w:tcPr>
                <w:p w14:paraId="4821361B">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51</w:t>
                  </w:r>
                </w:p>
              </w:tc>
              <w:tc>
                <w:tcPr>
                  <w:tcW w:w="598" w:type="dxa"/>
                  <w:tcBorders>
                    <w:tl2br w:val="nil"/>
                    <w:tr2bl w:val="nil"/>
                  </w:tcBorders>
                  <w:vAlign w:val="center"/>
                </w:tcPr>
                <w:p w14:paraId="1914C863">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46</w:t>
                  </w:r>
                </w:p>
              </w:tc>
              <w:tc>
                <w:tcPr>
                  <w:tcW w:w="598" w:type="dxa"/>
                  <w:tcBorders>
                    <w:tl2br w:val="nil"/>
                    <w:tr2bl w:val="nil"/>
                  </w:tcBorders>
                  <w:vAlign w:val="center"/>
                </w:tcPr>
                <w:p w14:paraId="794500EC">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42</w:t>
                  </w:r>
                </w:p>
              </w:tc>
              <w:tc>
                <w:tcPr>
                  <w:tcW w:w="598" w:type="dxa"/>
                  <w:tcBorders>
                    <w:tl2br w:val="nil"/>
                    <w:tr2bl w:val="nil"/>
                  </w:tcBorders>
                  <w:vAlign w:val="center"/>
                </w:tcPr>
                <w:p w14:paraId="6E2A55FD">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39</w:t>
                  </w:r>
                </w:p>
              </w:tc>
            </w:tr>
            <w:tr w14:paraId="5624C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53" w:type="dxa"/>
                  <w:tcBorders>
                    <w:tl2br w:val="nil"/>
                    <w:tr2bl w:val="nil"/>
                  </w:tcBorders>
                  <w:vAlign w:val="center"/>
                </w:tcPr>
                <w:p w14:paraId="21A52290">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323" w:type="dxa"/>
                  <w:tcBorders>
                    <w:tl2br w:val="nil"/>
                    <w:tr2bl w:val="nil"/>
                  </w:tcBorders>
                  <w:vAlign w:val="center"/>
                </w:tcPr>
                <w:p w14:paraId="693BD01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推土机</w:t>
                  </w:r>
                </w:p>
              </w:tc>
              <w:tc>
                <w:tcPr>
                  <w:tcW w:w="598" w:type="dxa"/>
                  <w:tcBorders>
                    <w:tl2br w:val="nil"/>
                    <w:tr2bl w:val="nil"/>
                  </w:tcBorders>
                  <w:vAlign w:val="center"/>
                </w:tcPr>
                <w:p w14:paraId="37E57680">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85</w:t>
                  </w:r>
                </w:p>
              </w:tc>
              <w:tc>
                <w:tcPr>
                  <w:tcW w:w="598" w:type="dxa"/>
                  <w:tcBorders>
                    <w:tl2br w:val="nil"/>
                    <w:tr2bl w:val="nil"/>
                  </w:tcBorders>
                  <w:vAlign w:val="center"/>
                </w:tcPr>
                <w:p w14:paraId="4B066833">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w:t>
                  </w:r>
                </w:p>
              </w:tc>
              <w:tc>
                <w:tcPr>
                  <w:tcW w:w="598" w:type="dxa"/>
                  <w:tcBorders>
                    <w:tl2br w:val="nil"/>
                    <w:tr2bl w:val="nil"/>
                  </w:tcBorders>
                  <w:vAlign w:val="center"/>
                </w:tcPr>
                <w:p w14:paraId="765E70D9">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73</w:t>
                  </w:r>
                </w:p>
              </w:tc>
              <w:tc>
                <w:tcPr>
                  <w:tcW w:w="598" w:type="dxa"/>
                  <w:tcBorders>
                    <w:tl2br w:val="nil"/>
                    <w:tr2bl w:val="nil"/>
                  </w:tcBorders>
                  <w:vAlign w:val="center"/>
                </w:tcPr>
                <w:p w14:paraId="15F7E36E">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w:t>
                  </w:r>
                </w:p>
              </w:tc>
              <w:tc>
                <w:tcPr>
                  <w:tcW w:w="598" w:type="dxa"/>
                  <w:tcBorders>
                    <w:tl2br w:val="nil"/>
                    <w:tr2bl w:val="nil"/>
                  </w:tcBorders>
                  <w:vAlign w:val="center"/>
                </w:tcPr>
                <w:p w14:paraId="37735E5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54</w:t>
                  </w:r>
                </w:p>
              </w:tc>
              <w:tc>
                <w:tcPr>
                  <w:tcW w:w="598" w:type="dxa"/>
                  <w:tcBorders>
                    <w:tl2br w:val="nil"/>
                    <w:tr2bl w:val="nil"/>
                  </w:tcBorders>
                  <w:vAlign w:val="center"/>
                </w:tcPr>
                <w:p w14:paraId="1A8B6D49">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50</w:t>
                  </w:r>
                </w:p>
              </w:tc>
              <w:tc>
                <w:tcPr>
                  <w:tcW w:w="598" w:type="dxa"/>
                  <w:tcBorders>
                    <w:tl2br w:val="nil"/>
                    <w:tr2bl w:val="nil"/>
                  </w:tcBorders>
                  <w:vAlign w:val="center"/>
                </w:tcPr>
                <w:p w14:paraId="6EEA1920">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42</w:t>
                  </w:r>
                </w:p>
              </w:tc>
              <w:tc>
                <w:tcPr>
                  <w:tcW w:w="598" w:type="dxa"/>
                  <w:tcBorders>
                    <w:tl2br w:val="nil"/>
                    <w:tr2bl w:val="nil"/>
                  </w:tcBorders>
                  <w:vAlign w:val="center"/>
                </w:tcPr>
                <w:p w14:paraId="7884C1F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39</w:t>
                  </w:r>
                </w:p>
              </w:tc>
              <w:tc>
                <w:tcPr>
                  <w:tcW w:w="598" w:type="dxa"/>
                  <w:tcBorders>
                    <w:tl2br w:val="nil"/>
                    <w:tr2bl w:val="nil"/>
                  </w:tcBorders>
                  <w:vAlign w:val="center"/>
                </w:tcPr>
                <w:p w14:paraId="55B9C6E9">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37</w:t>
                  </w:r>
                </w:p>
              </w:tc>
            </w:tr>
            <w:tr w14:paraId="08A56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53" w:type="dxa"/>
                  <w:tcBorders>
                    <w:tl2br w:val="nil"/>
                    <w:tr2bl w:val="nil"/>
                  </w:tcBorders>
                  <w:vAlign w:val="center"/>
                </w:tcPr>
                <w:p w14:paraId="4D92524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323" w:type="dxa"/>
                  <w:tcBorders>
                    <w:tl2br w:val="nil"/>
                    <w:tr2bl w:val="nil"/>
                  </w:tcBorders>
                  <w:vAlign w:val="center"/>
                </w:tcPr>
                <w:p w14:paraId="26B8EC6C">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运输车辆</w:t>
                  </w:r>
                </w:p>
              </w:tc>
              <w:tc>
                <w:tcPr>
                  <w:tcW w:w="598" w:type="dxa"/>
                  <w:tcBorders>
                    <w:tl2br w:val="nil"/>
                    <w:tr2bl w:val="nil"/>
                  </w:tcBorders>
                  <w:vAlign w:val="center"/>
                </w:tcPr>
                <w:p w14:paraId="1391CB35">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85</w:t>
                  </w:r>
                </w:p>
              </w:tc>
              <w:tc>
                <w:tcPr>
                  <w:tcW w:w="598" w:type="dxa"/>
                  <w:tcBorders>
                    <w:tl2br w:val="nil"/>
                    <w:tr2bl w:val="nil"/>
                  </w:tcBorders>
                  <w:vAlign w:val="center"/>
                </w:tcPr>
                <w:p w14:paraId="4521635D">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79</w:t>
                  </w:r>
                </w:p>
              </w:tc>
              <w:tc>
                <w:tcPr>
                  <w:tcW w:w="598" w:type="dxa"/>
                  <w:tcBorders>
                    <w:tl2br w:val="nil"/>
                    <w:tr2bl w:val="nil"/>
                  </w:tcBorders>
                  <w:vAlign w:val="center"/>
                </w:tcPr>
                <w:p w14:paraId="17224417">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73</w:t>
                  </w:r>
                </w:p>
              </w:tc>
              <w:tc>
                <w:tcPr>
                  <w:tcW w:w="598" w:type="dxa"/>
                  <w:tcBorders>
                    <w:tl2br w:val="nil"/>
                    <w:tr2bl w:val="nil"/>
                  </w:tcBorders>
                  <w:vAlign w:val="center"/>
                </w:tcPr>
                <w:p w14:paraId="0949E66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w:t>
                  </w:r>
                </w:p>
              </w:tc>
              <w:tc>
                <w:tcPr>
                  <w:tcW w:w="598" w:type="dxa"/>
                  <w:tcBorders>
                    <w:tl2br w:val="nil"/>
                    <w:tr2bl w:val="nil"/>
                  </w:tcBorders>
                  <w:vAlign w:val="center"/>
                </w:tcPr>
                <w:p w14:paraId="22EA992F">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54</w:t>
                  </w:r>
                </w:p>
              </w:tc>
              <w:tc>
                <w:tcPr>
                  <w:tcW w:w="598" w:type="dxa"/>
                  <w:tcBorders>
                    <w:tl2br w:val="nil"/>
                    <w:tr2bl w:val="nil"/>
                  </w:tcBorders>
                  <w:vAlign w:val="center"/>
                </w:tcPr>
                <w:p w14:paraId="444FF473">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50</w:t>
                  </w:r>
                </w:p>
              </w:tc>
              <w:tc>
                <w:tcPr>
                  <w:tcW w:w="598" w:type="dxa"/>
                  <w:tcBorders>
                    <w:tl2br w:val="nil"/>
                    <w:tr2bl w:val="nil"/>
                  </w:tcBorders>
                  <w:vAlign w:val="center"/>
                </w:tcPr>
                <w:p w14:paraId="1F3C466E">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42</w:t>
                  </w:r>
                </w:p>
              </w:tc>
              <w:tc>
                <w:tcPr>
                  <w:tcW w:w="598" w:type="dxa"/>
                  <w:tcBorders>
                    <w:tl2br w:val="nil"/>
                    <w:tr2bl w:val="nil"/>
                  </w:tcBorders>
                  <w:vAlign w:val="center"/>
                </w:tcPr>
                <w:p w14:paraId="2AA0B228">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39</w:t>
                  </w:r>
                </w:p>
              </w:tc>
              <w:tc>
                <w:tcPr>
                  <w:tcW w:w="598" w:type="dxa"/>
                  <w:tcBorders>
                    <w:tl2br w:val="nil"/>
                    <w:tr2bl w:val="nil"/>
                  </w:tcBorders>
                  <w:vAlign w:val="center"/>
                </w:tcPr>
                <w:p w14:paraId="132EC932">
                  <w:pPr>
                    <w:widowControl w:val="0"/>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37</w:t>
                  </w:r>
                </w:p>
              </w:tc>
            </w:tr>
          </w:tbl>
          <w:p w14:paraId="17D734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本项目仅在昼间进行施工，由表4-1可知，白天施工机械在距离施工边界25</w:t>
            </w:r>
            <w:r>
              <w:rPr>
                <w:rFonts w:hint="default" w:ascii="Times New Roman" w:hAnsi="Times New Roman" w:eastAsia="宋体" w:cs="Times New Roman"/>
                <w:snapToGrid w:val="0"/>
                <w:color w:val="auto"/>
                <w:spacing w:val="-2"/>
                <w:kern w:val="0"/>
                <w:sz w:val="24"/>
                <w:szCs w:val="24"/>
                <w:lang w:val="en-US" w:eastAsia="zh-CN" w:bidi="ar-SA"/>
              </w:rPr>
              <w:t>m</w:t>
            </w:r>
            <w:r>
              <w:rPr>
                <w:rFonts w:hint="eastAsia" w:ascii="Times New Roman" w:hAnsi="Times New Roman" w:eastAsia="宋体" w:cs="Times New Roman"/>
                <w:snapToGrid w:val="0"/>
                <w:color w:val="auto"/>
                <w:spacing w:val="-2"/>
                <w:kern w:val="0"/>
                <w:sz w:val="24"/>
                <w:szCs w:val="24"/>
                <w:lang w:val="en-US" w:eastAsia="zh-CN" w:bidi="ar-SA"/>
              </w:rPr>
              <w:t>范围内施工边界噪声可以达到《建筑施工场界环境噪声排放标准》（</w:t>
            </w:r>
            <w:r>
              <w:rPr>
                <w:rFonts w:hint="default" w:ascii="Times New Roman" w:hAnsi="Times New Roman" w:eastAsia="宋体" w:cs="Times New Roman"/>
                <w:snapToGrid w:val="0"/>
                <w:color w:val="auto"/>
                <w:spacing w:val="-2"/>
                <w:kern w:val="0"/>
                <w:sz w:val="24"/>
                <w:szCs w:val="24"/>
                <w:lang w:val="en-US" w:eastAsia="zh-CN" w:bidi="ar-SA"/>
              </w:rPr>
              <w:t>GB12523-2011</w:t>
            </w:r>
            <w:r>
              <w:rPr>
                <w:rFonts w:hint="eastAsia" w:ascii="Times New Roman" w:hAnsi="Times New Roman" w:eastAsia="宋体" w:cs="Times New Roman"/>
                <w:snapToGrid w:val="0"/>
                <w:color w:val="auto"/>
                <w:spacing w:val="-2"/>
                <w:kern w:val="0"/>
                <w:sz w:val="24"/>
                <w:szCs w:val="24"/>
                <w:lang w:val="en-US" w:eastAsia="zh-CN" w:bidi="ar-SA"/>
              </w:rPr>
              <w:t>）昼间≤</w:t>
            </w:r>
            <w:r>
              <w:rPr>
                <w:rFonts w:hint="default" w:ascii="Times New Roman" w:hAnsi="Times New Roman" w:eastAsia="宋体" w:cs="Times New Roman"/>
                <w:snapToGrid w:val="0"/>
                <w:color w:val="auto"/>
                <w:spacing w:val="-2"/>
                <w:kern w:val="0"/>
                <w:sz w:val="24"/>
                <w:szCs w:val="24"/>
                <w:lang w:val="en-US" w:eastAsia="zh-CN" w:bidi="ar-SA"/>
              </w:rPr>
              <w:t>70dB(A)</w:t>
            </w:r>
            <w:r>
              <w:rPr>
                <w:rFonts w:hint="eastAsia" w:ascii="Times New Roman" w:hAnsi="Times New Roman" w:eastAsia="宋体" w:cs="Times New Roman"/>
                <w:snapToGrid w:val="0"/>
                <w:color w:val="auto"/>
                <w:spacing w:val="-2"/>
                <w:kern w:val="0"/>
                <w:sz w:val="24"/>
                <w:szCs w:val="24"/>
                <w:lang w:val="en-US" w:eastAsia="zh-CN" w:bidi="ar-SA"/>
              </w:rPr>
              <w:t>标准的要求，项目夜间不施工，不会造成声环境影响。</w:t>
            </w:r>
          </w:p>
          <w:p w14:paraId="5D5766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highlight w:val="none"/>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施工期噪声环境敏感点及其影响分</w:t>
            </w:r>
            <w:r>
              <w:rPr>
                <w:rFonts w:hint="eastAsia" w:ascii="Times New Roman" w:hAnsi="Times New Roman" w:eastAsia="宋体" w:cs="Times New Roman"/>
                <w:snapToGrid w:val="0"/>
                <w:color w:val="auto"/>
                <w:spacing w:val="-2"/>
                <w:kern w:val="0"/>
                <w:sz w:val="24"/>
                <w:szCs w:val="24"/>
                <w:highlight w:val="none"/>
                <w:lang w:val="en-US" w:eastAsia="zh-CN" w:bidi="ar-SA"/>
              </w:rPr>
              <w:t>析如表4-2.</w:t>
            </w:r>
          </w:p>
          <w:p w14:paraId="0A9729D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spacing w:val="6"/>
                <w:sz w:val="21"/>
                <w:szCs w:val="21"/>
                <w:highlight w:val="none"/>
                <w:lang w:val="en-US" w:eastAsia="zh-CN"/>
              </w:rPr>
            </w:pPr>
            <w:r>
              <w:rPr>
                <w:rFonts w:hint="eastAsia" w:ascii="Times New Roman" w:hAnsi="Times New Roman" w:eastAsia="宋体" w:cs="Times New Roman"/>
                <w:b/>
                <w:bCs/>
                <w:color w:val="auto"/>
                <w:spacing w:val="6"/>
                <w:sz w:val="21"/>
                <w:szCs w:val="21"/>
                <w:highlight w:val="none"/>
                <w:lang w:val="en-US" w:eastAsia="zh-CN"/>
              </w:rPr>
              <w:t>表4-2  施工期声环境保护目标及其影响分析</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77"/>
              <w:gridCol w:w="1896"/>
              <w:gridCol w:w="1500"/>
              <w:gridCol w:w="2428"/>
            </w:tblGrid>
            <w:tr w14:paraId="7297F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94" w:type="dxa"/>
                  <w:vMerge w:val="restart"/>
                  <w:tcBorders>
                    <w:tl2br w:val="nil"/>
                    <w:tr2bl w:val="nil"/>
                  </w:tcBorders>
                  <w:vAlign w:val="center"/>
                </w:tcPr>
                <w:p w14:paraId="375E168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序号</w:t>
                  </w:r>
                </w:p>
              </w:tc>
              <w:tc>
                <w:tcPr>
                  <w:tcW w:w="1077" w:type="dxa"/>
                  <w:vMerge w:val="restart"/>
                  <w:tcBorders>
                    <w:tl2br w:val="nil"/>
                    <w:tr2bl w:val="nil"/>
                  </w:tcBorders>
                  <w:vAlign w:val="center"/>
                </w:tcPr>
                <w:p w14:paraId="1432FE7C">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保护目标名称</w:t>
                  </w:r>
                </w:p>
              </w:tc>
              <w:tc>
                <w:tcPr>
                  <w:tcW w:w="1896" w:type="dxa"/>
                  <w:vMerge w:val="restart"/>
                  <w:tcBorders>
                    <w:tl2br w:val="nil"/>
                    <w:tr2bl w:val="nil"/>
                  </w:tcBorders>
                  <w:vAlign w:val="center"/>
                </w:tcPr>
                <w:p w14:paraId="7B1D04D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治理段名称/位置</w:t>
                  </w:r>
                </w:p>
              </w:tc>
              <w:tc>
                <w:tcPr>
                  <w:tcW w:w="1500" w:type="dxa"/>
                  <w:vMerge w:val="restart"/>
                  <w:tcBorders>
                    <w:tl2br w:val="nil"/>
                    <w:tr2bl w:val="nil"/>
                  </w:tcBorders>
                  <w:vAlign w:val="center"/>
                </w:tcPr>
                <w:p w14:paraId="784005E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与治理段最近距离（m）</w:t>
                  </w:r>
                </w:p>
              </w:tc>
              <w:tc>
                <w:tcPr>
                  <w:tcW w:w="2428" w:type="dxa"/>
                  <w:tcBorders>
                    <w:tl2br w:val="nil"/>
                    <w:tr2bl w:val="nil"/>
                  </w:tcBorders>
                  <w:vAlign w:val="center"/>
                </w:tcPr>
                <w:p w14:paraId="75AB2D6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达标分析（dB（A））</w:t>
                  </w:r>
                </w:p>
              </w:tc>
            </w:tr>
            <w:tr w14:paraId="29F25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94" w:type="dxa"/>
                  <w:vMerge w:val="continue"/>
                  <w:tcBorders>
                    <w:tl2br w:val="nil"/>
                    <w:tr2bl w:val="nil"/>
                  </w:tcBorders>
                  <w:vAlign w:val="center"/>
                </w:tcPr>
                <w:p w14:paraId="553BB9C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1077" w:type="dxa"/>
                  <w:vMerge w:val="continue"/>
                  <w:tcBorders>
                    <w:tl2br w:val="nil"/>
                    <w:tr2bl w:val="nil"/>
                  </w:tcBorders>
                  <w:vAlign w:val="center"/>
                </w:tcPr>
                <w:p w14:paraId="4F562F8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1896" w:type="dxa"/>
                  <w:vMerge w:val="continue"/>
                  <w:tcBorders>
                    <w:tl2br w:val="nil"/>
                    <w:tr2bl w:val="nil"/>
                  </w:tcBorders>
                  <w:vAlign w:val="center"/>
                </w:tcPr>
                <w:p w14:paraId="64C114F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1500" w:type="dxa"/>
                  <w:vMerge w:val="continue"/>
                  <w:tcBorders>
                    <w:tl2br w:val="nil"/>
                    <w:tr2bl w:val="nil"/>
                  </w:tcBorders>
                  <w:vAlign w:val="center"/>
                </w:tcPr>
                <w:p w14:paraId="20FDCE4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highlight w:val="none"/>
                    </w:rPr>
                  </w:pPr>
                </w:p>
              </w:tc>
              <w:tc>
                <w:tcPr>
                  <w:tcW w:w="2428" w:type="dxa"/>
                  <w:tcBorders>
                    <w:tl2br w:val="nil"/>
                    <w:tr2bl w:val="nil"/>
                  </w:tcBorders>
                  <w:vAlign w:val="center"/>
                </w:tcPr>
                <w:p w14:paraId="3AA107E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6"/>
                      <w:sz w:val="21"/>
                      <w:szCs w:val="21"/>
                      <w:highlight w:val="none"/>
                      <w:vertAlign w:val="baseline"/>
                      <w:lang w:val="en-US" w:eastAsia="zh-CN"/>
                    </w:rPr>
                  </w:pPr>
                  <w:r>
                    <w:rPr>
                      <w:rFonts w:hint="eastAsia" w:ascii="Times New Roman" w:hAnsi="Times New Roman" w:eastAsia="宋体" w:cs="Times New Roman"/>
                      <w:b/>
                      <w:bCs/>
                      <w:color w:val="auto"/>
                      <w:spacing w:val="6"/>
                      <w:sz w:val="21"/>
                      <w:szCs w:val="21"/>
                      <w:highlight w:val="none"/>
                      <w:vertAlign w:val="baseline"/>
                      <w:lang w:val="en-US" w:eastAsia="zh-CN"/>
                    </w:rPr>
                    <w:t>昼间（70）</w:t>
                  </w:r>
                </w:p>
              </w:tc>
            </w:tr>
            <w:tr w14:paraId="6D20C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4" w:type="dxa"/>
                  <w:tcBorders>
                    <w:tl2br w:val="nil"/>
                    <w:tr2bl w:val="nil"/>
                  </w:tcBorders>
                  <w:vAlign w:val="center"/>
                </w:tcPr>
                <w:p w14:paraId="2397CC4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1</w:t>
                  </w:r>
                </w:p>
              </w:tc>
              <w:tc>
                <w:tcPr>
                  <w:tcW w:w="1077" w:type="dxa"/>
                  <w:tcBorders>
                    <w:tl2br w:val="nil"/>
                    <w:tr2bl w:val="nil"/>
                  </w:tcBorders>
                  <w:shd w:val="clear" w:color="auto" w:fill="auto"/>
                  <w:vAlign w:val="center"/>
                </w:tcPr>
                <w:p w14:paraId="50D8ACD0">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平凉庄村</w:t>
                  </w:r>
                </w:p>
              </w:tc>
              <w:tc>
                <w:tcPr>
                  <w:tcW w:w="1896" w:type="dxa"/>
                  <w:tcBorders>
                    <w:tl2br w:val="nil"/>
                    <w:tr2bl w:val="nil"/>
                  </w:tcBorders>
                  <w:vAlign w:val="center"/>
                </w:tcPr>
                <w:p w14:paraId="4082C15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生态沟渠（红土村）/西侧</w:t>
                  </w:r>
                </w:p>
              </w:tc>
              <w:tc>
                <w:tcPr>
                  <w:tcW w:w="1500" w:type="dxa"/>
                  <w:tcBorders>
                    <w:tl2br w:val="nil"/>
                    <w:tr2bl w:val="nil"/>
                  </w:tcBorders>
                  <w:vAlign w:val="center"/>
                </w:tcPr>
                <w:p w14:paraId="6C424F2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2</w:t>
                  </w:r>
                </w:p>
              </w:tc>
              <w:tc>
                <w:tcPr>
                  <w:tcW w:w="2428" w:type="dxa"/>
                  <w:tcBorders>
                    <w:tl2br w:val="nil"/>
                    <w:tr2bl w:val="nil"/>
                  </w:tcBorders>
                  <w:vAlign w:val="center"/>
                </w:tcPr>
                <w:p w14:paraId="56480F5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r w14:paraId="1F590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4" w:type="dxa"/>
                  <w:tcBorders>
                    <w:tl2br w:val="nil"/>
                    <w:tr2bl w:val="nil"/>
                  </w:tcBorders>
                  <w:vAlign w:val="center"/>
                </w:tcPr>
                <w:p w14:paraId="352054E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2</w:t>
                  </w:r>
                </w:p>
              </w:tc>
              <w:tc>
                <w:tcPr>
                  <w:tcW w:w="1077" w:type="dxa"/>
                  <w:tcBorders>
                    <w:tl2br w:val="nil"/>
                    <w:tr2bl w:val="nil"/>
                  </w:tcBorders>
                  <w:shd w:val="clear" w:color="auto" w:fill="auto"/>
                  <w:vAlign w:val="center"/>
                </w:tcPr>
                <w:p w14:paraId="09275670">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羊槽村</w:t>
                  </w:r>
                </w:p>
              </w:tc>
              <w:tc>
                <w:tcPr>
                  <w:tcW w:w="1896" w:type="dxa"/>
                  <w:tcBorders>
                    <w:tl2br w:val="nil"/>
                    <w:tr2bl w:val="nil"/>
                  </w:tcBorders>
                  <w:vAlign w:val="center"/>
                </w:tcPr>
                <w:p w14:paraId="20B7FD5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羊槽河（羊槽村段）/北侧</w:t>
                  </w:r>
                </w:p>
              </w:tc>
              <w:tc>
                <w:tcPr>
                  <w:tcW w:w="1500" w:type="dxa"/>
                  <w:tcBorders>
                    <w:tl2br w:val="nil"/>
                    <w:tr2bl w:val="nil"/>
                  </w:tcBorders>
                  <w:vAlign w:val="center"/>
                </w:tcPr>
                <w:p w14:paraId="1AC6863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20</w:t>
                  </w:r>
                </w:p>
              </w:tc>
              <w:tc>
                <w:tcPr>
                  <w:tcW w:w="2428" w:type="dxa"/>
                  <w:tcBorders>
                    <w:tl2br w:val="nil"/>
                    <w:tr2bl w:val="nil"/>
                  </w:tcBorders>
                  <w:vAlign w:val="center"/>
                </w:tcPr>
                <w:p w14:paraId="0C974F1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r w14:paraId="0A4D2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tcBorders>
                    <w:tl2br w:val="nil"/>
                    <w:tr2bl w:val="nil"/>
                  </w:tcBorders>
                  <w:vAlign w:val="center"/>
                </w:tcPr>
                <w:p w14:paraId="5D47E0B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3</w:t>
                  </w:r>
                </w:p>
              </w:tc>
              <w:tc>
                <w:tcPr>
                  <w:tcW w:w="1077" w:type="dxa"/>
                  <w:tcBorders>
                    <w:tl2br w:val="nil"/>
                    <w:tr2bl w:val="nil"/>
                  </w:tcBorders>
                  <w:shd w:val="clear" w:color="auto" w:fill="auto"/>
                  <w:vAlign w:val="center"/>
                </w:tcPr>
                <w:p w14:paraId="40FD11EF">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黄花乡司法所</w:t>
                  </w:r>
                </w:p>
              </w:tc>
              <w:tc>
                <w:tcPr>
                  <w:tcW w:w="1896" w:type="dxa"/>
                  <w:tcBorders>
                    <w:tl2br w:val="nil"/>
                    <w:tr2bl w:val="nil"/>
                  </w:tcBorders>
                  <w:vAlign w:val="center"/>
                </w:tcPr>
                <w:p w14:paraId="4127EB7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羊槽河（羊槽村段）/西侧</w:t>
                  </w:r>
                </w:p>
              </w:tc>
              <w:tc>
                <w:tcPr>
                  <w:tcW w:w="1500" w:type="dxa"/>
                  <w:tcBorders>
                    <w:tl2br w:val="nil"/>
                    <w:tr2bl w:val="nil"/>
                  </w:tcBorders>
                  <w:vAlign w:val="center"/>
                </w:tcPr>
                <w:p w14:paraId="21BAC62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148</w:t>
                  </w:r>
                </w:p>
              </w:tc>
              <w:tc>
                <w:tcPr>
                  <w:tcW w:w="2428" w:type="dxa"/>
                  <w:tcBorders>
                    <w:tl2br w:val="nil"/>
                    <w:tr2bl w:val="nil"/>
                  </w:tcBorders>
                  <w:vAlign w:val="center"/>
                </w:tcPr>
                <w:p w14:paraId="37E8843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达标</w:t>
                  </w:r>
                </w:p>
              </w:tc>
            </w:tr>
            <w:tr w14:paraId="64CAC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2CC867E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4</w:t>
                  </w:r>
                </w:p>
              </w:tc>
              <w:tc>
                <w:tcPr>
                  <w:tcW w:w="1077" w:type="dxa"/>
                  <w:shd w:val="clear" w:color="auto" w:fill="auto"/>
                  <w:vAlign w:val="center"/>
                </w:tcPr>
                <w:p w14:paraId="3C6EB41A">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黄花乡派出所</w:t>
                  </w:r>
                </w:p>
              </w:tc>
              <w:tc>
                <w:tcPr>
                  <w:tcW w:w="1896" w:type="dxa"/>
                  <w:vAlign w:val="center"/>
                </w:tcPr>
                <w:p w14:paraId="410757F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羊槽河（羊槽村段）东/北侧</w:t>
                  </w:r>
                </w:p>
              </w:tc>
              <w:tc>
                <w:tcPr>
                  <w:tcW w:w="1500" w:type="dxa"/>
                  <w:vAlign w:val="center"/>
                </w:tcPr>
                <w:p w14:paraId="43DC754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78</w:t>
                  </w:r>
                </w:p>
              </w:tc>
              <w:tc>
                <w:tcPr>
                  <w:tcW w:w="2428" w:type="dxa"/>
                  <w:vAlign w:val="center"/>
                </w:tcPr>
                <w:p w14:paraId="36B3CF82">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达标</w:t>
                  </w:r>
                </w:p>
              </w:tc>
            </w:tr>
            <w:tr w14:paraId="65FAE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392D00D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5</w:t>
                  </w:r>
                </w:p>
              </w:tc>
              <w:tc>
                <w:tcPr>
                  <w:tcW w:w="1077" w:type="dxa"/>
                  <w:shd w:val="clear" w:color="auto" w:fill="auto"/>
                  <w:vAlign w:val="center"/>
                </w:tcPr>
                <w:p w14:paraId="33DBEC1A">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黄花乡卫生院</w:t>
                  </w:r>
                </w:p>
              </w:tc>
              <w:tc>
                <w:tcPr>
                  <w:tcW w:w="1896" w:type="dxa"/>
                  <w:vAlign w:val="center"/>
                </w:tcPr>
                <w:p w14:paraId="6D53D16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生态沟渠（红土村）/西侧</w:t>
                  </w:r>
                </w:p>
              </w:tc>
              <w:tc>
                <w:tcPr>
                  <w:tcW w:w="1500" w:type="dxa"/>
                  <w:vAlign w:val="center"/>
                </w:tcPr>
                <w:p w14:paraId="358E734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120</w:t>
                  </w:r>
                </w:p>
              </w:tc>
              <w:tc>
                <w:tcPr>
                  <w:tcW w:w="2428" w:type="dxa"/>
                  <w:vAlign w:val="center"/>
                </w:tcPr>
                <w:p w14:paraId="792CEF0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达标</w:t>
                  </w:r>
                </w:p>
              </w:tc>
            </w:tr>
            <w:tr w14:paraId="3DC41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675B948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6</w:t>
                  </w:r>
                </w:p>
              </w:tc>
              <w:tc>
                <w:tcPr>
                  <w:tcW w:w="1077" w:type="dxa"/>
                  <w:shd w:val="clear" w:color="auto" w:fill="auto"/>
                  <w:vAlign w:val="center"/>
                </w:tcPr>
                <w:p w14:paraId="311510BC">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黄花乡平凉庄小学</w:t>
                  </w:r>
                </w:p>
              </w:tc>
              <w:tc>
                <w:tcPr>
                  <w:tcW w:w="1896" w:type="dxa"/>
                  <w:vAlign w:val="center"/>
                </w:tcPr>
                <w:p w14:paraId="2D29605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生态沟渠（红土村）/东侧</w:t>
                  </w:r>
                </w:p>
              </w:tc>
              <w:tc>
                <w:tcPr>
                  <w:tcW w:w="1500" w:type="dxa"/>
                  <w:vAlign w:val="center"/>
                </w:tcPr>
                <w:p w14:paraId="18B94E3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35</w:t>
                  </w:r>
                </w:p>
              </w:tc>
              <w:tc>
                <w:tcPr>
                  <w:tcW w:w="2428" w:type="dxa"/>
                  <w:vAlign w:val="center"/>
                </w:tcPr>
                <w:p w14:paraId="358C6B8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达标</w:t>
                  </w:r>
                </w:p>
              </w:tc>
            </w:tr>
            <w:tr w14:paraId="27B86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6F07FAE2">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7</w:t>
                  </w:r>
                </w:p>
              </w:tc>
              <w:tc>
                <w:tcPr>
                  <w:tcW w:w="1077" w:type="dxa"/>
                  <w:shd w:val="clear" w:color="auto" w:fill="auto"/>
                  <w:vAlign w:val="center"/>
                </w:tcPr>
                <w:p w14:paraId="03EFBB9E">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红土村</w:t>
                  </w:r>
                </w:p>
              </w:tc>
              <w:tc>
                <w:tcPr>
                  <w:tcW w:w="1896" w:type="dxa"/>
                  <w:vAlign w:val="center"/>
                </w:tcPr>
                <w:p w14:paraId="355850A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生态沟渠（红土村）/西侧</w:t>
                  </w:r>
                </w:p>
              </w:tc>
              <w:tc>
                <w:tcPr>
                  <w:tcW w:w="1500" w:type="dxa"/>
                  <w:vAlign w:val="center"/>
                </w:tcPr>
                <w:p w14:paraId="38B027A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15</w:t>
                  </w:r>
                </w:p>
              </w:tc>
              <w:tc>
                <w:tcPr>
                  <w:tcW w:w="2428" w:type="dxa"/>
                  <w:vAlign w:val="center"/>
                </w:tcPr>
                <w:p w14:paraId="2779210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r w14:paraId="78962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17B33EEB">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8</w:t>
                  </w:r>
                </w:p>
              </w:tc>
              <w:tc>
                <w:tcPr>
                  <w:tcW w:w="1077" w:type="dxa"/>
                  <w:shd w:val="clear" w:color="auto" w:fill="auto"/>
                  <w:vAlign w:val="center"/>
                </w:tcPr>
                <w:p w14:paraId="3385682C">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八大阶</w:t>
                  </w:r>
                </w:p>
              </w:tc>
              <w:tc>
                <w:tcPr>
                  <w:tcW w:w="1896" w:type="dxa"/>
                  <w:vAlign w:val="center"/>
                </w:tcPr>
                <w:p w14:paraId="54788E2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生态沟渠（向阳村边沟）</w:t>
                  </w:r>
                </w:p>
              </w:tc>
              <w:tc>
                <w:tcPr>
                  <w:tcW w:w="1500" w:type="dxa"/>
                  <w:vAlign w:val="center"/>
                </w:tcPr>
                <w:p w14:paraId="4D0141D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8</w:t>
                  </w:r>
                </w:p>
              </w:tc>
              <w:tc>
                <w:tcPr>
                  <w:tcW w:w="2428" w:type="dxa"/>
                  <w:vAlign w:val="center"/>
                </w:tcPr>
                <w:p w14:paraId="30B3586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r w14:paraId="25901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04039AE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9</w:t>
                  </w:r>
                </w:p>
              </w:tc>
              <w:tc>
                <w:tcPr>
                  <w:tcW w:w="1077" w:type="dxa"/>
                  <w:shd w:val="clear" w:color="auto" w:fill="auto"/>
                  <w:vAlign w:val="center"/>
                </w:tcPr>
                <w:p w14:paraId="60DC3895">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沙塘川</w:t>
                  </w:r>
                </w:p>
              </w:tc>
              <w:tc>
                <w:tcPr>
                  <w:tcW w:w="1896" w:type="dxa"/>
                  <w:vAlign w:val="center"/>
                </w:tcPr>
                <w:p w14:paraId="21F9E65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排洪渠（沙塘川段）/东侧</w:t>
                  </w:r>
                </w:p>
              </w:tc>
              <w:tc>
                <w:tcPr>
                  <w:tcW w:w="1500" w:type="dxa"/>
                  <w:vAlign w:val="center"/>
                </w:tcPr>
                <w:p w14:paraId="7452C7B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5</w:t>
                  </w:r>
                </w:p>
              </w:tc>
              <w:tc>
                <w:tcPr>
                  <w:tcW w:w="2428" w:type="dxa"/>
                  <w:vAlign w:val="center"/>
                </w:tcPr>
                <w:p w14:paraId="0947C17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r w14:paraId="5F96A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4" w:type="dxa"/>
                  <w:vAlign w:val="center"/>
                </w:tcPr>
                <w:p w14:paraId="45778A63">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10</w:t>
                  </w:r>
                </w:p>
              </w:tc>
              <w:tc>
                <w:tcPr>
                  <w:tcW w:w="1077" w:type="dxa"/>
                  <w:shd w:val="clear" w:color="auto" w:fill="auto"/>
                  <w:vAlign w:val="center"/>
                </w:tcPr>
                <w:p w14:paraId="79AD7217">
                  <w:pPr>
                    <w:widowControl w:val="0"/>
                    <w:snapToGrid w:val="0"/>
                    <w:spacing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沿川子</w:t>
                  </w:r>
                </w:p>
              </w:tc>
              <w:tc>
                <w:tcPr>
                  <w:tcW w:w="1896" w:type="dxa"/>
                  <w:vAlign w:val="center"/>
                </w:tcPr>
                <w:p w14:paraId="401A141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排洪渠（沿川子段）/东侧</w:t>
                  </w:r>
                </w:p>
              </w:tc>
              <w:tc>
                <w:tcPr>
                  <w:tcW w:w="1500" w:type="dxa"/>
                  <w:vAlign w:val="center"/>
                </w:tcPr>
                <w:p w14:paraId="3F1705E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6</w:t>
                  </w:r>
                </w:p>
              </w:tc>
              <w:tc>
                <w:tcPr>
                  <w:tcW w:w="2428" w:type="dxa"/>
                  <w:vAlign w:val="center"/>
                </w:tcPr>
                <w:p w14:paraId="427FA84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highlight w:val="none"/>
                      <w:vertAlign w:val="baseline"/>
                      <w:lang w:val="en-US" w:eastAsia="zh-CN"/>
                    </w:rPr>
                  </w:pPr>
                  <w:r>
                    <w:rPr>
                      <w:rFonts w:hint="eastAsia" w:ascii="Times New Roman" w:hAnsi="Times New Roman" w:eastAsia="宋体" w:cs="Times New Roman"/>
                      <w:b w:val="0"/>
                      <w:bCs w:val="0"/>
                      <w:color w:val="auto"/>
                      <w:spacing w:val="6"/>
                      <w:sz w:val="21"/>
                      <w:szCs w:val="21"/>
                      <w:highlight w:val="none"/>
                      <w:vertAlign w:val="baseline"/>
                      <w:lang w:val="en-US" w:eastAsia="zh-CN"/>
                    </w:rPr>
                    <w:t>不达标</w:t>
                  </w:r>
                </w:p>
              </w:tc>
            </w:tr>
          </w:tbl>
          <w:p w14:paraId="6A938A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b/>
                <w:bCs/>
                <w:color w:val="auto"/>
                <w:spacing w:val="6"/>
                <w:sz w:val="21"/>
                <w:szCs w:val="21"/>
                <w:highlight w:val="yellow"/>
                <w:lang w:val="en-US" w:eastAsia="zh-CN"/>
              </w:rPr>
            </w:pPr>
            <w:r>
              <w:rPr>
                <w:rFonts w:hint="eastAsia" w:ascii="Times New Roman" w:hAnsi="Times New Roman" w:eastAsia="宋体" w:cs="Times New Roman"/>
                <w:snapToGrid w:val="0"/>
                <w:color w:val="auto"/>
                <w:spacing w:val="-2"/>
                <w:kern w:val="0"/>
                <w:sz w:val="24"/>
                <w:szCs w:val="24"/>
                <w:lang w:val="en-US" w:eastAsia="zh-CN" w:bidi="ar-SA"/>
              </w:rPr>
              <w:t>根据上表可知，项目施工期会对羊槽河（羊槽村段）、生态沟渠（红土村）、生态沟渠（向阳村边沟）、排洪渠（沙塘川段）、排洪渠（沿川子段）周边25m范围内有声环境保护目标处产生噪声影响。因此，本评价要求羊槽河（羊槽村段）、生态沟渠（红土村）、生态沟渠（向阳村边沟）、排洪渠（沙塘川段）、排洪渠（沿川子段）涉及声环境保护目标区域严格禁止夜间施工，同时要求通过优化施工机械布置，尽量将高噪声设备布置在距离保护目标较远的位置，并且在施工场地边界靠近声环境保护目标一侧设置围挡，以及各声环境保护目标张贴公告等措施。加强施工管理，合理安排施工机械顺序等，有效减少施工噪声对周边环境的影响，随着施工活动结束，施工噪声影响也随之结束，对外环境影响较小。</w:t>
            </w:r>
          </w:p>
          <w:p w14:paraId="4D56188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ascii="Times New Roman" w:hAnsi="Times New Roman" w:eastAsia="Times New Roman" w:cs="Times New Roman"/>
                <w:b/>
                <w:bCs/>
                <w:color w:val="auto"/>
                <w:spacing w:val="-3"/>
              </w:rPr>
            </w:pPr>
            <w:r>
              <w:rPr>
                <w:rFonts w:hint="eastAsia" w:ascii="Times New Roman" w:hAnsi="Times New Roman" w:eastAsia="Times New Roman" w:cs="Times New Roman"/>
                <w:b/>
                <w:bCs/>
                <w:color w:val="auto"/>
                <w:spacing w:val="-3"/>
                <w:lang w:val="en-US" w:eastAsia="zh-CN"/>
              </w:rPr>
              <w:t>4 固体废物影响分析</w:t>
            </w:r>
          </w:p>
          <w:p w14:paraId="03297A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本工程施工期的固体废弃物主要来源为多余土方和基底淤泥、建筑 垃圾及施工人员的生活垃圾。</w:t>
            </w:r>
          </w:p>
          <w:p w14:paraId="5E6FFB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（1）生活垃圾</w:t>
            </w:r>
          </w:p>
          <w:p w14:paraId="6F9BB7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项目区不设置施工生活营地，施工生活营地依托周边村庄，项目施工区生活垃圾在施工现场集中分类收集送至临近村庄生活垃圾收集点，由当地环卫部门统一清运处理。</w:t>
            </w:r>
          </w:p>
          <w:p w14:paraId="1558BA6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（2）建筑垃圾</w:t>
            </w:r>
          </w:p>
          <w:p w14:paraId="68A706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拆除废物、建筑垃圾定期运至环卫部门指定的建筑垃圾填埋场进行处置。</w:t>
            </w:r>
          </w:p>
          <w:p w14:paraId="5E1D2C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highlight w:val="none"/>
                <w:lang w:val="en-US" w:eastAsia="zh-CN" w:bidi="ar-SA"/>
              </w:rPr>
            </w:pPr>
            <w:r>
              <w:rPr>
                <w:rFonts w:hint="eastAsia" w:ascii="Times New Roman" w:hAnsi="Times New Roman" w:eastAsia="宋体" w:cs="Times New Roman"/>
                <w:snapToGrid w:val="0"/>
                <w:color w:val="auto"/>
                <w:spacing w:val="-2"/>
                <w:kern w:val="0"/>
                <w:sz w:val="24"/>
                <w:szCs w:val="24"/>
                <w:highlight w:val="none"/>
                <w:lang w:val="en-US" w:eastAsia="zh-CN" w:bidi="ar-SA"/>
              </w:rPr>
              <w:t>（3）多余土方和基底清淤</w:t>
            </w:r>
          </w:p>
          <w:p w14:paraId="2DCE77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highlight w:val="none"/>
                <w:lang w:val="en-US" w:eastAsia="zh-CN" w:bidi="ar-SA"/>
              </w:rPr>
            </w:pPr>
            <w:r>
              <w:rPr>
                <w:rFonts w:hint="eastAsia" w:ascii="Times New Roman" w:hAnsi="Times New Roman" w:eastAsia="宋体" w:cs="Times New Roman"/>
                <w:snapToGrid w:val="0"/>
                <w:color w:val="auto"/>
                <w:spacing w:val="-2"/>
                <w:kern w:val="0"/>
                <w:sz w:val="24"/>
                <w:szCs w:val="24"/>
                <w:highlight w:val="none"/>
                <w:lang w:val="en-US" w:eastAsia="zh-CN" w:bidi="ar-SA"/>
              </w:rPr>
              <w:t>多余土方主要包括开挖弃土、清基弃土、沟底底泥，其中多余土方主要用于护岸堤身填筑；根据底泥检测结果可知，底泥各评价因子监测值均符合《土壤环境质量 农用地土壤污染风险管控标准（试行）（</w:t>
            </w:r>
            <w:r>
              <w:rPr>
                <w:rFonts w:hint="default" w:ascii="Times New Roman" w:hAnsi="Times New Roman" w:eastAsia="宋体" w:cs="Times New Roman"/>
                <w:snapToGrid w:val="0"/>
                <w:color w:val="auto"/>
                <w:spacing w:val="-2"/>
                <w:kern w:val="0"/>
                <w:sz w:val="24"/>
                <w:szCs w:val="24"/>
                <w:highlight w:val="none"/>
                <w:lang w:val="en-US" w:eastAsia="zh-CN" w:bidi="ar-SA"/>
              </w:rPr>
              <w:t>GB15618-2018</w:t>
            </w:r>
            <w:r>
              <w:rPr>
                <w:rFonts w:hint="eastAsia" w:ascii="Times New Roman" w:hAnsi="Times New Roman" w:eastAsia="宋体" w:cs="Times New Roman"/>
                <w:snapToGrid w:val="0"/>
                <w:color w:val="auto"/>
                <w:spacing w:val="-2"/>
                <w:kern w:val="0"/>
                <w:sz w:val="24"/>
                <w:szCs w:val="24"/>
                <w:highlight w:val="none"/>
                <w:lang w:val="en-US" w:eastAsia="zh-CN" w:bidi="ar-SA"/>
              </w:rPr>
              <w:t>）》表</w:t>
            </w:r>
            <w:r>
              <w:rPr>
                <w:rFonts w:hint="default" w:ascii="Times New Roman" w:hAnsi="Times New Roman" w:eastAsia="宋体" w:cs="Times New Roman"/>
                <w:snapToGrid w:val="0"/>
                <w:color w:val="auto"/>
                <w:spacing w:val="-2"/>
                <w:kern w:val="0"/>
                <w:sz w:val="24"/>
                <w:szCs w:val="24"/>
                <w:highlight w:val="none"/>
                <w:lang w:val="en-US" w:eastAsia="zh-CN" w:bidi="ar-SA"/>
              </w:rPr>
              <w:t>1</w:t>
            </w:r>
            <w:r>
              <w:rPr>
                <w:rFonts w:hint="eastAsia" w:ascii="Times New Roman" w:hAnsi="Times New Roman" w:eastAsia="宋体" w:cs="Times New Roman"/>
                <w:snapToGrid w:val="0"/>
                <w:color w:val="auto"/>
                <w:spacing w:val="-2"/>
                <w:kern w:val="0"/>
                <w:sz w:val="24"/>
                <w:szCs w:val="24"/>
                <w:highlight w:val="none"/>
                <w:lang w:val="en-US" w:eastAsia="zh-CN" w:bidi="ar-SA"/>
              </w:rPr>
              <w:t>农用地土壤污染风险筛选值（基本项目）的标准限值。根据《固体废物分类与代码目录》（公告</w:t>
            </w:r>
            <w:r>
              <w:rPr>
                <w:rFonts w:hint="default" w:ascii="Times New Roman" w:hAnsi="Times New Roman" w:eastAsia="宋体" w:cs="Times New Roman"/>
                <w:snapToGrid w:val="0"/>
                <w:color w:val="auto"/>
                <w:spacing w:val="-2"/>
                <w:kern w:val="0"/>
                <w:sz w:val="24"/>
                <w:szCs w:val="24"/>
                <w:highlight w:val="none"/>
                <w:lang w:val="en-US" w:eastAsia="zh-CN" w:bidi="ar-SA"/>
              </w:rPr>
              <w:t>2024</w:t>
            </w:r>
            <w:r>
              <w:rPr>
                <w:rFonts w:hint="eastAsia" w:ascii="Times New Roman" w:hAnsi="Times New Roman" w:eastAsia="宋体" w:cs="Times New Roman"/>
                <w:snapToGrid w:val="0"/>
                <w:color w:val="auto"/>
                <w:spacing w:val="-2"/>
                <w:kern w:val="0"/>
                <w:sz w:val="24"/>
                <w:szCs w:val="24"/>
                <w:highlight w:val="none"/>
                <w:lang w:val="en-US" w:eastAsia="zh-CN" w:bidi="ar-SA"/>
              </w:rPr>
              <w:t>年第</w:t>
            </w:r>
            <w:r>
              <w:rPr>
                <w:rFonts w:hint="default" w:ascii="Times New Roman" w:hAnsi="Times New Roman" w:eastAsia="宋体" w:cs="Times New Roman"/>
                <w:snapToGrid w:val="0"/>
                <w:color w:val="auto"/>
                <w:spacing w:val="-2"/>
                <w:kern w:val="0"/>
                <w:sz w:val="24"/>
                <w:szCs w:val="24"/>
                <w:highlight w:val="none"/>
                <w:lang w:val="en-US" w:eastAsia="zh-CN" w:bidi="ar-SA"/>
              </w:rPr>
              <w:t>4</w:t>
            </w:r>
            <w:r>
              <w:rPr>
                <w:rFonts w:hint="eastAsia" w:ascii="Times New Roman" w:hAnsi="Times New Roman" w:eastAsia="宋体" w:cs="Times New Roman"/>
                <w:snapToGrid w:val="0"/>
                <w:color w:val="auto"/>
                <w:spacing w:val="-2"/>
                <w:kern w:val="0"/>
                <w:sz w:val="24"/>
                <w:szCs w:val="24"/>
                <w:highlight w:val="none"/>
                <w:lang w:val="en-US" w:eastAsia="zh-CN" w:bidi="ar-SA"/>
              </w:rPr>
              <w:t>号）可知，项目基底改善（沟道清淤）产生淤泥属于“</w:t>
            </w:r>
            <w:r>
              <w:rPr>
                <w:rFonts w:hint="default" w:ascii="Times New Roman" w:hAnsi="Times New Roman" w:eastAsia="宋体" w:cs="Times New Roman"/>
                <w:snapToGrid w:val="0"/>
                <w:color w:val="auto"/>
                <w:spacing w:val="-2"/>
                <w:kern w:val="0"/>
                <w:sz w:val="24"/>
                <w:szCs w:val="24"/>
                <w:highlight w:val="none"/>
                <w:lang w:val="en-US" w:eastAsia="zh-CN" w:bidi="ar-SA"/>
              </w:rPr>
              <w:t>SW91</w:t>
            </w:r>
            <w:r>
              <w:rPr>
                <w:rFonts w:hint="eastAsia" w:ascii="Times New Roman" w:hAnsi="Times New Roman" w:eastAsia="宋体" w:cs="Times New Roman"/>
                <w:snapToGrid w:val="0"/>
                <w:color w:val="auto"/>
                <w:spacing w:val="-2"/>
                <w:kern w:val="0"/>
                <w:sz w:val="24"/>
                <w:szCs w:val="24"/>
                <w:highlight w:val="none"/>
                <w:lang w:val="en-US" w:eastAsia="zh-CN" w:bidi="ar-SA"/>
              </w:rPr>
              <w:t xml:space="preserve"> 清淤疏浚污泥（废物代码 </w:t>
            </w:r>
            <w:r>
              <w:rPr>
                <w:rFonts w:hint="default" w:ascii="Times New Roman" w:hAnsi="Times New Roman" w:eastAsia="宋体" w:cs="Times New Roman"/>
                <w:snapToGrid w:val="0"/>
                <w:color w:val="auto"/>
                <w:spacing w:val="-2"/>
                <w:kern w:val="0"/>
                <w:sz w:val="24"/>
                <w:szCs w:val="24"/>
                <w:highlight w:val="none"/>
                <w:lang w:val="en-US" w:eastAsia="zh-CN" w:bidi="ar-SA"/>
              </w:rPr>
              <w:t>900-001-S91</w:t>
            </w:r>
            <w:r>
              <w:rPr>
                <w:rFonts w:hint="eastAsia" w:ascii="Times New Roman" w:hAnsi="Times New Roman" w:eastAsia="宋体" w:cs="Times New Roman"/>
                <w:snapToGrid w:val="0"/>
                <w:color w:val="auto"/>
                <w:spacing w:val="-2"/>
                <w:kern w:val="0"/>
                <w:sz w:val="24"/>
                <w:szCs w:val="24"/>
                <w:highlight w:val="none"/>
                <w:lang w:val="en-US" w:eastAsia="zh-CN" w:bidi="ar-SA"/>
              </w:rPr>
              <w:t>）”固体废物。淤泥干化后，直接由运输车辆送至本项目河道生境构建工程（用于植被恢复）、生态步道工程（绿化工程用于种植土补充和场地平整）等综合利用。</w:t>
            </w:r>
          </w:p>
          <w:p w14:paraId="6DF6D6A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 态环境影响分析</w:t>
            </w:r>
          </w:p>
          <w:p w14:paraId="1686DB5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5.1 对土壤和土地利用的影响分析</w:t>
            </w:r>
          </w:p>
          <w:p w14:paraId="0EC3905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（1）对土壤的影响分析</w:t>
            </w:r>
          </w:p>
          <w:p w14:paraId="63ECED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临时施工将对地表进行剥离，扰动地表土层，破坏土壤结构，使土壤生产能力下降；施工过程中各种机械设备、运输车辆排放废气，机械漏油随降雨下渗进入土壤，造成局部土壤污染；各种机械设备、车辆对地面的碾压，人员踩踏造成土壤板结，降低土壤生产能力；装载、运输过程中产生扬尘，将沉降在区域土壤表面，会改变土壤理化性质，影响植物生长。</w:t>
            </w:r>
          </w:p>
          <w:p w14:paraId="4BA5579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（2）对土地利用的影响</w:t>
            </w:r>
          </w:p>
          <w:p w14:paraId="4224A3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本项目位于泾源县黄花乡，羊槽河（羊槽村段）治理河道占地面积为120261.57</w:t>
            </w:r>
            <w:r>
              <w:rPr>
                <w:rFonts w:hint="default" w:ascii="Times New Roman" w:hAnsi="Times New Roman" w:eastAsia="宋体" w:cs="Times New Roman"/>
                <w:snapToGrid w:val="0"/>
                <w:color w:val="auto"/>
                <w:spacing w:val="-2"/>
                <w:kern w:val="0"/>
                <w:sz w:val="24"/>
                <w:szCs w:val="24"/>
                <w:lang w:val="en-US" w:eastAsia="zh-CN" w:bidi="ar-SA"/>
              </w:rPr>
              <w:t>m</w:t>
            </w:r>
            <w:r>
              <w:rPr>
                <w:rFonts w:hint="default" w:ascii="Times New Roman" w:hAnsi="Times New Roman" w:eastAsia="宋体" w:cs="Times New Roman"/>
                <w:snapToGrid w:val="0"/>
                <w:color w:val="auto"/>
                <w:spacing w:val="-2"/>
                <w:kern w:val="0"/>
                <w:sz w:val="24"/>
                <w:szCs w:val="24"/>
                <w:vertAlign w:val="superscript"/>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，生态沟渠治理面积4937.55</w:t>
            </w:r>
            <w:r>
              <w:rPr>
                <w:rFonts w:hint="default" w:ascii="Times New Roman" w:hAnsi="Times New Roman" w:eastAsia="宋体" w:cs="Times New Roman"/>
                <w:snapToGrid w:val="0"/>
                <w:color w:val="auto"/>
                <w:spacing w:val="-2"/>
                <w:kern w:val="0"/>
                <w:sz w:val="24"/>
                <w:szCs w:val="24"/>
                <w:lang w:val="en-US" w:eastAsia="zh-CN" w:bidi="ar-SA"/>
              </w:rPr>
              <w:t>m</w:t>
            </w:r>
            <w:r>
              <w:rPr>
                <w:rFonts w:hint="default" w:ascii="Times New Roman" w:hAnsi="Times New Roman" w:eastAsia="宋体" w:cs="Times New Roman"/>
                <w:snapToGrid w:val="0"/>
                <w:color w:val="auto"/>
                <w:spacing w:val="-2"/>
                <w:kern w:val="0"/>
                <w:sz w:val="24"/>
                <w:szCs w:val="24"/>
                <w:vertAlign w:val="superscript"/>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（其中红土村段177.55m</w:t>
            </w:r>
            <w:r>
              <w:rPr>
                <w:rFonts w:hint="eastAsia" w:ascii="Times New Roman" w:hAnsi="Times New Roman" w:eastAsia="宋体" w:cs="Times New Roman"/>
                <w:snapToGrid w:val="0"/>
                <w:color w:val="auto"/>
                <w:spacing w:val="-2"/>
                <w:kern w:val="0"/>
                <w:sz w:val="24"/>
                <w:szCs w:val="24"/>
                <w:vertAlign w:val="superscript"/>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，向阳村边沟段4760m</w:t>
            </w:r>
            <w:r>
              <w:rPr>
                <w:rFonts w:hint="eastAsia" w:ascii="Times New Roman" w:hAnsi="Times New Roman" w:eastAsia="宋体" w:cs="Times New Roman"/>
                <w:snapToGrid w:val="0"/>
                <w:color w:val="auto"/>
                <w:spacing w:val="-2"/>
                <w:kern w:val="0"/>
                <w:sz w:val="24"/>
                <w:szCs w:val="24"/>
                <w:vertAlign w:val="superscript"/>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），排洪渠治理长度共计2909.91m，本项目不新增永久占地，所有工程用地均位于治理段两侧河湖管理线范围内，属于《土地利用现状分类》（GB/T 21010-2017）中的“水域及水利设施用地”，本次实施过程中不改变河湖管理线范围内的水域及水利设施用地类型。</w:t>
            </w:r>
          </w:p>
          <w:p w14:paraId="0BC5AE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本项目施工人员住宿和办公用房租用当地民房，施工现场不设置施工生活营地。项目分区域施工，施工现场共布设3处施工营地，临时占地总面积为400</w:t>
            </w:r>
            <w:r>
              <w:rPr>
                <w:rFonts w:hint="default" w:ascii="Times New Roman" w:hAnsi="Times New Roman" w:eastAsia="宋体" w:cs="Times New Roman"/>
                <w:snapToGrid w:val="0"/>
                <w:color w:val="auto"/>
                <w:spacing w:val="-2"/>
                <w:kern w:val="0"/>
                <w:sz w:val="24"/>
                <w:szCs w:val="24"/>
                <w:lang w:val="en-US" w:eastAsia="zh-CN" w:bidi="ar-SA"/>
              </w:rPr>
              <w:t>m</w:t>
            </w:r>
            <w:r>
              <w:rPr>
                <w:rFonts w:hint="default" w:ascii="Times New Roman" w:hAnsi="Times New Roman" w:eastAsia="宋体" w:cs="Times New Roman"/>
                <w:snapToGrid w:val="0"/>
                <w:color w:val="auto"/>
                <w:spacing w:val="-2"/>
                <w:kern w:val="0"/>
                <w:sz w:val="24"/>
                <w:szCs w:val="24"/>
                <w:vertAlign w:val="superscript"/>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用于放置施工机械设备和施工材料，分别位于平凉庄村、向阳村和沙塘村。本项目施工期短，临时占地只发生在工程施工期间，这些临时占地如发生在植物生长期，也会使其他自然植被遭到一定程度的损伤。但工程结束后，临时占地均可恢复原有土地利用功能，土地利用类型不会发生改变。</w:t>
            </w:r>
          </w:p>
          <w:p w14:paraId="1A8009E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5.2 对陆生生态的影响</w:t>
            </w:r>
          </w:p>
          <w:p w14:paraId="4D4DB9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（1）对植物的影响</w:t>
            </w:r>
          </w:p>
          <w:p w14:paraId="67459B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工程需要占用项目区内各类土地，不可避免会造成植被破坏。根据现状调查，项目区植被主要为泾源县常见的小型植物，不存在珍稀濒危植被及保护物种。工程施工过程要破坏植被，但由于项目区及周边植被人工化程度较高，且植被长势良好，被破坏的程度较小。</w:t>
            </w:r>
          </w:p>
          <w:p w14:paraId="5883E2B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工程施工期间，由于开挖土石方及各种施工机械，其中以扬尘影响更大些，部分粉尘沉降在植物叶片表面，降低植物的光合与呼吸作用，进而对植物生长发育产生一定的影响。尽管植物对其生长环境中的条件恶化具有某种程度的适应能力，但超过一定限度就会受到伤害。随着施工期结束及人工绿化的恢复，流域水资源保护与水生态修复工程实施对其造成的影响将逐步减弱。</w:t>
            </w:r>
          </w:p>
          <w:p w14:paraId="55445A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（2）对动物的影响</w:t>
            </w:r>
          </w:p>
          <w:p w14:paraId="760FA8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工程施工对动物的影响主要是项目占地会侵占部分动物栖息地，破坏部分动物觅食区，干扰其正常的生命活动，但由于项目区周边居民较多，人类活动频繁，土地资源开发利用程度高，野生动物的生存环境基本上已经遭到破坏，野生动物物种、数量均不多，主要是适应耕地和居民点的常见种类如青蛙、野兔、田鼠、喜鹊等，暂未发现珍稀濒危保护野生动物。工程建设虽然对一定范围内的野生动物产生一定程度的不利影响，但由于其可以迁移到远离施工区域的地方栖息和活动，因此，工程建设不会对其种群数量产生明显影响，更不会改变其种群结构。施工期应加强对施工人员的教育宣传，严禁施工人员有不利于保护各种野生动物的活动。</w:t>
            </w:r>
          </w:p>
          <w:p w14:paraId="067E615D">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5.3 对水生生物的影响</w:t>
            </w:r>
          </w:p>
          <w:p w14:paraId="504A64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（1）对鱼类的影响</w:t>
            </w:r>
          </w:p>
          <w:p w14:paraId="707F88D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噪声主要包括施工期机械设备、车辆运输等作业时产生的噪声。这些机械运行时噪声较大，联合作业时叠加影响更加突出，会使鱼类受到惊吓和干扰而逃离施工水域，一些小型鱼类可能会适应此环境而在该水域逗留。但这种影响是暂时的，随着施工的结束，受惊扰的动物又会重新回到沿线区域。因此，就整个项目区而言，项目建设对动物生物多样性的影响不大。为减少施工期对鱼类的影响，施工单位应加强施工管理，在鱼类繁殖期禁止施工。</w:t>
            </w:r>
          </w:p>
          <w:p w14:paraId="0C96B5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（2）对底栖动物的影响</w:t>
            </w:r>
          </w:p>
          <w:p w14:paraId="023DCA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项目</w:t>
            </w:r>
            <w:r>
              <w:rPr>
                <w:rFonts w:hint="eastAsia" w:ascii="Times New Roman" w:hAnsi="Times New Roman" w:eastAsia="宋体" w:cs="Times New Roman"/>
                <w:snapToGrid w:val="0"/>
                <w:color w:val="auto"/>
                <w:spacing w:val="-2"/>
                <w:kern w:val="0"/>
                <w:sz w:val="24"/>
                <w:szCs w:val="24"/>
                <w:lang w:val="en-US" w:eastAsia="zh-CN" w:bidi="ar-SA"/>
              </w:rPr>
              <w:t>基底改善（</w:t>
            </w:r>
            <w:r>
              <w:rPr>
                <w:rFonts w:hint="default" w:ascii="Times New Roman" w:hAnsi="Times New Roman" w:eastAsia="宋体" w:cs="Times New Roman"/>
                <w:snapToGrid w:val="0"/>
                <w:color w:val="auto"/>
                <w:spacing w:val="-2"/>
                <w:kern w:val="0"/>
                <w:sz w:val="24"/>
                <w:szCs w:val="24"/>
                <w:lang w:val="en-US" w:eastAsia="zh-CN" w:bidi="ar-SA"/>
              </w:rPr>
              <w:t>河</w:t>
            </w:r>
            <w:r>
              <w:rPr>
                <w:rFonts w:hint="eastAsia" w:ascii="Times New Roman" w:hAnsi="Times New Roman" w:eastAsia="宋体" w:cs="Times New Roman"/>
                <w:snapToGrid w:val="0"/>
                <w:color w:val="auto"/>
                <w:spacing w:val="-2"/>
                <w:kern w:val="0"/>
                <w:sz w:val="24"/>
                <w:szCs w:val="24"/>
                <w:lang w:val="en-US" w:eastAsia="zh-CN" w:bidi="ar-SA"/>
              </w:rPr>
              <w:t>（沟）</w:t>
            </w:r>
            <w:r>
              <w:rPr>
                <w:rFonts w:hint="default" w:ascii="Times New Roman" w:hAnsi="Times New Roman" w:eastAsia="宋体" w:cs="Times New Roman"/>
                <w:snapToGrid w:val="0"/>
                <w:color w:val="auto"/>
                <w:spacing w:val="-2"/>
                <w:kern w:val="0"/>
                <w:sz w:val="24"/>
                <w:szCs w:val="24"/>
                <w:lang w:val="en-US" w:eastAsia="zh-CN" w:bidi="ar-SA"/>
              </w:rPr>
              <w:t>道清淤</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将直接影响施工区域原有地质环境，使其发生较大的改变，这对项目区域的底栖动物类群影响较大，部分底栖动物类群生活于底质表面，可快速移动，所受影响相对较小。项目的实施将会导致对底栖动物种类及数量整体分布较施工前有所减少</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工程结束后，随着河流水质的改善，河流水域的流通，新的浮游植物、浮游动物的重新植入，并且随着河道底栖环境的改善，底栖动物也将会逐渐恢复或优于原有水平。</w:t>
            </w:r>
          </w:p>
          <w:p w14:paraId="3466CD56">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5.4 生物多样性的影响分析</w:t>
            </w:r>
          </w:p>
          <w:p w14:paraId="5E598D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占地范围内植被在当地分布相对较多，群落内都为常见的物种，植被以自然生长的杂草、芦苇等天然植被为主，野生动物以麻雀、鼠为主。项目施工期占地会造成短时的植被数量减少，野生动物活动会受到干扰，但施工结束后，可恢复至原有地貌，对野生动物及植物的影响很小。因此，本项目的建设对评价区域内生物多样性的影响较小。</w:t>
            </w:r>
          </w:p>
          <w:p w14:paraId="46A0F7D4">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5.5 水土流失的影响分析</w:t>
            </w:r>
          </w:p>
          <w:p w14:paraId="6C2C92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项目施工初期将进行基底改善（</w:t>
            </w:r>
            <w:r>
              <w:rPr>
                <w:rFonts w:hint="default" w:ascii="Times New Roman" w:hAnsi="Times New Roman" w:eastAsia="宋体" w:cs="Times New Roman"/>
                <w:snapToGrid w:val="0"/>
                <w:color w:val="auto"/>
                <w:spacing w:val="-2"/>
                <w:kern w:val="0"/>
                <w:sz w:val="24"/>
                <w:szCs w:val="24"/>
                <w:lang w:val="en-US" w:eastAsia="zh-CN" w:bidi="ar-SA"/>
              </w:rPr>
              <w:t>河</w:t>
            </w:r>
            <w:r>
              <w:rPr>
                <w:rFonts w:hint="eastAsia" w:ascii="Times New Roman" w:hAnsi="Times New Roman" w:eastAsia="宋体" w:cs="Times New Roman"/>
                <w:snapToGrid w:val="0"/>
                <w:color w:val="auto"/>
                <w:spacing w:val="-2"/>
                <w:kern w:val="0"/>
                <w:sz w:val="24"/>
                <w:szCs w:val="24"/>
                <w:lang w:val="en-US" w:eastAsia="zh-CN" w:bidi="ar-SA"/>
              </w:rPr>
              <w:t>（沟）道清淤）、边坡整理等，致使地表土壤疏松，表土剥离，产生水土流失；且施工线较多，扰动地面面积较大。本项目采用分段施工，施工期避开风、雨天气，合理选择施工工期。项目治理段以河道生境构建、生态护坡工程等恢复植被为主，通过种植水生植物、修复现状破损护岸和撒播草籽的生态护坡工程、绿化工程等措施，稳固裸露的地表，减少风蚀和水蚀造成的水土流失。</w:t>
            </w:r>
          </w:p>
          <w:p w14:paraId="70EA3A7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5.6 水文情势影响分析</w:t>
            </w:r>
          </w:p>
          <w:p w14:paraId="1E56010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建设主要任务是对羊槽河（羊槽村段）、生态沟渠及排洪渠进行生态修复，恢复河道自然生境，减少面源污染入河，提高河道自净能力，进一步巩固治水成效，保持水环境质量持续稳定向好，切实提升水生态系统完整性和生态服务功能。</w:t>
            </w:r>
          </w:p>
          <w:p w14:paraId="6A1A28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（1）基底改善对水文情势的影响分析</w:t>
            </w:r>
          </w:p>
          <w:p w14:paraId="2242BF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基底改善工程包括河道清淤和基础河槽开挖，在保持现有河（渠）道自然比降的基础上，对淤堵严重和坡降不顺影响正常排水的局部区域进行障碍清理，首先清除河道淤泥和污染底质，提升水体透明度，改善沟道水质与基底生物</w:t>
            </w:r>
            <w:r>
              <w:rPr>
                <w:rFonts w:hint="eastAsia" w:ascii="Times New Roman" w:hAnsi="Times New Roman" w:eastAsia="宋体" w:cs="Times New Roman"/>
                <w:snapToGrid w:val="0"/>
                <w:color w:val="auto"/>
                <w:spacing w:val="-2"/>
                <w:kern w:val="0"/>
                <w:sz w:val="24"/>
                <w:szCs w:val="24"/>
                <w:highlight w:val="none"/>
                <w:lang w:val="en-US" w:eastAsia="zh-CN" w:bidi="ar-SA"/>
              </w:rPr>
              <w:t>生存条件，打好水生态修复的基础，保证水生植物成活率；通过河道坡度整理，保证排水安全，重点修复河（渠）道局部不满足段及受侵占较为狭窄的部位与淤积段，清理出的土方量主要用于护岸堤身填筑。经现场调查，现状河道、沟道、渠道拟实施段水流量较小，河道仅存少许的蓄水。另外，通过</w:t>
            </w:r>
            <w:r>
              <w:rPr>
                <w:rFonts w:hint="eastAsia" w:ascii="Times New Roman" w:hAnsi="Times New Roman" w:eastAsia="宋体" w:cs="Times New Roman"/>
                <w:snapToGrid w:val="0"/>
                <w:color w:val="auto"/>
                <w:spacing w:val="-2"/>
                <w:kern w:val="0"/>
                <w:sz w:val="24"/>
                <w:szCs w:val="24"/>
                <w:lang w:val="en-US" w:eastAsia="zh-CN" w:bidi="ar-SA"/>
              </w:rPr>
              <w:t>合理规划施工时序，选择在枯水期进行基底修复工程的施工。</w:t>
            </w:r>
          </w:p>
          <w:p w14:paraId="7AE072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因此，项目基底修复的施工，不会对清水河的水文情势产生影响。</w:t>
            </w:r>
          </w:p>
          <w:p w14:paraId="650E9B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w:t>
            </w:r>
            <w:r>
              <w:rPr>
                <w:rFonts w:hint="default" w:ascii="Times New Roman" w:hAnsi="Times New Roman" w:eastAsia="宋体" w:cs="Times New Roman"/>
                <w:snapToGrid w:val="0"/>
                <w:color w:val="auto"/>
                <w:spacing w:val="-2"/>
                <w:kern w:val="0"/>
                <w:sz w:val="24"/>
                <w:szCs w:val="24"/>
                <w:lang w:val="en-US" w:eastAsia="zh-CN" w:bidi="ar-SA"/>
              </w:rPr>
              <w:t>护岸工程对水文情势影响分析</w:t>
            </w:r>
          </w:p>
          <w:p w14:paraId="5F55EF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highlight w:val="none"/>
                <w:lang w:val="en-US" w:eastAsia="zh-CN" w:bidi="ar-SA"/>
              </w:rPr>
              <w:t>本工程生态护岸共计</w:t>
            </w:r>
            <w:r>
              <w:rPr>
                <w:rFonts w:hint="eastAsia" w:ascii="Times New Roman" w:hAnsi="Times New Roman" w:eastAsia="宋体" w:cs="Times New Roman"/>
                <w:snapToGrid w:val="0"/>
                <w:color w:val="auto"/>
                <w:spacing w:val="-2"/>
                <w:kern w:val="0"/>
                <w:sz w:val="24"/>
                <w:szCs w:val="24"/>
                <w:highlight w:val="none"/>
                <w:lang w:val="en-US" w:eastAsia="zh-CN" w:bidi="ar-SA"/>
              </w:rPr>
              <w:t>约6.62</w:t>
            </w:r>
            <w:r>
              <w:rPr>
                <w:rFonts w:hint="default" w:ascii="Times New Roman" w:hAnsi="Times New Roman" w:eastAsia="宋体" w:cs="Times New Roman"/>
                <w:snapToGrid w:val="0"/>
                <w:color w:val="auto"/>
                <w:spacing w:val="-2"/>
                <w:kern w:val="0"/>
                <w:sz w:val="24"/>
                <w:szCs w:val="24"/>
                <w:highlight w:val="none"/>
                <w:lang w:val="en-US" w:eastAsia="zh-CN" w:bidi="ar-SA"/>
              </w:rPr>
              <w:t>km。本次治理</w:t>
            </w:r>
            <w:r>
              <w:rPr>
                <w:rFonts w:hint="eastAsia" w:ascii="Times New Roman" w:hAnsi="Times New Roman" w:eastAsia="宋体" w:cs="Times New Roman"/>
                <w:snapToGrid w:val="0"/>
                <w:color w:val="auto"/>
                <w:spacing w:val="-2"/>
                <w:kern w:val="0"/>
                <w:sz w:val="24"/>
                <w:szCs w:val="24"/>
                <w:highlight w:val="none"/>
                <w:lang w:val="en-US" w:eastAsia="zh-CN" w:bidi="ar-SA"/>
              </w:rPr>
              <w:t>羊槽河（羊槽村段）</w:t>
            </w:r>
            <w:r>
              <w:rPr>
                <w:rFonts w:hint="default" w:ascii="Times New Roman" w:hAnsi="Times New Roman" w:eastAsia="宋体" w:cs="Times New Roman"/>
                <w:snapToGrid w:val="0"/>
                <w:color w:val="auto"/>
                <w:spacing w:val="-2"/>
                <w:kern w:val="0"/>
                <w:sz w:val="24"/>
                <w:szCs w:val="24"/>
                <w:highlight w:val="none"/>
                <w:lang w:val="en-US" w:eastAsia="zh-CN" w:bidi="ar-SA"/>
              </w:rPr>
              <w:t>采用格宾</w:t>
            </w:r>
            <w:r>
              <w:rPr>
                <w:rFonts w:hint="eastAsia" w:ascii="Times New Roman" w:hAnsi="Times New Roman" w:eastAsia="宋体" w:cs="Times New Roman"/>
                <w:snapToGrid w:val="0"/>
                <w:color w:val="auto"/>
                <w:spacing w:val="-2"/>
                <w:kern w:val="0"/>
                <w:sz w:val="24"/>
                <w:szCs w:val="24"/>
                <w:highlight w:val="none"/>
                <w:lang w:val="en-US" w:eastAsia="zh-CN" w:bidi="ar-SA"/>
              </w:rPr>
              <w:t>网垫+生态袋+格宾网箱砌护、生态沟渠采取草砖生态护坡和无锈熔接网生态护坡、排洪渠采用浆砌石护坡，各护坡形式</w:t>
            </w:r>
            <w:r>
              <w:rPr>
                <w:rFonts w:hint="default" w:ascii="Times New Roman" w:hAnsi="Times New Roman" w:eastAsia="宋体" w:cs="Times New Roman"/>
                <w:snapToGrid w:val="0"/>
                <w:color w:val="auto"/>
                <w:spacing w:val="-2"/>
                <w:kern w:val="0"/>
                <w:sz w:val="24"/>
                <w:szCs w:val="24"/>
                <w:lang w:val="en-US" w:eastAsia="zh-CN" w:bidi="ar-SA"/>
              </w:rPr>
              <w:t>对土壤流失，局部泥（土）石流，边坡塌方等具有很强的防护和稳定作用，可成为永久性高稳定自然边坡。</w:t>
            </w:r>
          </w:p>
          <w:p w14:paraId="5095B5A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护岸工程不改变现有位置，可能对水文情势产生的影响主要</w:t>
            </w:r>
            <w:r>
              <w:rPr>
                <w:rFonts w:hint="eastAsia" w:ascii="Times New Roman" w:hAnsi="Times New Roman" w:eastAsia="宋体" w:cs="Times New Roman"/>
                <w:snapToGrid w:val="0"/>
                <w:color w:val="auto"/>
                <w:spacing w:val="-2"/>
                <w:kern w:val="0"/>
                <w:sz w:val="24"/>
                <w:szCs w:val="24"/>
                <w:lang w:val="en-US" w:eastAsia="zh-CN" w:bidi="ar-SA"/>
              </w:rPr>
              <w:t>来自</w:t>
            </w:r>
            <w:r>
              <w:rPr>
                <w:rFonts w:hint="default" w:ascii="Times New Roman" w:hAnsi="Times New Roman" w:eastAsia="宋体" w:cs="Times New Roman"/>
                <w:snapToGrid w:val="0"/>
                <w:color w:val="auto"/>
                <w:spacing w:val="-2"/>
                <w:kern w:val="0"/>
                <w:sz w:val="24"/>
                <w:szCs w:val="24"/>
                <w:lang w:val="en-US" w:eastAsia="zh-CN" w:bidi="ar-SA"/>
              </w:rPr>
              <w:t>护岸加高对局部滩地缩窄造成的河道行洪面积减少。</w:t>
            </w:r>
          </w:p>
          <w:p w14:paraId="18A8D2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（3）生境构建工程对水文情势的影响分析</w:t>
            </w:r>
          </w:p>
          <w:p w14:paraId="408F4C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本次生境构建工程范围包括羊槽河（羊槽村段）和生态沟渠（红土村），生境构建主要是种植水生植被，构建植物群落，不会改变原有的地类，不会对水文情势造成不利影响。</w:t>
            </w:r>
          </w:p>
          <w:p w14:paraId="192367B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6 施工期对周围环境保护目标影响分析</w:t>
            </w:r>
          </w:p>
          <w:p w14:paraId="722655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本项目施工期主要环境保护目标为项目区村庄村民、学校及机关单位等，项目在施工建设期间，由于各种施工机械设备的运转和各类车辆的运行产生的噪声和粉尘会对主要环境保护目标会产生一定的影响。</w:t>
            </w:r>
          </w:p>
          <w:p w14:paraId="4B7E99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过程中粉尘污染的危害性是不容忽视的，浮于空气中的粉尘被施工人员和周围居民吸入，不但会引起各种呼吸道疾病，而且粉尘夹带大量的病原菌，传染各种疾病，严重影响施工人员及周围居民的身体健康。此外，粉尘飘扬，降低能见度，易引发交通事故。在施工期间采取物料加盖篷布、施工场地和道路要定时洒水、清扫，对运输车辆限速行驶等环保措施后，对环境影响较小，同时工程规模不大、工期较短，一些大气污染物的排放都是暂时的，随着施工活动的结束，上述污染即行消失。</w:t>
            </w:r>
          </w:p>
          <w:p w14:paraId="2C253E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工地施工应避开村民休息时间，尽量采用低噪声设备，做好隔音减震措施。随着施工的结束，噪声对周边居民的影响随即消失。</w:t>
            </w:r>
          </w:p>
          <w:p w14:paraId="40D85EE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7 施工期对周围景观影响分析</w:t>
            </w:r>
          </w:p>
          <w:p w14:paraId="7F6139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b/>
                <w:bCs/>
                <w:color w:val="auto"/>
                <w:spacing w:val="6"/>
                <w:sz w:val="21"/>
                <w:szCs w:val="21"/>
                <w:highlight w:val="yellow"/>
                <w:lang w:val="en-US" w:eastAsia="zh-CN"/>
              </w:rPr>
            </w:pPr>
            <w:r>
              <w:rPr>
                <w:rFonts w:hint="eastAsia" w:ascii="Times New Roman" w:hAnsi="Times New Roman" w:eastAsia="宋体" w:cs="Times New Roman"/>
                <w:snapToGrid w:val="0"/>
                <w:color w:val="auto"/>
                <w:spacing w:val="-2"/>
                <w:kern w:val="0"/>
                <w:sz w:val="24"/>
                <w:szCs w:val="24"/>
                <w:lang w:val="en-US" w:eastAsia="zh-CN" w:bidi="ar-SA"/>
              </w:rPr>
              <w:t>本工程在施工过程中，由于取土及材料运输等将造成植被破坏、水土流失，会对沿途的自然风景造成一定的影响。建议在工程施工期间，尽量减少占地，严格控制施工机械及施工人员活动范围，妥善处理好生产、生活垃圾，保护好周边自然风景。据调查，目前本工程区及周边地域开发程度不高，项目区及周边景观为一般农业、村庄景观，项目施工期经采取严格的生态保护措施后，对周边景观影响较小。</w:t>
            </w:r>
          </w:p>
        </w:tc>
      </w:tr>
      <w:tr w14:paraId="2299843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14" w:type="dxa"/>
            <w:tcBorders>
              <w:tl2br w:val="nil"/>
              <w:tr2bl w:val="nil"/>
            </w:tcBorders>
            <w:vAlign w:val="center"/>
          </w:tcPr>
          <w:p w14:paraId="062FE58A">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运营期生态环境影响分析</w:t>
            </w:r>
          </w:p>
        </w:tc>
        <w:tc>
          <w:tcPr>
            <w:tcW w:w="7629" w:type="dxa"/>
            <w:tcBorders>
              <w:tl2br w:val="nil"/>
              <w:tr2bl w:val="nil"/>
            </w:tcBorders>
            <w:vAlign w:val="top"/>
          </w:tcPr>
          <w:p w14:paraId="528AF4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Times New Roman" w:cs="Times New Roman"/>
                <w:b/>
                <w:bCs/>
                <w:color w:val="auto"/>
                <w:spacing w:val="-3"/>
                <w:lang w:val="en-US" w:eastAsia="zh-CN"/>
              </w:rPr>
            </w:pPr>
            <w:r>
              <w:rPr>
                <w:rFonts w:hint="eastAsia" w:ascii="Times New Roman" w:hAnsi="Times New Roman" w:eastAsia="宋体" w:cs="Times New Roman"/>
                <w:snapToGrid w:val="0"/>
                <w:color w:val="auto"/>
                <w:spacing w:val="-2"/>
                <w:kern w:val="0"/>
                <w:sz w:val="24"/>
                <w:szCs w:val="24"/>
                <w:lang w:val="en-US" w:eastAsia="zh-CN" w:bidi="ar-SA"/>
              </w:rPr>
              <w:t>本项目是以生态影响为主的建设项目，项目对环境的影响主要表现在施工期。运营期无废气、废水、固废和噪声产生。</w:t>
            </w:r>
          </w:p>
          <w:p w14:paraId="1F418FC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1 对生态环境的影响分析</w:t>
            </w:r>
          </w:p>
          <w:p w14:paraId="2D1385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水生境构建工程、生态护坡工程和基底改善工程建成后将对治理段和羊槽河提升整体水系的生态拦截与净化能力。改善河（沟）道基底，改善河（沟）道生境，在不影响河（沟）道排水的情况下通过基质吸附和植物群落构建，提升水体自净能力，增强水体流动性，提高治理段自身生态环境健康度；通过生态护坡过程和绿化工程完善植物生态拦截功能，减少农业生产等人为活动对治理段水系造成的负面影响，增加岸坡污染拦截能力。</w:t>
            </w:r>
          </w:p>
          <w:p w14:paraId="0A86261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 生态正效益</w:t>
            </w:r>
          </w:p>
          <w:p w14:paraId="4BB8DA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主要通过水生境构建工程、生态护坡工程和基底改善工程，增加河（沟）道植被覆盖度和丰富度，减少地表水体蒸发量，提高土壤入渗率，涵养水源，防止土地沙化，净化空气，将使片区小气候向良性方向转化。同时减轻干旱、冰雹、风沙、洪涝等自然灾害发生频率和程度，改善土壤的理化性状。随着项目区植被面积的增加，局部小气候改善，空气清新，气候相对湿润，也有利于区域降雨量的增加。植被增加，也使项目区生物多样性增强，各类动物的栖息环境改善，对进一步增进生态平衡有重要意义。</w:t>
            </w:r>
          </w:p>
          <w:p w14:paraId="5F6401BB">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3 防洪排涝效益分析</w:t>
            </w:r>
          </w:p>
          <w:p w14:paraId="53FDB65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针对各防洪渠段存在渠道常年淤积、排水不畅、水生态环境恶化等问题，进行综合治理，实现沟道连通，满足乡村山洪排水防涝需求，建立和完善防灾、减灾体系，促进和保障城市人口、资源、环境和经济的协调发展，达到缓解排水、维护健康的生态系统、充分发挥净化水质、美化环境、承载文化的综合生态服务功能的目标。本项目对于保障人民群众生命财产安全，有效减轻洪涝灾害损失，改善民生和维护社会稳定，支撑经济社会可持续发展具有十分重要的作用。</w:t>
            </w:r>
          </w:p>
          <w:p w14:paraId="4C96EF4F">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Times New Roman" w:cs="Times New Roman"/>
                <w:b/>
                <w:bCs/>
                <w:color w:val="auto"/>
                <w:spacing w:val="-3"/>
                <w:lang w:val="en-US" w:eastAsia="zh-CN"/>
              </w:rPr>
              <w:t>4 经济效益</w:t>
            </w:r>
          </w:p>
          <w:p w14:paraId="711712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河道生态修复作为越来越被广泛应用的生态工程，也已经成为与其 周围环境相融合的，成熟的生态系统。生态修复区系统内湿度大、温度 更稳定，从某种意义上来说，跟自然生态修复区很类似。能为许多动物、植物、微生物提供良好的生活环境。所以，生态修复区生态系统在一定程度上可以为保护物种多样性、维持物种延续作出贡献。动物丰富度、植物丰富度和微生物丰富度指标都是效益型的，具有间接的经济效益，而且这种价值是无可估量的。</w:t>
            </w:r>
          </w:p>
          <w:p w14:paraId="1BE3967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 社会效益</w:t>
            </w:r>
          </w:p>
          <w:p w14:paraId="7E6283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提高公共健康水平、促进社会稳定。本项目的效益主要在于本项目的实施使项目周围地区水环境质量从根本上得以改善，从而显著改善区域人居环境、现有的卫生条件，提高居民的健康水平和生活质量，进而促进社会稳定发展。</w:t>
            </w:r>
          </w:p>
          <w:p w14:paraId="790FAF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治理工程实施后，通过两侧的绿化，生态环境得以很好的改善，区 域内自然景观、交通与生活等条件的逐步改善，营造出良好的发展环境，同时也为周边居民创造了休闲娱乐、生态旅游观光的好去处，极大地推动当地经济的快速发展。实现沟畅、水清、岸绿、景美，实现人水和谐，加快推进泾源县社会主义新农村建设和区域社会经济发展速度。</w:t>
            </w:r>
          </w:p>
        </w:tc>
      </w:tr>
      <w:tr w14:paraId="7A4C311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152" w:hRule="atLeast"/>
        </w:trPr>
        <w:tc>
          <w:tcPr>
            <w:tcW w:w="814" w:type="dxa"/>
            <w:tcBorders>
              <w:tl2br w:val="nil"/>
              <w:tr2bl w:val="nil"/>
            </w:tcBorders>
            <w:vAlign w:val="center"/>
          </w:tcPr>
          <w:p w14:paraId="17336624">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选址</w:t>
            </w:r>
          </w:p>
          <w:p w14:paraId="246ABF97">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选线</w:t>
            </w:r>
          </w:p>
          <w:p w14:paraId="665FB3B4">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环境</w:t>
            </w:r>
          </w:p>
          <w:p w14:paraId="63C3BA4B">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合理</w:t>
            </w:r>
          </w:p>
          <w:p w14:paraId="14830195">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性分</w:t>
            </w:r>
          </w:p>
          <w:p w14:paraId="3A8FB855">
            <w:pPr>
              <w:pStyle w:val="19"/>
              <w:spacing w:before="78" w:line="231" w:lineRule="auto"/>
              <w:ind w:left="0" w:leftChars="0" w:right="0" w:rightChars="0" w:firstLine="0" w:firstLineChars="0"/>
              <w:jc w:val="center"/>
              <w:rPr>
                <w:rFonts w:hint="eastAsia"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析</w:t>
            </w:r>
          </w:p>
        </w:tc>
        <w:tc>
          <w:tcPr>
            <w:tcW w:w="7629" w:type="dxa"/>
            <w:tcBorders>
              <w:tl2br w:val="nil"/>
              <w:tr2bl w:val="nil"/>
            </w:tcBorders>
            <w:vAlign w:val="center"/>
          </w:tcPr>
          <w:p w14:paraId="124128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本项目为</w:t>
            </w:r>
            <w:r>
              <w:rPr>
                <w:rFonts w:hint="default" w:ascii="Times New Roman" w:hAnsi="Times New Roman" w:eastAsia="宋体" w:cs="Times New Roman"/>
                <w:snapToGrid w:val="0"/>
                <w:color w:val="auto"/>
                <w:spacing w:val="-2"/>
                <w:kern w:val="0"/>
                <w:sz w:val="24"/>
                <w:szCs w:val="24"/>
                <w:lang w:val="en-US" w:eastAsia="zh-CN" w:bidi="ar-SA"/>
              </w:rPr>
              <w:t>宁夏泾源县龙房宫片区生态环境修复与农林文旅康融合开发EOD项目</w:t>
            </w:r>
            <w:r>
              <w:rPr>
                <w:rFonts w:hint="eastAsia" w:ascii="Times New Roman" w:hAnsi="Times New Roman" w:eastAsia="宋体" w:cs="Times New Roman"/>
                <w:snapToGrid w:val="0"/>
                <w:color w:val="auto"/>
                <w:spacing w:val="-2"/>
                <w:kern w:val="0"/>
                <w:sz w:val="24"/>
                <w:szCs w:val="24"/>
                <w:lang w:val="en-US" w:eastAsia="zh-CN" w:bidi="ar-SA"/>
              </w:rPr>
              <w:t>，本次仅对山洪及地质灾害、城乡供水一体化及水土保持部分进行评价，主要为羊槽河（羊槽村段）、生态沟渠（红土村、向阳村）和排洪渠的治理修复，选址唯一。</w:t>
            </w:r>
          </w:p>
        </w:tc>
      </w:tr>
    </w:tbl>
    <w:p w14:paraId="65F668F2">
      <w:pPr>
        <w:pStyle w:val="8"/>
        <w:rPr>
          <w:color w:val="auto"/>
        </w:rPr>
      </w:pPr>
    </w:p>
    <w:p w14:paraId="5A21C3C9">
      <w:pPr>
        <w:rPr>
          <w:color w:val="auto"/>
        </w:rPr>
        <w:sectPr>
          <w:pgSz w:w="11906" w:h="16839"/>
          <w:pgMar w:top="1440" w:right="1803" w:bottom="1440" w:left="1803" w:header="0" w:footer="1181" w:gutter="0"/>
          <w:pgBorders>
            <w:top w:val="none" w:sz="0" w:space="0"/>
            <w:left w:val="none" w:sz="0" w:space="0"/>
            <w:bottom w:val="none" w:sz="0" w:space="0"/>
            <w:right w:val="none" w:sz="0" w:space="0"/>
          </w:pgBorders>
          <w:pgNumType w:fmt="decimal"/>
          <w:cols w:space="720" w:num="1"/>
        </w:sectPr>
      </w:pPr>
    </w:p>
    <w:p w14:paraId="25C54E7D">
      <w:pPr>
        <w:spacing w:before="98" w:line="211" w:lineRule="auto"/>
        <w:ind w:left="2410"/>
        <w:outlineLvl w:val="0"/>
        <w:rPr>
          <w:rFonts w:ascii="黑体" w:hAnsi="黑体" w:eastAsia="黑体" w:cs="黑体"/>
          <w:color w:val="auto"/>
          <w:sz w:val="30"/>
          <w:szCs w:val="30"/>
        </w:rPr>
      </w:pPr>
      <w:r>
        <w:rPr>
          <w:rFonts w:ascii="黑体" w:hAnsi="黑体" w:eastAsia="黑体" w:cs="黑体"/>
          <w:b/>
          <w:bCs/>
          <w:color w:val="auto"/>
          <w:spacing w:val="-4"/>
          <w:sz w:val="30"/>
          <w:szCs w:val="30"/>
        </w:rPr>
        <w:t>五、主要生态环境保护措施</w:t>
      </w:r>
    </w:p>
    <w:tbl>
      <w:tblPr>
        <w:tblStyle w:val="18"/>
        <w:tblW w:w="8372" w:type="dxa"/>
        <w:tblInd w:w="12"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403"/>
        <w:gridCol w:w="7969"/>
      </w:tblGrid>
      <w:tr w14:paraId="7CBE7B5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44" w:hRule="atLeast"/>
        </w:trPr>
        <w:tc>
          <w:tcPr>
            <w:tcW w:w="403" w:type="dxa"/>
            <w:tcBorders>
              <w:tl2br w:val="nil"/>
              <w:tr2bl w:val="nil"/>
            </w:tcBorders>
            <w:textDirection w:val="tbRlV"/>
            <w:vAlign w:val="top"/>
          </w:tcPr>
          <w:p w14:paraId="1B3F62C6">
            <w:pPr>
              <w:pStyle w:val="19"/>
              <w:spacing w:before="94" w:line="209" w:lineRule="auto"/>
              <w:ind w:left="4008"/>
              <w:rPr>
                <w:color w:val="auto"/>
              </w:rPr>
            </w:pPr>
            <w:r>
              <w:rPr>
                <w:rFonts w:hint="eastAsia" w:ascii="宋体" w:hAnsi="宋体" w:eastAsia="宋体" w:cs="宋体"/>
                <w:b/>
                <w:bCs/>
                <w:color w:val="auto"/>
                <w:spacing w:val="-3"/>
                <w:lang w:val="en-US" w:eastAsia="zh-CN"/>
              </w:rPr>
              <w:t>施 工 期 生 态 环 境 保 护 措 施</w:t>
            </w:r>
          </w:p>
        </w:tc>
        <w:tc>
          <w:tcPr>
            <w:tcW w:w="7969" w:type="dxa"/>
            <w:tcBorders>
              <w:tl2br w:val="nil"/>
              <w:tr2bl w:val="nil"/>
            </w:tcBorders>
            <w:vAlign w:val="top"/>
          </w:tcPr>
          <w:p w14:paraId="07EB8A08">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1 大气污染防治措施</w:t>
            </w:r>
          </w:p>
          <w:p w14:paraId="2441747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（1）扬尘</w:t>
            </w:r>
          </w:p>
          <w:p w14:paraId="22DEEB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为减少施工扬尘，施工时须满足《关于进一步加强施工工地和道路扬尘管控工作的通知》（建办质〔</w:t>
            </w:r>
            <w:r>
              <w:rPr>
                <w:rFonts w:hint="default" w:ascii="Times New Roman" w:hAnsi="Times New Roman" w:eastAsia="宋体" w:cs="Times New Roman"/>
                <w:snapToGrid w:val="0"/>
                <w:color w:val="auto"/>
                <w:spacing w:val="-2"/>
                <w:kern w:val="0"/>
                <w:sz w:val="24"/>
                <w:szCs w:val="24"/>
                <w:lang w:val="en-US" w:eastAsia="zh-CN" w:bidi="ar-SA"/>
              </w:rPr>
              <w:t>2019</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 xml:space="preserve">23 </w:t>
            </w:r>
            <w:r>
              <w:rPr>
                <w:rFonts w:hint="eastAsia" w:ascii="Times New Roman" w:hAnsi="Times New Roman" w:eastAsia="宋体" w:cs="Times New Roman"/>
                <w:snapToGrid w:val="0"/>
                <w:color w:val="auto"/>
                <w:spacing w:val="-2"/>
                <w:kern w:val="0"/>
                <w:sz w:val="24"/>
                <w:szCs w:val="24"/>
                <w:lang w:val="en-US" w:eastAsia="zh-CN" w:bidi="ar-SA"/>
              </w:rPr>
              <w:t>号）、《宁夏回族自治区大气污染防治条例》、《银川市城市扬尘污染防治管理办法》相关要求，采取“六个百分百”防尘措施：做到施工工地</w:t>
            </w:r>
            <w:r>
              <w:rPr>
                <w:rFonts w:hint="default" w:ascii="Times New Roman" w:hAnsi="Times New Roman" w:eastAsia="宋体" w:cs="Times New Roman"/>
                <w:snapToGrid w:val="0"/>
                <w:color w:val="auto"/>
                <w:spacing w:val="-2"/>
                <w:kern w:val="0"/>
                <w:sz w:val="24"/>
                <w:szCs w:val="24"/>
                <w:lang w:val="en-US" w:eastAsia="zh-CN" w:bidi="ar-SA"/>
              </w:rPr>
              <w:t>100%</w:t>
            </w:r>
            <w:r>
              <w:rPr>
                <w:rFonts w:hint="eastAsia" w:ascii="Times New Roman" w:hAnsi="Times New Roman" w:eastAsia="宋体" w:cs="Times New Roman"/>
                <w:snapToGrid w:val="0"/>
                <w:color w:val="auto"/>
                <w:spacing w:val="-2"/>
                <w:kern w:val="0"/>
                <w:sz w:val="24"/>
                <w:szCs w:val="24"/>
                <w:lang w:val="en-US" w:eastAsia="zh-CN" w:bidi="ar-SA"/>
              </w:rPr>
              <w:t>落实围挡，出入口</w:t>
            </w:r>
            <w:r>
              <w:rPr>
                <w:rFonts w:hint="default" w:ascii="Times New Roman" w:hAnsi="Times New Roman" w:eastAsia="宋体" w:cs="Times New Roman"/>
                <w:snapToGrid w:val="0"/>
                <w:color w:val="auto"/>
                <w:spacing w:val="-2"/>
                <w:kern w:val="0"/>
                <w:sz w:val="24"/>
                <w:szCs w:val="24"/>
                <w:lang w:val="en-US" w:eastAsia="zh-CN" w:bidi="ar-SA"/>
              </w:rPr>
              <w:t>100%</w:t>
            </w:r>
            <w:r>
              <w:rPr>
                <w:rFonts w:hint="eastAsia" w:ascii="Times New Roman" w:hAnsi="Times New Roman" w:eastAsia="宋体" w:cs="Times New Roman"/>
                <w:snapToGrid w:val="0"/>
                <w:color w:val="auto"/>
                <w:spacing w:val="-2"/>
                <w:kern w:val="0"/>
                <w:sz w:val="24"/>
                <w:szCs w:val="24"/>
                <w:lang w:val="en-US" w:eastAsia="zh-CN" w:bidi="ar-SA"/>
              </w:rPr>
              <w:t>设置冲洗设施，驶出车辆</w:t>
            </w:r>
            <w:r>
              <w:rPr>
                <w:rFonts w:hint="default" w:ascii="Times New Roman" w:hAnsi="Times New Roman" w:eastAsia="宋体" w:cs="Times New Roman"/>
                <w:snapToGrid w:val="0"/>
                <w:color w:val="auto"/>
                <w:spacing w:val="-2"/>
                <w:kern w:val="0"/>
                <w:sz w:val="24"/>
                <w:szCs w:val="24"/>
                <w:lang w:val="en-US" w:eastAsia="zh-CN" w:bidi="ar-SA"/>
              </w:rPr>
              <w:t>100%</w:t>
            </w:r>
            <w:r>
              <w:rPr>
                <w:rFonts w:hint="eastAsia" w:ascii="Times New Roman" w:hAnsi="Times New Roman" w:eastAsia="宋体" w:cs="Times New Roman"/>
                <w:snapToGrid w:val="0"/>
                <w:color w:val="auto"/>
                <w:spacing w:val="-2"/>
                <w:kern w:val="0"/>
                <w:sz w:val="24"/>
                <w:szCs w:val="24"/>
                <w:lang w:val="en-US" w:eastAsia="zh-CN" w:bidi="ar-SA"/>
              </w:rPr>
              <w:t>冲洗，沙石渣土车辆</w:t>
            </w:r>
            <w:r>
              <w:rPr>
                <w:rFonts w:hint="default" w:ascii="Times New Roman" w:hAnsi="Times New Roman" w:eastAsia="宋体" w:cs="Times New Roman"/>
                <w:snapToGrid w:val="0"/>
                <w:color w:val="auto"/>
                <w:spacing w:val="-2"/>
                <w:kern w:val="0"/>
                <w:sz w:val="24"/>
                <w:szCs w:val="24"/>
                <w:lang w:val="en-US" w:eastAsia="zh-CN" w:bidi="ar-SA"/>
              </w:rPr>
              <w:t>100%</w:t>
            </w:r>
            <w:r>
              <w:rPr>
                <w:rFonts w:hint="eastAsia" w:ascii="Times New Roman" w:hAnsi="Times New Roman" w:eastAsia="宋体" w:cs="Times New Roman"/>
                <w:snapToGrid w:val="0"/>
                <w:color w:val="auto"/>
                <w:spacing w:val="-2"/>
                <w:kern w:val="0"/>
                <w:sz w:val="24"/>
                <w:szCs w:val="24"/>
                <w:lang w:val="en-US" w:eastAsia="zh-CN" w:bidi="ar-SA"/>
              </w:rPr>
              <w:t>遮盖，施工区域裸露空地堆场</w:t>
            </w:r>
            <w:r>
              <w:rPr>
                <w:rFonts w:hint="default" w:ascii="Times New Roman" w:hAnsi="Times New Roman" w:eastAsia="宋体" w:cs="Times New Roman"/>
                <w:snapToGrid w:val="0"/>
                <w:color w:val="auto"/>
                <w:spacing w:val="-2"/>
                <w:kern w:val="0"/>
                <w:sz w:val="24"/>
                <w:szCs w:val="24"/>
                <w:lang w:val="en-US" w:eastAsia="zh-CN" w:bidi="ar-SA"/>
              </w:rPr>
              <w:t>100%</w:t>
            </w:r>
            <w:r>
              <w:rPr>
                <w:rFonts w:hint="eastAsia" w:ascii="Times New Roman" w:hAnsi="Times New Roman" w:eastAsia="宋体" w:cs="Times New Roman"/>
                <w:snapToGrid w:val="0"/>
                <w:color w:val="auto"/>
                <w:spacing w:val="-2"/>
                <w:kern w:val="0"/>
                <w:sz w:val="24"/>
                <w:szCs w:val="24"/>
                <w:lang w:val="en-US" w:eastAsia="zh-CN" w:bidi="ar-SA"/>
              </w:rPr>
              <w:t>遮盖防尘网或喷洒抑尘剂，施工作业避开五级大风天气等措施。在采取上述措施后，施工作业现场产生的扬尘对周围环境影响较小。</w:t>
            </w:r>
          </w:p>
          <w:p w14:paraId="0070B7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针对本项目的施工特点，主要采取如下防治措施：</w:t>
            </w:r>
          </w:p>
          <w:p w14:paraId="22133E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①对施工现场进行科学管理，施工材料统一堆放，多余的建筑材料应及时清运；施工单位有专人负责洒水作业和车辆清洗作业；</w:t>
            </w:r>
          </w:p>
          <w:p w14:paraId="5B287F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②在运输道路上及时洒水，防止道路扬尘；</w:t>
            </w:r>
          </w:p>
          <w:p w14:paraId="34B66FA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③运输车辆在出入施工场地时，对车辆轮胎进行冲洗，避免运输扬尘；对运输物料的车辆不装载过满，对运输车辆采取遮盖、密闭措施，避免沿途物料抛洒。散装车辆装运货物的高度不超过马槽的高度，文明装卸和驾驶，在装卸点对散落在车顶、篷布外部等处的物料进行清扫；</w:t>
            </w:r>
          </w:p>
          <w:p w14:paraId="250A0F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④施工现场设置稳固整齐的围挡，围挡高度不低于</w:t>
            </w:r>
            <w:r>
              <w:rPr>
                <w:rFonts w:hint="default" w:ascii="Times New Roman" w:hAnsi="Times New Roman" w:eastAsia="宋体" w:cs="Times New Roman"/>
                <w:snapToGrid w:val="0"/>
                <w:color w:val="auto"/>
                <w:spacing w:val="-2"/>
                <w:kern w:val="0"/>
                <w:sz w:val="24"/>
                <w:szCs w:val="24"/>
                <w:lang w:val="en-US" w:eastAsia="zh-CN" w:bidi="ar-SA"/>
              </w:rPr>
              <w:t>2.5m</w:t>
            </w:r>
            <w:r>
              <w:rPr>
                <w:rFonts w:hint="eastAsia" w:ascii="Times New Roman" w:hAnsi="Times New Roman" w:eastAsia="宋体" w:cs="Times New Roman"/>
                <w:snapToGrid w:val="0"/>
                <w:color w:val="auto"/>
                <w:spacing w:val="-2"/>
                <w:kern w:val="0"/>
                <w:sz w:val="24"/>
                <w:szCs w:val="24"/>
                <w:lang w:val="en-US" w:eastAsia="zh-CN" w:bidi="ar-SA"/>
              </w:rPr>
              <w:t>；</w:t>
            </w:r>
          </w:p>
          <w:p w14:paraId="635A60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 xml:space="preserve">⑤不在大风天气下施工，风速超过五级时停止施工作业；本项目沟道施工过程中采取分段施工方法进行，所以施工扬尘对沿线周围环境影响周期较短，影响程度较小。同时，采取上述措施后，将施工扬尘对周围环境的影响降到较小。 </w:t>
            </w:r>
          </w:p>
          <w:p w14:paraId="3A968B5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因此在项目施工期，采取上述防治措施后，扬尘对周围环境的影响可得到有效控制，对周围大气环境影响较小。</w:t>
            </w:r>
          </w:p>
          <w:p w14:paraId="17A1AC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（2）施工机械和车辆尾气。</w:t>
            </w:r>
          </w:p>
          <w:p w14:paraId="39E1A8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施工机械和车辆尾气主要含有</w:t>
            </w:r>
            <w:r>
              <w:rPr>
                <w:rFonts w:hint="default" w:ascii="Times New Roman" w:hAnsi="Times New Roman" w:eastAsia="宋体" w:cs="Times New Roman"/>
                <w:snapToGrid w:val="0"/>
                <w:color w:val="auto"/>
                <w:spacing w:val="-2"/>
                <w:kern w:val="0"/>
                <w:sz w:val="24"/>
                <w:szCs w:val="24"/>
                <w:lang w:val="en-US" w:eastAsia="zh-CN" w:bidi="ar-SA"/>
              </w:rPr>
              <w:t>HC</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NOx</w:t>
            </w: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CO</w:t>
            </w:r>
            <w:r>
              <w:rPr>
                <w:rFonts w:hint="eastAsia" w:ascii="Times New Roman" w:hAnsi="Times New Roman" w:eastAsia="宋体" w:cs="Times New Roman"/>
                <w:snapToGrid w:val="0"/>
                <w:color w:val="auto"/>
                <w:spacing w:val="-2"/>
                <w:kern w:val="0"/>
                <w:sz w:val="24"/>
                <w:szCs w:val="24"/>
                <w:lang w:val="en-US" w:eastAsia="zh-CN" w:bidi="ar-SA"/>
              </w:rPr>
              <w:t>等，本项目施工过程尾气排放量较小，属于间歇性排放，经扩散稀释后对周围环境影响较小。</w:t>
            </w:r>
          </w:p>
          <w:p w14:paraId="259CC9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为使施工期尾气对周围环境的影响降至最低，应采取如下措施：</w:t>
            </w:r>
          </w:p>
          <w:p w14:paraId="790A37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①加强对施工机械及车辆使用管理和保养维修，合理降低使用次数，提高使用效率，禁止施工机械超负荷工作和运输车辆超载；不得使用劣质燃料。</w:t>
            </w:r>
          </w:p>
          <w:p w14:paraId="764EE9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②施工现场应合理布置运输车辆行驶路线，配合有关部门搞好施工期周围道路的交通组织，保证行驶速度，减少怠速时间，以及车辆尾气的排放。</w:t>
            </w:r>
          </w:p>
          <w:p w14:paraId="39D6AB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综上所述，施工期大气影响是暂时的，随着施工期的结束，影响也随之结束。建设单位应加强施工管理，采取相应措施，尽可能减少对周围环境的影响。</w:t>
            </w:r>
          </w:p>
          <w:p w14:paraId="5DC242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（3）清淤臭味</w:t>
            </w:r>
          </w:p>
          <w:p w14:paraId="1B5C6D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项目羊槽河（羊槽村段）及向阳村生态沟渠治理进行基底改善，河（沟）道清淤会有少量臭味产生，由于清理深度内淤泥量不大，项目基底改善在非灌期（</w:t>
            </w:r>
            <w:r>
              <w:rPr>
                <w:rFonts w:hint="default" w:ascii="Times New Roman" w:hAnsi="Times New Roman" w:eastAsia="宋体" w:cs="Times New Roman"/>
                <w:snapToGrid w:val="0"/>
                <w:color w:val="auto"/>
                <w:spacing w:val="-2"/>
                <w:kern w:val="0"/>
                <w:sz w:val="24"/>
                <w:szCs w:val="24"/>
                <w:lang w:val="en-US" w:eastAsia="zh-CN" w:bidi="ar-SA"/>
              </w:rPr>
              <w:t>1</w:t>
            </w:r>
            <w:r>
              <w:rPr>
                <w:rFonts w:hint="eastAsia" w:ascii="Times New Roman" w:hAnsi="Times New Roman" w:eastAsia="宋体" w:cs="Times New Roman"/>
                <w:snapToGrid w:val="0"/>
                <w:color w:val="auto"/>
                <w:spacing w:val="-2"/>
                <w:kern w:val="0"/>
                <w:sz w:val="24"/>
                <w:szCs w:val="24"/>
                <w:lang w:val="en-US" w:eastAsia="zh-CN" w:bidi="ar-SA"/>
              </w:rPr>
              <w:t>0~12月）进行施工，所以臭味有限。</w:t>
            </w:r>
          </w:p>
          <w:p w14:paraId="702B66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本项目采用环保型清淤方式，向沟道淤泥层投加功能微生物抑制剂，减小淤泥散发的臭味。本次评价要求基底改善（河（沟）道清淤）产生的淤泥</w:t>
            </w:r>
            <w:r>
              <w:rPr>
                <w:rFonts w:hint="eastAsia" w:ascii="Times New Roman" w:hAnsi="Times New Roman" w:eastAsia="宋体" w:cs="Times New Roman"/>
                <w:snapToGrid w:val="0"/>
                <w:color w:val="auto"/>
                <w:spacing w:val="-2"/>
                <w:kern w:val="0"/>
                <w:sz w:val="24"/>
                <w:szCs w:val="24"/>
                <w:highlight w:val="none"/>
                <w:lang w:val="en-US" w:eastAsia="zh-CN" w:bidi="ar-SA"/>
              </w:rPr>
              <w:t>干化后，直接由运输车辆送至本项目河道生境构建工程（用于植被恢复）、生态步道工程（绿化工程用于种植土补充和场地平整）等综合利用，</w:t>
            </w:r>
            <w:r>
              <w:rPr>
                <w:rFonts w:hint="eastAsia" w:ascii="Times New Roman" w:hAnsi="Times New Roman" w:eastAsia="宋体" w:cs="Times New Roman"/>
                <w:snapToGrid w:val="0"/>
                <w:color w:val="auto"/>
                <w:spacing w:val="-2"/>
                <w:kern w:val="0"/>
                <w:sz w:val="24"/>
                <w:szCs w:val="24"/>
                <w:lang w:val="en-US" w:eastAsia="zh-CN" w:bidi="ar-SA"/>
              </w:rPr>
              <w:t>避免淤泥堆积散发臭味对敏感目标影响。</w:t>
            </w:r>
          </w:p>
          <w:p w14:paraId="2810AE7A">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 水环境防治措施</w:t>
            </w:r>
          </w:p>
          <w:p w14:paraId="38B7E8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项目施工期废水主要为施工废水。项目区不设置施工生活营地，施工生活营地依托周边村庄，项目施工区无生活污水产生。</w:t>
            </w:r>
          </w:p>
          <w:p w14:paraId="263944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本项目施工现场严禁进行机械、设备的维修工作。因此不产生含油机修废水。施工期间产生的废水主要为施工机械冲洗产生的废水等，主要污染物是</w:t>
            </w:r>
            <w:r>
              <w:rPr>
                <w:rFonts w:hint="default" w:ascii="Times New Roman" w:hAnsi="Times New Roman" w:eastAsia="宋体" w:cs="Times New Roman"/>
                <w:snapToGrid w:val="0"/>
                <w:color w:val="auto"/>
                <w:spacing w:val="-2"/>
                <w:kern w:val="0"/>
                <w:sz w:val="24"/>
                <w:szCs w:val="24"/>
                <w:lang w:val="en-US" w:eastAsia="zh-CN" w:bidi="ar-SA"/>
              </w:rPr>
              <w:t>SS</w:t>
            </w:r>
            <w:r>
              <w:rPr>
                <w:rFonts w:hint="eastAsia" w:ascii="Times New Roman" w:hAnsi="Times New Roman" w:eastAsia="宋体" w:cs="Times New Roman"/>
                <w:snapToGrid w:val="0"/>
                <w:color w:val="auto"/>
                <w:spacing w:val="-2"/>
                <w:kern w:val="0"/>
                <w:sz w:val="24"/>
                <w:szCs w:val="24"/>
                <w:lang w:val="en-US" w:eastAsia="zh-CN" w:bidi="ar-SA"/>
              </w:rPr>
              <w:t>。施工现场设置临时沉淀池，对施工废水进行沉淀处理。经沉淀处理后，回用于施工场地洒水降尘等，不外排。</w:t>
            </w:r>
          </w:p>
          <w:p w14:paraId="79A8D112">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3 声环境影响防治措施</w:t>
            </w:r>
          </w:p>
          <w:p w14:paraId="38B915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项目施工期间，不同施工阶段使用不同的施工机械设备，因而产生不同施工阶段噪声。根据本项目的施工特点，主要产噪施工机械有挖掘机、装载机及运输车辆等。通过采用低噪声机械设备、合理安排施工计划和时间以及距离防护等措施减少施工噪声对区域声环境的影响，结合施工进展，具体采取如下防治措施：</w:t>
            </w:r>
          </w:p>
          <w:p w14:paraId="13DE24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1</w:t>
            </w:r>
            <w:r>
              <w:rPr>
                <w:rFonts w:hint="eastAsia" w:ascii="Times New Roman" w:hAnsi="Times New Roman" w:eastAsia="宋体" w:cs="Times New Roman"/>
                <w:snapToGrid w:val="0"/>
                <w:color w:val="auto"/>
                <w:spacing w:val="-2"/>
                <w:kern w:val="0"/>
                <w:sz w:val="24"/>
                <w:szCs w:val="24"/>
                <w:lang w:val="en-US" w:eastAsia="zh-CN" w:bidi="ar-SA"/>
              </w:rPr>
              <w:t>）要求施工期使用的主要机械设备为低噪声机械设备，并在施工中有专人对其进行保养维护，施工单位应对现场使用设备的人员进行培训，严格按操作规范使用各类机械。</w:t>
            </w:r>
          </w:p>
          <w:p w14:paraId="44B7C9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）尽可能利用距离衰减措施，在不影响施工情况下将强噪声设备移至距离居民点相对较远的地方。</w:t>
            </w:r>
          </w:p>
          <w:p w14:paraId="17F592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（3）运载建筑材料及建筑垃圾的车辆要选择合适的时间、路线进行运输，运输车辆行驶路线尽量避开居民点和环境敏感点，并且在声环境保护目标处减速慢行、禁止鸣笛等。</w:t>
            </w:r>
          </w:p>
          <w:p w14:paraId="46A3F4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4）项目施工期会对羊槽河（羊槽村段）、生态沟渠（红土村）、生态沟渠（向阳村边沟）、排洪渠（沙塘川段）、排洪渠（沿川子段）周边25m范围内有声环境保护目标处产生噪声影响。因此，项目要求羊槽河（羊槽村段）、生态沟渠（红土村）、生态沟渠（向阳村边沟）、排洪渠（沙塘川段）、排洪渠（沿川子段）涉及声环境保护目标区域禁止夜间施工作业，同时要求通过优化施工机械布置，尽量将高噪声设备布置在距离敏感点较远的位置，并且在施工场地边界靠近声环境保护目标一侧设置围挡，以及各声环境保护目标张贴公告等措施。加强施工管理，合理安排施工机械顺序等，有效减少施工噪声对周边环境的影响，随着施工活动结束，施工噪声影响也随之结束，对外环境影响较小。</w:t>
            </w:r>
          </w:p>
          <w:p w14:paraId="06AC66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综上所述，采取的施工期噪声污染防治措施技术可行、经济合理，在落实上述措施后对区域噪声影响较小。</w:t>
            </w:r>
          </w:p>
          <w:p w14:paraId="3512F3CE">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4 固体废物防治措施</w:t>
            </w:r>
          </w:p>
          <w:p w14:paraId="46A828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 xml:space="preserve">本工程施工期的固体废弃物主要来源为多余土方和沟道淤泥、建筑垃圾及施工人员的生活垃圾。 </w:t>
            </w:r>
          </w:p>
          <w:p w14:paraId="1F7B8E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生活垃圾：项目区不设置施工生活营地，施工生活营地依托周边村庄，项目施工区生活垃圾在施工现场集中分类收集送至临近村庄生活垃圾收集点，由当地环卫部门统一清运处理。</w:t>
            </w:r>
          </w:p>
          <w:p w14:paraId="7347C55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建筑垃圾：拆除废物、建筑垃圾定期运至环卫部门指定的建筑垃圾填埋场进行处置。</w:t>
            </w:r>
          </w:p>
          <w:p w14:paraId="3F5F86D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多余土方和沟道淤泥：多余土方主要用于护岸堤身填筑；根据底泥检测结果可知，底泥各评价因子监测值均符合《土壤环境质量农用地土壤污染风险管控标准（试行）（</w:t>
            </w:r>
            <w:r>
              <w:rPr>
                <w:rFonts w:hint="default" w:ascii="Times New Roman" w:hAnsi="Times New Roman" w:eastAsia="宋体" w:cs="Times New Roman"/>
                <w:snapToGrid w:val="0"/>
                <w:color w:val="auto"/>
                <w:spacing w:val="-2"/>
                <w:kern w:val="0"/>
                <w:sz w:val="24"/>
                <w:szCs w:val="24"/>
                <w:lang w:val="en-US" w:eastAsia="zh-CN" w:bidi="ar-SA"/>
              </w:rPr>
              <w:t>GB15618-2018</w:t>
            </w:r>
            <w:r>
              <w:rPr>
                <w:rFonts w:hint="eastAsia" w:ascii="Times New Roman" w:hAnsi="Times New Roman" w:eastAsia="宋体" w:cs="Times New Roman"/>
                <w:snapToGrid w:val="0"/>
                <w:color w:val="auto"/>
                <w:spacing w:val="-2"/>
                <w:kern w:val="0"/>
                <w:sz w:val="24"/>
                <w:szCs w:val="24"/>
                <w:lang w:val="en-US" w:eastAsia="zh-CN" w:bidi="ar-SA"/>
              </w:rPr>
              <w:t>）》表</w:t>
            </w:r>
            <w:r>
              <w:rPr>
                <w:rFonts w:hint="default" w:ascii="Times New Roman" w:hAnsi="Times New Roman" w:eastAsia="宋体" w:cs="Times New Roman"/>
                <w:snapToGrid w:val="0"/>
                <w:color w:val="auto"/>
                <w:spacing w:val="-2"/>
                <w:kern w:val="0"/>
                <w:sz w:val="24"/>
                <w:szCs w:val="24"/>
                <w:lang w:val="en-US" w:eastAsia="zh-CN" w:bidi="ar-SA"/>
              </w:rPr>
              <w:t>1</w:t>
            </w:r>
            <w:r>
              <w:rPr>
                <w:rFonts w:hint="eastAsia" w:ascii="Times New Roman" w:hAnsi="Times New Roman" w:eastAsia="宋体" w:cs="Times New Roman"/>
                <w:snapToGrid w:val="0"/>
                <w:color w:val="auto"/>
                <w:spacing w:val="-2"/>
                <w:kern w:val="0"/>
                <w:sz w:val="24"/>
                <w:szCs w:val="24"/>
                <w:lang w:val="en-US" w:eastAsia="zh-CN" w:bidi="ar-SA"/>
              </w:rPr>
              <w:t>农用地土壤污染风险筛选值（基本项目）的标准限值，因此淤泥干化后，直接由运输车辆送至本项目河道生境构建工程（用于植被恢复）、生态步道工程（绿化工程用于种植土补充和场地平整）等综合利用。</w:t>
            </w:r>
          </w:p>
          <w:p w14:paraId="385BA9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采取上述固体废物处置措施后，项目施工期产生的固体废物对环境影响较小。</w:t>
            </w:r>
          </w:p>
          <w:p w14:paraId="3AAAABC9">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5 生态治理措施</w:t>
            </w:r>
          </w:p>
          <w:p w14:paraId="69D5C9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1）植物保护措施</w:t>
            </w:r>
          </w:p>
          <w:p w14:paraId="30320E8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本工程施工临时占地对生态环境的影响主要表现为压埋植被、水土流失加重等。工程应根据建筑物的位置、主体工程施工方法及施工区地形等情况，优化施工布置，合理规划占地，严格控制临时占地面积。施工期间，施工车辆、人员必须在作业带内活动，严禁随意扩大扰动范围。</w:t>
            </w:r>
          </w:p>
          <w:p w14:paraId="15571B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②本工程分段施工，边施工边恢复，通过人工种草措施对原有植被恢复，大多为人工种植植被，待施工结束后，临时占地植被种类不会发生明显变化。</w:t>
            </w:r>
          </w:p>
          <w:p w14:paraId="48172D6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③在施工过程中，加强环境监管，对保护措施实施监督和检查，对出现的环境问题及时处理；施工单位在进场前，必须制定严格的施工组织和管理细则，作好有关生态环境保护知识和法律宣传工作，在施工区、生活区设置宣传牌，提高施工人员环境保护意识。</w:t>
            </w:r>
          </w:p>
          <w:p w14:paraId="608233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2</w:t>
            </w:r>
            <w:r>
              <w:rPr>
                <w:rFonts w:hint="eastAsia" w:ascii="Times New Roman" w:hAnsi="Times New Roman" w:eastAsia="宋体" w:cs="Times New Roman"/>
                <w:snapToGrid w:val="0"/>
                <w:color w:val="auto"/>
                <w:spacing w:val="-2"/>
                <w:kern w:val="0"/>
                <w:sz w:val="24"/>
                <w:szCs w:val="24"/>
                <w:lang w:val="en-US" w:eastAsia="zh-CN" w:bidi="ar-SA"/>
              </w:rPr>
              <w:t>）动物保护措施</w:t>
            </w:r>
          </w:p>
          <w:p w14:paraId="30E3C3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①施工期间，对施工人员和附近居民加强生态保护的宣传教育，增强施工人员保护动植物多样性对生态环境重要性的意识。</w:t>
            </w:r>
          </w:p>
          <w:p w14:paraId="75B954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②施工范围严格控制在施工场地内，减少使用高噪声设备，减少对周围动物的影响。</w:t>
            </w:r>
          </w:p>
          <w:p w14:paraId="6F12A9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③建立生态破坏惩罚制度，严禁施工人员非法猎捕动物；限制施工人员在施工以外区域活动，禁止施工人员野外用火，把对动物的干扰降至最低程度。</w:t>
            </w:r>
          </w:p>
          <w:p w14:paraId="3EE782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default" w:ascii="Times New Roman" w:hAnsi="Times New Roman" w:eastAsia="宋体" w:cs="Times New Roman"/>
                <w:snapToGrid w:val="0"/>
                <w:color w:val="auto"/>
                <w:spacing w:val="-2"/>
                <w:kern w:val="0"/>
                <w:sz w:val="24"/>
                <w:szCs w:val="24"/>
                <w:lang w:val="en-US" w:eastAsia="zh-CN" w:bidi="ar-SA"/>
              </w:rPr>
              <w:t>3</w:t>
            </w:r>
            <w:r>
              <w:rPr>
                <w:rFonts w:hint="eastAsia" w:ascii="Times New Roman" w:hAnsi="Times New Roman" w:eastAsia="宋体" w:cs="Times New Roman"/>
                <w:snapToGrid w:val="0"/>
                <w:color w:val="auto"/>
                <w:spacing w:val="-2"/>
                <w:kern w:val="0"/>
                <w:sz w:val="24"/>
                <w:szCs w:val="24"/>
                <w:lang w:val="en-US" w:eastAsia="zh-CN" w:bidi="ar-SA"/>
              </w:rPr>
              <w:t>）水土保护措施</w:t>
            </w:r>
          </w:p>
          <w:p w14:paraId="32921F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①明确临时作业区范围，各种施工活动应严格控制在施工区域内，尽量减少扰动面积。施工结束后，对临时占地进行土地平整、植被恢复，不使区域土壤理化性质恶化。</w:t>
            </w:r>
          </w:p>
          <w:p w14:paraId="55765C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②合理安排施工时间及工序，施工避开大风、降雨天气，以减少水土流失。</w:t>
            </w:r>
          </w:p>
          <w:p w14:paraId="58AEB73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color w:val="auto"/>
                <w:lang w:val="en-US" w:eastAsia="zh-CN"/>
              </w:rPr>
            </w:pPr>
            <w:r>
              <w:rPr>
                <w:rFonts w:hint="eastAsia" w:ascii="Times New Roman" w:hAnsi="Times New Roman" w:eastAsia="宋体" w:cs="Times New Roman"/>
                <w:snapToGrid w:val="0"/>
                <w:color w:val="auto"/>
                <w:spacing w:val="-2"/>
                <w:kern w:val="0"/>
                <w:sz w:val="24"/>
                <w:szCs w:val="24"/>
                <w:lang w:val="en-US" w:eastAsia="zh-CN" w:bidi="ar-SA"/>
              </w:rPr>
              <w:t>③土方开挖后应及时回填，注意表层土与地层土分开堆放，使其对土养分的影响尽可能降低。沟道回填时，应分层回填，保护生态环境。</w:t>
            </w:r>
          </w:p>
        </w:tc>
      </w:tr>
      <w:tr w14:paraId="61A632F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60" w:hRule="atLeast"/>
        </w:trPr>
        <w:tc>
          <w:tcPr>
            <w:tcW w:w="403" w:type="dxa"/>
            <w:tcBorders>
              <w:tl2br w:val="nil"/>
              <w:tr2bl w:val="nil"/>
            </w:tcBorders>
            <w:textDirection w:val="tbRlV"/>
            <w:vAlign w:val="center"/>
          </w:tcPr>
          <w:p w14:paraId="7DB9B242">
            <w:pPr>
              <w:pStyle w:val="19"/>
              <w:spacing w:before="94" w:line="209"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运 营 期 生 态 环 境 保 护 措 施</w:t>
            </w:r>
          </w:p>
        </w:tc>
        <w:tc>
          <w:tcPr>
            <w:tcW w:w="7969" w:type="dxa"/>
            <w:tcBorders>
              <w:tl2br w:val="nil"/>
              <w:tr2bl w:val="nil"/>
            </w:tcBorders>
            <w:vAlign w:val="center"/>
          </w:tcPr>
          <w:p w14:paraId="68CB77F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本项目属于沟道治理和防洪排涝工程，项目运营期会产生较大的生态环境正效益。根据本项目特点，项目营运期无废气、废水、噪声和固废产生。</w:t>
            </w:r>
          </w:p>
          <w:p w14:paraId="32F42BF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生态环境防治措施：对项目范围内植被系统进行科学的管养，开展运行期的生态监测和调查，确保植被生态恢复效果。</w:t>
            </w:r>
          </w:p>
          <w:p w14:paraId="538DDD2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default"/>
                <w:color w:val="auto"/>
                <w:lang w:val="en-US" w:eastAsia="zh-CN"/>
              </w:rPr>
            </w:pPr>
            <w:r>
              <w:rPr>
                <w:rFonts w:hint="eastAsia" w:ascii="Times New Roman" w:hAnsi="Times New Roman" w:eastAsia="宋体" w:cs="Times New Roman"/>
                <w:snapToGrid w:val="0"/>
                <w:color w:val="auto"/>
                <w:spacing w:val="-2"/>
                <w:kern w:val="0"/>
                <w:sz w:val="24"/>
                <w:szCs w:val="24"/>
                <w:lang w:val="en-US" w:eastAsia="zh-CN" w:bidi="ar-SA"/>
              </w:rPr>
              <w:t>项目的实施将给泾源县带来良好的生态环境，提升城市功能，保护和改善沿河两岸及周边的生态环境，营造整洁、舒适、方便的人居环境。</w:t>
            </w:r>
          </w:p>
        </w:tc>
      </w:tr>
      <w:tr w14:paraId="61921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25" w:hRule="atLeast"/>
        </w:trPr>
        <w:tc>
          <w:tcPr>
            <w:tcW w:w="403" w:type="dxa"/>
            <w:tcBorders>
              <w:tl2br w:val="nil"/>
              <w:tr2bl w:val="nil"/>
            </w:tcBorders>
            <w:textDirection w:val="tbRlV"/>
            <w:vAlign w:val="center"/>
          </w:tcPr>
          <w:p w14:paraId="2C4D0F38">
            <w:pPr>
              <w:pStyle w:val="19"/>
              <w:spacing w:before="94" w:line="209"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其 他</w:t>
            </w:r>
          </w:p>
        </w:tc>
        <w:tc>
          <w:tcPr>
            <w:tcW w:w="7969" w:type="dxa"/>
            <w:tcBorders>
              <w:tl2br w:val="nil"/>
              <w:tr2bl w:val="nil"/>
            </w:tcBorders>
            <w:vAlign w:val="center"/>
          </w:tcPr>
          <w:p w14:paraId="4835655C">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1 环境管理</w:t>
            </w:r>
          </w:p>
          <w:p w14:paraId="229C650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为贯彻落实《建设项目环境保护管理条例》，加强本项目环境保护工作的领导和管理，银川市水务局应设专职环境保护人员负责环境管理工作，从管理上保证环境保护措施的有效实施。</w:t>
            </w:r>
          </w:p>
          <w:p w14:paraId="3EC60FB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①贯彻执行国家和地方的各项环保方针、政策、法规和各项规章制度，制定和实施各项环境管理计划；</w:t>
            </w:r>
          </w:p>
          <w:p w14:paraId="39286A4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②定期巡查工程周边环境变化情况；</w:t>
            </w:r>
          </w:p>
          <w:p w14:paraId="024543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③制定和实施各项环境管理计划。</w:t>
            </w:r>
          </w:p>
          <w:p w14:paraId="7E05F0B5">
            <w:pPr>
              <w:pStyle w:val="1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imes New Roman" w:hAnsi="Times New Roman" w:eastAsia="Times New Roman" w:cs="Times New Roman"/>
                <w:b/>
                <w:bCs/>
                <w:color w:val="auto"/>
                <w:spacing w:val="-3"/>
                <w:lang w:val="en-US" w:eastAsia="zh-CN"/>
              </w:rPr>
            </w:pPr>
            <w:r>
              <w:rPr>
                <w:rFonts w:hint="eastAsia" w:ascii="Times New Roman" w:hAnsi="Times New Roman" w:eastAsia="Times New Roman" w:cs="Times New Roman"/>
                <w:b/>
                <w:bCs/>
                <w:color w:val="auto"/>
                <w:spacing w:val="-3"/>
                <w:lang w:val="en-US" w:eastAsia="zh-CN"/>
              </w:rPr>
              <w:t>2 环境监测计划</w:t>
            </w:r>
          </w:p>
          <w:p w14:paraId="29B916F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环境监测是环境管理必不可少的科学手段，通过有效的环境监测，可及时了解环境质量现状。</w:t>
            </w:r>
          </w:p>
          <w:p w14:paraId="4B276CA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eastAsia" w:ascii="Times New Roman" w:hAnsi="Times New Roman" w:eastAsia="宋体" w:cs="Times New Roman"/>
                <w:snapToGrid w:val="0"/>
                <w:color w:val="auto"/>
                <w:spacing w:val="-2"/>
                <w:kern w:val="0"/>
                <w:sz w:val="24"/>
                <w:szCs w:val="24"/>
                <w:lang w:val="en-US" w:eastAsia="zh-CN" w:bidi="ar-SA"/>
              </w:rPr>
            </w:pPr>
            <w:r>
              <w:rPr>
                <w:rFonts w:hint="eastAsia" w:ascii="Times New Roman" w:hAnsi="Times New Roman" w:eastAsia="宋体" w:cs="Times New Roman"/>
                <w:snapToGrid w:val="0"/>
                <w:color w:val="auto"/>
                <w:spacing w:val="-2"/>
                <w:kern w:val="0"/>
                <w:sz w:val="24"/>
                <w:szCs w:val="24"/>
                <w:lang w:val="en-US" w:eastAsia="zh-CN" w:bidi="ar-SA"/>
              </w:rPr>
              <w:t>环境监测计划具体见表5-1。</w:t>
            </w:r>
          </w:p>
          <w:p w14:paraId="3970DF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r>
              <w:rPr>
                <w:rFonts w:hint="default" w:ascii="Times New Roman" w:hAnsi="Times New Roman" w:eastAsia="宋体" w:cs="Times New Roman"/>
                <w:b/>
                <w:bCs/>
                <w:snapToGrid w:val="0"/>
                <w:color w:val="auto"/>
                <w:spacing w:val="6"/>
                <w:kern w:val="0"/>
                <w:sz w:val="21"/>
                <w:szCs w:val="21"/>
                <w:lang w:val="en-US" w:eastAsia="zh-CN" w:bidi="ar-SA"/>
              </w:rPr>
              <w:t>表5-1  环境监测计划表</w:t>
            </w:r>
          </w:p>
          <w:tbl>
            <w:tblPr>
              <w:tblStyle w:val="15"/>
              <w:tblW w:w="492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86"/>
              <w:gridCol w:w="1104"/>
              <w:gridCol w:w="2179"/>
              <w:gridCol w:w="2747"/>
              <w:gridCol w:w="820"/>
            </w:tblGrid>
            <w:tr w14:paraId="79B68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628" w:type="pct"/>
                  <w:noWrap/>
                  <w:vAlign w:val="center"/>
                </w:tcPr>
                <w:p w14:paraId="09FC61EB">
                  <w:pPr>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监测时期</w:t>
                  </w:r>
                </w:p>
              </w:tc>
              <w:tc>
                <w:tcPr>
                  <w:tcW w:w="704" w:type="pct"/>
                  <w:noWrap/>
                  <w:vAlign w:val="center"/>
                </w:tcPr>
                <w:p w14:paraId="7D1DB869">
                  <w:pPr>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390" w:type="pct"/>
                  <w:noWrap/>
                  <w:vAlign w:val="center"/>
                </w:tcPr>
                <w:p w14:paraId="339A154D">
                  <w:pPr>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指标</w:t>
                  </w:r>
                </w:p>
              </w:tc>
              <w:tc>
                <w:tcPr>
                  <w:tcW w:w="1752" w:type="pct"/>
                  <w:noWrap/>
                  <w:vAlign w:val="center"/>
                </w:tcPr>
                <w:p w14:paraId="1B9E730A">
                  <w:pPr>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523" w:type="pct"/>
                  <w:noWrap/>
                  <w:vAlign w:val="center"/>
                </w:tcPr>
                <w:p w14:paraId="3E658741">
                  <w:pPr>
                    <w:spacing w:line="240" w:lineRule="auto"/>
                    <w:ind w:left="0" w:leftChars="0" w:right="0" w:righ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w:t>
                  </w:r>
                </w:p>
              </w:tc>
            </w:tr>
            <w:tr w14:paraId="4A69D1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7" w:hRule="atLeast"/>
                <w:jc w:val="center"/>
              </w:trPr>
              <w:tc>
                <w:tcPr>
                  <w:tcW w:w="628" w:type="pct"/>
                  <w:vMerge w:val="restart"/>
                  <w:noWrap/>
                  <w:vAlign w:val="center"/>
                </w:tcPr>
                <w:p w14:paraId="2BCC1B9F">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704" w:type="pct"/>
                  <w:noWrap/>
                  <w:vAlign w:val="center"/>
                </w:tcPr>
                <w:p w14:paraId="42F6E163">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大气监测</w:t>
                  </w:r>
                </w:p>
              </w:tc>
              <w:tc>
                <w:tcPr>
                  <w:tcW w:w="1390" w:type="pct"/>
                  <w:noWrap/>
                  <w:vAlign w:val="center"/>
                </w:tcPr>
                <w:p w14:paraId="4525E4DD">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752" w:type="pct"/>
                  <w:noWrap/>
                  <w:vAlign w:val="center"/>
                </w:tcPr>
                <w:p w14:paraId="4B21B97E">
                  <w:pPr>
                    <w:spacing w:line="240" w:lineRule="auto"/>
                    <w:ind w:left="0" w:leftChars="0" w:right="0" w:rightChars="0" w:firstLine="0" w:firstLineChars="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每季度</w:t>
                  </w:r>
                  <w:r>
                    <w:rPr>
                      <w:rFonts w:hint="default" w:ascii="Times New Roman" w:hAnsi="Times New Roman" w:eastAsia="宋体" w:cs="Times New Roman"/>
                      <w:color w:val="auto"/>
                      <w:sz w:val="21"/>
                      <w:szCs w:val="21"/>
                    </w:rPr>
                    <w:t>监测1次，每次连续监测3天，每天分4个时段监测</w:t>
                  </w:r>
                </w:p>
              </w:tc>
              <w:tc>
                <w:tcPr>
                  <w:tcW w:w="523" w:type="pct"/>
                  <w:vMerge w:val="restart"/>
                  <w:noWrap/>
                  <w:vAlign w:val="center"/>
                </w:tcPr>
                <w:p w14:paraId="3CABD3AA">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施工现场</w:t>
                  </w:r>
                </w:p>
              </w:tc>
            </w:tr>
            <w:tr w14:paraId="2CE1EF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28" w:type="pct"/>
                  <w:vMerge w:val="continue"/>
                  <w:noWrap/>
                  <w:vAlign w:val="center"/>
                </w:tcPr>
                <w:p w14:paraId="3863F91F">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04" w:type="pct"/>
                  <w:noWrap/>
                  <w:vAlign w:val="center"/>
                </w:tcPr>
                <w:p w14:paraId="25D82909">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声环境监测</w:t>
                  </w:r>
                </w:p>
              </w:tc>
              <w:tc>
                <w:tcPr>
                  <w:tcW w:w="1390" w:type="pct"/>
                  <w:noWrap/>
                  <w:vAlign w:val="center"/>
                </w:tcPr>
                <w:p w14:paraId="07A07D97">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1752" w:type="pct"/>
                  <w:noWrap/>
                  <w:vAlign w:val="center"/>
                </w:tcPr>
                <w:p w14:paraId="46A6A512">
                  <w:pPr>
                    <w:spacing w:line="240" w:lineRule="auto"/>
                    <w:ind w:left="0" w:leftChars="0" w:right="0" w:righ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施工期内至少一次，连续监测2天，每天昼、夜间监测1次</w:t>
                  </w:r>
                </w:p>
              </w:tc>
              <w:tc>
                <w:tcPr>
                  <w:tcW w:w="523" w:type="pct"/>
                  <w:vMerge w:val="continue"/>
                  <w:noWrap/>
                  <w:vAlign w:val="center"/>
                </w:tcPr>
                <w:p w14:paraId="447C1CE3">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r>
            <w:tr w14:paraId="0D62D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29" w:hRule="atLeast"/>
                <w:jc w:val="center"/>
              </w:trPr>
              <w:tc>
                <w:tcPr>
                  <w:tcW w:w="628" w:type="pct"/>
                  <w:vMerge w:val="continue"/>
                  <w:noWrap/>
                  <w:vAlign w:val="center"/>
                </w:tcPr>
                <w:p w14:paraId="36B3F4F9">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704" w:type="pct"/>
                  <w:noWrap/>
                  <w:vAlign w:val="center"/>
                </w:tcPr>
                <w:p w14:paraId="327F1BD3">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390" w:type="pct"/>
                  <w:noWrap/>
                  <w:vAlign w:val="center"/>
                </w:tcPr>
                <w:p w14:paraId="0B23FC3F">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记录：生活垃圾和建筑垃圾产生量、挖方量；回填量、处置方式</w:t>
                  </w:r>
                </w:p>
              </w:tc>
              <w:tc>
                <w:tcPr>
                  <w:tcW w:w="1752" w:type="pct"/>
                  <w:noWrap/>
                  <w:vAlign w:val="center"/>
                </w:tcPr>
                <w:p w14:paraId="4110A504">
                  <w:pPr>
                    <w:spacing w:line="240" w:lineRule="auto"/>
                    <w:ind w:left="0" w:leftChars="0" w:right="0" w:righ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每天进行统计</w:t>
                  </w:r>
                </w:p>
              </w:tc>
              <w:tc>
                <w:tcPr>
                  <w:tcW w:w="523" w:type="pct"/>
                  <w:noWrap/>
                  <w:vAlign w:val="center"/>
                </w:tcPr>
                <w:p w14:paraId="1AADA231">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施工现场</w:t>
                  </w:r>
                </w:p>
              </w:tc>
            </w:tr>
            <w:tr w14:paraId="4AA88E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87" w:hRule="atLeast"/>
                <w:jc w:val="center"/>
              </w:trPr>
              <w:tc>
                <w:tcPr>
                  <w:tcW w:w="628" w:type="pct"/>
                  <w:noWrap/>
                  <w:vAlign w:val="center"/>
                </w:tcPr>
                <w:p w14:paraId="740930A5">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704" w:type="pct"/>
                  <w:noWrap/>
                  <w:vAlign w:val="center"/>
                </w:tcPr>
                <w:p w14:paraId="6C1AEC58">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390" w:type="pct"/>
                  <w:noWrap/>
                  <w:vAlign w:val="center"/>
                </w:tcPr>
                <w:p w14:paraId="39788AF6">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河道周围绿化区域</w:t>
                  </w:r>
                </w:p>
              </w:tc>
              <w:tc>
                <w:tcPr>
                  <w:tcW w:w="1752" w:type="pct"/>
                  <w:noWrap/>
                  <w:vAlign w:val="center"/>
                </w:tcPr>
                <w:p w14:paraId="18C8388E">
                  <w:pPr>
                    <w:spacing w:line="240" w:lineRule="auto"/>
                    <w:ind w:left="0" w:leftChars="0" w:right="0" w:righ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生物损失量、植被覆盖率及水土流失恢复率</w:t>
                  </w:r>
                </w:p>
              </w:tc>
              <w:tc>
                <w:tcPr>
                  <w:tcW w:w="523" w:type="pct"/>
                  <w:noWrap/>
                  <w:vAlign w:val="center"/>
                </w:tcPr>
                <w:p w14:paraId="17DA71CD">
                  <w:pPr>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投运后第1年</w:t>
                  </w:r>
                </w:p>
              </w:tc>
            </w:tr>
          </w:tbl>
          <w:p w14:paraId="0F795942">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both"/>
              <w:textAlignment w:val="baseline"/>
              <w:rPr>
                <w:rFonts w:hint="default" w:ascii="Times New Roman" w:hAnsi="Times New Roman" w:eastAsia="宋体" w:cs="Times New Roman"/>
                <w:snapToGrid w:val="0"/>
                <w:color w:val="auto"/>
                <w:spacing w:val="-2"/>
                <w:kern w:val="0"/>
                <w:sz w:val="24"/>
                <w:szCs w:val="24"/>
                <w:lang w:val="en-US" w:eastAsia="zh-CN" w:bidi="ar-SA"/>
              </w:rPr>
            </w:pPr>
          </w:p>
        </w:tc>
      </w:tr>
      <w:tr w14:paraId="6D043B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460" w:hRule="atLeast"/>
        </w:trPr>
        <w:tc>
          <w:tcPr>
            <w:tcW w:w="403" w:type="dxa"/>
            <w:tcBorders>
              <w:tl2br w:val="nil"/>
              <w:tr2bl w:val="nil"/>
            </w:tcBorders>
            <w:textDirection w:val="tbRlV"/>
            <w:vAlign w:val="center"/>
          </w:tcPr>
          <w:p w14:paraId="2EA07742">
            <w:pPr>
              <w:pStyle w:val="19"/>
              <w:spacing w:before="94" w:line="209" w:lineRule="auto"/>
              <w:ind w:left="0" w:leftChars="0" w:right="0" w:rightChars="0" w:firstLine="0" w:firstLineChars="0"/>
              <w:jc w:val="center"/>
              <w:rPr>
                <w:rFonts w:hint="default" w:ascii="宋体" w:hAnsi="宋体" w:eastAsia="宋体" w:cs="宋体"/>
                <w:b/>
                <w:bCs/>
                <w:color w:val="auto"/>
                <w:spacing w:val="-3"/>
                <w:lang w:val="en-US" w:eastAsia="zh-CN"/>
              </w:rPr>
            </w:pPr>
            <w:r>
              <w:rPr>
                <w:rFonts w:hint="eastAsia" w:ascii="宋体" w:hAnsi="宋体" w:eastAsia="宋体" w:cs="宋体"/>
                <w:b/>
                <w:bCs/>
                <w:color w:val="auto"/>
                <w:spacing w:val="-3"/>
                <w:lang w:val="en-US" w:eastAsia="zh-CN"/>
              </w:rPr>
              <w:t>环 保 投 资</w:t>
            </w:r>
          </w:p>
        </w:tc>
        <w:tc>
          <w:tcPr>
            <w:tcW w:w="7969" w:type="dxa"/>
            <w:tcBorders>
              <w:tl2br w:val="nil"/>
              <w:tr2bl w:val="nil"/>
            </w:tcBorders>
            <w:vAlign w:val="center"/>
          </w:tcPr>
          <w:p w14:paraId="464A2FC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72" w:firstLineChars="200"/>
              <w:jc w:val="both"/>
              <w:textAlignment w:val="baseline"/>
              <w:rPr>
                <w:rFonts w:hint="default" w:ascii="Times New Roman" w:hAnsi="Times New Roman" w:eastAsia="宋体" w:cs="Times New Roman"/>
                <w:snapToGrid w:val="0"/>
                <w:color w:val="auto"/>
                <w:spacing w:val="-2"/>
                <w:kern w:val="0"/>
                <w:sz w:val="24"/>
                <w:szCs w:val="24"/>
                <w:highlight w:val="none"/>
                <w:lang w:val="en-US" w:eastAsia="zh-CN" w:bidi="ar-SA"/>
              </w:rPr>
            </w:pPr>
            <w:r>
              <w:rPr>
                <w:rFonts w:hint="eastAsia" w:ascii="Times New Roman" w:hAnsi="Times New Roman" w:eastAsia="宋体" w:cs="Times New Roman"/>
                <w:snapToGrid w:val="0"/>
                <w:color w:val="auto"/>
                <w:spacing w:val="-2"/>
                <w:kern w:val="0"/>
                <w:sz w:val="24"/>
                <w:szCs w:val="24"/>
                <w:highlight w:val="none"/>
                <w:lang w:val="en-US" w:eastAsia="zh-CN" w:bidi="ar-SA"/>
              </w:rPr>
              <w:t>本项目生态治理部分总投资为159638万元，下表所列环保投资为主要处理措施及治污设施的投资估算。环保投资额为335.25元，占总投资的0.21%。环保投资明细见表5-2。</w:t>
            </w:r>
          </w:p>
          <w:p w14:paraId="3B3EF5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snapToGrid w:val="0"/>
                <w:color w:val="auto"/>
                <w:spacing w:val="6"/>
                <w:kern w:val="0"/>
                <w:sz w:val="21"/>
                <w:szCs w:val="21"/>
                <w:lang w:val="en-US" w:eastAsia="zh-CN" w:bidi="ar-SA"/>
              </w:rPr>
            </w:pPr>
            <w:r>
              <w:rPr>
                <w:rFonts w:hint="eastAsia" w:ascii="Times New Roman" w:hAnsi="Times New Roman" w:eastAsia="宋体" w:cs="Times New Roman"/>
                <w:b/>
                <w:bCs/>
                <w:snapToGrid w:val="0"/>
                <w:color w:val="auto"/>
                <w:spacing w:val="6"/>
                <w:kern w:val="0"/>
                <w:sz w:val="21"/>
                <w:szCs w:val="21"/>
                <w:lang w:val="en-US" w:eastAsia="zh-CN" w:bidi="ar-SA"/>
              </w:rPr>
              <w:t>表5-2  项目环保投资明细</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50"/>
              <w:gridCol w:w="1487"/>
              <w:gridCol w:w="3763"/>
              <w:gridCol w:w="1959"/>
            </w:tblGrid>
            <w:tr w14:paraId="5130AE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tcBorders>
                    <w:tl2br w:val="nil"/>
                    <w:tr2bl w:val="nil"/>
                  </w:tcBorders>
                  <w:vAlign w:val="center"/>
                </w:tcPr>
                <w:p w14:paraId="716104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vertAlign w:val="baseline"/>
                      <w:lang w:val="en-US" w:eastAsia="zh-CN" w:bidi="ar-SA"/>
                    </w:rPr>
                  </w:pPr>
                  <w:r>
                    <w:rPr>
                      <w:rFonts w:hint="eastAsia" w:ascii="Times New Roman" w:hAnsi="Times New Roman" w:eastAsia="宋体" w:cs="Times New Roman"/>
                      <w:b/>
                      <w:bCs/>
                      <w:snapToGrid w:val="0"/>
                      <w:color w:val="auto"/>
                      <w:spacing w:val="6"/>
                      <w:kern w:val="0"/>
                      <w:sz w:val="21"/>
                      <w:szCs w:val="21"/>
                      <w:vertAlign w:val="baseline"/>
                      <w:lang w:val="en-US" w:eastAsia="zh-CN" w:bidi="ar-SA"/>
                    </w:rPr>
                    <w:t>时段</w:t>
                  </w:r>
                </w:p>
              </w:tc>
              <w:tc>
                <w:tcPr>
                  <w:tcW w:w="1487" w:type="dxa"/>
                  <w:tcBorders>
                    <w:tl2br w:val="nil"/>
                    <w:tr2bl w:val="nil"/>
                  </w:tcBorders>
                  <w:vAlign w:val="center"/>
                </w:tcPr>
                <w:p w14:paraId="73805C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vertAlign w:val="baseline"/>
                      <w:lang w:val="en-US" w:eastAsia="zh-CN" w:bidi="ar-SA"/>
                    </w:rPr>
                  </w:pPr>
                  <w:r>
                    <w:rPr>
                      <w:rFonts w:hint="eastAsia" w:ascii="Times New Roman" w:hAnsi="Times New Roman" w:eastAsia="宋体" w:cs="Times New Roman"/>
                      <w:b/>
                      <w:bCs/>
                      <w:snapToGrid w:val="0"/>
                      <w:color w:val="auto"/>
                      <w:spacing w:val="6"/>
                      <w:kern w:val="0"/>
                      <w:sz w:val="21"/>
                      <w:szCs w:val="21"/>
                      <w:vertAlign w:val="baseline"/>
                      <w:lang w:val="en-US" w:eastAsia="zh-CN" w:bidi="ar-SA"/>
                    </w:rPr>
                    <w:t>项目</w:t>
                  </w:r>
                </w:p>
              </w:tc>
              <w:tc>
                <w:tcPr>
                  <w:tcW w:w="3763" w:type="dxa"/>
                  <w:tcBorders>
                    <w:tl2br w:val="nil"/>
                    <w:tr2bl w:val="nil"/>
                  </w:tcBorders>
                  <w:vAlign w:val="center"/>
                </w:tcPr>
                <w:p w14:paraId="096B66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vertAlign w:val="baseline"/>
                      <w:lang w:val="en-US" w:eastAsia="zh-CN" w:bidi="ar-SA"/>
                    </w:rPr>
                  </w:pPr>
                  <w:r>
                    <w:rPr>
                      <w:rFonts w:hint="eastAsia" w:ascii="Times New Roman" w:hAnsi="Times New Roman" w:eastAsia="宋体" w:cs="Times New Roman"/>
                      <w:b/>
                      <w:bCs/>
                      <w:snapToGrid w:val="0"/>
                      <w:color w:val="auto"/>
                      <w:spacing w:val="6"/>
                      <w:kern w:val="0"/>
                      <w:sz w:val="21"/>
                      <w:szCs w:val="21"/>
                      <w:vertAlign w:val="baseline"/>
                      <w:lang w:val="en-US" w:eastAsia="zh-CN" w:bidi="ar-SA"/>
                    </w:rPr>
                    <w:t>内容</w:t>
                  </w:r>
                </w:p>
              </w:tc>
              <w:tc>
                <w:tcPr>
                  <w:tcW w:w="1959" w:type="dxa"/>
                  <w:tcBorders>
                    <w:tl2br w:val="nil"/>
                    <w:tr2bl w:val="nil"/>
                  </w:tcBorders>
                  <w:vAlign w:val="center"/>
                </w:tcPr>
                <w:p w14:paraId="31195C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vertAlign w:val="baseline"/>
                      <w:lang w:val="en-US" w:eastAsia="zh-CN" w:bidi="ar-SA"/>
                    </w:rPr>
                  </w:pPr>
                  <w:r>
                    <w:rPr>
                      <w:rFonts w:hint="eastAsia" w:ascii="Times New Roman" w:hAnsi="Times New Roman" w:eastAsia="宋体" w:cs="Times New Roman"/>
                      <w:b/>
                      <w:bCs/>
                      <w:snapToGrid w:val="0"/>
                      <w:color w:val="auto"/>
                      <w:spacing w:val="6"/>
                      <w:kern w:val="0"/>
                      <w:sz w:val="21"/>
                      <w:szCs w:val="21"/>
                      <w:vertAlign w:val="baseline"/>
                      <w:lang w:val="en-US" w:eastAsia="zh-CN" w:bidi="ar-SA"/>
                    </w:rPr>
                    <w:t>投资金额（万元）</w:t>
                  </w:r>
                </w:p>
              </w:tc>
            </w:tr>
            <w:tr w14:paraId="45B2B0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vMerge w:val="restart"/>
                  <w:tcBorders>
                    <w:tl2br w:val="nil"/>
                    <w:tr2bl w:val="nil"/>
                  </w:tcBorders>
                  <w:vAlign w:val="center"/>
                </w:tcPr>
                <w:p w14:paraId="257C672D">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施工期</w:t>
                  </w:r>
                </w:p>
              </w:tc>
              <w:tc>
                <w:tcPr>
                  <w:tcW w:w="1487" w:type="dxa"/>
                  <w:vMerge w:val="restart"/>
                  <w:tcBorders>
                    <w:tl2br w:val="nil"/>
                    <w:tr2bl w:val="nil"/>
                  </w:tcBorders>
                  <w:vAlign w:val="center"/>
                </w:tcPr>
                <w:p w14:paraId="4C8A39F5">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羊槽河（羊槽村段）</w:t>
                  </w:r>
                </w:p>
              </w:tc>
              <w:tc>
                <w:tcPr>
                  <w:tcW w:w="3763" w:type="dxa"/>
                  <w:tcBorders>
                    <w:tl2br w:val="nil"/>
                    <w:tr2bl w:val="nil"/>
                  </w:tcBorders>
                  <w:vAlign w:val="center"/>
                </w:tcPr>
                <w:p w14:paraId="6E149844">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河道生境构建</w:t>
                  </w:r>
                </w:p>
              </w:tc>
              <w:tc>
                <w:tcPr>
                  <w:tcW w:w="1959" w:type="dxa"/>
                  <w:tcBorders>
                    <w:tl2br w:val="nil"/>
                    <w:tr2bl w:val="nil"/>
                  </w:tcBorders>
                  <w:vAlign w:val="center"/>
                </w:tcPr>
                <w:p w14:paraId="306AE2DF">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14:paraId="5DBF4B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vMerge w:val="continue"/>
                  <w:tcBorders>
                    <w:tl2br w:val="nil"/>
                    <w:tr2bl w:val="nil"/>
                  </w:tcBorders>
                  <w:vAlign w:val="center"/>
                </w:tcPr>
                <w:p w14:paraId="75D3861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5F1A4D1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427715D7">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生态护坡工程</w:t>
                  </w:r>
                </w:p>
              </w:tc>
              <w:tc>
                <w:tcPr>
                  <w:tcW w:w="1959" w:type="dxa"/>
                  <w:tcBorders>
                    <w:tl2br w:val="nil"/>
                    <w:tr2bl w:val="nil"/>
                  </w:tcBorders>
                  <w:vAlign w:val="center"/>
                </w:tcPr>
                <w:p w14:paraId="0BE97C90">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56.50</w:t>
                  </w:r>
                </w:p>
              </w:tc>
            </w:tr>
            <w:tr w14:paraId="3962B5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vMerge w:val="continue"/>
                  <w:tcBorders>
                    <w:tl2br w:val="nil"/>
                    <w:tr2bl w:val="nil"/>
                  </w:tcBorders>
                  <w:vAlign w:val="center"/>
                </w:tcPr>
                <w:p w14:paraId="575E3DCE">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7AFDA7B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5E84329C">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基底改善</w:t>
                  </w:r>
                </w:p>
              </w:tc>
              <w:tc>
                <w:tcPr>
                  <w:tcW w:w="1959" w:type="dxa"/>
                  <w:tcBorders>
                    <w:tl2br w:val="nil"/>
                    <w:tr2bl w:val="nil"/>
                  </w:tcBorders>
                  <w:vAlign w:val="center"/>
                </w:tcPr>
                <w:p w14:paraId="2F25323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r>
            <w:tr w14:paraId="7A42FE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vMerge w:val="continue"/>
                  <w:tcBorders>
                    <w:tl2br w:val="nil"/>
                    <w:tr2bl w:val="nil"/>
                  </w:tcBorders>
                  <w:vAlign w:val="center"/>
                </w:tcPr>
                <w:p w14:paraId="2F8A886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restart"/>
                  <w:tcBorders>
                    <w:tl2br w:val="nil"/>
                    <w:tr2bl w:val="nil"/>
                  </w:tcBorders>
                  <w:vAlign w:val="center"/>
                </w:tcPr>
                <w:p w14:paraId="1C81AC3C">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生态沟渠</w:t>
                  </w:r>
                </w:p>
              </w:tc>
              <w:tc>
                <w:tcPr>
                  <w:tcW w:w="3763" w:type="dxa"/>
                  <w:tcBorders>
                    <w:tl2br w:val="nil"/>
                    <w:tr2bl w:val="nil"/>
                  </w:tcBorders>
                  <w:vAlign w:val="center"/>
                </w:tcPr>
                <w:p w14:paraId="6D432C1E">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河道生境构建</w:t>
                  </w:r>
                </w:p>
              </w:tc>
              <w:tc>
                <w:tcPr>
                  <w:tcW w:w="1959" w:type="dxa"/>
                  <w:tcBorders>
                    <w:tl2br w:val="nil"/>
                    <w:tr2bl w:val="nil"/>
                  </w:tcBorders>
                  <w:vAlign w:val="center"/>
                </w:tcPr>
                <w:p w14:paraId="3DD938E2">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4.50</w:t>
                  </w:r>
                </w:p>
              </w:tc>
            </w:tr>
            <w:tr w14:paraId="336D5C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0" w:hRule="atLeast"/>
                <w:jc w:val="center"/>
              </w:trPr>
              <w:tc>
                <w:tcPr>
                  <w:tcW w:w="650" w:type="dxa"/>
                  <w:vMerge w:val="continue"/>
                  <w:tcBorders>
                    <w:tl2br w:val="nil"/>
                    <w:tr2bl w:val="nil"/>
                  </w:tcBorders>
                  <w:vAlign w:val="center"/>
                </w:tcPr>
                <w:p w14:paraId="4CA3D1A4">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2EF793B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3AEC8547">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生态护坡</w:t>
                  </w:r>
                </w:p>
              </w:tc>
              <w:tc>
                <w:tcPr>
                  <w:tcW w:w="1959" w:type="dxa"/>
                  <w:tcBorders>
                    <w:tl2br w:val="nil"/>
                    <w:tr2bl w:val="nil"/>
                  </w:tcBorders>
                  <w:vAlign w:val="center"/>
                </w:tcPr>
                <w:p w14:paraId="285265A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87.00</w:t>
                  </w:r>
                </w:p>
              </w:tc>
            </w:tr>
            <w:tr w14:paraId="509F24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650" w:type="dxa"/>
                  <w:vMerge w:val="continue"/>
                  <w:tcBorders>
                    <w:tl2br w:val="nil"/>
                    <w:tr2bl w:val="nil"/>
                  </w:tcBorders>
                  <w:vAlign w:val="center"/>
                </w:tcPr>
                <w:p w14:paraId="07563D86">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0EC3FFB0">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1CF113C3">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基底改善</w:t>
                  </w:r>
                </w:p>
              </w:tc>
              <w:tc>
                <w:tcPr>
                  <w:tcW w:w="1959" w:type="dxa"/>
                  <w:tcBorders>
                    <w:tl2br w:val="nil"/>
                    <w:tr2bl w:val="nil"/>
                  </w:tcBorders>
                  <w:vAlign w:val="center"/>
                </w:tcPr>
                <w:p w14:paraId="1B7C9E6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w:t>
                  </w:r>
                </w:p>
              </w:tc>
            </w:tr>
            <w:tr w14:paraId="38444E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650" w:type="dxa"/>
                  <w:vMerge w:val="continue"/>
                  <w:tcBorders>
                    <w:tl2br w:val="nil"/>
                    <w:tr2bl w:val="nil"/>
                  </w:tcBorders>
                  <w:vAlign w:val="center"/>
                </w:tcPr>
                <w:p w14:paraId="36F3A1FC">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tcBorders>
                    <w:tl2br w:val="nil"/>
                    <w:tr2bl w:val="nil"/>
                  </w:tcBorders>
                  <w:vAlign w:val="center"/>
                </w:tcPr>
                <w:p w14:paraId="3562D48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排洪渠</w:t>
                  </w:r>
                </w:p>
              </w:tc>
              <w:tc>
                <w:tcPr>
                  <w:tcW w:w="3763" w:type="dxa"/>
                  <w:tcBorders>
                    <w:tl2br w:val="nil"/>
                    <w:tr2bl w:val="nil"/>
                  </w:tcBorders>
                  <w:vAlign w:val="center"/>
                </w:tcPr>
                <w:p w14:paraId="1E5399F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浆砌石护岸</w:t>
                  </w:r>
                </w:p>
              </w:tc>
              <w:tc>
                <w:tcPr>
                  <w:tcW w:w="1959" w:type="dxa"/>
                  <w:tcBorders>
                    <w:tl2br w:val="nil"/>
                    <w:tr2bl w:val="nil"/>
                  </w:tcBorders>
                  <w:vAlign w:val="center"/>
                </w:tcPr>
                <w:p w14:paraId="04B175C2">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79.25</w:t>
                  </w:r>
                </w:p>
              </w:tc>
            </w:tr>
            <w:tr w14:paraId="510C82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650" w:type="dxa"/>
                  <w:vMerge w:val="continue"/>
                  <w:tcBorders>
                    <w:tl2br w:val="nil"/>
                    <w:tr2bl w:val="nil"/>
                  </w:tcBorders>
                  <w:vAlign w:val="center"/>
                </w:tcPr>
                <w:p w14:paraId="1ABD7CA4">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restart"/>
                  <w:tcBorders>
                    <w:tl2br w:val="nil"/>
                    <w:tr2bl w:val="nil"/>
                  </w:tcBorders>
                  <w:vAlign w:val="center"/>
                </w:tcPr>
                <w:p w14:paraId="7D807DFF">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w:t>
                  </w:r>
                </w:p>
              </w:tc>
              <w:tc>
                <w:tcPr>
                  <w:tcW w:w="3763" w:type="dxa"/>
                  <w:tcBorders>
                    <w:tl2br w:val="nil"/>
                    <w:tr2bl w:val="nil"/>
                  </w:tcBorders>
                  <w:vAlign w:val="center"/>
                </w:tcPr>
                <w:p w14:paraId="21B7572D">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土方开挖采用湿法作业；及时洒水抑尘、运输车辆苫布覆盖、车辆驶离前用水冲洗轮胎不得带泥上路等</w:t>
                  </w:r>
                </w:p>
              </w:tc>
              <w:tc>
                <w:tcPr>
                  <w:tcW w:w="1959" w:type="dxa"/>
                  <w:vMerge w:val="restart"/>
                  <w:tcBorders>
                    <w:tl2br w:val="nil"/>
                    <w:tr2bl w:val="nil"/>
                  </w:tcBorders>
                  <w:vAlign w:val="center"/>
                </w:tcPr>
                <w:p w14:paraId="590A71C6">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w:t>
                  </w:r>
                </w:p>
              </w:tc>
            </w:tr>
            <w:tr w14:paraId="5EB917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650" w:type="dxa"/>
                  <w:vMerge w:val="continue"/>
                  <w:tcBorders>
                    <w:tl2br w:val="nil"/>
                    <w:tr2bl w:val="nil"/>
                  </w:tcBorders>
                  <w:vAlign w:val="center"/>
                </w:tcPr>
                <w:p w14:paraId="26F3BF4F">
                  <w:pPr>
                    <w:widowControl w:val="0"/>
                    <w:spacing w:line="240" w:lineRule="auto"/>
                    <w:ind w:left="0" w:leftChars="0" w:right="0" w:rightChars="0" w:firstLine="0" w:firstLineChars="0"/>
                    <w:jc w:val="center"/>
                    <w:rPr>
                      <w:color w:val="auto"/>
                    </w:rPr>
                  </w:pPr>
                </w:p>
              </w:tc>
              <w:tc>
                <w:tcPr>
                  <w:tcW w:w="1487" w:type="dxa"/>
                  <w:vMerge w:val="continue"/>
                  <w:tcBorders>
                    <w:tl2br w:val="nil"/>
                    <w:tr2bl w:val="nil"/>
                  </w:tcBorders>
                  <w:vAlign w:val="center"/>
                </w:tcPr>
                <w:p w14:paraId="75DB0AAE">
                  <w:pPr>
                    <w:widowControl w:val="0"/>
                    <w:spacing w:line="240" w:lineRule="auto"/>
                    <w:ind w:left="0" w:leftChars="0" w:right="0" w:rightChars="0" w:firstLine="0" w:firstLineChars="0"/>
                    <w:jc w:val="center"/>
                    <w:rPr>
                      <w:color w:val="auto"/>
                    </w:rPr>
                  </w:pPr>
                </w:p>
              </w:tc>
              <w:tc>
                <w:tcPr>
                  <w:tcW w:w="3763" w:type="dxa"/>
                  <w:tcBorders>
                    <w:tl2br w:val="nil"/>
                    <w:tr2bl w:val="nil"/>
                  </w:tcBorders>
                  <w:vAlign w:val="center"/>
                </w:tcPr>
                <w:p w14:paraId="3831256B">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基底改善清淤喷洒微生物抑制剂（除臭剂）</w:t>
                  </w:r>
                </w:p>
              </w:tc>
              <w:tc>
                <w:tcPr>
                  <w:tcW w:w="1959" w:type="dxa"/>
                  <w:vMerge w:val="continue"/>
                  <w:tcBorders>
                    <w:tl2br w:val="nil"/>
                    <w:tr2bl w:val="nil"/>
                  </w:tcBorders>
                  <w:vAlign w:val="center"/>
                </w:tcPr>
                <w:p w14:paraId="768FDB2D">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r>
            <w:tr w14:paraId="3DA71F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650" w:type="dxa"/>
                  <w:vMerge w:val="continue"/>
                  <w:tcBorders>
                    <w:tl2br w:val="nil"/>
                    <w:tr2bl w:val="nil"/>
                  </w:tcBorders>
                  <w:vAlign w:val="center"/>
                </w:tcPr>
                <w:p w14:paraId="76C30BD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tcBorders>
                    <w:tl2br w:val="nil"/>
                    <w:tr2bl w:val="nil"/>
                  </w:tcBorders>
                  <w:vAlign w:val="center"/>
                </w:tcPr>
                <w:p w14:paraId="34104DA1">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水环境</w:t>
                  </w:r>
                </w:p>
              </w:tc>
              <w:tc>
                <w:tcPr>
                  <w:tcW w:w="3763" w:type="dxa"/>
                  <w:tcBorders>
                    <w:tl2br w:val="nil"/>
                    <w:tr2bl w:val="nil"/>
                  </w:tcBorders>
                  <w:vAlign w:val="center"/>
                </w:tcPr>
                <w:p w14:paraId="76F1317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施工营地设3座简易沉淀池，废水沉淀后用于洒水抑尘</w:t>
                  </w:r>
                </w:p>
              </w:tc>
              <w:tc>
                <w:tcPr>
                  <w:tcW w:w="1959" w:type="dxa"/>
                  <w:tcBorders>
                    <w:tl2br w:val="nil"/>
                    <w:tr2bl w:val="nil"/>
                  </w:tcBorders>
                  <w:vAlign w:val="center"/>
                </w:tcPr>
                <w:p w14:paraId="64D084C8">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w:t>
                  </w:r>
                </w:p>
              </w:tc>
            </w:tr>
            <w:tr w14:paraId="493974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6" w:hRule="atLeast"/>
                <w:jc w:val="center"/>
              </w:trPr>
              <w:tc>
                <w:tcPr>
                  <w:tcW w:w="650" w:type="dxa"/>
                  <w:vMerge w:val="continue"/>
                  <w:tcBorders>
                    <w:tl2br w:val="nil"/>
                    <w:tr2bl w:val="nil"/>
                  </w:tcBorders>
                  <w:vAlign w:val="center"/>
                </w:tcPr>
                <w:p w14:paraId="3B63EE73">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1487" w:type="dxa"/>
                  <w:vMerge w:val="restart"/>
                  <w:tcBorders>
                    <w:tl2br w:val="nil"/>
                    <w:tr2bl w:val="nil"/>
                  </w:tcBorders>
                  <w:vAlign w:val="center"/>
                </w:tcPr>
                <w:p w14:paraId="3FCBEDA9">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声环境</w:t>
                  </w:r>
                </w:p>
              </w:tc>
              <w:tc>
                <w:tcPr>
                  <w:tcW w:w="3763" w:type="dxa"/>
                  <w:tcBorders>
                    <w:tl2br w:val="nil"/>
                    <w:tr2bl w:val="nil"/>
                  </w:tcBorders>
                  <w:vAlign w:val="center"/>
                </w:tcPr>
                <w:p w14:paraId="6A3E1072">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合理安排施工时间、选用低噪声设备、减速慢行、禁止鸣笛、设备定期养护</w:t>
                  </w:r>
                </w:p>
              </w:tc>
              <w:tc>
                <w:tcPr>
                  <w:tcW w:w="1959" w:type="dxa"/>
                  <w:vMerge w:val="restart"/>
                  <w:tcBorders>
                    <w:tl2br w:val="nil"/>
                    <w:tr2bl w:val="nil"/>
                  </w:tcBorders>
                  <w:vAlign w:val="center"/>
                </w:tcPr>
                <w:p w14:paraId="413F5DFF">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w:t>
                  </w:r>
                </w:p>
              </w:tc>
            </w:tr>
            <w:tr w14:paraId="58982F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6" w:hRule="atLeast"/>
                <w:jc w:val="center"/>
              </w:trPr>
              <w:tc>
                <w:tcPr>
                  <w:tcW w:w="650" w:type="dxa"/>
                  <w:vMerge w:val="continue"/>
                  <w:tcBorders>
                    <w:tl2br w:val="nil"/>
                    <w:tr2bl w:val="nil"/>
                  </w:tcBorders>
                  <w:vAlign w:val="center"/>
                </w:tcPr>
                <w:p w14:paraId="5A9BB4B5">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0A8DE631">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7C87A0A4">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羊槽河（羊槽村段）、生态沟渠（红土村）、生态沟渠（向阳村边沟）、排洪渠（沙塘川段）、排洪渠（沿川子段）周边25m范围内有声环境保护目标处禁止夜间施工作业，并且在施工场地边界靠近声环境保护目标一侧设置围挡，以及各声环境保护目标张贴公告等措施</w:t>
                  </w:r>
                </w:p>
              </w:tc>
              <w:tc>
                <w:tcPr>
                  <w:tcW w:w="1959" w:type="dxa"/>
                  <w:vMerge w:val="continue"/>
                  <w:tcBorders>
                    <w:tl2br w:val="nil"/>
                    <w:tr2bl w:val="nil"/>
                  </w:tcBorders>
                  <w:vAlign w:val="center"/>
                </w:tcPr>
                <w:p w14:paraId="3459CA82">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r>
            <w:tr w14:paraId="3E7121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650" w:type="dxa"/>
                  <w:vMerge w:val="continue"/>
                  <w:tcBorders>
                    <w:tl2br w:val="nil"/>
                    <w:tr2bl w:val="nil"/>
                  </w:tcBorders>
                  <w:vAlign w:val="center"/>
                </w:tcPr>
                <w:p w14:paraId="4FC2308A">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1487" w:type="dxa"/>
                  <w:vMerge w:val="restart"/>
                  <w:tcBorders>
                    <w:tl2br w:val="nil"/>
                    <w:tr2bl w:val="nil"/>
                  </w:tcBorders>
                  <w:vAlign w:val="center"/>
                </w:tcPr>
                <w:p w14:paraId="7DB4D4E4">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3763" w:type="dxa"/>
                  <w:tcBorders>
                    <w:tl2br w:val="nil"/>
                    <w:tr2bl w:val="nil"/>
                  </w:tcBorders>
                  <w:vAlign w:val="center"/>
                </w:tcPr>
                <w:p w14:paraId="22E1BD5D">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生活垃圾定期集中收集外运至附近的生活垃圾收集点，交由环卫部门处置</w:t>
                  </w:r>
                </w:p>
              </w:tc>
              <w:tc>
                <w:tcPr>
                  <w:tcW w:w="1959" w:type="dxa"/>
                  <w:vMerge w:val="restart"/>
                  <w:tcBorders>
                    <w:tl2br w:val="nil"/>
                    <w:tr2bl w:val="nil"/>
                  </w:tcBorders>
                  <w:vAlign w:val="center"/>
                </w:tcPr>
                <w:p w14:paraId="7AE9F439">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w:t>
                  </w:r>
                </w:p>
              </w:tc>
            </w:tr>
            <w:tr w14:paraId="66C4F7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650" w:type="dxa"/>
                  <w:vMerge w:val="continue"/>
                  <w:tcBorders>
                    <w:tl2br w:val="nil"/>
                    <w:tr2bl w:val="nil"/>
                  </w:tcBorders>
                  <w:vAlign w:val="center"/>
                </w:tcPr>
                <w:p w14:paraId="7627540D">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5FCB8F0E">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34907484">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建筑垃圾：拆除废物、建筑垃圾定期运至环卫部门指定的建筑垃圾填埋场进行处置</w:t>
                  </w:r>
                </w:p>
              </w:tc>
              <w:tc>
                <w:tcPr>
                  <w:tcW w:w="1959" w:type="dxa"/>
                  <w:vMerge w:val="continue"/>
                  <w:tcBorders>
                    <w:tl2br w:val="nil"/>
                    <w:tr2bl w:val="nil"/>
                  </w:tcBorders>
                  <w:vAlign w:val="center"/>
                </w:tcPr>
                <w:p w14:paraId="010A3676">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r>
            <w:tr w14:paraId="5ABBE2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650" w:type="dxa"/>
                  <w:vMerge w:val="continue"/>
                  <w:tcBorders>
                    <w:tl2br w:val="nil"/>
                    <w:tr2bl w:val="nil"/>
                  </w:tcBorders>
                  <w:vAlign w:val="center"/>
                </w:tcPr>
                <w:p w14:paraId="20E5DF60">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1487" w:type="dxa"/>
                  <w:vMerge w:val="continue"/>
                  <w:tcBorders>
                    <w:tl2br w:val="nil"/>
                    <w:tr2bl w:val="nil"/>
                  </w:tcBorders>
                  <w:vAlign w:val="center"/>
                </w:tcPr>
                <w:p w14:paraId="3D9E5051">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3763" w:type="dxa"/>
                  <w:tcBorders>
                    <w:tl2br w:val="nil"/>
                    <w:tr2bl w:val="nil"/>
                  </w:tcBorders>
                  <w:vAlign w:val="center"/>
                </w:tcPr>
                <w:p w14:paraId="6037A787">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多余土方和沟道淤泥：多余土方主要用于护岸堤身填筑；淤泥干化后，直接由运输车辆送至本项目河道生境构建工程（用于植被恢复）、生态步道工程（绿化工程用于种植土补充和场地平整）等综合利用。</w:t>
                  </w:r>
                </w:p>
              </w:tc>
              <w:tc>
                <w:tcPr>
                  <w:tcW w:w="1959" w:type="dxa"/>
                  <w:vMerge w:val="continue"/>
                  <w:tcBorders>
                    <w:tl2br w:val="nil"/>
                    <w:tr2bl w:val="nil"/>
                  </w:tcBorders>
                  <w:vAlign w:val="center"/>
                </w:tcPr>
                <w:p w14:paraId="47DB2C22">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r>
            <w:tr w14:paraId="7DE4E5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650" w:type="dxa"/>
                  <w:vMerge w:val="restart"/>
                  <w:tcBorders>
                    <w:tl2br w:val="nil"/>
                    <w:tr2bl w:val="nil"/>
                  </w:tcBorders>
                  <w:vAlign w:val="center"/>
                </w:tcPr>
                <w:p w14:paraId="278FC6A0">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p>
              </w:tc>
              <w:tc>
                <w:tcPr>
                  <w:tcW w:w="1487" w:type="dxa"/>
                  <w:tcBorders>
                    <w:tl2br w:val="nil"/>
                    <w:tr2bl w:val="nil"/>
                  </w:tcBorders>
                  <w:vAlign w:val="center"/>
                </w:tcPr>
                <w:p w14:paraId="7A3039A9">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植被恢复</w:t>
                  </w:r>
                </w:p>
              </w:tc>
              <w:tc>
                <w:tcPr>
                  <w:tcW w:w="3763" w:type="dxa"/>
                  <w:tcBorders>
                    <w:tl2br w:val="nil"/>
                    <w:tr2bl w:val="nil"/>
                  </w:tcBorders>
                  <w:vAlign w:val="center"/>
                </w:tcPr>
                <w:p w14:paraId="5F225DFE">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采用撒播草籽的方式进行绿化，及时对未成活植被进行补种</w:t>
                  </w:r>
                </w:p>
              </w:tc>
              <w:tc>
                <w:tcPr>
                  <w:tcW w:w="1959" w:type="dxa"/>
                  <w:tcBorders>
                    <w:tl2br w:val="nil"/>
                    <w:tr2bl w:val="nil"/>
                  </w:tcBorders>
                  <w:vAlign w:val="center"/>
                </w:tcPr>
                <w:p w14:paraId="48741AEE">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r w14:paraId="273CEF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650" w:type="dxa"/>
                  <w:vMerge w:val="continue"/>
                  <w:tcBorders>
                    <w:tl2br w:val="nil"/>
                    <w:tr2bl w:val="nil"/>
                  </w:tcBorders>
                  <w:vAlign w:val="center"/>
                </w:tcPr>
                <w:p w14:paraId="567410A0">
                  <w:pPr>
                    <w:widowControl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p>
              </w:tc>
              <w:tc>
                <w:tcPr>
                  <w:tcW w:w="1487" w:type="dxa"/>
                  <w:tcBorders>
                    <w:tl2br w:val="nil"/>
                    <w:tr2bl w:val="nil"/>
                  </w:tcBorders>
                  <w:vAlign w:val="center"/>
                </w:tcPr>
                <w:p w14:paraId="5AC17E1E">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环境管理监测</w:t>
                  </w:r>
                </w:p>
              </w:tc>
              <w:tc>
                <w:tcPr>
                  <w:tcW w:w="3763" w:type="dxa"/>
                  <w:tcBorders>
                    <w:tl2br w:val="nil"/>
                    <w:tr2bl w:val="nil"/>
                  </w:tcBorders>
                  <w:vAlign w:val="center"/>
                </w:tcPr>
                <w:p w14:paraId="3FA66250">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环境管理及监测</w:t>
                  </w:r>
                </w:p>
              </w:tc>
              <w:tc>
                <w:tcPr>
                  <w:tcW w:w="1959" w:type="dxa"/>
                  <w:tcBorders>
                    <w:tl2br w:val="nil"/>
                    <w:tr2bl w:val="nil"/>
                  </w:tcBorders>
                  <w:vAlign w:val="center"/>
                </w:tcPr>
                <w:p w14:paraId="130FB7BD">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r>
            <w:tr w14:paraId="281A3C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0" w:hRule="atLeast"/>
                <w:jc w:val="center"/>
              </w:trPr>
              <w:tc>
                <w:tcPr>
                  <w:tcW w:w="5900" w:type="dxa"/>
                  <w:gridSpan w:val="3"/>
                  <w:tcBorders>
                    <w:tl2br w:val="nil"/>
                    <w:tr2bl w:val="nil"/>
                  </w:tcBorders>
                  <w:vAlign w:val="center"/>
                </w:tcPr>
                <w:p w14:paraId="787E49CA">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1959" w:type="dxa"/>
                  <w:tcBorders>
                    <w:tl2br w:val="nil"/>
                    <w:tr2bl w:val="nil"/>
                  </w:tcBorders>
                  <w:vAlign w:val="center"/>
                </w:tcPr>
                <w:p w14:paraId="4CE6922B">
                  <w:pPr>
                    <w:widowControl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335.25</w:t>
                  </w:r>
                </w:p>
              </w:tc>
            </w:tr>
          </w:tbl>
          <w:p w14:paraId="77B596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6BA279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FDECC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7A1B55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7D941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6F873B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4A482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798840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5CECE1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EF48B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611150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4C802D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5BC188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F883E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906B3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12FFD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68DDE4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E610F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4B85DE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9AA7D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DC865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75A8D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71D1C0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2A582E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5BDD33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56E709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2C10D0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40FD0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2A46A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3D9F05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7EA75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48F5F6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93960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2C653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1F5834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3FC1B6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4ED029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6EB790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2127D3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5DC671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B89FC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4112FC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p w14:paraId="0CA358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snapToGrid w:val="0"/>
                <w:color w:val="auto"/>
                <w:spacing w:val="6"/>
                <w:kern w:val="0"/>
                <w:sz w:val="21"/>
                <w:szCs w:val="21"/>
                <w:lang w:val="en-US" w:eastAsia="zh-CN" w:bidi="ar-SA"/>
              </w:rPr>
            </w:pPr>
          </w:p>
        </w:tc>
      </w:tr>
    </w:tbl>
    <w:p w14:paraId="2FADAAB7">
      <w:pPr>
        <w:rPr>
          <w:color w:val="auto"/>
        </w:rPr>
        <w:sectPr>
          <w:footerReference r:id="rId9" w:type="default"/>
          <w:pgSz w:w="11907" w:h="16840"/>
          <w:pgMar w:top="1440" w:right="1803" w:bottom="1440" w:left="1803" w:header="0" w:footer="1181" w:gutter="0"/>
          <w:pgBorders>
            <w:top w:val="none" w:sz="0" w:space="0"/>
            <w:left w:val="none" w:sz="0" w:space="0"/>
            <w:bottom w:val="none" w:sz="0" w:space="0"/>
            <w:right w:val="none" w:sz="0" w:space="0"/>
          </w:pgBorders>
          <w:pgNumType w:fmt="decimal"/>
          <w:cols w:space="720" w:num="1"/>
        </w:sectPr>
      </w:pPr>
    </w:p>
    <w:p w14:paraId="0F6C24BD">
      <w:pPr>
        <w:spacing w:before="98" w:line="211" w:lineRule="auto"/>
        <w:ind w:left="0" w:leftChars="0" w:right="0" w:rightChars="0" w:firstLine="0" w:firstLineChars="0"/>
        <w:jc w:val="center"/>
        <w:outlineLvl w:val="0"/>
        <w:rPr>
          <w:rFonts w:ascii="黑体" w:hAnsi="黑体" w:eastAsia="黑体" w:cs="黑体"/>
          <w:color w:val="auto"/>
          <w:sz w:val="30"/>
          <w:szCs w:val="30"/>
        </w:rPr>
      </w:pPr>
      <w:r>
        <w:rPr>
          <w:rFonts w:ascii="黑体" w:hAnsi="黑体" w:eastAsia="黑体" w:cs="黑体"/>
          <w:b/>
          <w:bCs/>
          <w:color w:val="auto"/>
          <w:spacing w:val="-4"/>
          <w:sz w:val="30"/>
          <w:szCs w:val="30"/>
        </w:rPr>
        <w:t>六、生态环境保护措施监督检查清单</w:t>
      </w:r>
    </w:p>
    <w:tbl>
      <w:tblPr>
        <w:tblStyle w:val="18"/>
        <w:tblW w:w="133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8"/>
        <w:gridCol w:w="6048"/>
        <w:gridCol w:w="2880"/>
        <w:gridCol w:w="1455"/>
        <w:gridCol w:w="988"/>
      </w:tblGrid>
      <w:tr w14:paraId="2AC4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968" w:type="dxa"/>
            <w:vMerge w:val="restart"/>
            <w:tcBorders>
              <w:top w:val="single" w:color="000000" w:sz="10" w:space="0"/>
              <w:left w:val="single" w:color="000000" w:sz="10" w:space="0"/>
              <w:bottom w:val="nil"/>
              <w:tl2br w:val="single" w:color="000000" w:sz="4" w:space="0"/>
            </w:tcBorders>
            <w:vAlign w:val="center"/>
          </w:tcPr>
          <w:p w14:paraId="477E55C1">
            <w:pPr>
              <w:spacing w:line="284" w:lineRule="auto"/>
              <w:ind w:left="0" w:leftChars="0" w:right="0" w:rightChars="0" w:firstLine="0" w:firstLineChars="0"/>
              <w:jc w:val="center"/>
              <w:rPr>
                <w:rFonts w:hint="default" w:ascii="Times New Roman" w:hAnsi="Times New Roman" w:eastAsia="宋体" w:cs="Times New Roman"/>
                <w:color w:val="auto"/>
                <w:sz w:val="24"/>
                <w:szCs w:val="24"/>
                <w:highlight w:val="none"/>
              </w:rPr>
            </w:pPr>
          </w:p>
          <w:p w14:paraId="71109196">
            <w:pPr>
              <w:spacing w:line="285" w:lineRule="auto"/>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pacing w:val="-22"/>
                <w:sz w:val="24"/>
                <w:szCs w:val="24"/>
                <w:highlight w:val="none"/>
                <w:lang w:val="en-US" w:eastAsia="zh-CN"/>
              </w:rPr>
              <w:t xml:space="preserve">         </w:t>
            </w:r>
            <w:r>
              <w:rPr>
                <w:rFonts w:hint="default" w:ascii="Times New Roman" w:hAnsi="Times New Roman" w:eastAsia="宋体" w:cs="Times New Roman"/>
                <w:b/>
                <w:bCs/>
                <w:color w:val="auto"/>
                <w:spacing w:val="-22"/>
                <w:sz w:val="24"/>
                <w:szCs w:val="24"/>
                <w:highlight w:val="none"/>
              </w:rPr>
              <w:t>内容</w:t>
            </w:r>
          </w:p>
          <w:p w14:paraId="2CEE9A07">
            <w:pPr>
              <w:pStyle w:val="19"/>
              <w:spacing w:before="78" w:line="219" w:lineRule="auto"/>
              <w:ind w:left="0" w:leftChars="0" w:right="0" w:rightChars="0" w:firstLine="0" w:firstLineChars="0"/>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2"/>
                <w:sz w:val="24"/>
                <w:szCs w:val="24"/>
                <w:highlight w:val="none"/>
                <w:lang w:val="en-US" w:eastAsia="zh-CN"/>
              </w:rPr>
              <w:t xml:space="preserve">             </w:t>
            </w:r>
          </w:p>
          <w:p w14:paraId="3FD33E37">
            <w:pPr>
              <w:pStyle w:val="19"/>
              <w:spacing w:before="183" w:line="219" w:lineRule="auto"/>
              <w:ind w:right="0" w:rightChars="0" w:firstLine="450" w:firstLineChars="200"/>
              <w:jc w:val="both"/>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8"/>
                <w:sz w:val="24"/>
                <w:szCs w:val="24"/>
                <w:highlight w:val="none"/>
              </w:rPr>
              <w:t>要素</w:t>
            </w:r>
          </w:p>
        </w:tc>
        <w:tc>
          <w:tcPr>
            <w:tcW w:w="8928" w:type="dxa"/>
            <w:gridSpan w:val="2"/>
            <w:tcBorders>
              <w:top w:val="single" w:color="000000" w:sz="10" w:space="0"/>
            </w:tcBorders>
            <w:vAlign w:val="center"/>
          </w:tcPr>
          <w:p w14:paraId="50378AAE">
            <w:pPr>
              <w:pStyle w:val="19"/>
              <w:spacing w:before="112" w:line="220" w:lineRule="auto"/>
              <w:ind w:left="0" w:leftChars="0" w:right="0" w:rightChars="0" w:firstLine="0" w:firstLineChars="0"/>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5"/>
                <w:sz w:val="24"/>
                <w:szCs w:val="24"/>
                <w:highlight w:val="none"/>
              </w:rPr>
              <w:t>施工期</w:t>
            </w:r>
          </w:p>
        </w:tc>
        <w:tc>
          <w:tcPr>
            <w:tcW w:w="2443" w:type="dxa"/>
            <w:gridSpan w:val="2"/>
            <w:tcBorders>
              <w:top w:val="single" w:color="000000" w:sz="10" w:space="0"/>
              <w:right w:val="single" w:color="000000" w:sz="10" w:space="0"/>
            </w:tcBorders>
            <w:vAlign w:val="center"/>
          </w:tcPr>
          <w:p w14:paraId="7C6F482D">
            <w:pPr>
              <w:pStyle w:val="19"/>
              <w:spacing w:before="112" w:line="220" w:lineRule="auto"/>
              <w:ind w:left="0" w:leftChars="0" w:right="0" w:rightChars="0" w:firstLine="0" w:firstLineChars="0"/>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5"/>
                <w:sz w:val="24"/>
                <w:szCs w:val="24"/>
                <w:highlight w:val="none"/>
              </w:rPr>
              <w:t>运营期</w:t>
            </w:r>
          </w:p>
        </w:tc>
      </w:tr>
      <w:tr w14:paraId="6876F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jc w:val="center"/>
        </w:trPr>
        <w:tc>
          <w:tcPr>
            <w:tcW w:w="1968" w:type="dxa"/>
            <w:vMerge w:val="continue"/>
            <w:tcBorders>
              <w:top w:val="nil"/>
              <w:left w:val="single" w:color="000000" w:sz="10" w:space="0"/>
              <w:tl2br w:val="single" w:color="000000" w:sz="4" w:space="0"/>
            </w:tcBorders>
            <w:vAlign w:val="center"/>
          </w:tcPr>
          <w:p w14:paraId="1C2009C4">
            <w:pPr>
              <w:ind w:left="0" w:leftChars="0" w:right="0" w:rightChars="0" w:firstLine="0" w:firstLineChars="0"/>
              <w:jc w:val="center"/>
              <w:rPr>
                <w:rFonts w:hint="default" w:ascii="Times New Roman" w:hAnsi="Times New Roman" w:eastAsia="宋体" w:cs="Times New Roman"/>
                <w:color w:val="auto"/>
                <w:sz w:val="24"/>
                <w:szCs w:val="24"/>
                <w:highlight w:val="none"/>
              </w:rPr>
            </w:pPr>
          </w:p>
        </w:tc>
        <w:tc>
          <w:tcPr>
            <w:tcW w:w="6048" w:type="dxa"/>
            <w:vAlign w:val="center"/>
          </w:tcPr>
          <w:p w14:paraId="63409962">
            <w:pPr>
              <w:pStyle w:val="19"/>
              <w:spacing w:before="78" w:line="220" w:lineRule="auto"/>
              <w:ind w:left="0" w:leftChars="0" w:right="0" w:rightChars="0" w:firstLine="0" w:firstLineChars="0"/>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环境保护措施</w:t>
            </w:r>
          </w:p>
        </w:tc>
        <w:tc>
          <w:tcPr>
            <w:tcW w:w="2880" w:type="dxa"/>
            <w:vAlign w:val="center"/>
          </w:tcPr>
          <w:p w14:paraId="20D5473D">
            <w:pPr>
              <w:pStyle w:val="19"/>
              <w:spacing w:before="78" w:line="219" w:lineRule="auto"/>
              <w:ind w:left="0" w:leftChars="0" w:right="0" w:rightChars="0" w:firstLine="0" w:firstLineChars="0"/>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5"/>
                <w:sz w:val="24"/>
                <w:szCs w:val="24"/>
                <w:highlight w:val="none"/>
              </w:rPr>
              <w:t>验收要求</w:t>
            </w:r>
          </w:p>
        </w:tc>
        <w:tc>
          <w:tcPr>
            <w:tcW w:w="1455" w:type="dxa"/>
            <w:vAlign w:val="center"/>
          </w:tcPr>
          <w:p w14:paraId="1BA4C2DE">
            <w:pPr>
              <w:pStyle w:val="19"/>
              <w:spacing w:before="265" w:line="231" w:lineRule="auto"/>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环境保护措</w:t>
            </w:r>
            <w:r>
              <w:rPr>
                <w:rFonts w:hint="default" w:ascii="Times New Roman" w:hAnsi="Times New Roman" w:eastAsia="宋体" w:cs="Times New Roman"/>
                <w:b/>
                <w:bCs/>
                <w:color w:val="auto"/>
                <w:spacing w:val="-3"/>
                <w:sz w:val="24"/>
                <w:szCs w:val="24"/>
                <w:highlight w:val="none"/>
              </w:rPr>
              <w:t>施</w:t>
            </w:r>
          </w:p>
        </w:tc>
        <w:tc>
          <w:tcPr>
            <w:tcW w:w="988" w:type="dxa"/>
            <w:tcBorders>
              <w:right w:val="single" w:color="000000" w:sz="10" w:space="0"/>
            </w:tcBorders>
            <w:vAlign w:val="center"/>
          </w:tcPr>
          <w:p w14:paraId="3DF49652">
            <w:pPr>
              <w:pStyle w:val="19"/>
              <w:spacing w:before="266" w:line="230" w:lineRule="auto"/>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rPr>
              <w:t>验收</w:t>
            </w:r>
            <w:r>
              <w:rPr>
                <w:rFonts w:hint="default" w:ascii="Times New Roman" w:hAnsi="Times New Roman" w:eastAsia="宋体" w:cs="Times New Roman"/>
                <w:b/>
                <w:bCs/>
                <w:color w:val="auto"/>
                <w:spacing w:val="-8"/>
                <w:sz w:val="24"/>
                <w:szCs w:val="24"/>
                <w:highlight w:val="none"/>
              </w:rPr>
              <w:t>要求</w:t>
            </w:r>
          </w:p>
        </w:tc>
      </w:tr>
      <w:tr w14:paraId="6166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5" w:hRule="atLeast"/>
          <w:jc w:val="center"/>
        </w:trPr>
        <w:tc>
          <w:tcPr>
            <w:tcW w:w="1968" w:type="dxa"/>
            <w:tcBorders>
              <w:left w:val="single" w:color="000000" w:sz="10" w:space="0"/>
            </w:tcBorders>
            <w:vAlign w:val="center"/>
          </w:tcPr>
          <w:p w14:paraId="51522033">
            <w:pPr>
              <w:pStyle w:val="19"/>
              <w:spacing w:before="78" w:line="222" w:lineRule="auto"/>
              <w:ind w:left="0" w:leftChars="0" w:right="0" w:rightChars="0"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陆生生态</w:t>
            </w:r>
          </w:p>
        </w:tc>
        <w:tc>
          <w:tcPr>
            <w:tcW w:w="6048" w:type="dxa"/>
            <w:vAlign w:val="center"/>
          </w:tcPr>
          <w:p w14:paraId="1BF8CEE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为维持项目区域内</w:t>
            </w:r>
            <w:r>
              <w:rPr>
                <w:rFonts w:hint="default" w:ascii="Times New Roman" w:hAnsi="Times New Roman" w:eastAsia="宋体" w:cs="Times New Roman"/>
                <w:color w:val="auto"/>
                <w:sz w:val="24"/>
                <w:szCs w:val="24"/>
                <w:highlight w:val="none"/>
                <w:lang w:val="en-US" w:eastAsia="zh-CN"/>
              </w:rPr>
              <w:t>陆域</w:t>
            </w:r>
            <w:r>
              <w:rPr>
                <w:rFonts w:hint="default" w:ascii="Times New Roman" w:hAnsi="Times New Roman" w:eastAsia="宋体" w:cs="Times New Roman"/>
                <w:color w:val="auto"/>
                <w:sz w:val="24"/>
                <w:szCs w:val="24"/>
                <w:highlight w:val="none"/>
              </w:rPr>
              <w:t>生态平衡，保护工程区内的生物多样性，在施工中，为消减施工队伍对植被和土壤的影响，应划定标明施工区域，减少在非施工区域的活动；临时占地及时清理场地，破坏的植被要及时恢复</w:t>
            </w:r>
            <w:r>
              <w:rPr>
                <w:rFonts w:hint="default" w:ascii="Times New Roman" w:hAnsi="Times New Roman" w:eastAsia="宋体" w:cs="Times New Roman"/>
                <w:color w:val="auto"/>
                <w:sz w:val="24"/>
                <w:szCs w:val="24"/>
                <w:highlight w:val="none"/>
                <w:lang w:eastAsia="zh-CN"/>
              </w:rPr>
              <w:t>。</w:t>
            </w:r>
          </w:p>
        </w:tc>
        <w:tc>
          <w:tcPr>
            <w:tcW w:w="2880" w:type="dxa"/>
            <w:vAlign w:val="center"/>
          </w:tcPr>
          <w:p w14:paraId="0C447AF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center"/>
              <w:textAlignment w:val="baseline"/>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z w:val="24"/>
                <w:szCs w:val="24"/>
                <w:highlight w:val="none"/>
                <w:lang w:val="en-US" w:eastAsia="zh-CN"/>
              </w:rPr>
              <w:t>各项生态环境保护措施落实到位，及时进行生态恢复。不改变原有土地利用性质，保持原有使用功能</w:t>
            </w:r>
          </w:p>
        </w:tc>
        <w:tc>
          <w:tcPr>
            <w:tcW w:w="1455" w:type="dxa"/>
            <w:vAlign w:val="center"/>
          </w:tcPr>
          <w:p w14:paraId="4353F074">
            <w:pPr>
              <w:pStyle w:val="19"/>
              <w:spacing w:before="78" w:line="222" w:lineRule="auto"/>
              <w:ind w:left="0" w:leftChars="0" w:right="0" w:rightChars="0" w:firstLine="0" w:firstLineChars="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lang w:val="en-US" w:eastAsia="zh-CN"/>
              </w:rPr>
              <w:t>采用撒播草籽的方式进行绿化，及时对未成活植被进行补种籽。</w:t>
            </w:r>
          </w:p>
        </w:tc>
        <w:tc>
          <w:tcPr>
            <w:tcW w:w="988" w:type="dxa"/>
            <w:tcBorders>
              <w:right w:val="single" w:color="000000" w:sz="10" w:space="0"/>
            </w:tcBorders>
            <w:vAlign w:val="center"/>
          </w:tcPr>
          <w:p w14:paraId="46688894">
            <w:pPr>
              <w:pStyle w:val="19"/>
              <w:spacing w:before="78" w:line="222" w:lineRule="auto"/>
              <w:ind w:left="0" w:leftChars="0" w:right="0" w:rightChars="0" w:firstLine="0" w:firstLineChars="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lang w:val="en-US" w:eastAsia="zh-CN"/>
              </w:rPr>
              <w:t>植被覆盖率明显提升。</w:t>
            </w:r>
          </w:p>
        </w:tc>
      </w:tr>
      <w:tr w14:paraId="5EAF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968" w:type="dxa"/>
            <w:tcBorders>
              <w:left w:val="single" w:color="000000" w:sz="10" w:space="0"/>
            </w:tcBorders>
            <w:vAlign w:val="center"/>
          </w:tcPr>
          <w:p w14:paraId="4F481311">
            <w:pPr>
              <w:pStyle w:val="19"/>
              <w:spacing w:before="47" w:line="219" w:lineRule="auto"/>
              <w:ind w:left="0" w:leftChars="0" w:right="0" w:rightChars="0" w:firstLine="0" w:firstLineChars="0"/>
              <w:jc w:val="center"/>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b/>
                <w:bCs/>
                <w:color w:val="auto"/>
                <w:spacing w:val="-4"/>
                <w:sz w:val="24"/>
                <w:szCs w:val="24"/>
                <w:highlight w:val="none"/>
              </w:rPr>
              <w:t>水生生态</w:t>
            </w:r>
          </w:p>
        </w:tc>
        <w:tc>
          <w:tcPr>
            <w:tcW w:w="6048" w:type="dxa"/>
            <w:vAlign w:val="center"/>
          </w:tcPr>
          <w:p w14:paraId="6C78F632">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项目通过水生境构建、基底改善等提高河（沟）道生境，完善河（沟）道自身生态环境；河道治理分段施工，严格控制施工范围，避免施工扰动产生悬浮物对下游水体水生态影响。</w:t>
            </w:r>
          </w:p>
        </w:tc>
        <w:tc>
          <w:tcPr>
            <w:tcW w:w="2880" w:type="dxa"/>
            <w:vAlign w:val="center"/>
          </w:tcPr>
          <w:p w14:paraId="6E2B360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各项生态环境保护措施落实到位，及时进行生态恢复。</w:t>
            </w:r>
          </w:p>
        </w:tc>
        <w:tc>
          <w:tcPr>
            <w:tcW w:w="1455" w:type="dxa"/>
            <w:vAlign w:val="center"/>
          </w:tcPr>
          <w:p w14:paraId="45C0A36E">
            <w:pPr>
              <w:pStyle w:val="19"/>
              <w:spacing w:before="159"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4"/>
                <w:sz w:val="24"/>
                <w:szCs w:val="24"/>
                <w:highlight w:val="none"/>
                <w:lang w:val="en-US" w:eastAsia="zh-CN"/>
              </w:rPr>
              <w:t>/</w:t>
            </w:r>
          </w:p>
        </w:tc>
        <w:tc>
          <w:tcPr>
            <w:tcW w:w="988" w:type="dxa"/>
            <w:tcBorders>
              <w:right w:val="single" w:color="000000" w:sz="10" w:space="0"/>
            </w:tcBorders>
            <w:vAlign w:val="center"/>
          </w:tcPr>
          <w:p w14:paraId="31A6A017">
            <w:pPr>
              <w:pStyle w:val="19"/>
              <w:spacing w:before="159"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position w:val="-4"/>
                <w:sz w:val="24"/>
                <w:szCs w:val="24"/>
                <w:highlight w:val="none"/>
                <w:lang w:val="en-US" w:eastAsia="zh-CN"/>
              </w:rPr>
              <w:t>/</w:t>
            </w:r>
          </w:p>
        </w:tc>
      </w:tr>
      <w:tr w14:paraId="01CFE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jc w:val="center"/>
        </w:trPr>
        <w:tc>
          <w:tcPr>
            <w:tcW w:w="1968" w:type="dxa"/>
            <w:tcBorders>
              <w:left w:val="single" w:color="000000" w:sz="10" w:space="0"/>
            </w:tcBorders>
            <w:vAlign w:val="center"/>
          </w:tcPr>
          <w:p w14:paraId="1801239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地表水环境</w:t>
            </w:r>
          </w:p>
        </w:tc>
        <w:tc>
          <w:tcPr>
            <w:tcW w:w="6048" w:type="dxa"/>
            <w:vAlign w:val="center"/>
          </w:tcPr>
          <w:p w14:paraId="0C93DFEC">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项目区不设置施工生活营地，施工生活营地依托周边村庄；项目治理段设置简易沉淀池，废水沉淀后用于洒水抑尘。</w:t>
            </w:r>
          </w:p>
        </w:tc>
        <w:tc>
          <w:tcPr>
            <w:tcW w:w="2880" w:type="dxa"/>
            <w:vAlign w:val="center"/>
          </w:tcPr>
          <w:p w14:paraId="7891B234">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19" w:firstLineChars="5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rPr>
              <w:t>废水综合利用，不外排</w:t>
            </w:r>
            <w:r>
              <w:rPr>
                <w:rFonts w:hint="default" w:ascii="Times New Roman" w:hAnsi="Times New Roman" w:eastAsia="宋体" w:cs="Times New Roman"/>
                <w:color w:val="auto"/>
                <w:spacing w:val="-1"/>
                <w:sz w:val="24"/>
                <w:szCs w:val="24"/>
                <w:highlight w:val="none"/>
                <w:lang w:eastAsia="zh-CN"/>
              </w:rPr>
              <w:t>。</w:t>
            </w:r>
          </w:p>
        </w:tc>
        <w:tc>
          <w:tcPr>
            <w:tcW w:w="1455" w:type="dxa"/>
            <w:vAlign w:val="center"/>
          </w:tcPr>
          <w:p w14:paraId="1ADC0F21">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c>
          <w:tcPr>
            <w:tcW w:w="988" w:type="dxa"/>
            <w:tcBorders>
              <w:right w:val="single" w:color="000000" w:sz="10" w:space="0"/>
            </w:tcBorders>
            <w:vAlign w:val="center"/>
          </w:tcPr>
          <w:p w14:paraId="61E914F3">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r>
      <w:tr w14:paraId="6B9F1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3" w:hRule="atLeast"/>
          <w:jc w:val="center"/>
        </w:trPr>
        <w:tc>
          <w:tcPr>
            <w:tcW w:w="1968" w:type="dxa"/>
            <w:tcBorders>
              <w:left w:val="single" w:color="000000" w:sz="10" w:space="0"/>
            </w:tcBorders>
            <w:vAlign w:val="center"/>
          </w:tcPr>
          <w:p w14:paraId="09D44EC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地下水及土壤环境</w:t>
            </w:r>
          </w:p>
        </w:tc>
        <w:tc>
          <w:tcPr>
            <w:tcW w:w="6048" w:type="dxa"/>
            <w:vAlign w:val="center"/>
          </w:tcPr>
          <w:p w14:paraId="3A3E206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加强“三废”管理，尤其是对施工废水以及固体废物的处理与处置的管理，提高其治理、回收和利用率，禁止排入地下水和土壤。</w:t>
            </w:r>
          </w:p>
        </w:tc>
        <w:tc>
          <w:tcPr>
            <w:tcW w:w="2880" w:type="dxa"/>
            <w:vAlign w:val="center"/>
          </w:tcPr>
          <w:p w14:paraId="27742225">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确保达标。</w:t>
            </w:r>
          </w:p>
        </w:tc>
        <w:tc>
          <w:tcPr>
            <w:tcW w:w="1455" w:type="dxa"/>
            <w:vAlign w:val="center"/>
          </w:tcPr>
          <w:p w14:paraId="56023DAB">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c>
          <w:tcPr>
            <w:tcW w:w="988" w:type="dxa"/>
            <w:tcBorders>
              <w:right w:val="single" w:color="000000" w:sz="10" w:space="0"/>
            </w:tcBorders>
            <w:vAlign w:val="center"/>
          </w:tcPr>
          <w:p w14:paraId="7012D9AD">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p>
        </w:tc>
      </w:tr>
      <w:tr w14:paraId="059B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jc w:val="center"/>
        </w:trPr>
        <w:tc>
          <w:tcPr>
            <w:tcW w:w="1968" w:type="dxa"/>
            <w:tcBorders>
              <w:left w:val="single" w:color="000000" w:sz="10" w:space="0"/>
            </w:tcBorders>
            <w:vAlign w:val="center"/>
          </w:tcPr>
          <w:p w14:paraId="3606038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声环境</w:t>
            </w:r>
          </w:p>
        </w:tc>
        <w:tc>
          <w:tcPr>
            <w:tcW w:w="6048" w:type="dxa"/>
            <w:vAlign w:val="center"/>
          </w:tcPr>
          <w:p w14:paraId="620525B0">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强施工管理，合理安排施工作业时间采用先进的施工设备；对羊槽河（羊槽村段）、生态沟渠（红土村）、生态沟渠（向阳村边沟）、排洪渠（沙塘川段）、排洪渠（沿川子段）周边25m范围内有声环境保护目标区域禁止夜间施工作业，并且在施工场地边界靠近声环境保护目标一侧设置围挡，以及各声环境保护目标张贴公告等措施。</w:t>
            </w:r>
          </w:p>
        </w:tc>
        <w:tc>
          <w:tcPr>
            <w:tcW w:w="2880" w:type="dxa"/>
            <w:vMerge w:val="restart"/>
            <w:vAlign w:val="center"/>
          </w:tcPr>
          <w:p w14:paraId="7CE26FA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满足《建筑施工场界环境噪声排放标准》（GB 12523-2011）限值</w:t>
            </w:r>
            <w:r>
              <w:rPr>
                <w:rFonts w:hint="eastAsia" w:ascii="Times New Roman" w:hAnsi="Times New Roman" w:eastAsia="宋体" w:cs="Times New Roman"/>
                <w:color w:val="auto"/>
                <w:sz w:val="24"/>
                <w:szCs w:val="24"/>
                <w:highlight w:val="none"/>
                <w:lang w:val="en-US" w:eastAsia="zh-CN"/>
              </w:rPr>
              <w:t>。</w:t>
            </w:r>
          </w:p>
        </w:tc>
        <w:tc>
          <w:tcPr>
            <w:tcW w:w="1455" w:type="dxa"/>
            <w:vAlign w:val="center"/>
          </w:tcPr>
          <w:p w14:paraId="7130885B">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right w:val="single" w:color="000000" w:sz="10" w:space="0"/>
            </w:tcBorders>
            <w:vAlign w:val="center"/>
          </w:tcPr>
          <w:p w14:paraId="5F57D334">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14:paraId="4B547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01F3462A">
            <w:pPr>
              <w:pStyle w:val="19"/>
              <w:spacing w:before="60" w:line="220" w:lineRule="auto"/>
              <w:ind w:left="0" w:leftChars="0" w:right="0" w:rightChars="0"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5"/>
                <w:sz w:val="24"/>
                <w:szCs w:val="24"/>
                <w:highlight w:val="none"/>
              </w:rPr>
              <w:t>振动</w:t>
            </w:r>
          </w:p>
        </w:tc>
        <w:tc>
          <w:tcPr>
            <w:tcW w:w="6048" w:type="dxa"/>
            <w:tcBorders>
              <w:bottom w:val="single" w:color="000000" w:sz="2" w:space="0"/>
            </w:tcBorders>
            <w:vAlign w:val="center"/>
          </w:tcPr>
          <w:p w14:paraId="6C58D47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lang w:val="en-US" w:eastAsia="zh-CN"/>
              </w:rPr>
              <w:t>/</w:t>
            </w:r>
          </w:p>
        </w:tc>
        <w:tc>
          <w:tcPr>
            <w:tcW w:w="2880" w:type="dxa"/>
            <w:vMerge w:val="continue"/>
            <w:tcBorders>
              <w:bottom w:val="single" w:color="000000" w:sz="2" w:space="0"/>
            </w:tcBorders>
            <w:vAlign w:val="center"/>
          </w:tcPr>
          <w:p w14:paraId="171D23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center"/>
              <w:textAlignment w:val="baseline"/>
              <w:rPr>
                <w:rFonts w:hint="default" w:ascii="Times New Roman" w:hAnsi="Times New Roman" w:eastAsia="宋体" w:cs="Times New Roman"/>
                <w:color w:val="auto"/>
                <w:sz w:val="24"/>
                <w:szCs w:val="24"/>
                <w:highlight w:val="yellow"/>
                <w:lang w:val="en-US" w:eastAsia="zh-CN"/>
              </w:rPr>
            </w:pPr>
          </w:p>
        </w:tc>
        <w:tc>
          <w:tcPr>
            <w:tcW w:w="1455" w:type="dxa"/>
            <w:vAlign w:val="center"/>
          </w:tcPr>
          <w:p w14:paraId="6ACF4229">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right w:val="single" w:color="000000" w:sz="10" w:space="0"/>
            </w:tcBorders>
            <w:vAlign w:val="center"/>
          </w:tcPr>
          <w:p w14:paraId="1A2B79C8">
            <w:pPr>
              <w:pStyle w:val="19"/>
              <w:spacing w:before="78" w:line="163" w:lineRule="exact"/>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14:paraId="675C9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21BD45B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大气环境</w:t>
            </w:r>
          </w:p>
        </w:tc>
        <w:tc>
          <w:tcPr>
            <w:tcW w:w="6048" w:type="dxa"/>
            <w:tcBorders>
              <w:top w:val="single" w:color="000000" w:sz="2" w:space="0"/>
              <w:bottom w:val="single" w:color="000000" w:sz="2" w:space="0"/>
            </w:tcBorders>
            <w:vAlign w:val="center"/>
          </w:tcPr>
          <w:p w14:paraId="68A09E07">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土方开挖采用湿法作业；及时洒水抑尘、运输车辆苫布覆盖、车辆驶离前用水冲洗轮胎不得带泥上路等；基底改善清淤喷洒微生物抑制剂，淤泥干化后，直接由运输车辆送至本项目河道生境构建工程（用于植被恢复）、生态步道工程（绿化工程用于种植土补充和场地平整）等综合利用。</w:t>
            </w:r>
          </w:p>
        </w:tc>
        <w:tc>
          <w:tcPr>
            <w:tcW w:w="2880" w:type="dxa"/>
            <w:tcBorders>
              <w:top w:val="single" w:color="000000" w:sz="2" w:space="0"/>
              <w:bottom w:val="single" w:color="000000" w:sz="2" w:space="0"/>
            </w:tcBorders>
            <w:vAlign w:val="center"/>
          </w:tcPr>
          <w:p w14:paraId="79665DB1">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满足《大气污染物综合</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放标准》（GB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16297-1996）表2无组织排放监控浓度限值标准</w:t>
            </w:r>
          </w:p>
        </w:tc>
        <w:tc>
          <w:tcPr>
            <w:tcW w:w="1455" w:type="dxa"/>
            <w:shd w:val="clear" w:color="auto" w:fill="auto"/>
            <w:vAlign w:val="center"/>
          </w:tcPr>
          <w:p w14:paraId="33CE1883">
            <w:pPr>
              <w:pStyle w:val="19"/>
              <w:spacing w:before="78" w:line="220" w:lineRule="auto"/>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988" w:type="dxa"/>
            <w:tcBorders>
              <w:right w:val="single" w:color="000000" w:sz="10" w:space="0"/>
            </w:tcBorders>
            <w:shd w:val="clear" w:color="auto" w:fill="auto"/>
            <w:vAlign w:val="center"/>
          </w:tcPr>
          <w:p w14:paraId="51C41397">
            <w:pPr>
              <w:pStyle w:val="19"/>
              <w:spacing w:before="78" w:line="220" w:lineRule="auto"/>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6ED8D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0A3CB679">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固体废物</w:t>
            </w:r>
          </w:p>
        </w:tc>
        <w:tc>
          <w:tcPr>
            <w:tcW w:w="6048" w:type="dxa"/>
            <w:tcBorders>
              <w:top w:val="single" w:color="000000" w:sz="2" w:space="0"/>
              <w:bottom w:val="single" w:color="000000" w:sz="2" w:space="0"/>
            </w:tcBorders>
            <w:vAlign w:val="center"/>
          </w:tcPr>
          <w:p w14:paraId="33AC91CA">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生活垃圾：项目区不设置施工生活营地，施工生活营地依托周边村庄，项目施工区生活垃圾在施工现场集中分类收集送至临近村庄生活垃圾收集点，由当地环卫部门统一清运处理。</w:t>
            </w:r>
          </w:p>
          <w:p w14:paraId="0767241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建筑垃圾：拆除废物、建筑垃圾定期运至环卫部门指定的建筑垃圾填埋场进行处置。</w:t>
            </w:r>
          </w:p>
          <w:p w14:paraId="18442CCE">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多余土方和沟道淤泥：多余土方主要用于护岸堤身填筑；根据底泥检测结果可知，底泥各评价因子监测值均符合《土壤环境质量农用地土壤污染风险管控标准（试行）（GB15618-2018）》表1农用地土壤污染风险筛选值（基本项目）的标准限值，因此淤泥干化后，直接由运输车辆送至本项目河道生境构建工程（用于植被恢复）、生态步道工程（绿化工程用于种植土补充和场地平整）等综合利用。</w:t>
            </w:r>
          </w:p>
        </w:tc>
        <w:tc>
          <w:tcPr>
            <w:tcW w:w="2880" w:type="dxa"/>
            <w:tcBorders>
              <w:top w:val="single" w:color="000000" w:sz="2" w:space="0"/>
              <w:bottom w:val="single" w:color="000000" w:sz="2" w:space="0"/>
            </w:tcBorders>
            <w:vAlign w:val="center"/>
          </w:tcPr>
          <w:p w14:paraId="3EA017D6">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无施工期遗留垃</w:t>
            </w:r>
            <w:r>
              <w:rPr>
                <w:rFonts w:hint="eastAsia" w:ascii="Times New Roman" w:hAnsi="Times New Roman" w:eastAsia="宋体" w:cs="Times New Roman"/>
                <w:color w:val="auto"/>
                <w:sz w:val="24"/>
                <w:szCs w:val="24"/>
                <w:highlight w:val="none"/>
                <w:lang w:val="en-US" w:eastAsia="zh-CN"/>
              </w:rPr>
              <w:t>圾。</w:t>
            </w:r>
          </w:p>
        </w:tc>
        <w:tc>
          <w:tcPr>
            <w:tcW w:w="1455" w:type="dxa"/>
            <w:tcBorders>
              <w:bottom w:val="single" w:color="000000" w:sz="2" w:space="0"/>
            </w:tcBorders>
            <w:shd w:val="clear" w:color="auto" w:fill="auto"/>
            <w:vAlign w:val="center"/>
          </w:tcPr>
          <w:p w14:paraId="3163D1BA">
            <w:pPr>
              <w:pStyle w:val="19"/>
              <w:spacing w:before="78" w:line="163" w:lineRule="exact"/>
              <w:ind w:left="0" w:leftChars="0" w:right="0" w:rightChars="0" w:firstLine="0" w:firstLineChars="0"/>
              <w:jc w:val="center"/>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988" w:type="dxa"/>
            <w:tcBorders>
              <w:bottom w:val="single" w:color="000000" w:sz="2" w:space="0"/>
              <w:right w:val="single" w:color="000000" w:sz="10" w:space="0"/>
            </w:tcBorders>
            <w:shd w:val="clear" w:color="auto" w:fill="auto"/>
            <w:vAlign w:val="center"/>
          </w:tcPr>
          <w:p w14:paraId="1AB17404">
            <w:pPr>
              <w:pStyle w:val="19"/>
              <w:spacing w:before="78" w:line="163" w:lineRule="exact"/>
              <w:ind w:left="0" w:leftChars="0" w:right="0" w:rightChars="0" w:firstLine="0" w:firstLineChars="0"/>
              <w:jc w:val="center"/>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r>
      <w:tr w14:paraId="6D2D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17BF57AB">
            <w:pPr>
              <w:pStyle w:val="19"/>
              <w:spacing w:before="60" w:line="220" w:lineRule="auto"/>
              <w:ind w:left="0" w:leftChars="0" w:right="0" w:rightChars="0" w:firstLine="0" w:firstLineChars="0"/>
              <w:jc w:val="center"/>
              <w:rPr>
                <w:rFonts w:hint="default" w:ascii="Times New Roman" w:hAnsi="Times New Roman" w:eastAsia="宋体" w:cs="Times New Roman"/>
                <w:b/>
                <w:bCs/>
                <w:color w:val="auto"/>
                <w:spacing w:val="-5"/>
                <w:sz w:val="24"/>
                <w:szCs w:val="24"/>
                <w:highlight w:val="none"/>
                <w:lang w:val="en-US" w:eastAsia="zh-CN"/>
              </w:rPr>
            </w:pPr>
            <w:r>
              <w:rPr>
                <w:rFonts w:hint="default" w:ascii="Times New Roman" w:hAnsi="Times New Roman" w:eastAsia="宋体" w:cs="Times New Roman"/>
                <w:b/>
                <w:bCs/>
                <w:color w:val="auto"/>
                <w:spacing w:val="-5"/>
                <w:sz w:val="24"/>
                <w:szCs w:val="24"/>
                <w:highlight w:val="none"/>
                <w:lang w:val="en-US" w:eastAsia="zh-CN"/>
              </w:rPr>
              <w:t>电磁环境</w:t>
            </w:r>
          </w:p>
        </w:tc>
        <w:tc>
          <w:tcPr>
            <w:tcW w:w="6048" w:type="dxa"/>
            <w:tcBorders>
              <w:top w:val="single" w:color="000000" w:sz="2" w:space="0"/>
              <w:bottom w:val="single" w:color="000000" w:sz="2" w:space="0"/>
            </w:tcBorders>
            <w:vAlign w:val="center"/>
          </w:tcPr>
          <w:p w14:paraId="5079CF9F">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w:t>
            </w:r>
          </w:p>
        </w:tc>
        <w:tc>
          <w:tcPr>
            <w:tcW w:w="2880" w:type="dxa"/>
            <w:tcBorders>
              <w:top w:val="single" w:color="000000" w:sz="2" w:space="0"/>
              <w:bottom w:val="single" w:color="000000" w:sz="2" w:space="0"/>
            </w:tcBorders>
            <w:vAlign w:val="center"/>
          </w:tcPr>
          <w:p w14:paraId="644B8F18">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455" w:type="dxa"/>
            <w:tcBorders>
              <w:top w:val="single" w:color="000000" w:sz="2" w:space="0"/>
              <w:bottom w:val="single" w:color="000000" w:sz="2" w:space="0"/>
            </w:tcBorders>
            <w:vAlign w:val="center"/>
          </w:tcPr>
          <w:p w14:paraId="35836D4F">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top w:val="single" w:color="000000" w:sz="2" w:space="0"/>
              <w:bottom w:val="single" w:color="000000" w:sz="2" w:space="0"/>
              <w:right w:val="single" w:color="000000" w:sz="10" w:space="0"/>
            </w:tcBorders>
            <w:vAlign w:val="center"/>
          </w:tcPr>
          <w:p w14:paraId="7EDB2158">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14:paraId="7FD86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5DBA8976">
            <w:pPr>
              <w:pStyle w:val="19"/>
              <w:spacing w:before="60" w:line="220" w:lineRule="auto"/>
              <w:ind w:left="0" w:leftChars="0" w:right="0" w:rightChars="0" w:firstLine="0" w:firstLineChars="0"/>
              <w:jc w:val="center"/>
              <w:rPr>
                <w:rFonts w:hint="default" w:ascii="Times New Roman" w:hAnsi="Times New Roman" w:eastAsia="宋体" w:cs="Times New Roman"/>
                <w:b/>
                <w:bCs/>
                <w:color w:val="auto"/>
                <w:spacing w:val="-5"/>
                <w:sz w:val="24"/>
                <w:szCs w:val="24"/>
                <w:highlight w:val="none"/>
                <w:lang w:val="en-US" w:eastAsia="zh-CN"/>
              </w:rPr>
            </w:pPr>
            <w:r>
              <w:rPr>
                <w:rFonts w:hint="default" w:ascii="Times New Roman" w:hAnsi="Times New Roman" w:eastAsia="宋体" w:cs="Times New Roman"/>
                <w:b/>
                <w:bCs/>
                <w:color w:val="auto"/>
                <w:spacing w:val="-5"/>
                <w:sz w:val="24"/>
                <w:szCs w:val="24"/>
                <w:highlight w:val="none"/>
                <w:lang w:val="en-US" w:eastAsia="zh-CN"/>
              </w:rPr>
              <w:t>环境风险</w:t>
            </w:r>
          </w:p>
        </w:tc>
        <w:tc>
          <w:tcPr>
            <w:tcW w:w="6048" w:type="dxa"/>
            <w:tcBorders>
              <w:top w:val="single" w:color="000000" w:sz="2" w:space="0"/>
              <w:bottom w:val="single" w:color="000000" w:sz="2" w:space="0"/>
            </w:tcBorders>
            <w:vAlign w:val="center"/>
          </w:tcPr>
          <w:p w14:paraId="1B10786D">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w:t>
            </w:r>
          </w:p>
        </w:tc>
        <w:tc>
          <w:tcPr>
            <w:tcW w:w="2880" w:type="dxa"/>
            <w:tcBorders>
              <w:top w:val="single" w:color="000000" w:sz="2" w:space="0"/>
              <w:bottom w:val="single" w:color="000000" w:sz="2" w:space="0"/>
            </w:tcBorders>
            <w:vAlign w:val="center"/>
          </w:tcPr>
          <w:p w14:paraId="21DE6A71">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455" w:type="dxa"/>
            <w:tcBorders>
              <w:top w:val="single" w:color="000000" w:sz="2" w:space="0"/>
              <w:bottom w:val="single" w:color="000000" w:sz="2" w:space="0"/>
            </w:tcBorders>
            <w:vAlign w:val="center"/>
          </w:tcPr>
          <w:p w14:paraId="1C861B64">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top w:val="single" w:color="000000" w:sz="2" w:space="0"/>
              <w:bottom w:val="single" w:color="000000" w:sz="2" w:space="0"/>
              <w:right w:val="single" w:color="000000" w:sz="10" w:space="0"/>
            </w:tcBorders>
            <w:vAlign w:val="center"/>
          </w:tcPr>
          <w:p w14:paraId="7C9A969A">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14:paraId="77A33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tcBorders>
            <w:vAlign w:val="center"/>
          </w:tcPr>
          <w:p w14:paraId="57292BF9">
            <w:pPr>
              <w:pStyle w:val="19"/>
              <w:spacing w:before="60" w:line="220" w:lineRule="auto"/>
              <w:ind w:left="0" w:leftChars="0" w:right="0" w:rightChars="0" w:firstLine="0" w:firstLineChars="0"/>
              <w:jc w:val="center"/>
              <w:rPr>
                <w:rFonts w:hint="default" w:ascii="Times New Roman" w:hAnsi="Times New Roman" w:eastAsia="宋体" w:cs="Times New Roman"/>
                <w:color w:val="auto"/>
                <w:spacing w:val="-5"/>
                <w:sz w:val="24"/>
                <w:szCs w:val="24"/>
                <w:highlight w:val="none"/>
                <w:lang w:val="en-US" w:eastAsia="zh-CN"/>
              </w:rPr>
            </w:pPr>
            <w:r>
              <w:rPr>
                <w:rFonts w:hint="default" w:ascii="Times New Roman" w:hAnsi="Times New Roman" w:eastAsia="宋体" w:cs="Times New Roman"/>
                <w:color w:val="auto"/>
                <w:spacing w:val="-5"/>
                <w:sz w:val="24"/>
                <w:szCs w:val="24"/>
                <w:highlight w:val="none"/>
                <w:lang w:val="en-US" w:eastAsia="zh-CN"/>
              </w:rPr>
              <w:t>环境监测</w:t>
            </w:r>
          </w:p>
        </w:tc>
        <w:tc>
          <w:tcPr>
            <w:tcW w:w="6048" w:type="dxa"/>
            <w:tcBorders>
              <w:top w:val="single" w:color="000000" w:sz="2" w:space="0"/>
              <w:bottom w:val="single" w:color="000000" w:sz="2" w:space="0"/>
            </w:tcBorders>
            <w:vAlign w:val="center"/>
          </w:tcPr>
          <w:p w14:paraId="74813518">
            <w:pPr>
              <w:pStyle w:val="1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120" w:firstLineChars="50"/>
              <w:jc w:val="both"/>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z w:val="24"/>
                <w:szCs w:val="24"/>
                <w:highlight w:val="none"/>
              </w:rPr>
              <w:t>施工期每季度对建设区及临时占地区域的大气</w:t>
            </w:r>
            <w:r>
              <w:rPr>
                <w:rFonts w:hint="default" w:ascii="Times New Roman" w:hAnsi="Times New Roman" w:eastAsia="宋体" w:cs="Times New Roman"/>
                <w:color w:val="auto"/>
                <w:sz w:val="24"/>
                <w:szCs w:val="24"/>
                <w:highlight w:val="none"/>
                <w:lang w:val="en-US" w:eastAsia="zh-CN"/>
              </w:rPr>
              <w:t>监测一次</w:t>
            </w:r>
            <w:r>
              <w:rPr>
                <w:rFonts w:hint="default" w:ascii="Times New Roman" w:hAnsi="Times New Roman" w:eastAsia="宋体" w:cs="Times New Roman"/>
                <w:color w:val="auto"/>
                <w:sz w:val="24"/>
                <w:szCs w:val="24"/>
                <w:highlight w:val="none"/>
              </w:rPr>
              <w:t>、噪声环境</w:t>
            </w:r>
            <w:r>
              <w:rPr>
                <w:rFonts w:hint="default" w:ascii="Times New Roman" w:hAnsi="Times New Roman" w:eastAsia="宋体" w:cs="Times New Roman"/>
                <w:color w:val="auto"/>
                <w:sz w:val="24"/>
                <w:szCs w:val="24"/>
                <w:highlight w:val="none"/>
                <w:lang w:val="en-US" w:eastAsia="zh-CN"/>
              </w:rPr>
              <w:t>至少</w:t>
            </w:r>
            <w:r>
              <w:rPr>
                <w:rFonts w:hint="default" w:ascii="Times New Roman" w:hAnsi="Times New Roman" w:eastAsia="宋体" w:cs="Times New Roman"/>
                <w:color w:val="auto"/>
                <w:sz w:val="24"/>
                <w:szCs w:val="24"/>
                <w:highlight w:val="none"/>
              </w:rPr>
              <w:t>进行1次监测；运营期每年对建设区及临时占地区域的植被类型、植被盖度、生物量，绿化成活率进行一次监测</w:t>
            </w:r>
          </w:p>
        </w:tc>
        <w:tc>
          <w:tcPr>
            <w:tcW w:w="2880" w:type="dxa"/>
            <w:tcBorders>
              <w:top w:val="single" w:color="000000" w:sz="2" w:space="0"/>
              <w:bottom w:val="single" w:color="000000" w:sz="2" w:space="0"/>
            </w:tcBorders>
            <w:vAlign w:val="center"/>
          </w:tcPr>
          <w:p w14:paraId="5A4F0322">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按环评要求开展监测工作，提供监测报告</w:t>
            </w:r>
            <w:r>
              <w:rPr>
                <w:rFonts w:hint="eastAsia" w:ascii="Times New Roman" w:hAnsi="Times New Roman" w:eastAsia="宋体" w:cs="Times New Roman"/>
                <w:color w:val="auto"/>
                <w:sz w:val="24"/>
                <w:szCs w:val="24"/>
                <w:highlight w:val="none"/>
                <w:lang w:val="en-US" w:eastAsia="zh-CN"/>
              </w:rPr>
              <w:t>。</w:t>
            </w:r>
          </w:p>
        </w:tc>
        <w:tc>
          <w:tcPr>
            <w:tcW w:w="1455" w:type="dxa"/>
            <w:tcBorders>
              <w:top w:val="single" w:color="000000" w:sz="2" w:space="0"/>
              <w:bottom w:val="single" w:color="000000" w:sz="2" w:space="0"/>
            </w:tcBorders>
            <w:vAlign w:val="center"/>
          </w:tcPr>
          <w:p w14:paraId="0626FB68">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top w:val="single" w:color="000000" w:sz="2" w:space="0"/>
              <w:bottom w:val="single" w:color="000000" w:sz="2" w:space="0"/>
              <w:right w:val="single" w:color="000000" w:sz="10" w:space="0"/>
            </w:tcBorders>
            <w:vAlign w:val="center"/>
          </w:tcPr>
          <w:p w14:paraId="26F09DDC">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r>
      <w:tr w14:paraId="1BD0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968" w:type="dxa"/>
            <w:tcBorders>
              <w:left w:val="single" w:color="000000" w:sz="10" w:space="0"/>
              <w:bottom w:val="single" w:color="000000" w:sz="10" w:space="0"/>
            </w:tcBorders>
            <w:vAlign w:val="center"/>
          </w:tcPr>
          <w:p w14:paraId="4250B407">
            <w:pPr>
              <w:pStyle w:val="19"/>
              <w:spacing w:before="60" w:line="220" w:lineRule="auto"/>
              <w:ind w:left="0" w:leftChars="0" w:right="0" w:rightChars="0" w:firstLine="0" w:firstLineChars="0"/>
              <w:jc w:val="center"/>
              <w:rPr>
                <w:rFonts w:hint="default" w:ascii="Times New Roman" w:hAnsi="Times New Roman" w:eastAsia="宋体" w:cs="Times New Roman"/>
                <w:color w:val="auto"/>
                <w:spacing w:val="-5"/>
                <w:sz w:val="24"/>
                <w:szCs w:val="24"/>
                <w:highlight w:val="none"/>
                <w:lang w:val="en-US" w:eastAsia="zh-CN"/>
              </w:rPr>
            </w:pPr>
            <w:r>
              <w:rPr>
                <w:rFonts w:hint="default" w:ascii="Times New Roman" w:hAnsi="Times New Roman" w:eastAsia="宋体" w:cs="Times New Roman"/>
                <w:color w:val="auto"/>
                <w:spacing w:val="-5"/>
                <w:sz w:val="24"/>
                <w:szCs w:val="24"/>
                <w:highlight w:val="none"/>
                <w:lang w:val="en-US" w:eastAsia="zh-CN"/>
              </w:rPr>
              <w:t>其他</w:t>
            </w:r>
          </w:p>
        </w:tc>
        <w:tc>
          <w:tcPr>
            <w:tcW w:w="6048" w:type="dxa"/>
            <w:tcBorders>
              <w:top w:val="single" w:color="000000" w:sz="2" w:space="0"/>
              <w:bottom w:val="single" w:color="000000" w:sz="10" w:space="0"/>
            </w:tcBorders>
            <w:vAlign w:val="center"/>
          </w:tcPr>
          <w:p w14:paraId="1D661CB4">
            <w:pPr>
              <w:pStyle w:val="19"/>
              <w:spacing w:before="59" w:line="219" w:lineRule="auto"/>
              <w:ind w:left="0" w:leftChars="0" w:right="0" w:rightChars="0" w:firstLine="0" w:firstLineChars="0"/>
              <w:jc w:val="center"/>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w:t>
            </w:r>
          </w:p>
        </w:tc>
        <w:tc>
          <w:tcPr>
            <w:tcW w:w="2880" w:type="dxa"/>
            <w:tcBorders>
              <w:top w:val="single" w:color="000000" w:sz="2" w:space="0"/>
              <w:bottom w:val="single" w:color="000000" w:sz="10" w:space="0"/>
            </w:tcBorders>
            <w:vAlign w:val="center"/>
          </w:tcPr>
          <w:p w14:paraId="51A2875E">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455" w:type="dxa"/>
            <w:tcBorders>
              <w:top w:val="single" w:color="000000" w:sz="2" w:space="0"/>
              <w:bottom w:val="single" w:color="000000" w:sz="10" w:space="0"/>
            </w:tcBorders>
            <w:vAlign w:val="center"/>
          </w:tcPr>
          <w:p w14:paraId="1FFA1155">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c>
          <w:tcPr>
            <w:tcW w:w="988" w:type="dxa"/>
            <w:tcBorders>
              <w:top w:val="single" w:color="000000" w:sz="2" w:space="0"/>
              <w:bottom w:val="single" w:color="000000" w:sz="10" w:space="0"/>
              <w:right w:val="single" w:color="000000" w:sz="10" w:space="0"/>
            </w:tcBorders>
            <w:vAlign w:val="center"/>
          </w:tcPr>
          <w:p w14:paraId="45EED633">
            <w:pPr>
              <w:pStyle w:val="19"/>
              <w:spacing w:before="78" w:line="163" w:lineRule="exact"/>
              <w:ind w:left="0" w:leftChars="0" w:right="0" w:rightChars="0" w:firstLine="0" w:firstLineChars="0"/>
              <w:jc w:val="center"/>
              <w:rPr>
                <w:rFonts w:hint="default" w:ascii="Times New Roman" w:hAnsi="Times New Roman" w:eastAsia="宋体" w:cs="Times New Roman"/>
                <w:color w:val="auto"/>
                <w:position w:val="-4"/>
                <w:sz w:val="24"/>
                <w:szCs w:val="24"/>
                <w:highlight w:val="none"/>
              </w:rPr>
            </w:pPr>
            <w:r>
              <w:rPr>
                <w:rFonts w:hint="default" w:ascii="Times New Roman" w:hAnsi="Times New Roman" w:eastAsia="宋体" w:cs="Times New Roman"/>
                <w:color w:val="auto"/>
                <w:sz w:val="24"/>
                <w:szCs w:val="24"/>
                <w:highlight w:val="none"/>
                <w:lang w:val="en-US" w:eastAsia="zh-CN"/>
              </w:rPr>
              <w:t>/</w:t>
            </w:r>
          </w:p>
        </w:tc>
      </w:tr>
    </w:tbl>
    <w:p w14:paraId="09756EBB">
      <w:pPr>
        <w:rPr>
          <w:color w:val="auto"/>
        </w:rPr>
        <w:sectPr>
          <w:footerReference r:id="rId10" w:type="default"/>
          <w:pgSz w:w="16839" w:h="11906" w:orient="landscape"/>
          <w:pgMar w:top="1440" w:right="1803" w:bottom="1440" w:left="1803" w:header="0" w:footer="1181" w:gutter="0"/>
          <w:pgBorders>
            <w:top w:val="none" w:sz="0" w:space="0"/>
            <w:left w:val="none" w:sz="0" w:space="0"/>
            <w:bottom w:val="none" w:sz="0" w:space="0"/>
            <w:right w:val="none" w:sz="0" w:space="0"/>
          </w:pgBorders>
          <w:pgNumType w:fmt="decimal"/>
          <w:cols w:space="720" w:num="1"/>
        </w:sectPr>
      </w:pPr>
    </w:p>
    <w:p w14:paraId="14DA49DC">
      <w:pPr>
        <w:spacing w:before="98" w:line="211" w:lineRule="auto"/>
        <w:ind w:left="0" w:leftChars="0" w:right="0" w:rightChars="0" w:firstLine="0" w:firstLineChars="0"/>
        <w:jc w:val="center"/>
        <w:outlineLvl w:val="0"/>
        <w:rPr>
          <w:rFonts w:ascii="黑体" w:hAnsi="黑体" w:eastAsia="黑体" w:cs="黑体"/>
          <w:b/>
          <w:bCs/>
          <w:color w:val="auto"/>
          <w:spacing w:val="-4"/>
          <w:sz w:val="30"/>
          <w:szCs w:val="30"/>
          <w:lang w:val="en-US" w:eastAsia="en-US"/>
        </w:rPr>
      </w:pPr>
      <w:r>
        <w:rPr>
          <w:rFonts w:hint="eastAsia" w:ascii="黑体" w:hAnsi="黑体" w:eastAsia="黑体" w:cs="黑体"/>
          <w:b/>
          <w:bCs/>
          <w:color w:val="auto"/>
          <w:spacing w:val="-4"/>
          <w:sz w:val="30"/>
          <w:szCs w:val="30"/>
          <w:lang w:val="en-US" w:eastAsia="en-US"/>
        </w:rPr>
        <w:t>七、结论</w:t>
      </w:r>
    </w:p>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14:paraId="2BEC8B23">
        <w:tblPrEx>
          <w:tblBorders>
            <w:top w:val="single" w:color="000000" w:sz="12" w:space="0"/>
            <w:left w:val="single" w:color="000000" w:sz="12" w:space="0"/>
            <w:bottom w:val="single" w:color="000000" w:sz="12" w:space="0"/>
            <w:right w:val="single" w:color="000000" w:sz="12" w:space="0"/>
            <w:insideH w:val="single" w:color="auto" w:sz="4" w:space="0"/>
            <w:insideV w:val="none" w:color="auto" w:sz="0" w:space="0"/>
          </w:tblBorders>
          <w:tblCellMar>
            <w:top w:w="0" w:type="dxa"/>
            <w:left w:w="108" w:type="dxa"/>
            <w:bottom w:w="0" w:type="dxa"/>
            <w:right w:w="108" w:type="dxa"/>
          </w:tblCellMar>
        </w:tblPrEx>
        <w:trPr>
          <w:trHeight w:val="12827" w:hRule="atLeast"/>
          <w:jc w:val="center"/>
        </w:trPr>
        <w:tc>
          <w:tcPr>
            <w:tcW w:w="5000" w:type="pct"/>
            <w:tcBorders>
              <w:tl2br w:val="nil"/>
              <w:tr2bl w:val="nil"/>
            </w:tcBorders>
            <w:noWrap w:val="0"/>
            <w:vAlign w:val="center"/>
          </w:tcPr>
          <w:p w14:paraId="39A1E4E0">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left"/>
              <w:textAlignment w:val="baseline"/>
              <w:rPr>
                <w:rFonts w:ascii="宋体" w:hAnsi="宋体" w:cs="宋体"/>
                <w:color w:val="auto"/>
                <w:szCs w:val="21"/>
              </w:rPr>
            </w:pPr>
            <w:r>
              <w:rPr>
                <w:rFonts w:hint="default" w:ascii="Times New Roman" w:hAnsi="Times New Roman" w:eastAsia="宋体" w:cs="Times New Roman"/>
                <w:snapToGrid w:val="0"/>
                <w:color w:val="auto"/>
                <w:spacing w:val="-2"/>
                <w:kern w:val="0"/>
                <w:sz w:val="24"/>
                <w:szCs w:val="24"/>
                <w:lang w:val="en-US" w:eastAsia="zh-CN" w:bidi="ar-SA"/>
              </w:rPr>
              <w:t>本项目为宁夏泾源县龙房宫片区生态环境修复与农林文旅康融合开发EOD项目中的“山洪及地质灾害及城乡供水一体化及水土保持”部分，对改善水环境，保护河（沟、渠）道生态环境具有积极作用，符合国家产业政策。项目所在区域环境质量现状符合相应的标准要求，在落实本评价要求的各项生态保护措施的情况下，施工期对生态环境影响较小，符合国家生态环境保护要求，不会对区域生态环境造成较大破坏，从环境保护角度考虑，本评价认为该项目建设是可行的。</w:t>
            </w:r>
          </w:p>
        </w:tc>
      </w:tr>
    </w:tbl>
    <w:p w14:paraId="4ADC22D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color w:val="auto"/>
        </w:rPr>
      </w:pPr>
    </w:p>
    <w:sectPr>
      <w:footerReference r:id="rId11" w:type="default"/>
      <w:pgSz w:w="11906" w:h="16838"/>
      <w:pgMar w:top="1440" w:right="1803" w:bottom="1440" w:left="1803" w:header="0" w:footer="1179"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638A8">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6F893">
    <w:pPr>
      <w:spacing w:line="176" w:lineRule="auto"/>
      <w:ind w:left="42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posOffset>2454275</wp:posOffset>
              </wp:positionH>
              <wp:positionV relativeFrom="paragraph">
                <wp:posOffset>-28575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36CF0">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3.25pt;margin-top:-2.25pt;height:144pt;width:144pt;mso-position-horizontal-relative:margin;mso-wrap-style:none;z-index:251659264;mso-width-relative:page;mso-height-relative:page;" filled="f" stroked="f" coordsize="21600,21600" o:gfxdata="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U33OdcAAAAKAQAADwAAAAAAAAABACAAAAAiAAAAZHJzL2Rvd25yZXYueG1s&#10;UEsBAhQAFAAAAAgAh07iQOZTTZkyAgAAYwQAAA4AAAAAAAAAAQAgAAAAJgEAAGRycy9lMm9Eb2Mu&#10;eG1sUEsFBgAAAAAGAAYAWQEAAMoFAAAAAA==&#10;">
              <v:fill on="f" focussize="0,0"/>
              <v:stroke on="f" weight="0.5pt"/>
              <v:imagedata o:title=""/>
              <o:lock v:ext="edit" aspectratio="f"/>
              <v:textbox inset="0mm,0mm,0mm,0mm" style="mso-fit-shape-to-text:t;">
                <w:txbxContent>
                  <w:p w14:paraId="33736CF0">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D09BD">
    <w:pPr>
      <w:spacing w:line="176" w:lineRule="auto"/>
      <w:ind w:left="42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9703F">
                          <w:pPr>
                            <w:pStyle w:val="10"/>
                          </w:pPr>
                          <w:r>
                            <w:t xml:space="preserve">— </w:t>
                          </w:r>
                          <w:r>
                            <w:fldChar w:fldCharType="begin"/>
                          </w:r>
                          <w:r>
                            <w:instrText xml:space="preserve"> PAGE  \* MERGEFORMAT </w:instrText>
                          </w:r>
                          <w:r>
                            <w:fldChar w:fldCharType="separate"/>
                          </w:r>
                          <w:r>
                            <w:t>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9C9703F">
                    <w:pPr>
                      <w:pStyle w:val="10"/>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r>
      <w:rPr>
        <w:rFonts w:ascii="Times New Roman" w:hAnsi="Times New Roman" w:eastAsia="Times New Roman" w:cs="Times New Roman"/>
        <w:spacing w:val="-2"/>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2D58D">
    <w:pPr>
      <w:spacing w:line="173" w:lineRule="auto"/>
      <w:ind w:left="41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975D1">
                          <w:pPr>
                            <w:pStyle w:val="10"/>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AC975D1">
                    <w:pPr>
                      <w:pStyle w:val="10"/>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r>
      <w:rPr>
        <w:rFonts w:ascii="Times New Roman" w:hAnsi="Times New Roman" w:eastAsia="Times New Roman" w:cs="Times New Roman"/>
        <w:spacing w:val="-4"/>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7A693">
    <w:pPr>
      <w:spacing w:line="176" w:lineRule="auto"/>
      <w:ind w:left="710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0BD6D">
                          <w:pPr>
                            <w:pStyle w:val="10"/>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240BD6D">
                    <w:pPr>
                      <w:pStyle w:val="10"/>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20E3F">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posOffset>2422525</wp:posOffset>
              </wp:positionH>
              <wp:positionV relativeFrom="paragraph">
                <wp:posOffset>-133350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A9704">
                          <w:pPr>
                            <w:pStyle w:val="10"/>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0.75pt;margin-top:-10.5pt;height:144pt;width:144pt;mso-position-horizontal-relative:margin;mso-wrap-style:none;z-index:251663360;mso-width-relative:page;mso-height-relative:page;" filled="f" stroked="f" coordsize="21600,21600" o:gfxdata="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HNv/YAAAACwEAAA8AAAAAAAAAAQAgAAAAIgAAAGRycy9kb3ducmV2Lnht&#10;bFBLAQIUABQAAAAIAIdO4kDUd5jmMgIAAGMEAAAOAAAAAAAAAAEAIAAAACcBAABkcnMvZTJvRG9j&#10;LnhtbFBLBQYAAAAABgAGAFkBAADLBQAAAAA=&#10;">
              <v:fill on="f" focussize="0,0"/>
              <v:stroke on="f" weight="0.5pt"/>
              <v:imagedata o:title=""/>
              <o:lock v:ext="edit" aspectratio="f"/>
              <v:textbox inset="0mm,0mm,0mm,0mm" style="mso-fit-shape-to-text:t;">
                <w:txbxContent>
                  <w:p w14:paraId="589A9704">
                    <w:pPr>
                      <w:pStyle w:val="10"/>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C24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5CD8B3"/>
    <w:multiLevelType w:val="multilevel"/>
    <w:tmpl w:val="735CD8B3"/>
    <w:lvl w:ilvl="0" w:tentative="0">
      <w:start w:val="1"/>
      <w:numFmt w:val="decimal"/>
      <w:lvlText w:val="%1."/>
      <w:lvlJc w:val="left"/>
      <w:pPr>
        <w:tabs>
          <w:tab w:val="left" w:pos="420"/>
        </w:tabs>
        <w:ind w:left="432" w:hanging="432"/>
      </w:pPr>
      <w:rPr>
        <w:rFonts w:hint="default"/>
      </w:rPr>
    </w:lvl>
    <w:lvl w:ilvl="1" w:tentative="0">
      <w:start w:val="1"/>
      <w:numFmt w:val="decimal"/>
      <w:lvlText w:val="%1.%2."/>
      <w:lvlJc w:val="left"/>
      <w:pPr>
        <w:tabs>
          <w:tab w:val="left" w:pos="420"/>
        </w:tabs>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7CE09A8"/>
    <w:rsid w:val="0CDE1C2A"/>
    <w:rsid w:val="19C84276"/>
    <w:rsid w:val="1ADB5BE8"/>
    <w:rsid w:val="1E441507"/>
    <w:rsid w:val="236F0D28"/>
    <w:rsid w:val="24497D13"/>
    <w:rsid w:val="28AF2039"/>
    <w:rsid w:val="29786033"/>
    <w:rsid w:val="34242218"/>
    <w:rsid w:val="398413EB"/>
    <w:rsid w:val="39A56D34"/>
    <w:rsid w:val="458251B2"/>
    <w:rsid w:val="48CD4381"/>
    <w:rsid w:val="4EDF14C9"/>
    <w:rsid w:val="4EEF5810"/>
    <w:rsid w:val="59DD758C"/>
    <w:rsid w:val="5FC75EDF"/>
    <w:rsid w:val="677A389B"/>
    <w:rsid w:val="71FE2248"/>
    <w:rsid w:val="75263A42"/>
    <w:rsid w:val="7669289A"/>
    <w:rsid w:val="7CB9602C"/>
    <w:rsid w:val="7D4A6CD3"/>
    <w:rsid w:val="7D5F71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unhideWhenUsed/>
    <w:qFormat/>
    <w:uiPriority w:val="0"/>
    <w:pPr>
      <w:keepNext/>
      <w:keepLines/>
      <w:spacing w:beforeLines="0" w:beforeAutospacing="0" w:afterLines="0" w:afterAutospacing="0" w:line="600" w:lineRule="exact"/>
      <w:outlineLvl w:val="2"/>
    </w:pPr>
    <w:rPr>
      <w:b/>
      <w:sz w:val="28"/>
    </w:rPr>
  </w:style>
  <w:style w:type="paragraph" w:styleId="4">
    <w:name w:val="heading 4"/>
    <w:basedOn w:val="5"/>
    <w:next w:val="6"/>
    <w:unhideWhenUsed/>
    <w:qFormat/>
    <w:uiPriority w:val="0"/>
    <w:pPr>
      <w:keepNext/>
      <w:keepLines/>
      <w:numPr>
        <w:ilvl w:val="3"/>
        <w:numId w:val="1"/>
      </w:numPr>
      <w:spacing w:beforeLines="0" w:beforeAutospacing="0" w:afterLines="0" w:afterAutospacing="0" w:line="360" w:lineRule="auto"/>
      <w:ind w:left="864" w:hanging="864" w:firstLineChars="0"/>
      <w:outlineLvl w:val="3"/>
    </w:pPr>
    <w:rPr>
      <w:rFonts w:ascii="Times New Roman" w:hAnsi="Times New Roman"/>
      <w:b/>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Body Text 3"/>
    <w:basedOn w:val="1"/>
    <w:unhideWhenUsed/>
    <w:qFormat/>
    <w:uiPriority w:val="99"/>
    <w:pPr>
      <w:spacing w:line="360" w:lineRule="atLeast"/>
      <w:ind w:firstLine="200" w:firstLineChars="200"/>
      <w:jc w:val="left"/>
    </w:pPr>
    <w:rPr>
      <w:kern w:val="0"/>
      <w:szCs w:val="20"/>
    </w:rPr>
  </w:style>
  <w:style w:type="paragraph" w:customStyle="1" w:styleId="6">
    <w:name w:val="正文文本 21"/>
    <w:basedOn w:val="1"/>
    <w:autoRedefine/>
    <w:qFormat/>
    <w:uiPriority w:val="0"/>
    <w:pPr>
      <w:spacing w:line="480" w:lineRule="auto"/>
      <w:ind w:firstLine="0" w:firstLineChars="0"/>
      <w:jc w:val="center"/>
    </w:pPr>
    <w:rPr>
      <w:rFonts w:eastAsia="黑体" w:cs="Times New Roman"/>
      <w:color w:val="auto"/>
      <w:highlight w:val="none"/>
    </w:rPr>
  </w:style>
  <w:style w:type="paragraph" w:styleId="7">
    <w:name w:val="annotation text"/>
    <w:basedOn w:val="1"/>
    <w:qFormat/>
    <w:uiPriority w:val="0"/>
    <w:pPr>
      <w:jc w:val="left"/>
    </w:pPr>
  </w:style>
  <w:style w:type="paragraph" w:styleId="8">
    <w:name w:val="Body Text"/>
    <w:basedOn w:val="1"/>
    <w:next w:val="9"/>
    <w:semiHidden/>
    <w:qFormat/>
    <w:uiPriority w:val="0"/>
    <w:rPr>
      <w:rFonts w:ascii="Arial" w:hAnsi="Arial" w:eastAsia="Arial" w:cs="Arial"/>
      <w:sz w:val="21"/>
      <w:szCs w:val="21"/>
      <w:lang w:val="en-US" w:eastAsia="en-US" w:bidi="ar-SA"/>
    </w:rPr>
  </w:style>
  <w:style w:type="paragraph" w:customStyle="1" w:styleId="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index heading"/>
    <w:basedOn w:val="1"/>
    <w:next w:val="13"/>
    <w:qFormat/>
    <w:uiPriority w:val="99"/>
    <w:pPr>
      <w:spacing w:line="360" w:lineRule="auto"/>
    </w:pPr>
    <w:rPr>
      <w:rFonts w:ascii="Arial" w:hAnsi="Arial"/>
      <w:b/>
      <w:sz w:val="24"/>
    </w:rPr>
  </w:style>
  <w:style w:type="paragraph" w:styleId="13">
    <w:name w:val="index 1"/>
    <w:basedOn w:val="1"/>
    <w:next w:val="1"/>
    <w:semiHidden/>
    <w:qFormat/>
    <w:uiPriority w:val="99"/>
    <w:pPr>
      <w:jc w:val="center"/>
    </w:pPr>
    <w:rPr>
      <w:sz w:val="24"/>
      <w:szCs w:val="20"/>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4"/>
      <w:szCs w:val="24"/>
      <w:lang w:val="en-US" w:eastAsia="en-US" w:bidi="ar-SA"/>
    </w:rPr>
  </w:style>
  <w:style w:type="paragraph" w:customStyle="1" w:styleId="20">
    <w:name w:val="Table Paragraph"/>
    <w:basedOn w:val="1"/>
    <w:qFormat/>
    <w:uiPriority w:val="1"/>
    <w:pPr>
      <w:jc w:val="center"/>
    </w:pPr>
    <w:rPr>
      <w:rFonts w:ascii="Noto Sans CJK JP Regular" w:hAnsi="Noto Sans CJK JP Regular" w:eastAsia="Noto Sans CJK JP Regular" w:cs="Noto Sans CJK JP Regular"/>
    </w:rPr>
  </w:style>
  <w:style w:type="character" w:customStyle="1" w:styleId="21">
    <w:name w:val="NormalCharacter"/>
    <w:qFormat/>
    <w:uiPriority w:val="0"/>
  </w:style>
  <w:style w:type="paragraph" w:customStyle="1" w:styleId="22">
    <w:name w:val="表格格式"/>
    <w:basedOn w:val="8"/>
    <w:next w:val="1"/>
    <w:autoRedefine/>
    <w:qFormat/>
    <w:uiPriority w:val="0"/>
    <w:pPr>
      <w:spacing w:line="240" w:lineRule="auto"/>
      <w:ind w:firstLine="0" w:firstLineChars="0"/>
      <w:jc w:val="center"/>
    </w:pPr>
    <w:rPr>
      <w:rFonts w:hint="eastAsia"/>
      <w:sz w:val="24"/>
    </w:rPr>
  </w:style>
  <w:style w:type="paragraph" w:customStyle="1" w:styleId="23">
    <w:name w:val="报告书正文段落"/>
    <w:basedOn w:val="1"/>
    <w:qFormat/>
    <w:uiPriority w:val="0"/>
    <w:pPr>
      <w:spacing w:line="360" w:lineRule="auto"/>
      <w:ind w:firstLine="200" w:firstLineChars="200"/>
    </w:pPr>
    <w:rPr>
      <w:rFonts w:cs="宋体"/>
      <w:color w:val="000000"/>
      <w:kern w:val="0"/>
      <w:sz w:val="24"/>
      <w:lang w:val="zh-CN"/>
    </w:rPr>
  </w:style>
  <w:style w:type="paragraph" w:customStyle="1" w:styleId="24">
    <w:name w:val="表格"/>
    <w:basedOn w:val="1"/>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5">
    <w:name w:val="报告表表格标题"/>
    <w:basedOn w:val="1"/>
    <w:qFormat/>
    <w:uiPriority w:val="0"/>
    <w:pPr>
      <w:snapToGrid w:val="0"/>
      <w:jc w:val="center"/>
    </w:pPr>
    <w:rPr>
      <w:b/>
    </w:rPr>
  </w:style>
  <w:style w:type="paragraph" w:customStyle="1" w:styleId="26">
    <w:name w:val="Default"/>
    <w:basedOn w:val="27"/>
    <w:next w:val="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7">
    <w:name w:val="纯文本1"/>
    <w:basedOn w:val="1"/>
    <w:qFormat/>
    <w:uiPriority w:val="99"/>
    <w:pPr>
      <w:autoSpaceDE w:val="0"/>
      <w:autoSpaceDN w:val="0"/>
      <w:adjustRightInd w:val="0"/>
      <w:textAlignment w:val="baseline"/>
    </w:pPr>
    <w:rPr>
      <w:rFonts w:ascii="宋体"/>
      <w:szCs w:val="20"/>
    </w:rPr>
  </w:style>
  <w:style w:type="paragraph" w:customStyle="1" w:styleId="28">
    <w:name w:val="图示"/>
    <w:basedOn w:val="1"/>
    <w:next w:val="1"/>
    <w:autoRedefine/>
    <w:qFormat/>
    <w:uiPriority w:val="0"/>
    <w:pPr>
      <w:spacing w:line="240" w:lineRule="auto"/>
      <w:ind w:firstLine="0" w:firstLineChars="0"/>
      <w:jc w:val="center"/>
    </w:pPr>
    <w:rPr>
      <w:rFonts w:ascii="Times New Roman" w:hAnsi="Times New Roman" w:eastAsia="宋体"/>
      <w:b/>
      <w:sz w:val="21"/>
    </w:rPr>
  </w:style>
  <w:style w:type="paragraph" w:customStyle="1" w:styleId="29">
    <w:name w:val="报告表正文"/>
    <w:basedOn w:val="1"/>
    <w:qFormat/>
    <w:uiPriority w:val="0"/>
    <w:pPr>
      <w:spacing w:line="360" w:lineRule="auto"/>
      <w:ind w:firstLine="200" w:firstLineChars="200"/>
    </w:pPr>
    <w:rPr>
      <w:sz w:val="24"/>
    </w:rPr>
  </w:style>
  <w:style w:type="paragraph" w:customStyle="1" w:styleId="30">
    <w:name w:val="表格正文"/>
    <w:basedOn w:val="1"/>
    <w:qFormat/>
    <w:uiPriority w:val="0"/>
    <w:pPr>
      <w:snapToGrid w:val="0"/>
      <w:jc w:val="center"/>
    </w:pPr>
  </w:style>
  <w:style w:type="character" w:customStyle="1" w:styleId="31">
    <w:name w:val="font61"/>
    <w:basedOn w:val="17"/>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3219</Words>
  <Characters>3707</Characters>
  <TotalTime>11</TotalTime>
  <ScaleCrop>false</ScaleCrop>
  <LinksUpToDate>false</LinksUpToDate>
  <CharactersWithSpaces>3863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2024-11-25T09:48:00Z</dcterms:created>
  <dc:creator>admin</dc:creator>
  <cp:lastModifiedBy>董瑞峰</cp:lastModifiedBy>
  <dcterms:modified xsi:type="dcterms:W3CDTF">2025-07-04T01:29:49Z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2024-12-17T17:50:24Z</vt:filetime>
  </property>
  <property fmtid="{D5CDD505-2E9C-101B-9397-08002B2CF9AE}" pid="4" name="KSOProductBuildVer">
    <vt:lpwstr>2052-12.1.0.21915</vt:lpwstr>
  </property>
  <property fmtid="{D5CDD505-2E9C-101B-9397-08002B2CF9AE}" pid="5" name="ICV">
    <vt:lpwstr>78A696F0E42A491D87ACBDF955DA18C6_13</vt:lpwstr>
  </property>
  <property fmtid="{D5CDD505-2E9C-101B-9397-08002B2CF9AE}" pid="6" name="KSOTemplateDocerSaveRecord">
    <vt:lpwstr>eyJoZGlkIjoiMzljNGEzMmM3NjRiYjMzMjJmY2JhY2E2Y2I1OTNmM2QiLCJ1c2VySWQiOiIyMzcyMzkzODUifQ==</vt:lpwstr>
  </property>
</Properties>
</file>