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bookmarkStart w:id="31" w:name="_GoBack"/>
      <w:bookmarkEnd w:id="31"/>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spacing w:before="192" w:beforeLines="80"/>
        <w:jc w:val="center"/>
        <w:rPr>
          <w:rFonts w:hint="default" w:ascii="Times New Roman" w:hAnsi="Times New Roman" w:eastAsia="楷体" w:cs="Times New Roman"/>
          <w:bCs/>
          <w:color w:val="auto"/>
          <w:sz w:val="44"/>
          <w:szCs w:val="44"/>
          <w:lang w:eastAsia="zh-CN"/>
        </w:rPr>
      </w:pPr>
      <w:r>
        <w:rPr>
          <w:rFonts w:hint="default" w:ascii="Times New Roman" w:hAnsi="Times New Roman" w:eastAsia="楷体" w:cs="Times New Roman"/>
          <w:bCs/>
          <w:color w:val="auto"/>
          <w:sz w:val="44"/>
          <w:szCs w:val="44"/>
          <w:lang w:eastAsia="zh-CN"/>
        </w:rPr>
        <w:t>（送审稿）</w:t>
      </w:r>
    </w:p>
    <w:p>
      <w:pPr>
        <w:rPr>
          <w:rFonts w:hint="default" w:ascii="Times New Roman" w:hAnsi="Times New Roman" w:cs="Times New Roman"/>
          <w:color w:val="auto"/>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2430" w:leftChars="300" w:hanging="1800" w:hangingChars="5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 w:cs="Times New Roman"/>
          <w:color w:val="auto"/>
          <w:sz w:val="36"/>
          <w:szCs w:val="36"/>
          <w:u w:val="single"/>
          <w:lang w:val="en-US" w:eastAsia="zh-CN"/>
        </w:rPr>
        <w:t>宁夏回族自治区泾源县黄河流域农业面源污染综合治理项目（</w:t>
      </w:r>
      <w:r>
        <w:rPr>
          <w:rFonts w:hint="eastAsia" w:eastAsia="仿宋" w:cs="Times New Roman"/>
          <w:color w:val="auto"/>
          <w:sz w:val="36"/>
          <w:szCs w:val="36"/>
          <w:u w:val="single"/>
          <w:lang w:val="en-US" w:eastAsia="zh-CN"/>
        </w:rPr>
        <w:t>宁夏泾源县六盘山牧业有限责任公司有机肥加工厂项目</w:t>
      </w:r>
      <w:r>
        <w:rPr>
          <w:rFonts w:hint="default" w:ascii="Times New Roman" w:hAnsi="Times New Roman" w:eastAsia="仿宋" w:cs="Times New Roman"/>
          <w:color w:val="auto"/>
          <w:sz w:val="36"/>
          <w:szCs w:val="36"/>
          <w:u w:val="single"/>
          <w:lang w:val="en-US" w:eastAsia="zh-CN"/>
        </w:rPr>
        <w:t>）</w:t>
      </w:r>
      <w:r>
        <w:rPr>
          <w:rFonts w:hint="default" w:ascii="Times New Roman" w:hAnsi="Times New Roman" w:eastAsia="仿宋_GB2312" w:cs="Times New Roman"/>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Chars="3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 w:cs="Times New Roman"/>
          <w:color w:val="auto"/>
          <w:sz w:val="36"/>
          <w:szCs w:val="36"/>
          <w:u w:val="single"/>
          <w:lang w:val="en-US" w:eastAsia="zh-CN"/>
        </w:rPr>
        <w:t xml:space="preserve">     泾源县农业农村局        </w:t>
      </w:r>
    </w:p>
    <w:p>
      <w:pPr>
        <w:keepNext w:val="0"/>
        <w:keepLines w:val="0"/>
        <w:pageBreakBefore w:val="0"/>
        <w:widowControl w:val="0"/>
        <w:tabs>
          <w:tab w:val="left" w:pos="8610"/>
        </w:tabs>
        <w:kinsoku/>
        <w:wordWrap/>
        <w:overflowPunct/>
        <w:topLinePunct w:val="0"/>
        <w:autoSpaceDE/>
        <w:autoSpaceDN/>
        <w:bidi w:val="0"/>
        <w:adjustRightInd w:val="0"/>
        <w:snapToGrid w:val="0"/>
        <w:spacing w:line="288" w:lineRule="auto"/>
        <w:ind w:leftChars="30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 w:cs="Times New Roman"/>
          <w:color w:val="auto"/>
          <w:sz w:val="36"/>
          <w:szCs w:val="36"/>
          <w:u w:val="single"/>
          <w:lang w:val="en-US" w:eastAsia="zh-CN"/>
        </w:rPr>
        <w:t>2025年</w:t>
      </w:r>
      <w:r>
        <w:rPr>
          <w:rFonts w:hint="eastAsia" w:eastAsia="仿宋" w:cs="Times New Roman"/>
          <w:color w:val="auto"/>
          <w:sz w:val="36"/>
          <w:szCs w:val="36"/>
          <w:u w:val="single"/>
          <w:lang w:val="en-US" w:eastAsia="zh-CN"/>
        </w:rPr>
        <w:t>8</w:t>
      </w:r>
      <w:r>
        <w:rPr>
          <w:rFonts w:hint="default" w:ascii="Times New Roman" w:hAnsi="Times New Roman" w:eastAsia="仿宋" w:cs="Times New Roman"/>
          <w:color w:val="auto"/>
          <w:sz w:val="36"/>
          <w:szCs w:val="36"/>
          <w:u w:val="single"/>
          <w:lang w:val="en-US" w:eastAsia="zh-CN"/>
        </w:rPr>
        <w:t>月</w:t>
      </w:r>
      <w:r>
        <w:rPr>
          <w:rFonts w:hint="default" w:ascii="Times New Roman" w:hAnsi="Times New Roman" w:eastAsia="仿宋" w:cs="Times New Roman"/>
          <w:color w:val="auto"/>
          <w:sz w:val="36"/>
          <w:szCs w:val="36"/>
          <w:u w:val="single"/>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color w:val="auto"/>
          <w:sz w:val="36"/>
          <w:szCs w:val="36"/>
        </w:rPr>
        <w:sectPr>
          <w:footerReference r:id="rId3" w:type="default"/>
          <w:footerReference r:id="rId4" w:type="even"/>
          <w:pgSz w:w="11905" w:h="16838"/>
          <w:pgMar w:top="1417" w:right="1417" w:bottom="1417" w:left="1417" w:header="851" w:footer="1077" w:gutter="0"/>
          <w:pgBorders>
            <w:top w:val="none" w:sz="0" w:space="0"/>
            <w:left w:val="none" w:sz="0" w:space="0"/>
            <w:bottom w:val="none" w:sz="0" w:space="0"/>
            <w:right w:val="none" w:sz="0" w:space="0"/>
          </w:pgBorders>
          <w:pgNumType w:start="3"/>
          <w:cols w:space="0" w:num="1"/>
          <w:rtlGutter w:val="0"/>
          <w:docGrid w:linePitch="312" w:charSpace="0"/>
        </w:sectPr>
      </w:pPr>
    </w:p>
    <w:p>
      <w:pPr>
        <w:pStyle w:val="19"/>
        <w:jc w:val="center"/>
        <w:outlineLvl w:val="0"/>
        <w:rPr>
          <w:rFonts w:hint="default" w:ascii="Times New Roman" w:hAnsi="Times New Roman" w:eastAsia="黑体" w:cs="Times New Roman"/>
          <w:snapToGrid w:val="0"/>
          <w:color w:val="auto"/>
          <w:sz w:val="30"/>
          <w:szCs w:val="30"/>
        </w:rPr>
        <w:sectPr>
          <w:footerReference r:id="rId5"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63"/>
        <w:gridCol w:w="838"/>
        <w:gridCol w:w="2146"/>
        <w:gridCol w:w="1987"/>
        <w:gridCol w:w="3078"/>
        <w:gridCol w:w="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建设项目名称</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宁夏回族自治区泾源县黄河流域农业面源污染综合治理项目（</w:t>
            </w:r>
            <w:r>
              <w:rPr>
                <w:rFonts w:hint="eastAsia" w:cs="Times New Roman"/>
                <w:color w:val="auto"/>
                <w:sz w:val="24"/>
                <w:szCs w:val="24"/>
                <w:lang w:val="en-US" w:eastAsia="zh-CN"/>
              </w:rPr>
              <w:t>宁夏泾源县六盘山牧业有限责任公司有机肥加工厂项目</w:t>
            </w:r>
            <w:r>
              <w:rPr>
                <w:rFonts w:hint="default" w:ascii="Times New Roman" w:hAnsi="Times New Roman" w:cs="Times New Roman"/>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项目代码</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highlight w:val="none"/>
                <w:lang w:val="en-US" w:eastAsia="zh-CN"/>
              </w:rPr>
              <w:t>2502-640424-20-01-446396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建设单位联系人</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禹彩云</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联系方式</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建设地点</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宁夏回族自治区固原市泾源县</w:t>
            </w:r>
            <w:r>
              <w:rPr>
                <w:rFonts w:hint="eastAsia" w:cs="Times New Roman"/>
                <w:color w:val="auto"/>
                <w:sz w:val="24"/>
                <w:szCs w:val="24"/>
                <w:lang w:val="en-US" w:eastAsia="zh-CN"/>
              </w:rPr>
              <w:t>香水镇城关村八组宁夏泾源县六盘山牧业有限责任公司</w:t>
            </w:r>
            <w:r>
              <w:rPr>
                <w:rFonts w:hint="default" w:ascii="Times New Roman" w:hAnsi="Times New Roman" w:cs="Times New Roman"/>
                <w:color w:val="auto"/>
                <w:sz w:val="24"/>
                <w:szCs w:val="24"/>
                <w:lang w:val="en-US" w:eastAsia="zh-CN"/>
              </w:rPr>
              <w:t>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地理坐标</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建设地点中心坐标（</w:t>
            </w:r>
            <w:r>
              <w:rPr>
                <w:rFonts w:hint="default" w:ascii="Times New Roman" w:hAnsi="Times New Roman" w:cs="Times New Roman"/>
                <w:color w:val="auto"/>
                <w:sz w:val="24"/>
                <w:szCs w:val="24"/>
                <w:u w:val="single"/>
                <w:lang w:val="en-US" w:eastAsia="zh-CN"/>
              </w:rPr>
              <w:t>106</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2</w:t>
            </w:r>
            <w:r>
              <w:rPr>
                <w:rFonts w:hint="eastAsia" w:cs="Times New Roman"/>
                <w:color w:val="auto"/>
                <w:sz w:val="24"/>
                <w:szCs w:val="24"/>
                <w:u w:val="single"/>
                <w:lang w:val="en-US" w:eastAsia="zh-CN"/>
              </w:rPr>
              <w:t>0</w:t>
            </w:r>
            <w:r>
              <w:rPr>
                <w:rFonts w:hint="default" w:ascii="Times New Roman" w:hAnsi="Times New Roman" w:cs="Times New Roman"/>
                <w:color w:val="auto"/>
                <w:sz w:val="24"/>
                <w:szCs w:val="24"/>
              </w:rPr>
              <w:t>分</w:t>
            </w:r>
            <w:r>
              <w:rPr>
                <w:rFonts w:hint="eastAsia" w:cs="Times New Roman"/>
                <w:color w:val="auto"/>
                <w:sz w:val="24"/>
                <w:szCs w:val="24"/>
                <w:u w:val="single"/>
                <w:lang w:val="en-US" w:eastAsia="zh-CN"/>
              </w:rPr>
              <w:t>12.340</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lang w:val="en-US" w:eastAsia="zh-CN"/>
              </w:rPr>
              <w:t>35</w:t>
            </w:r>
            <w:r>
              <w:rPr>
                <w:rFonts w:hint="default" w:ascii="Times New Roman" w:hAnsi="Times New Roman" w:cs="Times New Roman"/>
                <w:color w:val="auto"/>
                <w:sz w:val="24"/>
                <w:szCs w:val="24"/>
              </w:rPr>
              <w:t>度</w:t>
            </w:r>
            <w:r>
              <w:rPr>
                <w:rFonts w:hint="eastAsia" w:cs="Times New Roman"/>
                <w:color w:val="auto"/>
                <w:sz w:val="24"/>
                <w:szCs w:val="24"/>
                <w:u w:val="single"/>
                <w:lang w:val="en-US" w:eastAsia="zh-CN"/>
              </w:rPr>
              <w:t>28</w:t>
            </w:r>
            <w:r>
              <w:rPr>
                <w:rFonts w:hint="default" w:ascii="Times New Roman" w:hAnsi="Times New Roman" w:cs="Times New Roman"/>
                <w:color w:val="auto"/>
                <w:sz w:val="24"/>
                <w:szCs w:val="24"/>
              </w:rPr>
              <w:t>分</w:t>
            </w:r>
            <w:r>
              <w:rPr>
                <w:rFonts w:hint="eastAsia" w:cs="Times New Roman"/>
                <w:color w:val="auto"/>
                <w:sz w:val="24"/>
                <w:szCs w:val="24"/>
                <w:u w:val="single"/>
                <w:lang w:val="en-US" w:eastAsia="zh-CN"/>
              </w:rPr>
              <w:t>49.603</w:t>
            </w:r>
            <w:r>
              <w:rPr>
                <w:rFonts w:hint="default" w:ascii="Times New Roman" w:hAnsi="Times New Roman" w:cs="Times New Roman"/>
                <w:color w:val="auto"/>
                <w:sz w:val="24"/>
                <w:szCs w:val="24"/>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国民经济</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C2625有机肥料及微生物肥料制造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bookmarkStart w:id="1" w:name="_Hlk49843745"/>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bookmarkEnd w:id="1"/>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numPr>
                <w:ilvl w:val="0"/>
                <w:numId w:val="0"/>
              </w:numPr>
              <w:kinsoku/>
              <w:wordWrap/>
              <w:overflowPunct/>
              <w:topLinePunct w:val="0"/>
              <w:bidi w:val="0"/>
              <w:adjustRightInd w:val="0"/>
              <w:snapToGrid w:val="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二十三、化学原料和化学制品制造业45肥料制造中“其他”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建设性质</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新建（迁建）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改建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扩建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技术改造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申报情形</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首次申报项目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不予批准后再次申报项目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超五年重新审核项目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项目审批（核准/备案）部门（选填）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泾源县审批服务管理局</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项目审批（核准/备案）文号（选填）</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总投资（万元）</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228.46</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环保投资（万元）</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环保投资占比（%）</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19.52</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施工工期</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是否开工建设</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否</w:t>
            </w:r>
          </w:p>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u w:val="single"/>
              </w:rPr>
              <w:t xml:space="preserve">             </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pacing w:val="-6"/>
                <w:sz w:val="24"/>
                <w:szCs w:val="24"/>
              </w:rPr>
            </w:pPr>
            <w:r>
              <w:rPr>
                <w:rFonts w:hint="default" w:ascii="Times New Roman" w:hAnsi="Times New Roman" w:cs="Times New Roman"/>
                <w:b/>
                <w:bCs/>
                <w:color w:val="auto"/>
                <w:spacing w:val="-6"/>
                <w:sz w:val="24"/>
                <w:szCs w:val="24"/>
              </w:rPr>
              <w:t>用地（用海）</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pacing w:val="-6"/>
                <w:sz w:val="24"/>
                <w:szCs w:val="24"/>
              </w:rPr>
              <w:t>面积（m</w:t>
            </w:r>
            <w:r>
              <w:rPr>
                <w:rFonts w:hint="default" w:ascii="Times New Roman" w:hAnsi="Times New Roman" w:cs="Times New Roman"/>
                <w:b/>
                <w:bCs/>
                <w:color w:val="auto"/>
                <w:spacing w:val="-6"/>
                <w:sz w:val="24"/>
                <w:szCs w:val="24"/>
                <w:vertAlign w:val="superscript"/>
              </w:rPr>
              <w:t>2</w:t>
            </w:r>
            <w:r>
              <w:rPr>
                <w:rFonts w:hint="default" w:ascii="Times New Roman" w:hAnsi="Times New Roman" w:cs="Times New Roman"/>
                <w:b/>
                <w:bCs/>
                <w:color w:val="auto"/>
                <w:spacing w:val="-6"/>
                <w:sz w:val="24"/>
                <w:szCs w:val="24"/>
              </w:rPr>
              <w:t>）</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b w:val="0"/>
                <w:bCs w:val="0"/>
                <w:color w:val="auto"/>
                <w:sz w:val="24"/>
                <w:szCs w:val="24"/>
                <w:lang w:val="en-US" w:eastAsia="zh-CN"/>
              </w:rPr>
              <w:t>现有厂区内建设，不新增用地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专项评价设置情况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83" w:type="pct"/>
            <w:tcBorders>
              <w:tl2br w:val="nil"/>
              <w:tr2bl w:val="nil"/>
            </w:tcBorders>
            <w:noWrap w:val="0"/>
            <w:tcMar>
              <w:left w:w="23" w:type="dxa"/>
              <w:right w:w="23"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规划环境影响评价情况</w:t>
            </w:r>
          </w:p>
        </w:tc>
        <w:tc>
          <w:tcPr>
            <w:tcW w:w="4416" w:type="pct"/>
            <w:gridSpan w:val="5"/>
            <w:tcBorders>
              <w:tl2br w:val="nil"/>
              <w:tr2bl w:val="nil"/>
            </w:tcBorders>
            <w:noWrap w:val="0"/>
            <w:tcMar>
              <w:left w:w="23" w:type="dxa"/>
              <w:right w:w="23"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 w:val="0"/>
                <w:bCs w:val="0"/>
                <w:color w:val="auto"/>
                <w:kern w:val="0"/>
                <w:sz w:val="24"/>
                <w:szCs w:val="24"/>
                <w:lang w:eastAsia="zh-CN"/>
              </w:rPr>
            </w:pPr>
            <w:r>
              <w:rPr>
                <w:rFonts w:hint="default" w:ascii="Times New Roman" w:hAnsi="Times New Roman" w:cs="Times New Roman"/>
                <w:b w:val="0"/>
                <w:bCs w:val="0"/>
                <w:snapToGrid w:val="0"/>
                <w:color w:val="auto"/>
                <w:kern w:val="0"/>
                <w:sz w:val="24"/>
                <w:szCs w:val="3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1778" w:hRule="atLeast"/>
          <w:jc w:val="center"/>
        </w:trPr>
        <w:tc>
          <w:tcPr>
            <w:tcW w:w="583"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规划及规划环境影响评价符合性分析</w:t>
            </w:r>
          </w:p>
        </w:tc>
        <w:tc>
          <w:tcPr>
            <w:tcW w:w="441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无</w:t>
            </w:r>
          </w:p>
        </w:tc>
      </w:tr>
    </w:tbl>
    <w:p>
      <w:pPr>
        <w:rPr>
          <w:rFonts w:hint="default" w:ascii="Times New Roman" w:hAnsi="Times New Roman" w:cs="Times New Roman"/>
          <w:color w:val="auto"/>
        </w:rPr>
        <w:sectPr>
          <w:footerReference r:id="rId6"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2" w:hRule="atLeast"/>
          <w:jc w:val="center"/>
        </w:trPr>
        <w:tc>
          <w:tcPr>
            <w:tcW w:w="355"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其他符合性分析</w:t>
            </w:r>
          </w:p>
        </w:tc>
        <w:tc>
          <w:tcPr>
            <w:tcW w:w="4644" w:type="pct"/>
            <w:tcBorders>
              <w:tl2br w:val="nil"/>
              <w:tr2bl w:val="nil"/>
            </w:tcBorders>
            <w:noWrap w:val="0"/>
            <w:tcMar>
              <w:left w:w="23" w:type="dxa"/>
              <w:right w:w="23" w:type="dxa"/>
            </w:tcMar>
            <w:vAlign w:val="center"/>
          </w:tcPr>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一</w:t>
            </w:r>
            <w:r>
              <w:rPr>
                <w:rFonts w:hint="default" w:ascii="Times New Roman" w:hAnsi="Times New Roman" w:eastAsia="黑体" w:cs="Times New Roman"/>
                <w:b w:val="0"/>
                <w:bCs w:val="0"/>
                <w:color w:val="auto"/>
                <w:sz w:val="24"/>
                <w:szCs w:val="24"/>
              </w:rPr>
              <w:t>、与《固原市生态环境分区管控实施方案》（固政发</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2024</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28号）符合性分析</w:t>
            </w:r>
          </w:p>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1.1</w:t>
            </w:r>
            <w:r>
              <w:rPr>
                <w:rFonts w:hint="default" w:ascii="Times New Roman" w:hAnsi="Times New Roman" w:cs="Times New Roman"/>
                <w:b/>
                <w:bCs/>
                <w:snapToGrid w:val="0"/>
                <w:color w:val="auto"/>
                <w:kern w:val="0"/>
                <w:sz w:val="24"/>
                <w:szCs w:val="32"/>
                <w:lang w:val="en-US" w:eastAsia="zh-CN"/>
              </w:rPr>
              <w:t xml:space="preserve"> </w:t>
            </w:r>
            <w:r>
              <w:rPr>
                <w:rFonts w:hint="default" w:ascii="Times New Roman" w:hAnsi="Times New Roman" w:eastAsia="宋体" w:cs="Times New Roman"/>
                <w:b/>
                <w:bCs/>
                <w:snapToGrid w:val="0"/>
                <w:color w:val="auto"/>
                <w:kern w:val="0"/>
                <w:sz w:val="24"/>
                <w:szCs w:val="32"/>
                <w:lang w:val="en-US" w:eastAsia="zh-CN"/>
              </w:rPr>
              <w:t>与</w:t>
            </w:r>
            <w:r>
              <w:rPr>
                <w:rFonts w:hint="default" w:ascii="Times New Roman" w:hAnsi="Times New Roman" w:cs="Times New Roman"/>
                <w:b/>
                <w:bCs/>
                <w:snapToGrid w:val="0"/>
                <w:color w:val="auto"/>
                <w:kern w:val="0"/>
                <w:sz w:val="24"/>
                <w:szCs w:val="32"/>
                <w:lang w:val="en-US" w:eastAsia="zh-CN"/>
              </w:rPr>
              <w:t>固原市“三线一单”</w:t>
            </w:r>
            <w:r>
              <w:rPr>
                <w:rFonts w:hint="default" w:ascii="Times New Roman" w:hAnsi="Times New Roman" w:eastAsia="宋体" w:cs="Times New Roman"/>
                <w:b/>
                <w:bCs/>
                <w:snapToGrid w:val="0"/>
                <w:color w:val="auto"/>
                <w:kern w:val="0"/>
                <w:sz w:val="24"/>
                <w:szCs w:val="32"/>
                <w:lang w:val="en-US" w:eastAsia="zh-CN"/>
              </w:rPr>
              <w:t>文本符合性</w:t>
            </w:r>
            <w:r>
              <w:rPr>
                <w:rFonts w:hint="default" w:ascii="Times New Roman" w:hAnsi="Times New Roman" w:cs="Times New Roman"/>
                <w:b/>
                <w:bCs/>
                <w:snapToGrid w:val="0"/>
                <w:color w:val="auto"/>
                <w:kern w:val="0"/>
                <w:sz w:val="24"/>
                <w:szCs w:val="32"/>
                <w:lang w:val="en-US" w:eastAsia="zh-CN"/>
              </w:rPr>
              <w:t>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本项目位于固原市泾源县</w:t>
            </w:r>
            <w:r>
              <w:rPr>
                <w:rFonts w:hint="eastAsia" w:cs="Times New Roman"/>
                <w:snapToGrid w:val="0"/>
                <w:color w:val="auto"/>
                <w:kern w:val="0"/>
                <w:sz w:val="24"/>
                <w:szCs w:val="32"/>
                <w:lang w:val="en-US" w:eastAsia="zh-CN"/>
              </w:rPr>
              <w:t>香水镇城关村八组</w:t>
            </w: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，根据《固原市生态环境分区管控实施方案》（固政发[2024]28号）中附件，本项目与“固原市生态环境分区管控方案文本”符合性分析见表1-</w:t>
            </w:r>
            <w:r>
              <w:rPr>
                <w:rFonts w:hint="default" w:ascii="Times New Roman" w:hAnsi="Times New Roman" w:cs="Times New Roman"/>
                <w:snapToGrid w:val="0"/>
                <w:color w:val="auto"/>
                <w:kern w:val="0"/>
                <w:sz w:val="24"/>
                <w:szCs w:val="32"/>
                <w:lang w:val="en-US" w:eastAsia="zh-CN"/>
              </w:rPr>
              <w:t>1</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表1-1  项目与固原市生“三线一单”文本符合性一览表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443"/>
              <w:gridCol w:w="4102"/>
              <w:gridCol w:w="2370"/>
              <w:gridCol w:w="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1"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“固原市生态环境分区管控方案文本”要求</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本项目情况</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生态保护红线与生态</w:t>
                  </w:r>
                  <w:r>
                    <w:rPr>
                      <w:rFonts w:hint="default" w:ascii="Times New Roman" w:hAnsi="Times New Roman" w:cs="Times New Roman"/>
                      <w:b/>
                      <w:bCs/>
                      <w:color w:val="auto"/>
                      <w:kern w:val="0"/>
                      <w:sz w:val="21"/>
                      <w:szCs w:val="21"/>
                      <w:lang w:eastAsia="zh-CN"/>
                    </w:rPr>
                    <w:t>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1"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lang w:eastAsia="zh-CN"/>
                    </w:rPr>
                    <w:t>生态分区管控要求</w:t>
                  </w:r>
                  <w:r>
                    <w:rPr>
                      <w:rFonts w:hint="default" w:ascii="Times New Roman" w:hAnsi="Times New Roman" w:cs="Times New Roman"/>
                      <w:b w:val="0"/>
                      <w:bCs w:val="0"/>
                      <w:color w:val="auto"/>
                      <w:kern w:val="0"/>
                      <w:sz w:val="21"/>
                      <w:szCs w:val="21"/>
                      <w:lang w:eastAsia="zh-CN"/>
                    </w:rPr>
                    <w:t>：生态保护红线原则上按禁止开发区域的要求进行管理。严禁不符合主体功能定位的各类开发活动，严禁任意改变用途，确保生态保护红线内“生态功能不降低，面积不减少，性质不改变”。一般生态空间原则上按照限制开发区域的要求进行管理。严格控制新增建设用地占用一般生态空间。符合区域准入条件的建设项目，涉及占用生态空间中的林地、草原等，按有关法律法规规定办理；涉及占用生态空间中其他未作明确规定的用地，应当加强论证和管理。严格限制农业开发占用生态保护红线之外的生态空间，符合条件的农业开发项目，须依法由市县级及以上地方人民政府统筹安排。有序引导生态空间用途之间的相互转变，鼓励向有利于生态功能提升的方向转变，严格禁止不符合生态保护要求或有损生态功能的相互转换。</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对照</w:t>
                  </w:r>
                  <w:r>
                    <w:rPr>
                      <w:rFonts w:hint="default" w:ascii="Times New Roman" w:hAnsi="Times New Roman" w:cs="Times New Roman"/>
                      <w:color w:val="auto"/>
                      <w:kern w:val="0"/>
                      <w:sz w:val="21"/>
                      <w:szCs w:val="21"/>
                      <w:lang w:eastAsia="zh-CN"/>
                    </w:rPr>
                    <w:t>固原市“三线一单”</w:t>
                  </w:r>
                  <w:r>
                    <w:rPr>
                      <w:rFonts w:hint="default" w:ascii="Times New Roman" w:hAnsi="Times New Roman" w:cs="Times New Roman"/>
                      <w:color w:val="auto"/>
                      <w:kern w:val="0"/>
                      <w:sz w:val="21"/>
                      <w:szCs w:val="21"/>
                    </w:rPr>
                    <w:t>图集</w:t>
                  </w:r>
                  <w:r>
                    <w:rPr>
                      <w:rFonts w:hint="default" w:ascii="Times New Roman" w:hAnsi="Times New Roman" w:cs="Times New Roman"/>
                      <w:color w:val="auto"/>
                      <w:kern w:val="0"/>
                      <w:sz w:val="21"/>
                      <w:szCs w:val="21"/>
                      <w:lang w:val="en-US" w:eastAsia="zh-CN"/>
                    </w:rPr>
                    <w:t>中生态保护红线图可知</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项目不在</w:t>
                  </w:r>
                  <w:r>
                    <w:rPr>
                      <w:rFonts w:hint="default" w:ascii="Times New Roman" w:hAnsi="Times New Roman" w:cs="Times New Roman"/>
                      <w:color w:val="auto"/>
                      <w:kern w:val="0"/>
                      <w:sz w:val="21"/>
                      <w:szCs w:val="21"/>
                    </w:rPr>
                    <w:t>生态保护红线范围</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生态</w:t>
                  </w:r>
                  <w:r>
                    <w:rPr>
                      <w:rFonts w:hint="default" w:ascii="Times New Roman" w:hAnsi="Times New Roman" w:cs="Times New Roman"/>
                      <w:color w:val="auto"/>
                      <w:kern w:val="0"/>
                      <w:sz w:val="21"/>
                      <w:szCs w:val="21"/>
                      <w:lang w:eastAsia="zh-CN"/>
                    </w:rPr>
                    <w:t>保护</w:t>
                  </w:r>
                  <w:r>
                    <w:rPr>
                      <w:rFonts w:hint="default" w:ascii="Times New Roman" w:hAnsi="Times New Roman" w:cs="Times New Roman"/>
                      <w:color w:val="auto"/>
                      <w:kern w:val="0"/>
                      <w:sz w:val="21"/>
                      <w:szCs w:val="21"/>
                    </w:rPr>
                    <w:t>红线</w:t>
                  </w:r>
                  <w:r>
                    <w:rPr>
                      <w:rFonts w:hint="default" w:ascii="Times New Roman" w:hAnsi="Times New Roman" w:cs="Times New Roman"/>
                      <w:color w:val="auto"/>
                      <w:kern w:val="0"/>
                      <w:sz w:val="21"/>
                      <w:szCs w:val="21"/>
                      <w:lang w:eastAsia="zh-CN"/>
                    </w:rPr>
                    <w:t>图</w:t>
                  </w:r>
                  <w:r>
                    <w:rPr>
                      <w:rFonts w:hint="default" w:ascii="Times New Roman" w:hAnsi="Times New Roman" w:cs="Times New Roman"/>
                      <w:color w:val="auto"/>
                      <w:kern w:val="0"/>
                      <w:sz w:val="21"/>
                      <w:szCs w:val="21"/>
                    </w:rPr>
                    <w:t>位置关系见附图1-</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环境质量底线及分区管控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水环境分区管控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以水环境控制单元为基本单元，分析各控制单元的功能定位，结合水质超标区域分布，基于水环境系统评价结果，得到固原市水环境管控分区。固原市水环境管控分区共分为三大类：水环境优先保护区、水环境重点管控区(含水环境工业污染源重点管控区、水环境农业污染源重点管控区、水环境城镇生活污染源重点管控区)和水环境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对照固原市“三线一单”图集中水环境分区管控图可知，项目处于一般管控区。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水环境管控</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位置关系见附图</w:t>
                  </w:r>
                  <w:r>
                    <w:rPr>
                      <w:rFonts w:hint="default" w:ascii="Times New Roman" w:hAnsi="Times New Roman" w:cs="Times New Roman"/>
                      <w:color w:val="auto"/>
                      <w:kern w:val="0"/>
                      <w:sz w:val="21"/>
                      <w:szCs w:val="21"/>
                      <w:lang w:val="en-US" w:eastAsia="zh-CN"/>
                    </w:rPr>
                    <w:t>1-2</w:t>
                  </w:r>
                  <w:r>
                    <w:rPr>
                      <w:rFonts w:hint="default" w:ascii="Times New Roman" w:hAnsi="Times New Roman" w:cs="Times New Roman"/>
                      <w:color w:val="auto"/>
                      <w:kern w:val="0"/>
                      <w:sz w:val="21"/>
                      <w:szCs w:val="21"/>
                    </w:rPr>
                    <w:t>。</w:t>
                  </w:r>
                </w:p>
              </w:tc>
              <w:tc>
                <w:tcPr>
                  <w:tcW w:w="435"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一般管控</w:t>
                  </w:r>
                  <w:r>
                    <w:rPr>
                      <w:rFonts w:hint="eastAsia" w:cs="Times New Roman"/>
                      <w:b/>
                      <w:bCs/>
                      <w:color w:val="auto"/>
                      <w:kern w:val="0"/>
                      <w:sz w:val="21"/>
                      <w:szCs w:val="21"/>
                      <w:lang w:eastAsia="zh-CN"/>
                    </w:rPr>
                    <w:t>区</w:t>
                  </w:r>
                  <w:r>
                    <w:rPr>
                      <w:rFonts w:hint="default" w:ascii="Times New Roman" w:hAnsi="Times New Roman" w:cs="Times New Roman"/>
                      <w:b/>
                      <w:bCs/>
                      <w:color w:val="auto"/>
                      <w:kern w:val="0"/>
                      <w:sz w:val="21"/>
                      <w:szCs w:val="21"/>
                    </w:rPr>
                    <w:t>要求：</w:t>
                  </w:r>
                  <w:r>
                    <w:rPr>
                      <w:rFonts w:hint="default" w:ascii="Times New Roman" w:hAnsi="Times New Roman" w:cs="Times New Roman"/>
                      <w:b w:val="0"/>
                      <w:bCs w:val="0"/>
                      <w:color w:val="auto"/>
                      <w:kern w:val="0"/>
                      <w:sz w:val="21"/>
                      <w:szCs w:val="21"/>
                      <w:lang w:eastAsia="zh-CN"/>
                    </w:rPr>
                    <w:t>对于水环境优先保护区、重点管控区外，现状水质达标的控制断面所对应的一般管控区，应落实《中华人民共和国水污染防治法》等相关法律法规的总体要求，加强水资源节约和保护，积极推动水生态修复治理，持续深入推进水污染防治，改善水环境质量。</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color w:val="auto"/>
                      <w:kern w:val="0"/>
                      <w:sz w:val="21"/>
                      <w:szCs w:val="21"/>
                      <w:lang w:eastAsia="zh-CN"/>
                    </w:rPr>
                    <w:t>根据工程分析，本项目无生产废水产生，不新增劳动定员，不新增生活污水，故项目建设对周边水环境影响较小。</w:t>
                  </w:r>
                </w:p>
              </w:tc>
              <w:tc>
                <w:tcPr>
                  <w:tcW w:w="435"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大气环境分区管控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基于区域大气环境流场模拟结果，考虑人口分布、大气污染传输规律和土地利用现状等，识别模拟网格单元主导属性，将全市划分为大气环境优先保护区、大气环境重点管控区和大气环境一般管控区，实施分类管理。</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对照固原市“三线一单”图集中大气环境管控分区图可知，项目位于大气环境受体敏感重点管控区</w:t>
                  </w:r>
                  <w:r>
                    <w:rPr>
                      <w:rFonts w:hint="default" w:ascii="Times New Roman" w:hAnsi="Times New Roman" w:cs="Times New Roman"/>
                      <w:color w:val="auto"/>
                      <w:sz w:val="21"/>
                      <w:szCs w:val="21"/>
                    </w:rPr>
                    <w:t>，项目与</w:t>
                  </w:r>
                  <w:r>
                    <w:rPr>
                      <w:rFonts w:hint="default" w:ascii="Times New Roman" w:hAnsi="Times New Roman" w:cs="Times New Roman"/>
                      <w:color w:val="auto"/>
                      <w:sz w:val="21"/>
                      <w:szCs w:val="21"/>
                      <w:lang w:eastAsia="zh-CN"/>
                    </w:rPr>
                    <w:t>固原市</w:t>
                  </w:r>
                  <w:r>
                    <w:rPr>
                      <w:rFonts w:hint="default" w:ascii="Times New Roman" w:hAnsi="Times New Roman" w:cs="Times New Roman"/>
                      <w:color w:val="auto"/>
                      <w:sz w:val="21"/>
                      <w:szCs w:val="21"/>
                    </w:rPr>
                    <w:t>大气环境管控</w:t>
                  </w:r>
                  <w:r>
                    <w:rPr>
                      <w:rFonts w:hint="default" w:ascii="Times New Roman" w:hAnsi="Times New Roman" w:cs="Times New Roman"/>
                      <w:color w:val="auto"/>
                      <w:sz w:val="21"/>
                      <w:szCs w:val="21"/>
                      <w:lang w:eastAsia="zh-CN"/>
                    </w:rPr>
                    <w:t>分区</w:t>
                  </w:r>
                  <w:r>
                    <w:rPr>
                      <w:rFonts w:hint="default" w:ascii="Times New Roman" w:hAnsi="Times New Roman" w:cs="Times New Roman"/>
                      <w:color w:val="auto"/>
                      <w:sz w:val="21"/>
                      <w:szCs w:val="21"/>
                    </w:rPr>
                    <w:t>位置关系见附图1</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p>
              </w:tc>
              <w:tc>
                <w:tcPr>
                  <w:tcW w:w="435"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b/>
                      <w:bCs/>
                      <w:color w:val="auto"/>
                      <w:sz w:val="21"/>
                      <w:szCs w:val="21"/>
                      <w:lang w:eastAsia="zh-CN"/>
                    </w:rPr>
                    <w:t>大气环境受体敏感重点管控区：</w:t>
                  </w:r>
                  <w:r>
                    <w:rPr>
                      <w:rFonts w:hint="default" w:ascii="Times New Roman" w:hAnsi="Times New Roman" w:cs="Times New Roman"/>
                      <w:b w:val="0"/>
                      <w:bCs w:val="0"/>
                      <w:color w:val="auto"/>
                      <w:sz w:val="21"/>
                      <w:szCs w:val="21"/>
                      <w:lang w:eastAsia="zh-CN"/>
                    </w:rPr>
                    <w:t>推进固原市区、四县县城、乡镇所在地和城市周边等重点区域清洁供暖。禁止在高排放非道路移动机械禁止使用区域内使用污染物排放达不到GB36886中规定的Ⅲ类限值标准或排放黑烟等明显可视污染物的非道路移动柴油工程机械。严格落实建筑、拆迁工地“6个100%”防控措施，最大限度减少城市建成区裸露地面，提高城市建成区道路机械化清扫率。严格限制产生和排放有毒有害大气污染物项目，鼓励现有该类项目逐步搬迁退出。禁止焚烧产生有毒有害烟尘和恶臭气体的物质。加强餐饮业燃料烟气及餐饮油烟防治，鼓励餐饮业及居民生活能源使用天然气、液化石油气、生物酒精等洁净能源。加快新能源汽车推广使用，推进新能源汽车有序替换存量燃油公交车。</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根据工程分析可知，本项目污染物主要为颗粒物、氨、硫化氢及臭气浓度均不属于有毒有害大气污染物</w:t>
                  </w:r>
                  <w:r>
                    <w:rPr>
                      <w:rFonts w:hint="default" w:ascii="Times New Roman" w:hAnsi="Times New Roman" w:cs="Times New Roman"/>
                      <w:color w:val="auto"/>
                      <w:kern w:val="0"/>
                      <w:sz w:val="21"/>
                      <w:szCs w:val="21"/>
                      <w:lang w:val="en-US" w:eastAsia="zh-CN"/>
                    </w:rPr>
                    <w:t>，另外项目属于有机肥制造项目，不涉及焚烧、餐饮等。</w:t>
                  </w:r>
                </w:p>
              </w:tc>
              <w:tc>
                <w:tcPr>
                  <w:tcW w:w="435"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土壤污染风险防控底线及分区管控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根据土壤环境质量现状、土地利用现状，综合考虑农用地土壤污染状况详查和重点行业企业用地详查结果，衔接现有污染地块名录、土壤环境重点监管企业清单等，将全市划分为农用地</w:t>
                  </w:r>
                  <w:r>
                    <w:rPr>
                      <w:rFonts w:hint="default" w:ascii="Times New Roman" w:hAnsi="Times New Roman" w:cs="Times New Roman"/>
                      <w:color w:val="auto"/>
                      <w:kern w:val="0"/>
                      <w:sz w:val="21"/>
                      <w:szCs w:val="21"/>
                      <w:lang w:eastAsia="zh-CN"/>
                    </w:rPr>
                    <w:t>优先保护区和土壤一般管控区。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固原市“三线一单”图集中土壤污染风险分区管控图可知，</w:t>
                  </w:r>
                  <w:r>
                    <w:rPr>
                      <w:rFonts w:hint="default" w:ascii="Times New Roman" w:hAnsi="Times New Roman" w:cs="Times New Roman"/>
                      <w:color w:val="auto"/>
                      <w:kern w:val="0"/>
                      <w:sz w:val="21"/>
                      <w:szCs w:val="21"/>
                      <w:lang w:eastAsia="zh-CN"/>
                    </w:rPr>
                    <w:t>项目位于一般管控区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土壤污染风险</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管控位置关系见附图1-</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w:t>
                  </w:r>
                </w:p>
              </w:tc>
              <w:tc>
                <w:tcPr>
                  <w:tcW w:w="435"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一般管控区管控要求</w:t>
                  </w:r>
                  <w:r>
                    <w:rPr>
                      <w:rFonts w:hint="default" w:ascii="Times New Roman" w:hAnsi="Times New Roman" w:cs="Times New Roman"/>
                      <w:b/>
                      <w:bCs/>
                      <w:color w:val="auto"/>
                      <w:kern w:val="0"/>
                      <w:sz w:val="21"/>
                      <w:szCs w:val="21"/>
                    </w:rPr>
                    <w:t>：</w:t>
                  </w:r>
                  <w:r>
                    <w:rPr>
                      <w:rFonts w:hint="default" w:ascii="Times New Roman" w:hAnsi="Times New Roman" w:cs="Times New Roman"/>
                      <w:color w:val="auto"/>
                      <w:kern w:val="0"/>
                      <w:sz w:val="21"/>
                      <w:szCs w:val="21"/>
                    </w:rPr>
                    <w:t>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lang w:val="en-US" w:eastAsia="zh-CN"/>
                    </w:rPr>
                    <w:t>在宁夏泾源县六盘山牧业有限责任公司</w:t>
                  </w:r>
                  <w:r>
                    <w:rPr>
                      <w:rFonts w:hint="default" w:ascii="Times New Roman" w:hAnsi="Times New Roman" w:eastAsia="宋体" w:cs="Times New Roman"/>
                      <w:color w:val="auto"/>
                      <w:sz w:val="21"/>
                      <w:szCs w:val="21"/>
                      <w:highlight w:val="none"/>
                      <w:lang w:val="en-US" w:eastAsia="zh-CN"/>
                    </w:rPr>
                    <w:t>现有厂区内</w:t>
                  </w:r>
                  <w:r>
                    <w:rPr>
                      <w:rFonts w:hint="default" w:ascii="Times New Roman" w:hAnsi="Times New Roman" w:cs="Times New Roman"/>
                      <w:color w:val="auto"/>
                      <w:sz w:val="21"/>
                      <w:szCs w:val="21"/>
                      <w:highlight w:val="none"/>
                      <w:lang w:val="en-US" w:eastAsia="zh-CN"/>
                    </w:rPr>
                    <w:t>进行建设，不新增用地，同时项目采取了分区防渗，在采取相应的防渗措施的前提下，可有效阻隔对土壤的污染途径。另外，项目为有机肥制造项目，不属于有色金属冶炼、焦化等行业</w:t>
                  </w:r>
                  <w:r>
                    <w:rPr>
                      <w:rFonts w:hint="default" w:ascii="Times New Roman" w:hAnsi="Times New Roman" w:cs="Times New Roman"/>
                      <w:color w:val="auto"/>
                      <w:kern w:val="0"/>
                      <w:sz w:val="21"/>
                      <w:szCs w:val="21"/>
                      <w:lang w:eastAsia="zh-CN"/>
                    </w:rPr>
                    <w:t>。</w:t>
                  </w:r>
                </w:p>
              </w:tc>
              <w:tc>
                <w:tcPr>
                  <w:tcW w:w="435"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资源利用上线</w:t>
                  </w:r>
                  <w:r>
                    <w:rPr>
                      <w:rFonts w:hint="default" w:ascii="Times New Roman" w:hAnsi="Times New Roman" w:cs="Times New Roman"/>
                      <w:b/>
                      <w:bCs/>
                      <w:color w:val="auto"/>
                      <w:kern w:val="0"/>
                      <w:sz w:val="21"/>
                      <w:szCs w:val="21"/>
                      <w:lang w:eastAsia="zh-CN"/>
                    </w:rPr>
                    <w:t>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能源（煤炭）资源利用上线及分区管控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eastAsia="zh-CN"/>
                    </w:rPr>
                    <w:t>为推动环境空气质量持续改善，实现减污降碳协同增效，根据技术指南要求，提出能源利用上线管控指标。按照《自治区人民政府关于印发宁夏回族自治区“十四五”节能减排综合工作实施方案的通知》(宁政发</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2022]30号)要求，到2025年，全市单位地区生产总值能耗降低基本目标为13%，激励目标为14%。具体考核办法按照自治区发展改革委关于印发《完善能耗强度和总量双控制度推动经济平稳发展若干政策措施》的通知执行。按照《关于统筹和加强应对气候变化与生态环境保护相关工作的指导意见》(环综合</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2021]4号)的有关要求，将应对气候变化要求纳入生态环境分区管控体系，推动减污降碳协同增效。全市碳排放强度累计降低值按照自治区要求执行。</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lang w:val="en-US" w:eastAsia="zh-CN"/>
                    </w:rPr>
                    <w:t>本项目不涉及煤炭的使用。</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水资源利用上线及分区管控</w:t>
                  </w:r>
                </w:p>
              </w:tc>
              <w:tc>
                <w:tcPr>
                  <w:tcW w:w="2709" w:type="pct"/>
                  <w:gridSpan w:val="2"/>
                  <w:noWrap w:val="0"/>
                  <w:vAlign w:val="center"/>
                </w:tcPr>
                <w:p>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bCs/>
                      <w:color w:val="auto"/>
                      <w:sz w:val="21"/>
                      <w:szCs w:val="21"/>
                      <w:highlight w:val="none"/>
                      <w:lang w:eastAsia="zh-CN"/>
                    </w:rPr>
                    <w:t>水资源分区管控要求</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坚持以水定城、以水定地、以水定人、以水定产，科学配置水资源，严格能耗物耗准入门槛，支撑发展刚需。细化覆盖各行业各领域的节水定额标准，对水资源超载地区实行用水和项目“双限批”。推广农业成套综合节水技术，大力发展节水型农业及工业、涵水型林业。实施工业节水增效行动，改造建设节水型工业园区，推动传统高耗水行业转型升级。鼓励西吉、隆德、泾源、彭阳四县根据实际选择重点区域先行开展海绵化改造和建设。</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本项目新鲜水用水量为</w:t>
                  </w:r>
                  <w:r>
                    <w:rPr>
                      <w:rFonts w:hint="default" w:ascii="Times New Roman" w:hAnsi="Times New Roman" w:cs="Times New Roman"/>
                      <w:color w:val="auto"/>
                      <w:kern w:val="0"/>
                      <w:sz w:val="21"/>
                      <w:szCs w:val="21"/>
                      <w:highlight w:val="none"/>
                      <w:lang w:val="en-US" w:eastAsia="zh-CN"/>
                    </w:rPr>
                    <w:t>198</w:t>
                  </w:r>
                  <w:r>
                    <w:rPr>
                      <w:rFonts w:hint="default" w:ascii="Times New Roman" w:hAnsi="Times New Roman" w:cs="Times New Roman"/>
                      <w:color w:val="auto"/>
                      <w:sz w:val="21"/>
                      <w:szCs w:val="21"/>
                      <w:highlight w:val="none"/>
                      <w:lang w:val="en-US" w:eastAsia="zh-CN"/>
                    </w:rPr>
                    <w:t>m³/a</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根据《2023年宁夏水资源公报》，固原市泾源县水资源总量约为1.428亿m³，项目水资源消耗量约占区域水资源总量的0.000138%，</w:t>
                  </w:r>
                  <w:r>
                    <w:rPr>
                      <w:rFonts w:hint="default" w:ascii="Times New Roman" w:hAnsi="Times New Roman" w:eastAsia="宋体" w:cs="Times New Roman"/>
                      <w:color w:val="auto"/>
                      <w:sz w:val="21"/>
                      <w:szCs w:val="21"/>
                      <w:highlight w:val="none"/>
                      <w:lang w:val="en-US" w:eastAsia="zh-CN"/>
                    </w:rPr>
                    <w:t>对区域</w:t>
                  </w:r>
                  <w:r>
                    <w:rPr>
                      <w:rFonts w:hint="default" w:ascii="Times New Roman" w:hAnsi="Times New Roman" w:eastAsia="宋体" w:cs="Times New Roman"/>
                      <w:color w:val="auto"/>
                      <w:sz w:val="21"/>
                      <w:szCs w:val="21"/>
                      <w:highlight w:val="none"/>
                      <w:lang w:eastAsia="zh-CN"/>
                    </w:rPr>
                    <w:t>水资源利用上线</w:t>
                  </w:r>
                  <w:r>
                    <w:rPr>
                      <w:rFonts w:hint="default" w:ascii="Times New Roman" w:hAnsi="Times New Roman" w:eastAsia="宋体" w:cs="Times New Roman"/>
                      <w:color w:val="auto"/>
                      <w:sz w:val="21"/>
                      <w:szCs w:val="21"/>
                      <w:highlight w:val="none"/>
                      <w:lang w:val="en-US" w:eastAsia="zh-CN"/>
                    </w:rPr>
                    <w:t>影响较小。</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土地资源利用上线及分区管控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土地资源重点管控区：从生态环境保护的角度出发，综合考虑生态保护红线、永久基本农田等保护区域的面积，可开发利用土地资源的存量，以及土地资源的集约利用水平等因素，评价各区县在土地资源开发利用与生态环境保护方面的潜在矛盾程度。将原州区、西吉县、隆德县、泾源县等4个区县确定为土地资源重点管控区。强化工业项目节约用地评价，严控新增建设用地规模，盘活利用批而未供和闲置土地，全面实施节地水平、产出效益双提升行动，不断提升土地利用效率。实行最严格的耕地保护制度，健全和落实耕地保护执法监管共同责任机制，严守永久基本农田，严管城镇开发边界，严格落实耕地占补平衡。</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val="en-US" w:eastAsia="zh-CN"/>
                    </w:rPr>
                    <w:t>本项目在</w:t>
                  </w:r>
                  <w:r>
                    <w:rPr>
                      <w:rFonts w:hint="default" w:ascii="Times New Roman" w:hAnsi="Times New Roman" w:cs="Times New Roman"/>
                      <w:color w:val="auto"/>
                      <w:sz w:val="21"/>
                      <w:szCs w:val="21"/>
                      <w:highlight w:val="none"/>
                      <w:lang w:val="en-US" w:eastAsia="zh-CN"/>
                    </w:rPr>
                    <w:t>宁夏泾源县六盘山牧业有限责任公司</w:t>
                  </w:r>
                  <w:r>
                    <w:rPr>
                      <w:rFonts w:hint="default" w:ascii="Times New Roman" w:hAnsi="Times New Roman" w:eastAsia="宋体" w:cs="Times New Roman"/>
                      <w:color w:val="auto"/>
                      <w:sz w:val="21"/>
                      <w:szCs w:val="21"/>
                      <w:highlight w:val="none"/>
                      <w:lang w:val="en-US" w:eastAsia="zh-CN"/>
                    </w:rPr>
                    <w:t>现有厂区内建设，不新增用地，</w:t>
                  </w:r>
                  <w:r>
                    <w:rPr>
                      <w:rFonts w:hint="default" w:ascii="Times New Roman" w:hAnsi="Times New Roman" w:eastAsia="宋体" w:cs="Times New Roman"/>
                      <w:color w:val="auto"/>
                      <w:sz w:val="21"/>
                      <w:szCs w:val="21"/>
                      <w:highlight w:val="none"/>
                    </w:rPr>
                    <w:t>满足土地资源利用上线要求。</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环境管控单元与准入清单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4" w:type="pct"/>
                  <w:gridSpan w:val="4"/>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对照固原市“三线一单”图集中环境管控单元图可知，</w:t>
                  </w:r>
                  <w:r>
                    <w:rPr>
                      <w:rFonts w:hint="default" w:ascii="Times New Roman" w:hAnsi="Times New Roman" w:eastAsia="宋体" w:cs="Times New Roman"/>
                      <w:color w:val="auto"/>
                      <w:sz w:val="21"/>
                      <w:szCs w:val="21"/>
                      <w:highlight w:val="none"/>
                      <w:lang w:val="en-US" w:eastAsia="zh-CN"/>
                    </w:rPr>
                    <w:t>本项目位于</w:t>
                  </w:r>
                  <w:r>
                    <w:rPr>
                      <w:rFonts w:hint="default" w:ascii="Times New Roman" w:hAnsi="Times New Roman" w:cs="Times New Roman"/>
                      <w:color w:val="auto"/>
                      <w:sz w:val="21"/>
                      <w:szCs w:val="21"/>
                      <w:highlight w:val="none"/>
                      <w:lang w:val="en-US" w:eastAsia="zh-CN"/>
                    </w:rPr>
                    <w:t>重点管控</w:t>
                  </w:r>
                  <w:r>
                    <w:rPr>
                      <w:rFonts w:hint="default" w:ascii="Times New Roman" w:hAnsi="Times New Roman" w:eastAsia="宋体" w:cs="Times New Roman"/>
                      <w:color w:val="auto"/>
                      <w:sz w:val="21"/>
                      <w:szCs w:val="21"/>
                      <w:highlight w:val="none"/>
                      <w:lang w:val="en-US" w:eastAsia="zh-CN"/>
                    </w:rPr>
                    <w:t>单元，由上</w:t>
                  </w:r>
                  <w:r>
                    <w:rPr>
                      <w:rFonts w:hint="default" w:ascii="Times New Roman" w:hAnsi="Times New Roman" w:cs="Times New Roman"/>
                      <w:color w:val="auto"/>
                      <w:sz w:val="21"/>
                      <w:szCs w:val="21"/>
                      <w:highlight w:val="none"/>
                      <w:lang w:val="en-US" w:eastAsia="zh-CN"/>
                    </w:rPr>
                    <w:t>述</w:t>
                  </w:r>
                  <w:r>
                    <w:rPr>
                      <w:rFonts w:hint="default" w:ascii="Times New Roman" w:hAnsi="Times New Roman" w:eastAsia="宋体" w:cs="Times New Roman"/>
                      <w:color w:val="auto"/>
                      <w:sz w:val="21"/>
                      <w:szCs w:val="21"/>
                      <w:highlight w:val="none"/>
                      <w:lang w:val="en-US" w:eastAsia="zh-CN"/>
                    </w:rPr>
                    <w:t>分析可知，项目建设符合生态保护红线、环境质量底线、资源利用上线的分区管控要求，本项目</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eastAsia="zh-CN"/>
                    </w:rPr>
                    <w:t>固原市</w:t>
                  </w:r>
                  <w:r>
                    <w:rPr>
                      <w:rFonts w:hint="default" w:ascii="Times New Roman" w:hAnsi="Times New Roman" w:eastAsia="宋体" w:cs="Times New Roman"/>
                      <w:color w:val="auto"/>
                      <w:sz w:val="21"/>
                      <w:szCs w:val="21"/>
                      <w:highlight w:val="none"/>
                    </w:rPr>
                    <w:t>环境管控单元位置关系见</w:t>
                  </w:r>
                  <w:r>
                    <w:rPr>
                      <w:rFonts w:hint="default" w:ascii="Times New Roman" w:hAnsi="Times New Roman" w:cs="Times New Roman"/>
                      <w:color w:val="auto"/>
                      <w:sz w:val="21"/>
                      <w:szCs w:val="21"/>
                      <w:highlight w:val="none"/>
                      <w:lang w:eastAsia="zh-CN"/>
                    </w:rPr>
                    <w:t>附</w:t>
                  </w:r>
                  <w:r>
                    <w:rPr>
                      <w:rFonts w:hint="default" w:ascii="Times New Roman" w:hAnsi="Times New Roman" w:eastAsia="宋体" w:cs="Times New Roman"/>
                      <w:color w:val="auto"/>
                      <w:sz w:val="21"/>
                      <w:szCs w:val="21"/>
                      <w:highlight w:val="none"/>
                      <w:shd w:val="clear"/>
                    </w:rPr>
                    <w:t>图</w:t>
                  </w:r>
                  <w:r>
                    <w:rPr>
                      <w:rFonts w:hint="default" w:ascii="Times New Roman" w:hAnsi="Times New Roman" w:cs="Times New Roman"/>
                      <w:color w:val="auto"/>
                      <w:sz w:val="21"/>
                      <w:szCs w:val="21"/>
                      <w:highlight w:val="none"/>
                      <w:shd w:val="clear"/>
                      <w:lang w:val="en-US" w:eastAsia="zh-CN"/>
                    </w:rPr>
                    <w:t>1-5</w:t>
                  </w:r>
                  <w:r>
                    <w:rPr>
                      <w:rFonts w:hint="default" w:ascii="Times New Roman" w:hAnsi="Times New Roman" w:eastAsia="宋体" w:cs="Times New Roman"/>
                      <w:color w:val="auto"/>
                      <w:sz w:val="21"/>
                      <w:szCs w:val="21"/>
                      <w:highlight w:val="none"/>
                      <w:lang w:eastAsia="zh-CN"/>
                    </w:rPr>
                    <w:t>。</w:t>
                  </w:r>
                </w:p>
              </w:tc>
              <w:tc>
                <w:tcPr>
                  <w:tcW w:w="435" w:type="pct"/>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b/>
                      <w:bCs/>
                      <w:color w:val="auto"/>
                      <w:sz w:val="21"/>
                      <w:szCs w:val="21"/>
                      <w:highlight w:val="none"/>
                      <w:lang w:val="en-US" w:eastAsia="zh-CN"/>
                    </w:rPr>
                    <w:t>清单内容</w:t>
                  </w:r>
                </w:p>
              </w:tc>
              <w:tc>
                <w:tcPr>
                  <w:tcW w:w="4558" w:type="pct"/>
                  <w:gridSpan w:val="4"/>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sz w:val="21"/>
                      <w:szCs w:val="21"/>
                      <w:highlight w:val="none"/>
                      <w:lang w:val="en-US" w:eastAsia="zh-CN"/>
                    </w:rPr>
                    <w:t>重点管控</w:t>
                  </w:r>
                  <w:r>
                    <w:rPr>
                      <w:rFonts w:hint="default" w:ascii="Times New Roman" w:hAnsi="Times New Roman" w:eastAsia="宋体" w:cs="Times New Roman"/>
                      <w:b/>
                      <w:bCs/>
                      <w:color w:val="auto"/>
                      <w:sz w:val="21"/>
                      <w:szCs w:val="21"/>
                      <w:highlight w:val="none"/>
                      <w:lang w:val="en-US" w:eastAsia="zh-CN"/>
                    </w:rPr>
                    <w:t>单元：</w:t>
                  </w:r>
                  <w:r>
                    <w:rPr>
                      <w:rFonts w:hint="default" w:ascii="Times New Roman" w:hAnsi="Times New Roman" w:eastAsia="宋体" w:cs="Times New Roman"/>
                      <w:color w:val="auto"/>
                      <w:sz w:val="21"/>
                      <w:szCs w:val="21"/>
                      <w:highlight w:val="none"/>
                      <w:lang w:val="en-US" w:eastAsia="zh-CN"/>
                    </w:rPr>
                    <w:t>重点从加强污染物排放管控、环境风险防控和资源开发利用效率等方面，重点提出水、大气污染防治措施、土壤污染风险防控措施和治理修复要求、水资源、土地资源和能源利用总量和效率控制要求等。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26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分维度要求</w:t>
                  </w: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空间布局约束：</w:t>
                  </w:r>
                  <w:r>
                    <w:rPr>
                      <w:rFonts w:hint="default" w:ascii="Times New Roman" w:hAnsi="Times New Roman" w:eastAsia="宋体" w:cs="Times New Roman"/>
                      <w:color w:val="auto"/>
                      <w:sz w:val="21"/>
                      <w:szCs w:val="21"/>
                      <w:highlight w:val="none"/>
                      <w:lang w:val="en-US" w:eastAsia="zh-CN"/>
                    </w:rPr>
                    <w:t>对于优先保护区，着重从允许开发建设活动、不符合空间布局要求活动的退出方案等两个方面提出空间布局约束要求。对于重点管控区，着重从禁止和限制开发建设活动的要求、不符合空间布局要求活动的退出方案等两个方面提出空间布局约束要求。对于一般管控区，可参照优先保护区或重点管控区提出空间布局约束方面的一般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本项目为有机肥制造项目，属于《产业结构调整指导目录(2024年本)》中鼓励类项目，</w:t>
                  </w:r>
                  <w:r>
                    <w:rPr>
                      <w:rFonts w:hint="default" w:ascii="Times New Roman" w:hAnsi="Times New Roman" w:eastAsia="宋体" w:cs="Times New Roman"/>
                      <w:color w:val="auto"/>
                      <w:sz w:val="21"/>
                      <w:szCs w:val="21"/>
                      <w:highlight w:val="none"/>
                      <w:lang w:val="en-US" w:eastAsia="zh-CN"/>
                    </w:rPr>
                    <w:t>符合空间布局要求</w:t>
                  </w:r>
                  <w:r>
                    <w:rPr>
                      <w:rFonts w:hint="default" w:ascii="Times New Roman" w:hAnsi="Times New Roman" w:cs="Times New Roman"/>
                      <w:color w:val="auto"/>
                      <w:sz w:val="21"/>
                      <w:szCs w:val="21"/>
                      <w:highlight w:val="none"/>
                      <w:lang w:val="en-US" w:eastAsia="zh-CN"/>
                    </w:rPr>
                    <w:t>。</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污染排放控制：</w:t>
                  </w:r>
                  <w:r>
                    <w:rPr>
                      <w:rFonts w:hint="default" w:ascii="Times New Roman" w:hAnsi="Times New Roman" w:cs="Times New Roman"/>
                      <w:color w:val="auto"/>
                      <w:sz w:val="21"/>
                      <w:szCs w:val="21"/>
                      <w:highlight w:val="none"/>
                      <w:lang w:val="en-US" w:eastAsia="zh-CN"/>
                    </w:rPr>
                    <w:t>对于重点管控区，着重从污染物达标排放、现有源排放削减、新增源倍量替代、排放标准加严等方面提出污染物排放管控要求。对一般管控区，可参照重点管控区提出一般性污染物排放管控要求。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由运营期环境影响和保护措施小节分析可知，本项目建设完成后，各项污染物在采取相应的处置措施后，均可达标排放。</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环境风险防控：</w:t>
                  </w:r>
                  <w:r>
                    <w:rPr>
                      <w:rFonts w:hint="default" w:ascii="Times New Roman" w:hAnsi="Times New Roman" w:cs="Times New Roman"/>
                      <w:color w:val="auto"/>
                      <w:sz w:val="21"/>
                      <w:szCs w:val="21"/>
                      <w:highlight w:val="none"/>
                      <w:lang w:val="en-US" w:eastAsia="zh-CN"/>
                    </w:rPr>
                    <w:t>对于各类优先保护区，着重从有毒有害污染物和易燃易爆物质风险防控等方面提出禁止准入的要求。对于重点管控区，着重从土地用途管控、有毒有害污染物和易燃易爆物质风险防控等方面提出环境风险防控要求。对于一般管控区，可参照优先保护区、重点管控区提出一般性环境风险防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由工程分析可知，本项目危险物质主要为废机油，且产生量较小，项目通过采取环境风险措施，对周围环境影响可防可控。</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资源开发效率要求：</w:t>
                  </w:r>
                  <w:r>
                    <w:rPr>
                      <w:rFonts w:hint="default" w:ascii="Times New Roman" w:hAnsi="Times New Roman" w:eastAsia="宋体" w:cs="Times New Roman"/>
                      <w:color w:val="auto"/>
                      <w:sz w:val="21"/>
                      <w:szCs w:val="21"/>
                      <w:highlight w:val="none"/>
                      <w:lang w:val="en-US" w:eastAsia="zh-CN"/>
                    </w:rPr>
                    <w:t>对于重点管控区，着重从水资源开发效率、禁燃区要求等方面提出资源开发效率要求。对于一般管控区，可参照重点管控区提出一般性资源开发效率要求。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本项目为有机肥制造项目，不涉及自然资源开发，同时项目不涉及高污染燃料燃烧。</w:t>
                  </w:r>
                </w:p>
              </w:tc>
              <w:tc>
                <w:tcPr>
                  <w:tcW w:w="43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bl>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1.2与“固原市生态环境准入清单”符合性</w:t>
            </w:r>
          </w:p>
          <w:p>
            <w:pPr>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根据《固原市生态环境分区管控实施方案》（固政发[2024]28号）中附件，本项目与固原市生态环境准入清单总体要求符合性分析见表1-2，与固原市环境管控单元生态环境准入清单符合性分析见表1-3。</w:t>
            </w:r>
          </w:p>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表1-2  固原市生态环境总体准入要求</w:t>
            </w:r>
          </w:p>
          <w:tbl>
            <w:tblPr>
              <w:tblStyle w:val="23"/>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675"/>
              <w:gridCol w:w="4414"/>
              <w:gridCol w:w="2110"/>
              <w:gridCol w:w="6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5"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管控维度</w:t>
                  </w: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准入要求</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1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空间布局约束</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禁止开发建设活动的要求</w:t>
                  </w: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严禁产能过剩行业新增产能，各开发区主导产业产值占比达到60%以上，严防发达地区淘汰退出的高污染企业落户固原。</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zh-CN" w:eastAsia="zh-CN"/>
                    </w:rPr>
                    <w:t>本项目为有机肥制造项目，属于《产业结构调整指导目录(2024年本)》中鼓励类项目，</w:t>
                  </w:r>
                  <w:r>
                    <w:rPr>
                      <w:rFonts w:hint="default" w:ascii="Times New Roman" w:hAnsi="Times New Roman" w:cs="Times New Roman"/>
                      <w:color w:val="auto"/>
                      <w:kern w:val="0"/>
                      <w:sz w:val="21"/>
                      <w:szCs w:val="21"/>
                      <w:lang w:val="en-US" w:eastAsia="zh-CN"/>
                    </w:rPr>
                    <w:t>不属于过剩行业新增产能</w:t>
                  </w:r>
                  <w:r>
                    <w:rPr>
                      <w:rFonts w:hint="default" w:ascii="Times New Roman" w:hAnsi="Times New Roman" w:eastAsia="宋体" w:cs="Times New Roman"/>
                      <w:color w:val="auto"/>
                      <w:kern w:val="0"/>
                      <w:sz w:val="21"/>
                      <w:szCs w:val="21"/>
                      <w:lang w:val="en-US" w:eastAsia="zh-CN"/>
                    </w:rPr>
                    <w:t>。</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严禁在“七河”及其重点支流临岸1公里范围内新建“两高一资”项目及相关产业园区。</w:t>
                  </w:r>
                </w:p>
              </w:tc>
              <w:tc>
                <w:tcPr>
                  <w:tcW w:w="1259" w:type="pct"/>
                  <w:tcBorders>
                    <w:tl2br w:val="nil"/>
                    <w:tr2bl w:val="nil"/>
                  </w:tcBorders>
                  <w:noWrap w:val="0"/>
                  <w:tcMar>
                    <w:top w:w="0" w:type="dxa"/>
                    <w:left w:w="51" w:type="dxa"/>
                    <w:bottom w:w="0" w:type="dxa"/>
                    <w:right w:w="51" w:type="dxa"/>
                  </w:tcMar>
                  <w:vAlign w:val="center"/>
                </w:tcPr>
                <w:p>
                  <w:pPr>
                    <w:pStyle w:val="13"/>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本项目不在“七河”及其重点支流临岸1公里范围内</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城市建成区一律禁止新建35蒸吨/小时以下燃煤锅炉。</w:t>
                  </w:r>
                </w:p>
              </w:tc>
              <w:tc>
                <w:tcPr>
                  <w:tcW w:w="1259" w:type="pct"/>
                  <w:tcBorders>
                    <w:tl2br w:val="nil"/>
                    <w:tr2bl w:val="nil"/>
                  </w:tcBorders>
                  <w:noWrap w:val="0"/>
                  <w:tcMar>
                    <w:top w:w="0" w:type="dxa"/>
                    <w:left w:w="51" w:type="dxa"/>
                    <w:bottom w:w="0" w:type="dxa"/>
                    <w:right w:w="51" w:type="dxa"/>
                  </w:tcMar>
                  <w:vAlign w:val="center"/>
                </w:tcPr>
                <w:p>
                  <w:pPr>
                    <w:pStyle w:val="13"/>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A2污染物排放管控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A2.1允许排放量要求</w:t>
                  </w: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化学需氧量、氨氮、氮氧化物、挥发性有机物减排量完成自治区下达任务。</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本项目无水污染物外排</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本项目不涉及重金属排放</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火电、水泥等重点行业及燃煤锅炉，严格按照大气污染物排放标准及特别排放限值要求执行。</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到2025年，全市工业固体废弃物综合利用率达到80%，中水利用率达到85%以上。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本项目粪污来源于</w:t>
                  </w:r>
                  <w:r>
                    <w:rPr>
                      <w:rFonts w:hint="eastAsia" w:cs="Times New Roman"/>
                      <w:b w:val="0"/>
                      <w:bCs w:val="0"/>
                      <w:color w:val="auto"/>
                      <w:sz w:val="21"/>
                      <w:szCs w:val="21"/>
                      <w:highlight w:val="none"/>
                      <w:lang w:val="en-US" w:eastAsia="zh-CN"/>
                    </w:rPr>
                    <w:t>周边</w:t>
                  </w:r>
                  <w:r>
                    <w:rPr>
                      <w:rFonts w:hint="default" w:ascii="Times New Roman" w:hAnsi="Times New Roman" w:cs="Times New Roman"/>
                      <w:b w:val="0"/>
                      <w:bCs w:val="0"/>
                      <w:color w:val="auto"/>
                      <w:sz w:val="21"/>
                      <w:szCs w:val="21"/>
                      <w:highlight w:val="none"/>
                      <w:lang w:val="en-US" w:eastAsia="zh-CN"/>
                    </w:rPr>
                    <w:t>养殖户及</w:t>
                  </w:r>
                  <w:r>
                    <w:rPr>
                      <w:rFonts w:hint="eastAsia" w:cs="Times New Roman"/>
                      <w:b w:val="0"/>
                      <w:bCs w:val="0"/>
                      <w:color w:val="auto"/>
                      <w:sz w:val="21"/>
                      <w:szCs w:val="21"/>
                      <w:highlight w:val="none"/>
                      <w:lang w:val="en-US" w:eastAsia="zh-CN"/>
                    </w:rPr>
                    <w:t>现有肉牛养殖区</w:t>
                  </w:r>
                  <w:r>
                    <w:rPr>
                      <w:rFonts w:hint="default" w:ascii="Times New Roman" w:hAnsi="Times New Roman" w:cs="Times New Roman"/>
                      <w:b w:val="0"/>
                      <w:bCs w:val="0"/>
                      <w:color w:val="auto"/>
                      <w:sz w:val="21"/>
                      <w:szCs w:val="21"/>
                      <w:highlight w:val="none"/>
                      <w:lang w:val="en-US" w:eastAsia="zh-CN"/>
                    </w:rPr>
                    <w:t>，根据企业提供资料，粪污综合利用率达100%</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现有源提标升级改造</w:t>
                  </w: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到2025年，65蒸吨/小时及以上燃煤锅炉(含电力)全面实现超低排放；所有燃气锅炉氮氧化物排放浓度低于50毫克/立方米。</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探索畜禽养殖“出户入园”模式，落实“一控两减三利用”，减少化肥和农药使用量；实现畜禽粪便、农作物秸秆、农膜资源化利用，到2025年，农业废弃物综合利用率达到94%以上。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本项目不属于畜禽养殖项目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环境风险防控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联防联控要求</w:t>
                  </w: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开展医疗、化工、石油开采和汽修等重点行业涉及危险废物排查整治，建立健全环境风险重点管控单位名录，严控危险废物贮存环节环境风险，严禁超期、超量贮存各类危险废物。</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z w:val="21"/>
                      <w:szCs w:val="21"/>
                      <w:highlight w:val="none"/>
                      <w:lang w:val="en-US" w:eastAsia="zh-CN"/>
                    </w:rPr>
                    <w:t>本项目不属于医疗、化工、石油开采和汽修等重点行业</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健全突发环境事件应急预案体系，推进跨区域、跨流域环境应急联动。</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本次评价要求建设单位编制《突发环境事件应急预案》并取得生态环境主管部门备案</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资源利用效率要求</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能源利用总量及效率要求</w:t>
                  </w: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实行煤炭消费总量控制，严控高耗煤行业新增项目。</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本项目不涉及煤炭的使用</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sz w:val="21"/>
                      <w:szCs w:val="21"/>
                    </w:rPr>
                  </w:pP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到2025年，全市单位地区生产总值能耗降低基本目标为13%，激励目标为14%。</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1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水资源利用总量及效率要求</w:t>
                  </w:r>
                </w:p>
              </w:tc>
              <w:tc>
                <w:tcPr>
                  <w:tcW w:w="263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落实节水指标纳入县（区）政绩考核，对水资源超载地区实行用水和项目“双限批”，到2025年全市用水总量控制在2.90亿立方米，单位GDP用水量较2020年下降13%。积极推广农业成套综合节水技术，到2025年农田灌溉水有效利用系数达到0.79。</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本项目用水主要为职工生活用水，用水量为198m³/a，用水量较小，对区域水环境影响较小。</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bl>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表1-3  固原市环境管控单元生态环境准入清单符合性分析一览表</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4310"/>
              <w:gridCol w:w="2139"/>
              <w:gridCol w:w="7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8" w:hRule="atLeast"/>
                <w:jc w:val="center"/>
              </w:trPr>
              <w:tc>
                <w:tcPr>
                  <w:tcW w:w="714"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类别</w:t>
                  </w:r>
                </w:p>
              </w:tc>
              <w:tc>
                <w:tcPr>
                  <w:tcW w:w="2569"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准入清单管控要求</w:t>
                  </w:r>
                </w:p>
              </w:tc>
              <w:tc>
                <w:tcPr>
                  <w:tcW w:w="1275"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本项目情况</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714"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管控单元名称</w:t>
                  </w: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泾源县重点管控单元1</w:t>
                  </w:r>
                </w:p>
              </w:tc>
              <w:tc>
                <w:tcPr>
                  <w:tcW w:w="1275"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本项目位于</w:t>
                  </w:r>
                  <w:r>
                    <w:rPr>
                      <w:rFonts w:hint="default" w:ascii="Times New Roman" w:hAnsi="Times New Roman" w:cs="Times New Roman"/>
                      <w:b w:val="0"/>
                      <w:bCs w:val="0"/>
                      <w:color w:val="auto"/>
                      <w:sz w:val="21"/>
                      <w:szCs w:val="21"/>
                      <w:lang w:val="en-US" w:eastAsia="zh-CN"/>
                    </w:rPr>
                    <w:t>重点管控单元</w:t>
                  </w:r>
                </w:p>
              </w:tc>
              <w:tc>
                <w:tcPr>
                  <w:tcW w:w="440" w:type="pct"/>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714"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序号</w:t>
                  </w: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ZH64042420002</w:t>
                  </w:r>
                </w:p>
              </w:tc>
              <w:tc>
                <w:tcPr>
                  <w:tcW w:w="1275"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0"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714"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要素属性</w:t>
                  </w: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大气环境受体敏感区＋高污染燃料禁燃区</w:t>
                  </w:r>
                </w:p>
              </w:tc>
              <w:tc>
                <w:tcPr>
                  <w:tcW w:w="1275"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0"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714" w:type="pct"/>
                  <w:vMerge w:val="restar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空间布局约束</w:t>
                  </w: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1.禁止新建涉及大规模排放大气污染物和VOCs排放的工业项目。</w:t>
                  </w:r>
                </w:p>
              </w:tc>
              <w:tc>
                <w:tcPr>
                  <w:tcW w:w="1275"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本项目不涉及</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714"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2.禁止新建涉及有毒有害大气污染物排放的项目。</w:t>
                  </w:r>
                </w:p>
              </w:tc>
              <w:tc>
                <w:tcPr>
                  <w:tcW w:w="1275"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根据工程分析，本项目污染物主要为颗粒物、氨、硫化氢及臭气浓度均不属于有毒有害大气污染物。</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714"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3.严格限制新建涉及恶臭污染物、颗粒物无组织排放的项目。</w:t>
                  </w:r>
                </w:p>
              </w:tc>
              <w:tc>
                <w:tcPr>
                  <w:tcW w:w="1275"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本项目为技改项目</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4"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污染排放管控</w:t>
                  </w: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泾源县集中供热有限责任公司应采取有效措施，减小燃煤、灰渣等物料贮存转运产生的颗粒物排放。（超低排放改造）</w:t>
                  </w:r>
                </w:p>
              </w:tc>
              <w:tc>
                <w:tcPr>
                  <w:tcW w:w="1275"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本项目不涉及</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4"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环境风险防控</w:t>
                  </w:r>
                </w:p>
              </w:tc>
              <w:tc>
                <w:tcPr>
                  <w:tcW w:w="2569"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泾源县供排水总公司泾源县污水处理厂应配套有效措施，防止因渗漏污染地下水、土壤以及因事故造成废水直排污染水体。</w:t>
                  </w:r>
                </w:p>
              </w:tc>
              <w:tc>
                <w:tcPr>
                  <w:tcW w:w="1275"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本项目不涉及</w:t>
                  </w:r>
                </w:p>
              </w:tc>
              <w:tc>
                <w:tcPr>
                  <w:tcW w:w="440"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714" w:type="pct"/>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资源开发效率</w:t>
                  </w:r>
                </w:p>
              </w:tc>
              <w:tc>
                <w:tcPr>
                  <w:tcW w:w="2569" w:type="pct"/>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高污染燃料限制使用范围内禁止销售和使用高硫高灰分劣质煤，必须使用硫分小于0.8%、灰分小于15%的优质燃煤。</w:t>
                  </w:r>
                </w:p>
              </w:tc>
              <w:tc>
                <w:tcPr>
                  <w:tcW w:w="1275" w:type="pct"/>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本项目不涉及</w:t>
                  </w:r>
                </w:p>
              </w:tc>
              <w:tc>
                <w:tcPr>
                  <w:tcW w:w="440"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本项目位于固原市泾源县</w:t>
            </w:r>
            <w:r>
              <w:rPr>
                <w:rFonts w:hint="eastAsia" w:cs="Times New Roman"/>
                <w:color w:val="auto"/>
                <w:sz w:val="24"/>
                <w:szCs w:val="24"/>
                <w:lang w:val="en-US" w:eastAsia="zh-CN"/>
              </w:rPr>
              <w:t>香水镇城关村八组宁夏泾源县六盘山牧业有限责任公司</w:t>
            </w:r>
            <w:r>
              <w:rPr>
                <w:rFonts w:hint="default" w:ascii="Times New Roman" w:hAnsi="Times New Roman" w:eastAsia="宋体" w:cs="Times New Roman"/>
                <w:color w:val="auto"/>
                <w:sz w:val="24"/>
                <w:szCs w:val="24"/>
                <w:lang w:val="en-US" w:eastAsia="zh-CN"/>
              </w:rPr>
              <w:t>现有厂区内，项目空间和产业布局合理，项目运营后，各工序产生污染物均得到有效处理，对环境影响</w:t>
            </w:r>
            <w:r>
              <w:rPr>
                <w:rFonts w:hint="default" w:ascii="Times New Roman" w:hAnsi="Times New Roman" w:cs="Times New Roman"/>
                <w:color w:val="auto"/>
                <w:sz w:val="24"/>
                <w:szCs w:val="24"/>
                <w:lang w:val="en-US" w:eastAsia="zh-CN"/>
              </w:rPr>
              <w:t>可接受</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综上，本项目的建设符合《固原市生态环境分区管控实施方案》（固政发[2024]28号）的相关要求。</w:t>
            </w:r>
          </w:p>
          <w:p>
            <w:pPr>
              <w:pStyle w:val="3"/>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二、与产业政策符合性分析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为有机肥料制造项目，对照《产业结构调整指导目录(2024年本)》，本项目属于鼓励类“一、农林业，第13条，绿色农业（全生物降解地膜、高强度易回收地膜农田示范与应用，受污染耕地风险管控与修复，符合绿色低碳循环要求的饲料、饲料添加剂、肥料、农药、兽药等优质安全环保农业投入品及绿色食品生产允许使用的食品添加剂开发，农产品及其产地环境监测技术开发和应用，有机废弃物无害化、价值化处理及</w:t>
            </w:r>
            <w:r>
              <w:rPr>
                <w:rFonts w:hint="default" w:ascii="Times New Roman" w:hAnsi="Times New Roman" w:cs="Times New Roman"/>
                <w:b/>
                <w:bCs/>
                <w:color w:val="auto"/>
                <w:sz w:val="24"/>
                <w:szCs w:val="24"/>
                <w:lang w:val="en-US" w:eastAsia="zh-CN"/>
              </w:rPr>
              <w:t>有机肥料</w:t>
            </w:r>
            <w:r>
              <w:rPr>
                <w:rFonts w:hint="default" w:ascii="Times New Roman" w:hAnsi="Times New Roman" w:cs="Times New Roman"/>
                <w:color w:val="auto"/>
                <w:sz w:val="24"/>
                <w:szCs w:val="24"/>
                <w:lang w:val="en-US" w:eastAsia="zh-CN"/>
              </w:rPr>
              <w:t>产业化技术开发与应用）”，符合国家产业政策。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eastAsia="zh-CN"/>
              </w:rPr>
            </w:pPr>
            <w:r>
              <w:rPr>
                <w:rFonts w:hint="default" w:ascii="Times New Roman" w:hAnsi="Times New Roman" w:cs="Times New Roman"/>
                <w:color w:val="auto"/>
                <w:sz w:val="24"/>
                <w:szCs w:val="24"/>
                <w:lang w:val="en-US" w:eastAsia="zh-CN"/>
              </w:rPr>
              <w:t>且项目已于2025年2月20日取得由泾源县审批服务管理局下发的“关于《泾源县农业面源污染综合治理项目初步设计》的批复”（泾审批发(2025)025号），项目代码：2502-640424-20-01-446396，批复建设内容包括粪污资源化利用工程、农业面源污染防治工程、农业面源污染治理支撑工程，本项目为农业面源污染防治工程提升改造有机肥加工厂4座中的其中1座，因此，本项目的建设符合国家及地方产业政策要求。</w:t>
            </w:r>
          </w:p>
        </w:tc>
      </w:tr>
    </w:tbl>
    <w:p>
      <w:pPr>
        <w:spacing w:line="360" w:lineRule="auto"/>
        <w:outlineLvl w:val="0"/>
        <w:rPr>
          <w:rFonts w:hint="default" w:ascii="Times New Roman" w:hAnsi="Times New Roman" w:eastAsia="黑体" w:cs="Times New Roman"/>
          <w:color w:val="auto"/>
          <w:sz w:val="30"/>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tcBorders>
              <w:tl2br w:val="nil"/>
              <w:tr2bl w:val="nil"/>
            </w:tcBorders>
            <w:noWrap w:val="0"/>
            <w:vAlign w:val="center"/>
          </w:tcPr>
          <w:p>
            <w:pPr>
              <w:pStyle w:val="19"/>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建设内容</w:t>
            </w:r>
          </w:p>
        </w:tc>
        <w:tc>
          <w:tcPr>
            <w:tcW w:w="852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highlight w:val="none"/>
                <w:lang w:val="en-US" w:eastAsia="zh-CN"/>
              </w:rPr>
            </w:pPr>
            <w:r>
              <w:rPr>
                <w:rFonts w:hint="default" w:ascii="Times New Roman" w:hAnsi="Times New Roman" w:eastAsia="黑体" w:cs="Times New Roman"/>
                <w:bCs/>
                <w:color w:val="auto"/>
                <w:sz w:val="24"/>
                <w:szCs w:val="24"/>
                <w:highlight w:val="none"/>
                <w:lang w:val="en-US" w:eastAsia="zh-CN"/>
              </w:rPr>
              <w:t>一、项目背景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根据调查，宁夏泾源县六盘山牧业有限责任公司（以下简称“建设单位”）于2014年11月5日成立，位于宁夏泾源县香水镇城关村八组，主要从事肉牛养殖及有机肥的生产与加工。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建设单位于2017年11月9日完成了“宁夏泾源县六盘山牧业有限责任公司”的建设项目环境影响登记表（见附件2）。该项目建设内容主要包括年存栏肉牛900头，建设年产5000吨有机肥生产线1条。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鉴于泾源县当前养殖户粪污的产生状况，现有的有机肥加工厂已无法满足项目区域内的粪污处理需求</w:t>
            </w:r>
            <w:r>
              <w:rPr>
                <w:rFonts w:hint="default" w:ascii="Times New Roman" w:hAnsi="Times New Roman" w:cs="Times New Roman"/>
                <w:bCs/>
                <w:color w:val="auto"/>
                <w:sz w:val="24"/>
                <w:szCs w:val="24"/>
                <w:highlight w:val="none"/>
                <w:lang w:val="en-US" w:eastAsia="zh-CN"/>
              </w:rPr>
              <w:t>，因此为改善泾源县农业生产条件和农民居住环境，提高农业生态文明程度，推行黄河流域农业面源污染综合治理，有利于促进黄河流域面源污染综合防控工作的开展，提高农产品质量，泾源县农业农村局建设“泾源县农业面源污染综合治理项目”。根据泾源县审批服务管理局核发的《泾源县农业面源污染综合治理项目初步设计》批复文件（泾审批发(2025)025号）（见附件3），“泾源县农业面源污染综合治理项目”共提升改造有机肥加工厂4座，本项目为其中的1座，建设内容主要包括：新建原料陈化堆放棚2340平方米，购置5000吨有机肥粉末加工设备1套，50型铲车1台，全自动菌剂扩培机1台</w:t>
            </w:r>
            <w:r>
              <w:rPr>
                <w:rFonts w:hint="eastAsia" w:cs="Times New Roman"/>
                <w:bCs/>
                <w:color w:val="auto"/>
                <w:sz w:val="24"/>
                <w:szCs w:val="24"/>
                <w:highlight w:val="none"/>
                <w:lang w:val="en-US" w:eastAsia="zh-CN"/>
              </w:rPr>
              <w:t>。本次技改完成后产能由原来5000吨增加至10000吨</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highlight w:val="none"/>
                <w:lang w:val="en-US" w:eastAsia="zh-CN"/>
              </w:rPr>
              <w:t>二、</w:t>
            </w:r>
            <w:r>
              <w:rPr>
                <w:rFonts w:hint="default" w:ascii="Times New Roman" w:hAnsi="Times New Roman" w:eastAsia="黑体" w:cs="Times New Roman"/>
                <w:bCs/>
                <w:color w:val="auto"/>
                <w:sz w:val="24"/>
                <w:szCs w:val="24"/>
                <w:lang w:val="en-US" w:eastAsia="zh-CN"/>
              </w:rPr>
              <w:t>项目组成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本项目</w:t>
            </w:r>
            <w:r>
              <w:rPr>
                <w:rFonts w:hint="default" w:ascii="Times New Roman" w:hAnsi="Times New Roman" w:cs="Times New Roman"/>
                <w:bCs/>
                <w:color w:val="auto"/>
                <w:sz w:val="24"/>
                <w:szCs w:val="24"/>
                <w:highlight w:val="none"/>
                <w:lang w:val="en-US" w:eastAsia="zh-CN"/>
              </w:rPr>
              <w:t>组成</w:t>
            </w:r>
            <w:r>
              <w:rPr>
                <w:rFonts w:hint="default" w:ascii="Times New Roman" w:hAnsi="Times New Roman" w:cs="Times New Roman"/>
                <w:bCs/>
                <w:color w:val="auto"/>
                <w:sz w:val="24"/>
                <w:szCs w:val="24"/>
                <w:highlight w:val="none"/>
              </w:rPr>
              <w:t>主要包括主体工程、辅助工程、</w:t>
            </w:r>
            <w:r>
              <w:rPr>
                <w:rFonts w:hint="default" w:ascii="Times New Roman" w:hAnsi="Times New Roman" w:cs="Times New Roman"/>
                <w:bCs/>
                <w:color w:val="auto"/>
                <w:sz w:val="24"/>
                <w:szCs w:val="24"/>
                <w:highlight w:val="none"/>
                <w:lang w:val="en-US" w:eastAsia="zh-CN"/>
              </w:rPr>
              <w:t>储运工程、</w:t>
            </w:r>
            <w:r>
              <w:rPr>
                <w:rFonts w:hint="default" w:ascii="Times New Roman" w:hAnsi="Times New Roman" w:cs="Times New Roman"/>
                <w:bCs/>
                <w:color w:val="auto"/>
                <w:sz w:val="24"/>
                <w:szCs w:val="24"/>
                <w:highlight w:val="none"/>
              </w:rPr>
              <w:t>公用工程</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环保工程</w:t>
            </w:r>
            <w:r>
              <w:rPr>
                <w:rFonts w:hint="default" w:ascii="Times New Roman" w:hAnsi="Times New Roman" w:cs="Times New Roman"/>
                <w:bCs/>
                <w:color w:val="auto"/>
                <w:sz w:val="24"/>
                <w:szCs w:val="24"/>
                <w:highlight w:val="none"/>
                <w:lang w:val="en-US" w:eastAsia="zh-CN"/>
              </w:rPr>
              <w:t>，具体情况见</w:t>
            </w:r>
            <w:r>
              <w:rPr>
                <w:rFonts w:hint="default" w:ascii="Times New Roman" w:hAnsi="Times New Roman" w:cs="Times New Roman"/>
                <w:bCs/>
                <w:color w:val="auto"/>
                <w:sz w:val="24"/>
                <w:szCs w:val="24"/>
                <w:highlight w:val="none"/>
              </w:rPr>
              <w:t>表</w:t>
            </w:r>
            <w:r>
              <w:rPr>
                <w:rFonts w:hint="default" w:ascii="Times New Roman" w:hAnsi="Times New Roman" w:cs="Times New Roman"/>
                <w:bCs/>
                <w:color w:val="auto"/>
                <w:sz w:val="24"/>
                <w:szCs w:val="24"/>
                <w:highlight w:val="none"/>
                <w:lang w:val="en-US" w:eastAsia="zh-CN"/>
              </w:rPr>
              <w:t>2-1</w:t>
            </w:r>
            <w:r>
              <w:rPr>
                <w:rFonts w:hint="default" w:ascii="Times New Roman" w:hAnsi="Times New Roman" w:eastAsia="宋体"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0"/>
                <w:sz w:val="24"/>
                <w:szCs w:val="24"/>
              </w:rPr>
              <w:t>表</w:t>
            </w:r>
            <w:r>
              <w:rPr>
                <w:rFonts w:hint="default" w:ascii="Times New Roman" w:hAnsi="Times New Roman" w:eastAsia="黑体" w:cs="Times New Roman"/>
                <w:b w:val="0"/>
                <w:bCs w:val="0"/>
                <w:color w:val="auto"/>
                <w:kern w:val="0"/>
                <w:sz w:val="24"/>
                <w:szCs w:val="24"/>
                <w:lang w:val="en-US" w:eastAsia="zh-CN"/>
              </w:rPr>
              <w:t>2-1</w:t>
            </w:r>
            <w:r>
              <w:rPr>
                <w:rFonts w:hint="default" w:ascii="Times New Roman" w:hAnsi="Times New Roman" w:eastAsia="黑体" w:cs="Times New Roman"/>
                <w:b w:val="0"/>
                <w:bCs w:val="0"/>
                <w:color w:val="auto"/>
                <w:kern w:val="0"/>
                <w:sz w:val="24"/>
                <w:szCs w:val="24"/>
              </w:rPr>
              <w:t xml:space="preserve">  本项目组成一览表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601"/>
              <w:gridCol w:w="1247"/>
              <w:gridCol w:w="5480"/>
              <w:gridCol w:w="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1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bookmarkStart w:id="2" w:name="_Toc354561503"/>
                  <w:bookmarkStart w:id="3" w:name="_Toc411590080"/>
                  <w:bookmarkStart w:id="4" w:name="_Toc410899398"/>
                  <w:bookmarkStart w:id="5" w:name="_Toc410740715"/>
                  <w:bookmarkStart w:id="6" w:name="_Toc359506813"/>
                  <w:bookmarkStart w:id="7" w:name="_Toc407280117"/>
                  <w:bookmarkStart w:id="8" w:name="_Toc407289879"/>
                  <w:bookmarkStart w:id="9" w:name="_Toc404094008"/>
                  <w:r>
                    <w:rPr>
                      <w:rFonts w:hint="default" w:ascii="Times New Roman" w:hAnsi="Times New Roman" w:cs="Times New Roman"/>
                      <w:b/>
                      <w:bCs/>
                      <w:color w:val="auto"/>
                      <w:kern w:val="0"/>
                      <w:sz w:val="21"/>
                      <w:szCs w:val="21"/>
                    </w:rPr>
                    <w:t>分类</w:t>
                  </w: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bCs/>
                      <w:color w:val="auto"/>
                      <w:kern w:val="0"/>
                      <w:sz w:val="21"/>
                      <w:szCs w:val="21"/>
                    </w:rPr>
                    <w:t>工程名称</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主要建设内容</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主体工程</w:t>
                  </w: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有机肥加工车间</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依托现有1座位于厂区南侧占地面积为3000m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有机肥加工车间</w:t>
                  </w:r>
                  <w:r>
                    <w:rPr>
                      <w:rFonts w:hint="default" w:ascii="Times New Roman" w:hAnsi="Times New Roman" w:eastAsia="宋体" w:cs="Times New Roman"/>
                      <w:color w:val="auto"/>
                      <w:kern w:val="0"/>
                      <w:sz w:val="21"/>
                      <w:szCs w:val="21"/>
                      <w:highlight w:val="none"/>
                      <w:vertAlign w:val="baseline"/>
                      <w:lang w:val="en-US" w:eastAsia="zh-CN"/>
                    </w:rPr>
                    <w:t>，</w:t>
                  </w:r>
                  <w:r>
                    <w:rPr>
                      <w:rFonts w:hint="eastAsia" w:cs="Times New Roman"/>
                      <w:color w:val="auto"/>
                      <w:kern w:val="0"/>
                      <w:sz w:val="21"/>
                      <w:szCs w:val="21"/>
                      <w:highlight w:val="none"/>
                      <w:vertAlign w:val="baseline"/>
                      <w:lang w:val="en-US" w:eastAsia="zh-CN"/>
                    </w:rPr>
                    <w:t>新增</w:t>
                  </w:r>
                  <w:r>
                    <w:rPr>
                      <w:rFonts w:hint="default" w:ascii="Times New Roman" w:hAnsi="Times New Roman" w:eastAsia="宋体" w:cs="Times New Roman"/>
                      <w:color w:val="auto"/>
                      <w:kern w:val="0"/>
                      <w:sz w:val="21"/>
                      <w:szCs w:val="21"/>
                      <w:highlight w:val="none"/>
                      <w:vertAlign w:val="baseline"/>
                      <w:lang w:val="en-US" w:eastAsia="zh-CN"/>
                    </w:rPr>
                    <w:t>立式粉碎机</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滚筒筛分机</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粉状包装机</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挤压造粒机</w:t>
                  </w:r>
                  <w:r>
                    <w:rPr>
                      <w:rFonts w:hint="eastAsia"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颗粒包装机</w:t>
                  </w:r>
                  <w:r>
                    <w:rPr>
                      <w:rFonts w:hint="eastAsia" w:cs="Times New Roman"/>
                      <w:color w:val="auto"/>
                      <w:kern w:val="0"/>
                      <w:sz w:val="21"/>
                      <w:szCs w:val="21"/>
                      <w:highlight w:val="none"/>
                      <w:vertAlign w:val="baseline"/>
                      <w:lang w:val="en-US" w:eastAsia="zh-CN"/>
                    </w:rPr>
                    <w:t>等</w:t>
                  </w:r>
                  <w:r>
                    <w:rPr>
                      <w:rFonts w:hint="default" w:ascii="Times New Roman" w:hAnsi="Times New Roman" w:eastAsia="宋体" w:cs="Times New Roman"/>
                      <w:color w:val="auto"/>
                      <w:kern w:val="0"/>
                      <w:sz w:val="21"/>
                      <w:szCs w:val="21"/>
                      <w:highlight w:val="none"/>
                      <w:vertAlign w:val="baseline"/>
                      <w:lang w:val="en-US" w:eastAsia="zh-CN"/>
                    </w:rPr>
                    <w:t>设备。</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依托新增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辅助工程</w:t>
                  </w: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kern w:val="0"/>
                      <w:sz w:val="21"/>
                      <w:szCs w:val="21"/>
                      <w:lang w:val="en-US" w:eastAsia="zh-CN" w:bidi="ar-SA"/>
                    </w:rPr>
                    <w:t>办公楼</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依托现有</w:t>
                  </w:r>
                  <w:r>
                    <w:rPr>
                      <w:rFonts w:hint="eastAsia" w:cs="Times New Roman"/>
                      <w:color w:val="auto"/>
                      <w:kern w:val="0"/>
                      <w:sz w:val="21"/>
                      <w:szCs w:val="21"/>
                      <w:highlight w:val="none"/>
                      <w:vertAlign w:val="baseline"/>
                      <w:lang w:val="en-US" w:eastAsia="zh-CN"/>
                    </w:rPr>
                    <w:t>1座</w:t>
                  </w:r>
                  <w:r>
                    <w:rPr>
                      <w:rFonts w:hint="default" w:ascii="Times New Roman" w:hAnsi="Times New Roman" w:eastAsia="宋体" w:cs="Times New Roman"/>
                      <w:color w:val="auto"/>
                      <w:kern w:val="0"/>
                      <w:sz w:val="21"/>
                      <w:szCs w:val="21"/>
                      <w:highlight w:val="none"/>
                      <w:vertAlign w:val="baseline"/>
                      <w:lang w:val="en-US" w:eastAsia="zh-CN"/>
                    </w:rPr>
                    <w:t>位于厂区</w:t>
                  </w:r>
                  <w:r>
                    <w:rPr>
                      <w:rFonts w:hint="eastAsia" w:cs="Times New Roman"/>
                      <w:color w:val="auto"/>
                      <w:kern w:val="0"/>
                      <w:sz w:val="21"/>
                      <w:szCs w:val="21"/>
                      <w:highlight w:val="none"/>
                      <w:vertAlign w:val="baseline"/>
                      <w:lang w:val="en-US" w:eastAsia="zh-CN"/>
                    </w:rPr>
                    <w:t>北</w:t>
                  </w:r>
                  <w:r>
                    <w:rPr>
                      <w:rFonts w:hint="default" w:ascii="Times New Roman" w:hAnsi="Times New Roman" w:eastAsia="宋体" w:cs="Times New Roman"/>
                      <w:color w:val="auto"/>
                      <w:kern w:val="0"/>
                      <w:sz w:val="21"/>
                      <w:szCs w:val="21"/>
                      <w:highlight w:val="none"/>
                      <w:vertAlign w:val="baseline"/>
                      <w:lang w:val="en-US" w:eastAsia="zh-CN"/>
                    </w:rPr>
                    <w:t>侧占地面积</w:t>
                  </w:r>
                  <w:r>
                    <w:rPr>
                      <w:rFonts w:hint="eastAsia" w:cs="Times New Roman"/>
                      <w:color w:val="auto"/>
                      <w:kern w:val="0"/>
                      <w:sz w:val="21"/>
                      <w:szCs w:val="21"/>
                      <w:highlight w:val="none"/>
                      <w:vertAlign w:val="baseline"/>
                      <w:lang w:val="en-US" w:eastAsia="zh-CN"/>
                    </w:rPr>
                    <w:t>600</w:t>
                  </w:r>
                  <w:r>
                    <w:rPr>
                      <w:rFonts w:hint="default" w:ascii="Times New Roman" w:hAnsi="Times New Roman" w:eastAsia="宋体" w:cs="Times New Roman"/>
                      <w:color w:val="auto"/>
                      <w:kern w:val="0"/>
                      <w:sz w:val="21"/>
                      <w:szCs w:val="21"/>
                      <w:highlight w:val="none"/>
                      <w:vertAlign w:val="baseli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办公楼，4F</w:t>
                  </w:r>
                  <w:r>
                    <w:rPr>
                      <w:rFonts w:hint="default" w:ascii="Times New Roman" w:hAnsi="Times New Roman" w:eastAsia="宋体" w:cs="Times New Roman"/>
                      <w:color w:val="auto"/>
                      <w:kern w:val="0"/>
                      <w:sz w:val="21"/>
                      <w:szCs w:val="21"/>
                      <w:highlight w:val="none"/>
                      <w:vertAlign w:val="baseline"/>
                      <w:lang w:val="en-US"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储运工程</w:t>
                  </w:r>
                </w:p>
              </w:tc>
              <w:tc>
                <w:tcPr>
                  <w:tcW w:w="10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kern w:val="0"/>
                      <w:sz w:val="21"/>
                      <w:szCs w:val="21"/>
                      <w:lang w:val="en-US" w:eastAsia="zh-CN"/>
                    </w:rPr>
                    <w:t>堆粪棚</w:t>
                  </w:r>
                </w:p>
              </w:tc>
              <w:tc>
                <w:tcPr>
                  <w:tcW w:w="3191"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eastAsia" w:cs="Times New Roman"/>
                      <w:color w:val="auto"/>
                      <w:kern w:val="0"/>
                      <w:sz w:val="21"/>
                      <w:szCs w:val="21"/>
                      <w:highlight w:val="none"/>
                      <w:vertAlign w:val="baseline"/>
                      <w:lang w:val="en-US" w:eastAsia="zh-CN"/>
                    </w:rPr>
                    <w:t>依托现有，</w:t>
                  </w:r>
                  <w:r>
                    <w:rPr>
                      <w:rFonts w:hint="default" w:ascii="Times New Roman" w:hAnsi="Times New Roman" w:eastAsia="宋体" w:cs="Times New Roman"/>
                      <w:color w:val="auto"/>
                      <w:kern w:val="0"/>
                      <w:sz w:val="21"/>
                      <w:szCs w:val="21"/>
                      <w:highlight w:val="none"/>
                      <w:vertAlign w:val="baseline"/>
                      <w:lang w:val="en-US" w:eastAsia="zh-CN"/>
                    </w:rPr>
                    <w:t>位于厂区东侧，占地面积1100m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，全密闭轻钢结构，主要用于储存</w:t>
                  </w:r>
                  <w:r>
                    <w:rPr>
                      <w:rFonts w:hint="eastAsia" w:cs="Times New Roman"/>
                      <w:color w:val="auto"/>
                      <w:kern w:val="0"/>
                      <w:sz w:val="21"/>
                      <w:szCs w:val="21"/>
                      <w:highlight w:val="none"/>
                      <w:vertAlign w:val="baseline"/>
                      <w:lang w:val="en-US" w:eastAsia="zh-CN"/>
                    </w:rPr>
                    <w:t>本项目所用原料牛粪</w:t>
                  </w:r>
                  <w:r>
                    <w:rPr>
                      <w:rFonts w:hint="default" w:ascii="Times New Roman" w:hAnsi="Times New Roman" w:eastAsia="宋体" w:cs="Times New Roman"/>
                      <w:color w:val="auto"/>
                      <w:kern w:val="0"/>
                      <w:sz w:val="21"/>
                      <w:szCs w:val="21"/>
                      <w:highlight w:val="none"/>
                      <w:vertAlign w:val="baseline"/>
                      <w:lang w:val="en-US" w:eastAsia="zh-CN"/>
                    </w:rPr>
                    <w:t>。</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eastAsia="zh-CN"/>
                    </w:rPr>
                  </w:pPr>
                </w:p>
              </w:tc>
              <w:tc>
                <w:tcPr>
                  <w:tcW w:w="10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原料陈化堆放棚</w:t>
                  </w:r>
                </w:p>
              </w:tc>
              <w:tc>
                <w:tcPr>
                  <w:tcW w:w="3191"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位于东南角，占地</w:t>
                  </w:r>
                  <w:r>
                    <w:rPr>
                      <w:rFonts w:hint="default" w:ascii="Times New Roman" w:hAnsi="Times New Roman" w:eastAsia="宋体" w:cs="Times New Roman"/>
                      <w:color w:val="auto"/>
                      <w:kern w:val="0"/>
                      <w:sz w:val="21"/>
                      <w:szCs w:val="21"/>
                      <w:highlight w:val="none"/>
                      <w:lang w:eastAsia="zh-CN"/>
                    </w:rPr>
                    <w:t>面积</w:t>
                  </w:r>
                  <w:r>
                    <w:rPr>
                      <w:rFonts w:hint="eastAsia" w:cs="Times New Roman"/>
                      <w:color w:val="auto"/>
                      <w:kern w:val="0"/>
                      <w:sz w:val="21"/>
                      <w:szCs w:val="21"/>
                      <w:highlight w:val="none"/>
                      <w:lang w:val="en-US" w:eastAsia="zh-CN"/>
                    </w:rPr>
                    <w:t>2340</w:t>
                  </w:r>
                  <w:r>
                    <w:rPr>
                      <w:rFonts w:hint="default" w:ascii="Times New Roman" w:hAnsi="Times New Roman" w:eastAsia="宋体" w:cs="Times New Roman"/>
                      <w:color w:val="auto"/>
                      <w:kern w:val="0"/>
                      <w:sz w:val="21"/>
                      <w:szCs w:val="21"/>
                      <w:highlight w:val="none"/>
                      <w:lang w:eastAsia="zh-CN"/>
                    </w:rPr>
                    <w:t>m</w:t>
                  </w:r>
                  <w:r>
                    <w:rPr>
                      <w:rFonts w:hint="default" w:ascii="Times New Roman" w:hAnsi="Times New Roman" w:eastAsia="宋体" w:cs="Times New Roman"/>
                      <w:color w:val="auto"/>
                      <w:kern w:val="0"/>
                      <w:sz w:val="21"/>
                      <w:szCs w:val="21"/>
                      <w:highlight w:val="none"/>
                      <w:vertAlign w:val="superscript"/>
                      <w:lang w:eastAsia="zh-CN"/>
                    </w:rPr>
                    <w:t>2</w:t>
                  </w:r>
                  <w:r>
                    <w:rPr>
                      <w:rFonts w:hint="eastAsia" w:cs="Times New Roman"/>
                      <w:color w:val="auto"/>
                      <w:kern w:val="0"/>
                      <w:sz w:val="21"/>
                      <w:szCs w:val="21"/>
                      <w:highlight w:val="none"/>
                      <w:lang w:eastAsia="zh-CN"/>
                    </w:rPr>
                    <w:t>，全封闭轻钢结构，主要用于原料粪污发酵陈化过程</w:t>
                  </w:r>
                  <w:r>
                    <w:rPr>
                      <w:rFonts w:hint="eastAsia" w:cs="Times New Roman"/>
                      <w:color w:val="auto"/>
                      <w:kern w:val="0"/>
                      <w:sz w:val="21"/>
                      <w:szCs w:val="21"/>
                      <w:highlight w:val="none"/>
                      <w:lang w:val="en-US" w:eastAsia="zh-CN"/>
                    </w:rPr>
                    <w:t>。</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公用工程</w:t>
                  </w: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给水</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供水管</w:t>
                  </w:r>
                  <w:r>
                    <w:rPr>
                      <w:rFonts w:hint="default" w:ascii="Times New Roman" w:hAnsi="Times New Roman" w:cs="Times New Roman"/>
                      <w:color w:val="auto"/>
                      <w:kern w:val="0"/>
                      <w:sz w:val="21"/>
                      <w:szCs w:val="21"/>
                      <w:highlight w:val="none"/>
                      <w:shd w:val="clear"/>
                    </w:rPr>
                    <w:t>网供给，用水主要为生活用水</w:t>
                  </w:r>
                  <w:r>
                    <w:rPr>
                      <w:rFonts w:hint="default" w:ascii="Times New Roman" w:hAnsi="Times New Roman" w:cs="Times New Roman"/>
                      <w:color w:val="auto"/>
                      <w:kern w:val="0"/>
                      <w:sz w:val="21"/>
                      <w:szCs w:val="21"/>
                      <w:highlight w:val="none"/>
                      <w:shd w:val="clear"/>
                      <w:lang w:eastAsia="zh-CN"/>
                    </w:rPr>
                    <w:t>（</w:t>
                  </w:r>
                  <w:r>
                    <w:rPr>
                      <w:rFonts w:hint="default" w:ascii="Times New Roman" w:hAnsi="Times New Roman" w:cs="Times New Roman"/>
                      <w:color w:val="auto"/>
                      <w:kern w:val="0"/>
                      <w:sz w:val="21"/>
                      <w:szCs w:val="21"/>
                      <w:highlight w:val="none"/>
                      <w:shd w:val="clear"/>
                      <w:lang w:val="en-US" w:eastAsia="zh-CN"/>
                    </w:rPr>
                    <w:t>198m³/a</w:t>
                  </w:r>
                  <w:r>
                    <w:rPr>
                      <w:rFonts w:hint="default" w:ascii="Times New Roman" w:hAnsi="Times New Roman" w:cs="Times New Roman"/>
                      <w:color w:val="auto"/>
                      <w:kern w:val="0"/>
                      <w:sz w:val="21"/>
                      <w:szCs w:val="21"/>
                      <w:highlight w:val="none"/>
                      <w:shd w:val="clear"/>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排水</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生活污水产生量为158m³/a，厂区设置防渗旱厕，粪污经清掏后用于生产有机肥，盥洗废水用于厂区洒水抑尘。</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供电</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供电管网</w:t>
                  </w:r>
                  <w:r>
                    <w:rPr>
                      <w:rFonts w:hint="default" w:ascii="Times New Roman" w:hAnsi="Times New Roman" w:cs="Times New Roman"/>
                      <w:color w:val="auto"/>
                      <w:kern w:val="0"/>
                      <w:sz w:val="21"/>
                      <w:szCs w:val="21"/>
                      <w:highlight w:val="none"/>
                      <w:lang w:eastAsia="zh-CN"/>
                    </w:rPr>
                    <w:t>提供。</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供暖</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yellow"/>
                      <w:lang w:eastAsia="zh-CN"/>
                    </w:rPr>
                  </w:pPr>
                  <w:r>
                    <w:rPr>
                      <w:rFonts w:hint="default" w:ascii="Times New Roman" w:hAnsi="Times New Roman" w:cs="Times New Roman"/>
                      <w:color w:val="auto"/>
                      <w:kern w:val="0"/>
                      <w:sz w:val="21"/>
                      <w:szCs w:val="21"/>
                      <w:highlight w:val="none"/>
                    </w:rPr>
                    <w:t>办公</w:t>
                  </w:r>
                  <w:r>
                    <w:rPr>
                      <w:rFonts w:hint="default" w:ascii="Times New Roman" w:hAnsi="Times New Roman" w:cs="Times New Roman"/>
                      <w:color w:val="auto"/>
                      <w:kern w:val="0"/>
                      <w:sz w:val="21"/>
                      <w:szCs w:val="21"/>
                      <w:highlight w:val="none"/>
                      <w:lang w:eastAsia="zh-CN"/>
                    </w:rPr>
                    <w:t>生活</w:t>
                  </w:r>
                  <w:r>
                    <w:rPr>
                      <w:rFonts w:hint="default" w:ascii="Times New Roman" w:hAnsi="Times New Roman" w:cs="Times New Roman"/>
                      <w:color w:val="auto"/>
                      <w:kern w:val="0"/>
                      <w:sz w:val="21"/>
                      <w:szCs w:val="21"/>
                      <w:highlight w:val="none"/>
                    </w:rPr>
                    <w:t>区</w:t>
                  </w:r>
                  <w:r>
                    <w:rPr>
                      <w:rFonts w:hint="default" w:ascii="Times New Roman" w:hAnsi="Times New Roman" w:cs="Times New Roman"/>
                      <w:color w:val="auto"/>
                      <w:kern w:val="0"/>
                      <w:sz w:val="21"/>
                      <w:szCs w:val="21"/>
                      <w:highlight w:val="none"/>
                      <w:lang w:val="en-US" w:eastAsia="zh-CN"/>
                    </w:rPr>
                    <w:t>采用电暖供暖</w:t>
                  </w:r>
                  <w:r>
                    <w:rPr>
                      <w:rFonts w:hint="default" w:ascii="Times New Roman" w:hAnsi="Times New Roman" w:cs="Times New Roman"/>
                      <w:color w:val="auto"/>
                      <w:kern w:val="0"/>
                      <w:sz w:val="21"/>
                      <w:szCs w:val="21"/>
                      <w:highlight w:val="none"/>
                    </w:rPr>
                    <w:t>，生产车间不供</w:t>
                  </w:r>
                  <w:r>
                    <w:rPr>
                      <w:rFonts w:hint="default" w:ascii="Times New Roman" w:hAnsi="Times New Roman" w:cs="Times New Roman"/>
                      <w:color w:val="auto"/>
                      <w:kern w:val="0"/>
                      <w:sz w:val="21"/>
                      <w:szCs w:val="21"/>
                      <w:highlight w:val="none"/>
                      <w:lang w:val="en-US" w:eastAsia="zh-CN"/>
                    </w:rPr>
                    <w:t>暖。</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环保工程</w:t>
                  </w: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废气治理</w:t>
                  </w: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有组织废气</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kern w:val="0"/>
                      <w:sz w:val="21"/>
                      <w:szCs w:val="21"/>
                      <w:highlight w:val="none"/>
                      <w:lang w:val="en-US" w:eastAsia="zh-CN"/>
                    </w:rPr>
                    <w:t>发酵废气经</w:t>
                  </w:r>
                  <w:r>
                    <w:rPr>
                      <w:rFonts w:hint="eastAsia" w:cs="Times New Roman"/>
                      <w:color w:val="auto"/>
                      <w:kern w:val="0"/>
                      <w:sz w:val="21"/>
                      <w:szCs w:val="21"/>
                      <w:highlight w:val="none"/>
                      <w:lang w:val="en-US" w:eastAsia="zh-CN"/>
                    </w:rPr>
                    <w:t>收集</w:t>
                  </w:r>
                  <w:r>
                    <w:rPr>
                      <w:rFonts w:hint="default" w:ascii="Times New Roman" w:hAnsi="Times New Roman" w:cs="Times New Roman"/>
                      <w:color w:val="auto"/>
                      <w:kern w:val="0"/>
                      <w:sz w:val="21"/>
                      <w:szCs w:val="21"/>
                      <w:highlight w:val="none"/>
                      <w:lang w:val="en-US" w:eastAsia="zh-CN"/>
                    </w:rPr>
                    <w:t>后与混配、粉碎、筛分、造粒、冷却过程中产生的废气一同进入一套“生物除臭装置+布袋除尘器”处理。最终，废气通过一根15米高的排气筒（DA001）排放</w:t>
                  </w:r>
                  <w:r>
                    <w:rPr>
                      <w:rFonts w:hint="default" w:ascii="Times New Roman" w:hAnsi="Times New Roman" w:cs="Times New Roman"/>
                      <w:color w:val="auto"/>
                      <w:highlight w:val="none"/>
                      <w:lang w:val="en-US"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rPr>
                  </w:pP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无组织废气</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通过对</w:t>
                  </w:r>
                  <w:r>
                    <w:rPr>
                      <w:rFonts w:hint="eastAsia" w:cs="Times New Roman"/>
                      <w:color w:val="auto"/>
                      <w:highlight w:val="none"/>
                      <w:lang w:val="en-US" w:eastAsia="zh-CN"/>
                    </w:rPr>
                    <w:t>原料陈化堆放棚（发酵区）</w:t>
                  </w:r>
                  <w:r>
                    <w:rPr>
                      <w:rFonts w:hint="default" w:ascii="Times New Roman" w:hAnsi="Times New Roman" w:eastAsia="宋体" w:cs="Times New Roman"/>
                      <w:color w:val="auto"/>
                      <w:highlight w:val="none"/>
                      <w:lang w:val="en-US" w:eastAsia="zh-CN"/>
                    </w:rPr>
                    <w:t>进行密闭管理，</w:t>
                  </w:r>
                  <w:r>
                    <w:rPr>
                      <w:rFonts w:hint="eastAsia" w:cs="Times New Roman"/>
                      <w:color w:val="auto"/>
                      <w:highlight w:val="none"/>
                      <w:lang w:val="en-US" w:eastAsia="zh-CN"/>
                    </w:rPr>
                    <w:t>并</w:t>
                  </w:r>
                  <w:r>
                    <w:rPr>
                      <w:rFonts w:hint="default" w:ascii="Times New Roman" w:hAnsi="Times New Roman" w:eastAsia="宋体" w:cs="Times New Roman"/>
                      <w:color w:val="auto"/>
                      <w:highlight w:val="none"/>
                      <w:lang w:val="en-US" w:eastAsia="zh-CN"/>
                    </w:rPr>
                    <w:t>喷洒除臭剂，从而达到降低恶臭气体对周围环境不利影响的目的</w:t>
                  </w:r>
                  <w:r>
                    <w:rPr>
                      <w:rFonts w:hint="default" w:ascii="Times New Roman" w:hAnsi="Times New Roman" w:cs="Times New Roman"/>
                      <w:color w:val="auto"/>
                      <w:highlight w:val="none"/>
                      <w:lang w:val="en-US" w:eastAsia="zh-CN"/>
                    </w:rPr>
                    <w:t>；各工序未被收集的废气</w:t>
                  </w:r>
                  <w:r>
                    <w:rPr>
                      <w:rFonts w:hint="eastAsia" w:cs="Times New Roman"/>
                      <w:color w:val="auto"/>
                      <w:highlight w:val="none"/>
                      <w:lang w:val="en-US" w:eastAsia="zh-CN"/>
                    </w:rPr>
                    <w:t>经</w:t>
                  </w:r>
                  <w:r>
                    <w:rPr>
                      <w:rFonts w:hint="default" w:ascii="Times New Roman" w:hAnsi="Times New Roman" w:cs="Times New Roman"/>
                      <w:color w:val="auto"/>
                      <w:highlight w:val="none"/>
                      <w:lang w:val="en-US" w:eastAsia="zh-CN"/>
                    </w:rPr>
                    <w:t>密闭车间降尘处理后无组织排放。</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废水治理</w:t>
                  </w: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生活污水</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eastAsia="zh-CN"/>
                    </w:rPr>
                    <w:t>厂区设置雨污分流系统，项目废水</w:t>
                  </w:r>
                  <w:r>
                    <w:rPr>
                      <w:rFonts w:hint="default" w:ascii="Times New Roman" w:hAnsi="Times New Roman" w:cs="Times New Roman"/>
                      <w:color w:val="auto"/>
                      <w:kern w:val="0"/>
                      <w:sz w:val="21"/>
                      <w:szCs w:val="21"/>
                      <w:highlight w:val="none"/>
                    </w:rPr>
                    <w:t>主要为员工生活污水，</w:t>
                  </w:r>
                  <w:r>
                    <w:rPr>
                      <w:rFonts w:hint="default" w:ascii="Times New Roman" w:hAnsi="Times New Roman" w:cs="Times New Roman"/>
                      <w:color w:val="auto"/>
                      <w:kern w:val="0"/>
                      <w:sz w:val="21"/>
                      <w:szCs w:val="21"/>
                      <w:highlight w:val="none"/>
                      <w:lang w:val="en-US" w:eastAsia="zh-CN"/>
                    </w:rPr>
                    <w:t>厂区设置防渗旱厕</w:t>
                  </w:r>
                  <w:r>
                    <w:rPr>
                      <w:rFonts w:hint="default" w:ascii="Times New Roman" w:hAnsi="Times New Roman" w:cs="Times New Roman"/>
                      <w:color w:val="auto"/>
                      <w:kern w:val="0"/>
                      <w:sz w:val="21"/>
                      <w:szCs w:val="21"/>
                      <w:highlight w:val="none"/>
                    </w:rPr>
                    <w:t>，粪污经清掏后用于</w:t>
                  </w:r>
                  <w:r>
                    <w:rPr>
                      <w:rFonts w:hint="default" w:ascii="Times New Roman" w:hAnsi="Times New Roman" w:cs="Times New Roman"/>
                      <w:color w:val="auto"/>
                      <w:kern w:val="0"/>
                      <w:sz w:val="21"/>
                      <w:szCs w:val="21"/>
                      <w:highlight w:val="none"/>
                      <w:lang w:val="en-US" w:eastAsia="zh-CN"/>
                    </w:rPr>
                    <w:t>生产有机肥</w:t>
                  </w:r>
                  <w:r>
                    <w:rPr>
                      <w:rFonts w:hint="default" w:ascii="Times New Roman" w:hAnsi="Times New Roman" w:cs="Times New Roman"/>
                      <w:color w:val="auto"/>
                      <w:kern w:val="0"/>
                      <w:sz w:val="21"/>
                      <w:szCs w:val="21"/>
                      <w:highlight w:val="none"/>
                    </w:rPr>
                    <w:t>，盥洗废水用于厂区洒水抑尘。</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噪声治理</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highlight w:val="none"/>
                    </w:rPr>
                    <w:t>选用低噪声设备，对设备底座进行减震处理</w:t>
                  </w:r>
                  <w:r>
                    <w:rPr>
                      <w:rFonts w:hint="default" w:ascii="Times New Roman" w:hAnsi="Times New Roman" w:cs="Times New Roman"/>
                      <w:color w:val="auto"/>
                      <w:kern w:val="0"/>
                      <w:sz w:val="21"/>
                      <w:szCs w:val="21"/>
                      <w:highlight w:val="none"/>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固废治理</w:t>
                  </w: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除尘灰</w:t>
                  </w:r>
                  <w:r>
                    <w:rPr>
                      <w:rFonts w:hint="default" w:ascii="Times New Roman" w:hAnsi="Times New Roman" w:cs="Times New Roman"/>
                      <w:color w:val="auto"/>
                      <w:kern w:val="0"/>
                      <w:sz w:val="21"/>
                      <w:szCs w:val="21"/>
                      <w:highlight w:val="none"/>
                      <w:lang w:eastAsia="zh-CN"/>
                    </w:rPr>
                    <w:t>收集后</w:t>
                  </w:r>
                  <w:r>
                    <w:rPr>
                      <w:rFonts w:hint="default" w:ascii="Times New Roman" w:hAnsi="Times New Roman" w:cs="Times New Roman"/>
                      <w:color w:val="auto"/>
                      <w:kern w:val="0"/>
                      <w:sz w:val="21"/>
                      <w:szCs w:val="21"/>
                      <w:highlight w:val="none"/>
                      <w:lang w:val="en-US" w:eastAsia="zh-CN"/>
                    </w:rPr>
                    <w:t>回用于生产线；废包装材料外售综合利用</w:t>
                  </w:r>
                  <w:r>
                    <w:rPr>
                      <w:rFonts w:hint="default" w:ascii="Times New Roman" w:hAnsi="Times New Roman" w:cs="Times New Roman"/>
                      <w:color w:val="auto"/>
                      <w:kern w:val="0"/>
                      <w:sz w:val="21"/>
                      <w:szCs w:val="21"/>
                      <w:highlight w:val="none"/>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生活垃圾</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highlight w:val="none"/>
                      <w:lang w:val="en-US" w:eastAsia="zh-CN"/>
                    </w:rPr>
                    <w:t>交由</w:t>
                  </w:r>
                  <w:r>
                    <w:rPr>
                      <w:rFonts w:hint="default" w:ascii="Times New Roman" w:hAnsi="Times New Roman" w:cs="Times New Roman"/>
                      <w:color w:val="auto"/>
                      <w:kern w:val="0"/>
                      <w:sz w:val="21"/>
                      <w:szCs w:val="21"/>
                      <w:highlight w:val="none"/>
                      <w:lang w:eastAsia="zh-CN"/>
                    </w:rPr>
                    <w:t>环卫部门统一处置。</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highlight w:val="none"/>
                      <w:lang w:eastAsia="zh-CN"/>
                    </w:rPr>
                  </w:pPr>
                  <w:r>
                    <w:rPr>
                      <w:rFonts w:hint="default" w:ascii="Times New Roman" w:hAnsi="Times New Roman" w:cs="Times New Roman"/>
                      <w:b w:val="0"/>
                      <w:bCs w:val="0"/>
                      <w:color w:val="auto"/>
                      <w:kern w:val="0"/>
                      <w:sz w:val="21"/>
                      <w:szCs w:val="21"/>
                      <w:highlight w:val="none"/>
                      <w:lang w:eastAsia="zh-CN"/>
                    </w:rPr>
                    <w:t>危险废物</w:t>
                  </w:r>
                </w:p>
              </w:tc>
              <w:tc>
                <w:tcPr>
                  <w:tcW w:w="3191"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废机油、废机油桶贮存于</w:t>
                  </w:r>
                  <w:r>
                    <w:rPr>
                      <w:rFonts w:hint="eastAsia" w:cs="Times New Roman"/>
                      <w:color w:val="auto"/>
                      <w:kern w:val="0"/>
                      <w:sz w:val="21"/>
                      <w:szCs w:val="21"/>
                      <w:highlight w:val="none"/>
                      <w:lang w:val="en-US" w:eastAsia="zh-CN"/>
                    </w:rPr>
                    <w:t>有机肥加工车间</w:t>
                  </w:r>
                  <w:r>
                    <w:rPr>
                      <w:rFonts w:hint="default" w:ascii="Times New Roman" w:hAnsi="Times New Roman" w:cs="Times New Roman"/>
                      <w:color w:val="auto"/>
                      <w:kern w:val="0"/>
                      <w:sz w:val="21"/>
                      <w:szCs w:val="21"/>
                      <w:highlight w:val="none"/>
                      <w:lang w:val="en-US" w:eastAsia="zh-CN"/>
                    </w:rPr>
                    <w:t>内危废贮存点，定期交由有资质的单位处置。</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rPr>
                    <w:t>危废贮存点</w:t>
                  </w:r>
                </w:p>
              </w:tc>
              <w:tc>
                <w:tcPr>
                  <w:tcW w:w="3191"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rPr>
                    <w:t>位于全封闭</w:t>
                  </w:r>
                  <w:r>
                    <w:rPr>
                      <w:rFonts w:hint="eastAsia" w:cs="Times New Roman"/>
                      <w:b w:val="0"/>
                      <w:bCs w:val="0"/>
                      <w:color w:val="auto"/>
                      <w:kern w:val="0"/>
                      <w:sz w:val="21"/>
                      <w:szCs w:val="21"/>
                      <w:highlight w:val="none"/>
                      <w:lang w:val="en-US" w:eastAsia="zh-CN"/>
                    </w:rPr>
                    <w:t>有机肥加工车间</w:t>
                  </w:r>
                  <w:r>
                    <w:rPr>
                      <w:rFonts w:hint="default" w:ascii="Times New Roman" w:hAnsi="Times New Roman" w:cs="Times New Roman"/>
                      <w:b w:val="0"/>
                      <w:bCs w:val="0"/>
                      <w:color w:val="auto"/>
                      <w:kern w:val="0"/>
                      <w:sz w:val="21"/>
                      <w:szCs w:val="21"/>
                      <w:highlight w:val="none"/>
                      <w:lang w:val="en-US" w:eastAsia="zh-CN"/>
                    </w:rPr>
                    <w:t>内建设1处占地面积为2m</w:t>
                  </w:r>
                  <w:r>
                    <w:rPr>
                      <w:rFonts w:hint="default" w:ascii="Times New Roman" w:hAnsi="Times New Roman" w:cs="Times New Roman"/>
                      <w:b w:val="0"/>
                      <w:bCs w:val="0"/>
                      <w:color w:val="auto"/>
                      <w:kern w:val="0"/>
                      <w:sz w:val="21"/>
                      <w:szCs w:val="21"/>
                      <w:highlight w:val="none"/>
                      <w:vertAlign w:val="superscript"/>
                      <w:lang w:val="en-US" w:eastAsia="zh-CN"/>
                    </w:rPr>
                    <w:t>2</w:t>
                  </w:r>
                  <w:r>
                    <w:rPr>
                      <w:rFonts w:hint="default" w:ascii="Times New Roman" w:hAnsi="Times New Roman" w:cs="Times New Roman"/>
                      <w:b w:val="0"/>
                      <w:bCs w:val="0"/>
                      <w:color w:val="auto"/>
                      <w:kern w:val="0"/>
                      <w:sz w:val="21"/>
                      <w:szCs w:val="21"/>
                      <w:highlight w:val="none"/>
                      <w:lang w:val="en-US" w:eastAsia="zh-CN"/>
                    </w:rPr>
                    <w:t>的危废贮存点，用于贮存项目产生的废机油及废机油桶。</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防渗措施</w:t>
                  </w:r>
                </w:p>
              </w:tc>
              <w:tc>
                <w:tcPr>
                  <w:tcW w:w="3917" w:type="pct"/>
                  <w:gridSpan w:val="2"/>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kern w:val="0"/>
                      <w:sz w:val="21"/>
                      <w:szCs w:val="21"/>
                      <w:lang w:val="en-US" w:eastAsia="zh-CN"/>
                    </w:rPr>
                    <w:t>本</w:t>
                  </w:r>
                  <w:r>
                    <w:rPr>
                      <w:rFonts w:hint="default" w:ascii="Times New Roman" w:hAnsi="Times New Roman" w:eastAsia="宋体" w:cs="Times New Roman"/>
                      <w:color w:val="auto"/>
                      <w:kern w:val="0"/>
                      <w:sz w:val="21"/>
                      <w:szCs w:val="21"/>
                      <w:lang w:eastAsia="zh-CN"/>
                    </w:rPr>
                    <w:t>厂区采取分区防渗</w:t>
                  </w:r>
                  <w:r>
                    <w:rPr>
                      <w:rFonts w:hint="default" w:ascii="Times New Roman" w:hAnsi="Times New Roman" w:cs="Times New Roman"/>
                      <w:color w:val="auto"/>
                      <w:kern w:val="0"/>
                      <w:sz w:val="21"/>
                      <w:szCs w:val="21"/>
                      <w:lang w:eastAsia="zh-CN"/>
                    </w:rPr>
                    <w:t>：①</w:t>
                  </w:r>
                  <w:r>
                    <w:rPr>
                      <w:rFonts w:hint="eastAsia" w:cs="Times New Roman"/>
                      <w:color w:val="auto"/>
                      <w:kern w:val="0"/>
                      <w:sz w:val="21"/>
                      <w:szCs w:val="21"/>
                      <w:lang w:val="en-US" w:eastAsia="zh-CN"/>
                    </w:rPr>
                    <w:t>原料陈化堆放棚</w:t>
                  </w:r>
                  <w:r>
                    <w:rPr>
                      <w:rFonts w:hint="default"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发酵区</w:t>
                  </w:r>
                  <w:r>
                    <w:rPr>
                      <w:rFonts w:hint="default" w:ascii="Times New Roman" w:hAnsi="Times New Roman" w:cs="Times New Roman"/>
                      <w:color w:val="auto"/>
                      <w:kern w:val="0"/>
                      <w:sz w:val="21"/>
                      <w:szCs w:val="21"/>
                      <w:lang w:val="en-US" w:eastAsia="zh-CN"/>
                    </w:rPr>
                    <w:t>）</w:t>
                  </w:r>
                  <w:r>
                    <w:rPr>
                      <w:rFonts w:hint="default" w:ascii="Times New Roman" w:hAnsi="Times New Roman" w:cs="Times New Roman"/>
                      <w:color w:val="auto"/>
                      <w:kern w:val="0"/>
                      <w:sz w:val="21"/>
                      <w:szCs w:val="21"/>
                      <w:lang w:eastAsia="zh-CN"/>
                    </w:rPr>
                    <w:t>为重点防渗区</w:t>
                  </w:r>
                  <w:r>
                    <w:rPr>
                      <w:rFonts w:hint="default" w:ascii="Times New Roman" w:hAnsi="Times New Roman" w:cs="Times New Roman"/>
                      <w:color w:val="auto"/>
                      <w:kern w:val="0"/>
                      <w:sz w:val="21"/>
                      <w:szCs w:val="21"/>
                      <w:lang w:val="en-US" w:eastAsia="zh-CN"/>
                    </w:rPr>
                    <w:t>，</w:t>
                  </w:r>
                  <w:r>
                    <w:rPr>
                      <w:rFonts w:hint="default" w:ascii="Times New Roman" w:hAnsi="Times New Roman" w:eastAsia="宋体" w:cs="Times New Roman"/>
                      <w:color w:val="auto"/>
                      <w:kern w:val="0"/>
                      <w:highlight w:val="none"/>
                      <w:lang w:val="en-US" w:eastAsia="zh-CN"/>
                    </w:rPr>
                    <w:t>等效黏土防渗层Mb≥6.0m，K≤1x10</w:t>
                  </w:r>
                  <w:r>
                    <w:rPr>
                      <w:rFonts w:hint="default" w:ascii="Times New Roman" w:hAnsi="Times New Roman" w:cs="Times New Roman"/>
                      <w:color w:val="auto"/>
                      <w:kern w:val="0"/>
                      <w:highlight w:val="none"/>
                      <w:vertAlign w:val="superscript"/>
                      <w:lang w:val="en-US" w:eastAsia="zh-CN"/>
                    </w:rPr>
                    <w:t>-7</w:t>
                  </w:r>
                  <w:r>
                    <w:rPr>
                      <w:rFonts w:hint="default" w:ascii="Times New Roman" w:hAnsi="Times New Roman" w:eastAsia="宋体" w:cs="Times New Roman"/>
                      <w:color w:val="auto"/>
                      <w:kern w:val="0"/>
                      <w:highlight w:val="none"/>
                      <w:lang w:val="en-US" w:eastAsia="zh-CN"/>
                    </w:rPr>
                    <w:t>cm/s</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Cs w:val="21"/>
                    </w:rPr>
                    <w:t>②</w:t>
                  </w:r>
                  <w:r>
                    <w:rPr>
                      <w:rFonts w:hint="default" w:ascii="Times New Roman" w:hAnsi="Times New Roman" w:cs="Times New Roman"/>
                      <w:color w:val="auto"/>
                      <w:kern w:val="0"/>
                      <w:szCs w:val="21"/>
                      <w:lang w:eastAsia="zh-CN"/>
                    </w:rPr>
                    <w:t>厂区道路</w:t>
                  </w:r>
                  <w:r>
                    <w:rPr>
                      <w:rFonts w:hint="default" w:ascii="Times New Roman" w:hAnsi="Times New Roman" w:cs="Times New Roman"/>
                      <w:color w:val="auto"/>
                      <w:kern w:val="0"/>
                      <w:szCs w:val="21"/>
                    </w:rPr>
                    <w:t>为简单防渗区，地面采用混凝土硬化</w:t>
                  </w:r>
                  <w:r>
                    <w:rPr>
                      <w:rFonts w:hint="default" w:ascii="Times New Roman" w:hAnsi="Times New Roman" w:cs="Times New Roman"/>
                      <w:color w:val="auto"/>
                      <w:kern w:val="0"/>
                      <w:szCs w:val="21"/>
                      <w:lang w:eastAsia="zh-CN"/>
                    </w:rPr>
                    <w:t>；③</w:t>
                  </w:r>
                  <w:r>
                    <w:rPr>
                      <w:rFonts w:hint="eastAsia" w:cs="Times New Roman"/>
                      <w:color w:val="auto"/>
                      <w:kern w:val="0"/>
                      <w:szCs w:val="21"/>
                      <w:lang w:val="en-US" w:eastAsia="zh-CN"/>
                    </w:rPr>
                    <w:t>有机肥加工车间</w:t>
                  </w:r>
                  <w:r>
                    <w:rPr>
                      <w:rFonts w:hint="default" w:ascii="Times New Roman" w:hAnsi="Times New Roman" w:cs="Times New Roman"/>
                      <w:color w:val="auto"/>
                      <w:kern w:val="0"/>
                      <w:szCs w:val="21"/>
                      <w:lang w:val="en-US" w:eastAsia="zh-CN"/>
                    </w:rPr>
                    <w:t>新建</w:t>
                  </w:r>
                  <w:r>
                    <w:rPr>
                      <w:rFonts w:hint="default" w:ascii="Times New Roman" w:hAnsi="Times New Roman" w:cs="Times New Roman"/>
                      <w:color w:val="auto"/>
                      <w:kern w:val="0"/>
                      <w:szCs w:val="21"/>
                      <w:lang w:eastAsia="zh-CN"/>
                    </w:rPr>
                    <w:t>危废贮存点</w:t>
                  </w:r>
                  <w:r>
                    <w:rPr>
                      <w:rFonts w:hint="default" w:ascii="Times New Roman" w:hAnsi="Times New Roman" w:cs="Times New Roman"/>
                      <w:color w:val="auto"/>
                      <w:kern w:val="0"/>
                      <w:szCs w:val="21"/>
                      <w:lang w:val="en-US" w:eastAsia="zh-CN"/>
                    </w:rPr>
                    <w:t>采取“地面一般防渗处理+防渗托盘+密闭油桶”方式，</w:t>
                  </w:r>
                  <w:r>
                    <w:rPr>
                      <w:rFonts w:hint="default" w:ascii="Times New Roman" w:hAnsi="Times New Roman" w:cs="Times New Roman"/>
                      <w:color w:val="auto"/>
                      <w:kern w:val="0"/>
                      <w:szCs w:val="21"/>
                      <w:lang w:eastAsia="zh-CN"/>
                    </w:rPr>
                    <w:t>防止危险废物泄露污染地下水。</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环境管理</w:t>
                  </w:r>
                </w:p>
              </w:tc>
              <w:tc>
                <w:tcPr>
                  <w:tcW w:w="3917"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依据《固定污染源排污许可分类管理名录（2019年）》落实相关排污许可手续；规范环境管理制度等。</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3917"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制定监测计划，并严格按照监测计划定期开展废气、噪声等污染源监测。</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新建</w:t>
                  </w:r>
                </w:p>
              </w:tc>
            </w:tr>
            <w:bookmarkEnd w:id="2"/>
            <w:bookmarkEnd w:id="3"/>
            <w:bookmarkEnd w:id="4"/>
            <w:bookmarkEnd w:id="5"/>
            <w:bookmarkEnd w:id="6"/>
            <w:bookmarkEnd w:id="7"/>
            <w:bookmarkEnd w:id="8"/>
            <w:bookmarkEnd w:id="9"/>
          </w:tbl>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三、主要产品及产能、主要生产单元、主要工艺</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w:t>
            </w:r>
            <w:r>
              <w:rPr>
                <w:rFonts w:hint="default" w:ascii="Times New Roman" w:hAnsi="Times New Roman" w:cs="Times New Roman"/>
                <w:bCs/>
                <w:color w:val="auto"/>
                <w:sz w:val="24"/>
                <w:szCs w:val="24"/>
                <w:lang w:val="en-US" w:eastAsia="zh-CN"/>
              </w:rPr>
              <w:t>产品为粉状有机肥及颗粒有机肥</w:t>
            </w:r>
            <w:r>
              <w:rPr>
                <w:rFonts w:hint="default" w:ascii="Times New Roman" w:hAnsi="Times New Roman" w:eastAsia="宋体" w:cs="Times New Roman"/>
                <w:bCs/>
                <w:color w:val="auto"/>
                <w:sz w:val="24"/>
                <w:szCs w:val="24"/>
                <w:lang w:val="en-US" w:eastAsia="zh-CN"/>
              </w:rPr>
              <w:t>，具体见表</w:t>
            </w:r>
            <w:r>
              <w:rPr>
                <w:rFonts w:hint="eastAsia" w:cs="Times New Roman"/>
                <w:bCs/>
                <w:color w:val="auto"/>
                <w:sz w:val="24"/>
                <w:szCs w:val="24"/>
                <w:lang w:val="en-US" w:eastAsia="zh-CN"/>
              </w:rPr>
              <w:t>2-2</w:t>
            </w:r>
            <w:r>
              <w:rPr>
                <w:rFonts w:hint="default" w:ascii="Times New Roman" w:hAnsi="Times New Roman" w:eastAsia="宋体" w:cs="Times New Roman"/>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2-2</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产品方案一览表</w:t>
            </w:r>
          </w:p>
          <w:tbl>
            <w:tblPr>
              <w:tblStyle w:val="23"/>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49"/>
              <w:gridCol w:w="929"/>
              <w:gridCol w:w="941"/>
              <w:gridCol w:w="927"/>
              <w:gridCol w:w="3076"/>
              <w:gridCol w:w="7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786"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产品名称</w:t>
                  </w:r>
                </w:p>
              </w:tc>
              <w:tc>
                <w:tcPr>
                  <w:tcW w:w="1089" w:type="pct"/>
                  <w:gridSpan w:val="2"/>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产能</w:t>
                  </w:r>
                  <w:r>
                    <w:rPr>
                      <w:rFonts w:hint="default" w:ascii="Times New Roman" w:hAnsi="Times New Roman" w:cs="Times New Roman"/>
                      <w:b/>
                      <w:bCs/>
                      <w:color w:val="auto"/>
                      <w:kern w:val="0"/>
                      <w:sz w:val="21"/>
                      <w:szCs w:val="21"/>
                      <w:lang w:val="en-US" w:eastAsia="zh-CN"/>
                    </w:rPr>
                    <w:t>(t/a)</w:t>
                  </w:r>
                </w:p>
              </w:tc>
              <w:tc>
                <w:tcPr>
                  <w:tcW w:w="540"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val="en-US" w:eastAsia="zh-CN"/>
                    </w:rPr>
                    <w:t>生产单元</w:t>
                  </w:r>
                </w:p>
              </w:tc>
              <w:tc>
                <w:tcPr>
                  <w:tcW w:w="1792"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技改后生产工艺</w:t>
                  </w:r>
                </w:p>
              </w:tc>
              <w:tc>
                <w:tcPr>
                  <w:tcW w:w="412"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rPr>
                  </w:pPr>
                </w:p>
              </w:tc>
              <w:tc>
                <w:tcPr>
                  <w:tcW w:w="786"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rPr>
                  </w:pPr>
                </w:p>
              </w:tc>
              <w:tc>
                <w:tcPr>
                  <w:tcW w:w="541"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技改前</w:t>
                  </w:r>
                </w:p>
              </w:tc>
              <w:tc>
                <w:tcPr>
                  <w:tcW w:w="54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技改后</w:t>
                  </w:r>
                </w:p>
              </w:tc>
              <w:tc>
                <w:tcPr>
                  <w:tcW w:w="54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c>
                <w:tcPr>
                  <w:tcW w:w="1792"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c>
                <w:tcPr>
                  <w:tcW w:w="412"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349"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粉状有机肥</w:t>
                  </w:r>
                </w:p>
              </w:tc>
              <w:tc>
                <w:tcPr>
                  <w:tcW w:w="929"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w:t>
                  </w:r>
                </w:p>
              </w:tc>
              <w:tc>
                <w:tcPr>
                  <w:tcW w:w="941"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5000</w:t>
                  </w:r>
                </w:p>
              </w:tc>
              <w:tc>
                <w:tcPr>
                  <w:tcW w:w="540"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有机肥料生产线</w:t>
                  </w:r>
                </w:p>
              </w:tc>
              <w:tc>
                <w:tcPr>
                  <w:tcW w:w="1792"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混配、发酵、陈化、粉碎、筛分</w:t>
                  </w:r>
                </w:p>
              </w:tc>
              <w:tc>
                <w:tcPr>
                  <w:tcW w:w="412"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1349"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颗粒有机肥</w:t>
                  </w:r>
                </w:p>
              </w:tc>
              <w:tc>
                <w:tcPr>
                  <w:tcW w:w="929"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5000</w:t>
                  </w:r>
                </w:p>
              </w:tc>
              <w:tc>
                <w:tcPr>
                  <w:tcW w:w="941" w:type="dxa"/>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5000</w:t>
                  </w:r>
                </w:p>
              </w:tc>
              <w:tc>
                <w:tcPr>
                  <w:tcW w:w="54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eastAsia="zh-CN"/>
                    </w:rPr>
                  </w:pPr>
                </w:p>
              </w:tc>
              <w:tc>
                <w:tcPr>
                  <w:tcW w:w="1792"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混配、发酵、陈化、粉碎、筛分、造粒、冷却、</w:t>
                  </w:r>
                  <w:r>
                    <w:rPr>
                      <w:rFonts w:hint="eastAsia" w:cs="Times New Roman"/>
                      <w:color w:val="auto"/>
                      <w:kern w:val="0"/>
                      <w:sz w:val="21"/>
                      <w:szCs w:val="21"/>
                      <w:lang w:val="en-US" w:eastAsia="zh-CN"/>
                    </w:rPr>
                    <w:t>二次</w:t>
                  </w:r>
                  <w:r>
                    <w:rPr>
                      <w:rFonts w:hint="default" w:ascii="Times New Roman" w:hAnsi="Times New Roman" w:cs="Times New Roman"/>
                      <w:color w:val="auto"/>
                      <w:kern w:val="0"/>
                      <w:sz w:val="21"/>
                      <w:szCs w:val="21"/>
                      <w:lang w:val="en-US" w:eastAsia="zh-CN"/>
                    </w:rPr>
                    <w:t>筛分</w:t>
                  </w:r>
                </w:p>
              </w:tc>
              <w:tc>
                <w:tcPr>
                  <w:tcW w:w="412"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合计</w:t>
                  </w:r>
                </w:p>
              </w:tc>
              <w:tc>
                <w:tcPr>
                  <w:tcW w:w="1349" w:type="dxa"/>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有机肥</w:t>
                  </w:r>
                </w:p>
              </w:tc>
              <w:tc>
                <w:tcPr>
                  <w:tcW w:w="929" w:type="dxa"/>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eastAsia" w:cs="Times New Roman"/>
                      <w:b/>
                      <w:bCs/>
                      <w:color w:val="auto"/>
                      <w:kern w:val="0"/>
                      <w:sz w:val="21"/>
                      <w:szCs w:val="21"/>
                      <w:lang w:val="en-US" w:eastAsia="zh-CN"/>
                    </w:rPr>
                    <w:t>5000</w:t>
                  </w:r>
                </w:p>
              </w:tc>
              <w:tc>
                <w:tcPr>
                  <w:tcW w:w="941" w:type="dxa"/>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eastAsia" w:cs="Times New Roman"/>
                      <w:b/>
                      <w:bCs/>
                      <w:color w:val="auto"/>
                      <w:kern w:val="0"/>
                      <w:sz w:val="21"/>
                      <w:szCs w:val="21"/>
                      <w:lang w:val="en-US" w:eastAsia="zh-CN"/>
                    </w:rPr>
                    <w:t>10000</w:t>
                  </w:r>
                </w:p>
              </w:tc>
              <w:tc>
                <w:tcPr>
                  <w:tcW w:w="540"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c>
                <w:tcPr>
                  <w:tcW w:w="1792"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c>
                <w:tcPr>
                  <w:tcW w:w="412"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本项目产品质量标准执行《有机肥料》（NY525-2021），详见表2-3。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表2-3  有机肥产品技术指标及限量指标要求一览表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92"/>
              <w:gridCol w:w="2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项目</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外观均匀，粉状或颗粒状，无恶臭。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有机质的质量分数（以烘干基计），%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总养分（N+P</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O</w:t>
                  </w:r>
                  <w:r>
                    <w:rPr>
                      <w:rFonts w:hint="default" w:ascii="Times New Roman" w:hAnsi="Times New Roman" w:eastAsia="宋体" w:cs="Times New Roman"/>
                      <w:color w:val="auto"/>
                      <w:kern w:val="0"/>
                      <w:sz w:val="21"/>
                      <w:szCs w:val="21"/>
                      <w:vertAlign w:val="subscript"/>
                      <w:lang w:val="en-US" w:eastAsia="zh-CN"/>
                    </w:rPr>
                    <w:t>5</w:t>
                  </w:r>
                  <w:r>
                    <w:rPr>
                      <w:rFonts w:hint="default" w:ascii="Times New Roman" w:hAnsi="Times New Roman" w:eastAsia="宋体" w:cs="Times New Roman"/>
                      <w:color w:val="auto"/>
                      <w:kern w:val="0"/>
                      <w:sz w:val="21"/>
                      <w:szCs w:val="21"/>
                      <w:lang w:val="en-US" w:eastAsia="zh-CN"/>
                    </w:rPr>
                    <w:t>+K</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O）的质量分数（以烘干基计），%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水分（鲜样）的质量分数，%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酸碱度（pH）</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种子发芽指数（GI），%</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机械杂质的质量分数，%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限量指标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总砷（As），mg/kg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总汞（Hg），mg/kg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总铅（Pb），mg/kg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总镉（Cd），mg/kg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总铬（Cr），mg/kg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粪大肠菌群数，个/g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蛔虫卵死亡率，%</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氯离子的质量分数/%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杂草种子活性，株/kg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lang w:val="en-US" w:eastAsia="zh-CN"/>
              </w:rPr>
              <w:t>四、主要生产设施及设施参数</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本项目主要生产设施及设施参数见表2-4。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表2-4  主要生产设备一览表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126"/>
              <w:gridCol w:w="2593"/>
              <w:gridCol w:w="974"/>
              <w:gridCol w:w="901"/>
              <w:gridCol w:w="1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16"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123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设备名称</w:t>
                  </w:r>
                </w:p>
              </w:tc>
              <w:tc>
                <w:tcPr>
                  <w:tcW w:w="1509"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型号</w:t>
                  </w:r>
                </w:p>
              </w:tc>
              <w:tc>
                <w:tcPr>
                  <w:tcW w:w="56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单位</w:t>
                  </w:r>
                </w:p>
              </w:tc>
              <w:tc>
                <w:tcPr>
                  <w:tcW w:w="524"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数量</w:t>
                  </w:r>
                </w:p>
              </w:tc>
              <w:tc>
                <w:tcPr>
                  <w:tcW w:w="74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铲车喂料机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XGLC-3520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固定皮带机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立式粉碎机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XGFS-1000-LS</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固定皮带机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滚筒筛分机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XGSF-5015</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横向出料皮带</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XGPD-600-6</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固定皮带机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XGPD-600-6</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多仓配料</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XGPL-1515-4</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套</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横向皮带机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XGPD-600-7</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固定皮带机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11</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双轴搅拌机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XGJB-5010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分料器</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XGFL-2</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13</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固定皮带机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XGPD-600-12</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14</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粉状包装机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XGBZ-100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套</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固定皮带机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16</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挤压造粒机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XGZL-55-DM</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17</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固定皮带机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XGPD-600-12</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18</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颗粒包装机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XGBZ-100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套</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19</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控制系统</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XGDK-50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套</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20</w:t>
                  </w:r>
                </w:p>
              </w:tc>
              <w:tc>
                <w:tcPr>
                  <w:tcW w:w="1237"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铲车</w:t>
                  </w:r>
                </w:p>
              </w:tc>
              <w:tc>
                <w:tcPr>
                  <w:tcW w:w="1509"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50型</w:t>
                  </w:r>
                </w:p>
              </w:tc>
              <w:tc>
                <w:tcPr>
                  <w:tcW w:w="567"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21</w:t>
                  </w:r>
                </w:p>
              </w:tc>
              <w:tc>
                <w:tcPr>
                  <w:tcW w:w="1237"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菌种扩培机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6" w:type="pct"/>
                  <w:tcBorders>
                    <w:tl2br w:val="nil"/>
                    <w:tr2bl w:val="nil"/>
                  </w:tcBorders>
                  <w:shd w:val="clear" w:color="auto" w:fill="auto"/>
                  <w:noWrap w:val="0"/>
                  <w:vAlign w:val="center"/>
                </w:tcPr>
                <w:p>
                  <w:pPr>
                    <w:widowControl/>
                    <w:adjustRightInd w:val="0"/>
                    <w:snapToGrid w:val="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22</w:t>
                  </w:r>
                </w:p>
              </w:tc>
              <w:tc>
                <w:tcPr>
                  <w:tcW w:w="1237"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翻抛机</w:t>
                  </w:r>
                </w:p>
              </w:tc>
              <w:tc>
                <w:tcPr>
                  <w:tcW w:w="1509"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c>
                <w:tcPr>
                  <w:tcW w:w="567"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利旧</w:t>
                  </w:r>
                </w:p>
              </w:tc>
            </w:tr>
          </w:tbl>
          <w:p>
            <w:p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lang w:val="en-US" w:eastAsia="zh-CN"/>
              </w:rPr>
              <w:t>五</w:t>
            </w:r>
            <w:r>
              <w:rPr>
                <w:rFonts w:hint="default" w:ascii="Times New Roman" w:hAnsi="Times New Roman" w:eastAsia="黑体" w:cs="Times New Roman"/>
                <w:b w:val="0"/>
                <w:bCs/>
                <w:color w:val="auto"/>
                <w:sz w:val="24"/>
                <w:szCs w:val="24"/>
              </w:rPr>
              <w:t>、主要原辅材料及燃料种类和用量</w:t>
            </w:r>
          </w:p>
          <w:p>
            <w:pPr>
              <w:adjustRightInd w:val="0"/>
              <w:snapToGrid w:val="0"/>
              <w:spacing w:line="360" w:lineRule="auto"/>
              <w:ind w:firstLine="480" w:firstLineChars="200"/>
              <w:rPr>
                <w:rFonts w:hint="default" w:ascii="Times New Roman" w:hAnsi="Times New Roman" w:eastAsia="宋体" w:cs="Times New Roman"/>
                <w:color w:val="auto"/>
                <w:sz w:val="28"/>
              </w:rPr>
            </w:pPr>
            <w:r>
              <w:rPr>
                <w:rFonts w:hint="default" w:ascii="Times New Roman" w:hAnsi="Times New Roman" w:cs="Times New Roman"/>
                <w:color w:val="auto"/>
                <w:sz w:val="24"/>
                <w:szCs w:val="24"/>
                <w:lang w:val="en-US" w:eastAsia="zh-CN"/>
              </w:rPr>
              <w:t>本</w:t>
            </w:r>
            <w:r>
              <w:rPr>
                <w:rFonts w:hint="default" w:ascii="Times New Roman" w:hAnsi="Times New Roman" w:eastAsia="宋体" w:cs="Times New Roman"/>
                <w:color w:val="auto"/>
                <w:sz w:val="24"/>
                <w:szCs w:val="24"/>
              </w:rPr>
              <w:t>项目原辅材料用量</w:t>
            </w:r>
            <w:r>
              <w:rPr>
                <w:rFonts w:hint="default" w:ascii="Times New Roman" w:hAnsi="Times New Roman" w:cs="Times New Roman"/>
                <w:color w:val="auto"/>
                <w:sz w:val="24"/>
                <w:szCs w:val="24"/>
                <w:lang w:val="en-US" w:eastAsia="zh-CN"/>
              </w:rPr>
              <w:t>及能源消耗情况</w:t>
            </w:r>
            <w:r>
              <w:rPr>
                <w:rFonts w:hint="default" w:ascii="Times New Roman" w:hAnsi="Times New Roman" w:eastAsia="宋体" w:cs="Times New Roman"/>
                <w:color w:val="auto"/>
                <w:sz w:val="24"/>
                <w:szCs w:val="24"/>
              </w:rPr>
              <w:t>见表</w:t>
            </w:r>
            <w:r>
              <w:rPr>
                <w:rFonts w:hint="default" w:ascii="Times New Roman" w:hAnsi="Times New Roman" w:eastAsia="宋体" w:cs="Times New Roman"/>
                <w:color w:val="auto"/>
                <w:sz w:val="24"/>
                <w:szCs w:val="24"/>
                <w:lang w:val="en-US" w:eastAsia="zh-CN"/>
              </w:rPr>
              <w:t>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8"/>
              </w:rPr>
              <w:t>。</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2-5</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val="en-US" w:eastAsia="zh-CN"/>
              </w:rPr>
              <w:t>本</w:t>
            </w:r>
            <w:r>
              <w:rPr>
                <w:rFonts w:hint="default" w:ascii="Times New Roman" w:hAnsi="Times New Roman" w:eastAsia="黑体" w:cs="Times New Roman"/>
                <w:b w:val="0"/>
                <w:bCs w:val="0"/>
                <w:color w:val="auto"/>
                <w:sz w:val="24"/>
                <w:szCs w:val="24"/>
              </w:rPr>
              <w:t>项目主要原辅材料</w:t>
            </w:r>
            <w:r>
              <w:rPr>
                <w:rFonts w:hint="default" w:ascii="Times New Roman" w:hAnsi="Times New Roman" w:eastAsia="黑体" w:cs="Times New Roman"/>
                <w:b w:val="0"/>
                <w:bCs w:val="0"/>
                <w:color w:val="auto"/>
                <w:sz w:val="24"/>
                <w:szCs w:val="24"/>
                <w:lang w:val="en-US" w:eastAsia="zh-CN"/>
              </w:rPr>
              <w:t>及能耗</w:t>
            </w:r>
            <w:r>
              <w:rPr>
                <w:rFonts w:hint="default" w:ascii="Times New Roman" w:hAnsi="Times New Roman" w:eastAsia="黑体" w:cs="Times New Roman"/>
                <w:b w:val="0"/>
                <w:bCs w:val="0"/>
                <w:color w:val="auto"/>
                <w:sz w:val="24"/>
                <w:szCs w:val="24"/>
              </w:rPr>
              <w:t>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0"/>
              <w:gridCol w:w="1657"/>
              <w:gridCol w:w="1253"/>
              <w:gridCol w:w="1118"/>
              <w:gridCol w:w="1132"/>
              <w:gridCol w:w="27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eastAsia="宋体" w:cs="Times New Roman"/>
                      <w:b/>
                      <w:color w:val="auto"/>
                      <w:kern w:val="0"/>
                      <w:sz w:val="21"/>
                      <w:szCs w:val="21"/>
                      <w:highlight w:val="none"/>
                      <w:shd w:val="clear" w:color="auto" w:fill="auto"/>
                      <w:lang w:eastAsia="zh-CN"/>
                    </w:rPr>
                    <w:t>序号</w:t>
                  </w:r>
                </w:p>
              </w:tc>
              <w:tc>
                <w:tcPr>
                  <w:tcW w:w="965"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rPr>
                    <w:t>原材料名称</w:t>
                  </w:r>
                </w:p>
              </w:tc>
              <w:tc>
                <w:tcPr>
                  <w:tcW w:w="1381" w:type="pct"/>
                  <w:gridSpan w:val="2"/>
                  <w:tcBorders>
                    <w:tl2br w:val="nil"/>
                    <w:tr2bl w:val="nil"/>
                  </w:tcBorders>
                  <w:noWrap w:val="0"/>
                  <w:vAlign w:val="center"/>
                </w:tcPr>
                <w:p>
                  <w:pPr>
                    <w:widowControl/>
                    <w:jc w:val="center"/>
                    <w:rPr>
                      <w:rFonts w:hint="default" w:ascii="Times New Roman" w:hAnsi="Times New Roman" w:cs="Times New Roman"/>
                      <w:b/>
                      <w:color w:val="auto"/>
                      <w:kern w:val="0"/>
                      <w:sz w:val="21"/>
                      <w:szCs w:val="21"/>
                      <w:highlight w:val="none"/>
                      <w:shd w:val="clear" w:color="auto" w:fill="auto"/>
                      <w:lang w:val="en-US" w:eastAsia="zh-CN"/>
                    </w:rPr>
                  </w:pPr>
                  <w:r>
                    <w:rPr>
                      <w:rFonts w:hint="default" w:ascii="Times New Roman" w:hAnsi="Times New Roman" w:eastAsia="宋体" w:cs="Times New Roman"/>
                      <w:b/>
                      <w:color w:val="auto"/>
                      <w:kern w:val="0"/>
                      <w:sz w:val="21"/>
                      <w:szCs w:val="21"/>
                      <w:highlight w:val="none"/>
                      <w:shd w:val="clear" w:color="auto" w:fill="auto"/>
                      <w:lang w:eastAsia="zh-CN"/>
                    </w:rPr>
                    <w:t>消耗量</w:t>
                  </w:r>
                </w:p>
              </w:tc>
              <w:tc>
                <w:tcPr>
                  <w:tcW w:w="659"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单位</w:t>
                  </w:r>
                </w:p>
              </w:tc>
              <w:tc>
                <w:tcPr>
                  <w:tcW w:w="1585" w:type="pct"/>
                  <w:vMerge w:val="restart"/>
                  <w:tcBorders>
                    <w:tl2br w:val="nil"/>
                    <w:tr2bl w:val="nil"/>
                  </w:tcBorders>
                  <w:noWrap w:val="0"/>
                  <w:vAlign w:val="center"/>
                </w:tcPr>
                <w:p>
                  <w:pPr>
                    <w:widowControl/>
                    <w:jc w:val="center"/>
                    <w:rPr>
                      <w:rFonts w:hint="default" w:ascii="Times New Roman" w:hAnsi="Times New Roman"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vMerge w:val="continue"/>
                  <w:tcBorders>
                    <w:tl2br w:val="nil"/>
                    <w:tr2bl w:val="nil"/>
                  </w:tcBorders>
                  <w:noWrap w:val="0"/>
                  <w:vAlign w:val="center"/>
                </w:tcPr>
                <w:p>
                  <w:pPr>
                    <w:widowControl/>
                    <w:jc w:val="center"/>
                    <w:rPr>
                      <w:rFonts w:hint="default" w:ascii="Times New Roman" w:hAnsi="Times New Roman" w:cs="Times New Roman"/>
                      <w:color w:val="auto"/>
                      <w:sz w:val="21"/>
                      <w:szCs w:val="21"/>
                    </w:rPr>
                  </w:pPr>
                </w:p>
              </w:tc>
              <w:tc>
                <w:tcPr>
                  <w:tcW w:w="965" w:type="pct"/>
                  <w:vMerge w:val="continue"/>
                  <w:tcBorders>
                    <w:tl2br w:val="nil"/>
                    <w:tr2bl w:val="nil"/>
                  </w:tcBorders>
                  <w:noWrap w:val="0"/>
                  <w:vAlign w:val="center"/>
                </w:tcPr>
                <w:p>
                  <w:pPr>
                    <w:widowControl/>
                    <w:jc w:val="center"/>
                    <w:rPr>
                      <w:rFonts w:hint="default" w:ascii="Times New Roman" w:hAnsi="Times New Roman" w:cs="Times New Roman"/>
                      <w:color w:val="auto"/>
                      <w:sz w:val="21"/>
                      <w:szCs w:val="21"/>
                    </w:rPr>
                  </w:pPr>
                </w:p>
              </w:tc>
              <w:tc>
                <w:tcPr>
                  <w:tcW w:w="730"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cs="Times New Roman"/>
                      <w:b/>
                      <w:color w:val="auto"/>
                      <w:kern w:val="0"/>
                      <w:sz w:val="21"/>
                      <w:szCs w:val="21"/>
                      <w:highlight w:val="none"/>
                      <w:shd w:val="clear" w:color="auto" w:fill="auto"/>
                      <w:lang w:eastAsia="zh-CN"/>
                    </w:rPr>
                    <w:t>技改前</w:t>
                  </w:r>
                </w:p>
              </w:tc>
              <w:tc>
                <w:tcPr>
                  <w:tcW w:w="651"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cs="Times New Roman"/>
                      <w:b/>
                      <w:color w:val="auto"/>
                      <w:kern w:val="0"/>
                      <w:sz w:val="21"/>
                      <w:szCs w:val="21"/>
                      <w:highlight w:val="none"/>
                      <w:shd w:val="clear" w:color="auto" w:fill="auto"/>
                      <w:lang w:eastAsia="zh-CN"/>
                    </w:rPr>
                    <w:t>技改后</w:t>
                  </w:r>
                </w:p>
              </w:tc>
              <w:tc>
                <w:tcPr>
                  <w:tcW w:w="659" w:type="pct"/>
                  <w:vMerge w:val="continue"/>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p>
              </w:tc>
              <w:tc>
                <w:tcPr>
                  <w:tcW w:w="1585" w:type="pct"/>
                  <w:vMerge w:val="continue"/>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 w:hRule="atLeast"/>
                <w:jc w:val="center"/>
              </w:trPr>
              <w:tc>
                <w:tcPr>
                  <w:tcW w:w="408"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1</w:t>
                  </w:r>
                </w:p>
              </w:tc>
              <w:tc>
                <w:tcPr>
                  <w:tcW w:w="965"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牛粪</w:t>
                  </w:r>
                </w:p>
              </w:tc>
              <w:tc>
                <w:tcPr>
                  <w:tcW w:w="73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6772</w:t>
                  </w:r>
                </w:p>
              </w:tc>
              <w:tc>
                <w:tcPr>
                  <w:tcW w:w="1118"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i w:val="0"/>
                      <w:iCs w:val="0"/>
                      <w:color w:val="auto"/>
                      <w:kern w:val="0"/>
                      <w:sz w:val="21"/>
                      <w:szCs w:val="21"/>
                      <w:u w:val="none"/>
                      <w:lang w:val="en-US" w:eastAsia="zh-CN" w:bidi="ar"/>
                    </w:rPr>
                    <w:t>20314</w:t>
                  </w:r>
                </w:p>
              </w:tc>
              <w:tc>
                <w:tcPr>
                  <w:tcW w:w="659"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85"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eastAsia" w:cs="Times New Roman"/>
                      <w:color w:val="auto"/>
                      <w:kern w:val="0"/>
                      <w:sz w:val="21"/>
                      <w:szCs w:val="21"/>
                      <w:highlight w:val="none"/>
                      <w:shd w:val="clear" w:color="auto" w:fill="auto"/>
                      <w:lang w:val="en-US" w:eastAsia="zh-CN"/>
                    </w:rPr>
                    <w:t>周边</w:t>
                  </w:r>
                  <w:r>
                    <w:rPr>
                      <w:rFonts w:hint="default" w:ascii="Times New Roman" w:hAnsi="Times New Roman" w:cs="Times New Roman"/>
                      <w:color w:val="auto"/>
                      <w:kern w:val="0"/>
                      <w:sz w:val="21"/>
                      <w:szCs w:val="21"/>
                      <w:highlight w:val="none"/>
                      <w:shd w:val="clear" w:color="auto" w:fill="auto"/>
                      <w:lang w:val="en-US" w:eastAsia="zh-CN"/>
                    </w:rPr>
                    <w:t>养殖户</w:t>
                  </w:r>
                  <w:r>
                    <w:rPr>
                      <w:rFonts w:hint="eastAsia" w:cs="Times New Roman"/>
                      <w:color w:val="auto"/>
                      <w:kern w:val="0"/>
                      <w:sz w:val="21"/>
                      <w:szCs w:val="21"/>
                      <w:highlight w:val="none"/>
                      <w:shd w:val="clear" w:color="auto" w:fill="auto"/>
                      <w:lang w:val="en-US" w:eastAsia="zh-CN"/>
                    </w:rPr>
                    <w:t>，含水率为70%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2</w:t>
                  </w:r>
                </w:p>
              </w:tc>
              <w:tc>
                <w:tcPr>
                  <w:tcW w:w="965"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秸秆</w:t>
                  </w:r>
                </w:p>
              </w:tc>
              <w:tc>
                <w:tcPr>
                  <w:tcW w:w="73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200</w:t>
                  </w:r>
                </w:p>
              </w:tc>
              <w:tc>
                <w:tcPr>
                  <w:tcW w:w="1118"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610</w:t>
                  </w:r>
                </w:p>
              </w:tc>
              <w:tc>
                <w:tcPr>
                  <w:tcW w:w="659"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85"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eastAsia"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3</w:t>
                  </w:r>
                </w:p>
              </w:tc>
              <w:tc>
                <w:tcPr>
                  <w:tcW w:w="965"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腐熟剂</w:t>
                  </w:r>
                </w:p>
              </w:tc>
              <w:tc>
                <w:tcPr>
                  <w:tcW w:w="73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40</w:t>
                  </w:r>
                </w:p>
              </w:tc>
              <w:tc>
                <w:tcPr>
                  <w:tcW w:w="1118"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w:t>
                  </w:r>
                </w:p>
              </w:tc>
              <w:tc>
                <w:tcPr>
                  <w:tcW w:w="659"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85"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4</w:t>
                  </w:r>
                </w:p>
              </w:tc>
              <w:tc>
                <w:tcPr>
                  <w:tcW w:w="965"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bidi="ar"/>
                    </w:rPr>
                    <w:t>酸性腐殖酸</w:t>
                  </w:r>
                </w:p>
              </w:tc>
              <w:tc>
                <w:tcPr>
                  <w:tcW w:w="73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94</w:t>
                  </w:r>
                </w:p>
              </w:tc>
              <w:tc>
                <w:tcPr>
                  <w:tcW w:w="1118"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280</w:t>
                  </w:r>
                </w:p>
              </w:tc>
              <w:tc>
                <w:tcPr>
                  <w:tcW w:w="659"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85"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外购，含水率30%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tcBorders>
                    <w:tl2br w:val="nil"/>
                    <w:tr2bl w:val="nil"/>
                  </w:tcBorders>
                  <w:shd w:val="clear" w:color="auto" w:fill="auto"/>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eastAsia" w:cs="Times New Roman"/>
                      <w:color w:val="auto"/>
                      <w:kern w:val="0"/>
                      <w:sz w:val="21"/>
                      <w:szCs w:val="21"/>
                      <w:highlight w:val="none"/>
                      <w:shd w:val="clear" w:color="auto" w:fill="auto"/>
                      <w:lang w:val="en-US" w:eastAsia="zh-CN"/>
                    </w:rPr>
                    <w:t>5</w:t>
                  </w:r>
                </w:p>
              </w:tc>
              <w:tc>
                <w:tcPr>
                  <w:tcW w:w="965"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发酵菌剂</w:t>
                  </w:r>
                </w:p>
              </w:tc>
              <w:tc>
                <w:tcPr>
                  <w:tcW w:w="73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0.4</w:t>
                  </w:r>
                </w:p>
              </w:tc>
              <w:tc>
                <w:tcPr>
                  <w:tcW w:w="1118"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659"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85"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eastAsia"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tcBorders>
                    <w:tl2br w:val="nil"/>
                    <w:tr2bl w:val="nil"/>
                  </w:tcBorders>
                  <w:shd w:val="clear" w:color="auto" w:fill="auto"/>
                  <w:noWrap w:val="0"/>
                  <w:vAlign w:val="center"/>
                </w:tcPr>
                <w:p>
                  <w:pPr>
                    <w:pStyle w:val="77"/>
                    <w:adjustRightInd w:val="0"/>
                    <w:snapToGrid w:val="0"/>
                    <w:jc w:val="center"/>
                    <w:rPr>
                      <w:rFonts w:hint="eastAsia"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6</w:t>
                  </w:r>
                </w:p>
              </w:tc>
              <w:tc>
                <w:tcPr>
                  <w:tcW w:w="965"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生物除臭剂</w:t>
                  </w:r>
                </w:p>
              </w:tc>
              <w:tc>
                <w:tcPr>
                  <w:tcW w:w="730" w:type="pct"/>
                  <w:tcBorders>
                    <w:tl2br w:val="nil"/>
                    <w:tr2bl w:val="nil"/>
                  </w:tcBorders>
                  <w:shd w:val="clear" w:color="auto" w:fill="auto"/>
                  <w:noWrap w:val="0"/>
                  <w:vAlign w:val="center"/>
                </w:tcPr>
                <w:p>
                  <w:pPr>
                    <w:widowControl/>
                    <w:jc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0.15</w:t>
                  </w:r>
                </w:p>
              </w:tc>
              <w:tc>
                <w:tcPr>
                  <w:tcW w:w="651" w:type="pct"/>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0.4</w:t>
                  </w:r>
                </w:p>
              </w:tc>
              <w:tc>
                <w:tcPr>
                  <w:tcW w:w="659"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85"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eastAsia"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7</w:t>
                  </w:r>
                </w:p>
              </w:tc>
              <w:tc>
                <w:tcPr>
                  <w:tcW w:w="965"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水</w:t>
                  </w:r>
                </w:p>
              </w:tc>
              <w:tc>
                <w:tcPr>
                  <w:tcW w:w="730" w:type="pct"/>
                  <w:tcBorders>
                    <w:tl2br w:val="nil"/>
                    <w:tr2bl w:val="nil"/>
                  </w:tcBorders>
                  <w:noWrap w:val="0"/>
                  <w:vAlign w:val="center"/>
                </w:tcPr>
                <w:p>
                  <w:pPr>
                    <w:pStyle w:val="77"/>
                    <w:tabs>
                      <w:tab w:val="center" w:pos="1000"/>
                      <w:tab w:val="right" w:pos="1883"/>
                    </w:tabs>
                    <w:adjustRightInd w:val="0"/>
                    <w:snapToGrid w:val="0"/>
                    <w:jc w:val="center"/>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cs="Times New Roman"/>
                      <w:b w:val="0"/>
                      <w:bCs w:val="0"/>
                      <w:color w:val="auto"/>
                      <w:kern w:val="0"/>
                      <w:sz w:val="21"/>
                      <w:szCs w:val="21"/>
                      <w:highlight w:val="none"/>
                      <w:lang w:val="en-US" w:eastAsia="zh-CN" w:bidi="ar"/>
                    </w:rPr>
                    <w:t>99</w:t>
                  </w:r>
                </w:p>
              </w:tc>
              <w:tc>
                <w:tcPr>
                  <w:tcW w:w="651" w:type="pct"/>
                  <w:tcBorders>
                    <w:tl2br w:val="nil"/>
                    <w:tr2bl w:val="nil"/>
                  </w:tcBorders>
                  <w:noWrap w:val="0"/>
                  <w:vAlign w:val="center"/>
                </w:tcPr>
                <w:p>
                  <w:pPr>
                    <w:widowControl/>
                    <w:snapToGrid w:val="0"/>
                    <w:jc w:val="center"/>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cs="Times New Roman"/>
                      <w:snapToGrid w:val="0"/>
                      <w:color w:val="auto"/>
                      <w:kern w:val="0"/>
                      <w:sz w:val="21"/>
                      <w:szCs w:val="21"/>
                      <w:highlight w:val="none"/>
                      <w:lang w:val="en-US" w:eastAsia="zh-CN"/>
                    </w:rPr>
                    <w:t>198</w:t>
                  </w:r>
                </w:p>
              </w:tc>
              <w:tc>
                <w:tcPr>
                  <w:tcW w:w="659"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rPr>
                    <w:t>m³/a</w:t>
                  </w:r>
                </w:p>
              </w:tc>
              <w:tc>
                <w:tcPr>
                  <w:tcW w:w="1585"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8"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8</w:t>
                  </w:r>
                </w:p>
              </w:tc>
              <w:tc>
                <w:tcPr>
                  <w:tcW w:w="965"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电</w:t>
                  </w:r>
                </w:p>
              </w:tc>
              <w:tc>
                <w:tcPr>
                  <w:tcW w:w="730"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30000</w:t>
                  </w:r>
                </w:p>
              </w:tc>
              <w:tc>
                <w:tcPr>
                  <w:tcW w:w="651"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80000</w:t>
                  </w:r>
                </w:p>
              </w:tc>
              <w:tc>
                <w:tcPr>
                  <w:tcW w:w="659"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lang w:bidi="ar"/>
                    </w:rPr>
                    <w:t>kW</w:t>
                  </w:r>
                  <w:r>
                    <w:rPr>
                      <w:rFonts w:hint="default" w:ascii="Times New Roman" w:hAnsi="Times New Roman" w:cs="Times New Roman"/>
                      <w:b/>
                      <w:bCs/>
                      <w:color w:val="auto"/>
                      <w:kern w:val="0"/>
                      <w:sz w:val="21"/>
                      <w:szCs w:val="21"/>
                      <w:lang w:val="en-US" w:eastAsia="zh-CN" w:bidi="ar"/>
                    </w:rPr>
                    <w:t>·</w:t>
                  </w:r>
                  <w:r>
                    <w:rPr>
                      <w:rFonts w:hint="default" w:ascii="Times New Roman" w:hAnsi="Times New Roman" w:cs="Times New Roman"/>
                      <w:color w:val="auto"/>
                      <w:kern w:val="0"/>
                      <w:sz w:val="21"/>
                      <w:szCs w:val="21"/>
                      <w:lang w:bidi="ar"/>
                    </w:rPr>
                    <w:t>h/a</w:t>
                  </w:r>
                </w:p>
              </w:tc>
              <w:tc>
                <w:tcPr>
                  <w:tcW w:w="1585"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市政供电电网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00" w:type="pct"/>
                  <w:gridSpan w:val="6"/>
                  <w:tcBorders>
                    <w:tl2br w:val="nil"/>
                    <w:tr2bl w:val="nil"/>
                  </w:tcBorders>
                  <w:noWrap w:val="0"/>
                  <w:vAlign w:val="center"/>
                </w:tcPr>
                <w:p>
                  <w:pPr>
                    <w:widowControl/>
                    <w:snapToGrid w:val="0"/>
                    <w:jc w:val="left"/>
                    <w:rPr>
                      <w:rFonts w:hint="default" w:ascii="Times New Roman" w:hAnsi="Times New Roman"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注：本项目不涉及粪污储存。</w:t>
                  </w:r>
                </w:p>
              </w:tc>
            </w:tr>
          </w:tbl>
          <w:p>
            <w:pPr>
              <w:adjustRightInd w:val="0"/>
              <w:snapToGrid w:val="0"/>
              <w:spacing w:line="360" w:lineRule="auto"/>
              <w:ind w:firstLine="481"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主要原辅材料成分和性质：</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①腐熟剂</w:t>
            </w:r>
            <w:r>
              <w:rPr>
                <w:rFonts w:hint="eastAsia" w:ascii="Times New Roman" w:hAnsi="Times New Roman" w:eastAsia="宋体" w:cs="Times New Roman"/>
                <w:color w:val="auto"/>
                <w:sz w:val="24"/>
                <w:szCs w:val="24"/>
                <w:lang w:val="en-US" w:eastAsia="zh-CN"/>
              </w:rPr>
              <w:t>：即发酵剂，其中包括放线菌类、真菌类、丝菌类、细菌类及新开发的酵母菌，主要为好氧菌群，其在干燥及常温下呈休眠状态，在充分通气下水份含量初期60%、温度在70℃～80℃时，能有效分解淀粉、醣类、蛋白质、脂肪。难分解的纤维质、半纤维、角蛋白等经处理后亦可作有效分解。</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发酵菌剂：是一种农用微生物菌剂，由多种菌株及相关分解酶复合而成，专门针对有机料、肥发酵设计，具好氧、厌氧发酵等特点，保证各种有机物料迅速发酵升温，完成有机物料的脱毒、除臭、腐熟、杀虫、灭菌和养分转化过程，平衡物料营养，分解转化蛋白质，富含氨基酸小肽，分泌B族维生素，有益菌得以对数繁殖增值，发酵总养分损失少和腐殖质含量高。主要成分：高效微生物活菌，多种有益酶、多种微量元素和有机质等，互不拮抗、相互协同。</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生物除臭剂：生物除臭剂是一种利用微生物或植物成分分解异味物质的产品，通过自然代谢过程消除异味，具有环保、安全的特点。</w:t>
            </w:r>
          </w:p>
          <w:p>
            <w:pPr>
              <w:pStyle w:val="3"/>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六、物料平衡分析</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本项目物料平衡见表2-6及图2-7。</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表2-6  物料平衡表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41"/>
              <w:gridCol w:w="1056"/>
              <w:gridCol w:w="2088"/>
              <w:gridCol w:w="1395"/>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11"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进料</w:t>
                  </w:r>
                </w:p>
              </w:tc>
              <w:tc>
                <w:tcPr>
                  <w:tcW w:w="278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出料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61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759"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牛粪（含水率约</w:t>
                  </w:r>
                  <w:r>
                    <w:rPr>
                      <w:rFonts w:hint="default" w:ascii="Times New Roman" w:hAnsi="Times New Roman" w:eastAsia="宋体" w:cs="Times New Roman"/>
                      <w:i w:val="0"/>
                      <w:iCs w:val="0"/>
                      <w:color w:val="auto"/>
                      <w:kern w:val="0"/>
                      <w:sz w:val="21"/>
                      <w:szCs w:val="21"/>
                      <w:u w:val="none"/>
                      <w:lang w:val="en-US" w:eastAsia="zh-CN" w:bidi="ar"/>
                    </w:rPr>
                    <w:t>70%</w:t>
                  </w:r>
                  <w:r>
                    <w:rPr>
                      <w:rFonts w:hint="eastAsia" w:ascii="宋体" w:hAnsi="宋体" w:eastAsia="宋体" w:cs="宋体"/>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20314</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粉状有机肥（含水率约30%）</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秸秆</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610</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颗粒有机肥（含水率约30%）</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腐熟剂</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水分损失</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11303.8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酸性腐殖酸（含水率</w:t>
                  </w:r>
                  <w:r>
                    <w:rPr>
                      <w:rFonts w:hint="default" w:ascii="Times New Roman" w:hAnsi="Times New Roman" w:eastAsia="宋体" w:cs="Times New Roman"/>
                      <w:i w:val="0"/>
                      <w:iCs w:val="0"/>
                      <w:color w:val="auto"/>
                      <w:kern w:val="0"/>
                      <w:sz w:val="21"/>
                      <w:szCs w:val="21"/>
                      <w:u w:val="none"/>
                      <w:lang w:val="en-US" w:eastAsia="zh-CN" w:bidi="ar"/>
                    </w:rPr>
                    <w:t>30%</w:t>
                  </w:r>
                  <w:r>
                    <w:rPr>
                      <w:rFonts w:hint="eastAsia" w:ascii="宋体" w:hAnsi="宋体" w:eastAsia="宋体" w:cs="宋体"/>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280</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有组织废气</w:t>
                  </w:r>
                  <w:r>
                    <w:rPr>
                      <w:rFonts w:hint="eastAsia" w:ascii="Times New Roman" w:hAnsi="Times New Roman" w:cs="Times New Roman"/>
                      <w:i w:val="0"/>
                      <w:iCs w:val="0"/>
                      <w:color w:val="auto"/>
                      <w:kern w:val="0"/>
                      <w:sz w:val="21"/>
                      <w:szCs w:val="21"/>
                      <w:u w:val="none"/>
                      <w:lang w:val="en-US" w:eastAsia="zh-CN" w:bidi="ar"/>
                    </w:rPr>
                    <w:t>（</w:t>
                  </w:r>
                  <w:r>
                    <w:rPr>
                      <w:rFonts w:hint="eastAsia" w:cs="Times New Roman"/>
                      <w:i w:val="0"/>
                      <w:iCs w:val="0"/>
                      <w:color w:val="auto"/>
                      <w:kern w:val="0"/>
                      <w:sz w:val="21"/>
                      <w:szCs w:val="21"/>
                      <w:u w:val="none"/>
                      <w:lang w:val="en-US" w:eastAsia="zh-CN" w:bidi="ar"/>
                    </w:rPr>
                    <w:t>0.315</w:t>
                  </w:r>
                  <w:r>
                    <w:rPr>
                      <w:rFonts w:hint="eastAsia" w:ascii="Times New Roman" w:hAnsi="Times New Roman" w:cs="Times New Roman"/>
                      <w:i w:val="0"/>
                      <w:iCs w:val="0"/>
                      <w:color w:val="auto"/>
                      <w:kern w:val="0"/>
                      <w:sz w:val="21"/>
                      <w:szCs w:val="21"/>
                      <w:u w:val="none"/>
                      <w:lang w:val="en-US" w:eastAsia="zh-CN" w:bidi="ar"/>
                    </w:rPr>
                    <w:t>）</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0.204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发酵菌剂</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无组织废气</w:t>
                  </w:r>
                  <w:r>
                    <w:rPr>
                      <w:rFonts w:hint="eastAsia" w:ascii="Times New Roman" w:hAnsi="Times New Roman" w:cs="Times New Roman"/>
                      <w:i w:val="0"/>
                      <w:iCs w:val="0"/>
                      <w:color w:val="auto"/>
                      <w:kern w:val="0"/>
                      <w:sz w:val="21"/>
                      <w:szCs w:val="21"/>
                      <w:u w:val="none"/>
                      <w:lang w:val="en-US" w:eastAsia="zh-CN" w:bidi="ar"/>
                    </w:rPr>
                    <w:t>（</w:t>
                  </w:r>
                  <w:r>
                    <w:rPr>
                      <w:rFonts w:hint="eastAsia" w:cs="Times New Roman"/>
                      <w:i w:val="0"/>
                      <w:iCs w:val="0"/>
                      <w:color w:val="auto"/>
                      <w:kern w:val="0"/>
                      <w:sz w:val="21"/>
                      <w:szCs w:val="21"/>
                      <w:u w:val="none"/>
                      <w:lang w:val="en-US" w:eastAsia="zh-CN" w:bidi="ar"/>
                    </w:rPr>
                    <w:t>3.476</w:t>
                  </w:r>
                  <w:r>
                    <w:rPr>
                      <w:rFonts w:hint="eastAsia" w:ascii="Times New Roman" w:hAnsi="Times New Roman" w:cs="Times New Roman"/>
                      <w:i w:val="0"/>
                      <w:iCs w:val="0"/>
                      <w:color w:val="auto"/>
                      <w:kern w:val="0"/>
                      <w:sz w:val="21"/>
                      <w:szCs w:val="21"/>
                      <w:u w:val="none"/>
                      <w:lang w:val="en-US" w:eastAsia="zh-CN" w:bidi="ar"/>
                    </w:rPr>
                    <w:t>）</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粉尘</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2.313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w:t>
                  </w:r>
                  <w:r>
                    <w:rPr>
                      <w:rFonts w:hint="eastAsia"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除尘灰</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10.205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损耗量</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21325.2</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21325.20 </w:t>
                  </w:r>
                </w:p>
              </w:tc>
            </w:tr>
          </w:tbl>
          <w:p>
            <w:pPr>
              <w:pStyle w:val="3"/>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object>
                <v:shape id="_x0000_i1025" o:spt="75" type="#_x0000_t75" style="height:281.4pt;width:411.15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pStyle w:val="3"/>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kern w:val="2"/>
                <w:sz w:val="24"/>
                <w:szCs w:val="24"/>
                <w:highlight w:val="none"/>
                <w:lang w:val="en-US" w:eastAsia="zh-CN" w:bidi="ar-SA"/>
              </w:rPr>
            </w:pPr>
            <w:r>
              <w:rPr>
                <w:rFonts w:hint="default" w:ascii="Times New Roman" w:hAnsi="Times New Roman" w:eastAsia="黑体" w:cs="Times New Roman"/>
                <w:b w:val="0"/>
                <w:bCs w:val="0"/>
                <w:color w:val="auto"/>
                <w:kern w:val="2"/>
                <w:sz w:val="24"/>
                <w:szCs w:val="24"/>
                <w:highlight w:val="none"/>
                <w:lang w:val="en-US" w:eastAsia="zh-CN" w:bidi="ar-SA"/>
              </w:rPr>
              <w:t>图2-</w:t>
            </w:r>
            <w:r>
              <w:rPr>
                <w:rFonts w:hint="default" w:ascii="Times New Roman" w:hAnsi="Times New Roman" w:cs="Times New Roman"/>
                <w:b w:val="0"/>
                <w:bCs w:val="0"/>
                <w:color w:val="auto"/>
                <w:kern w:val="2"/>
                <w:sz w:val="24"/>
                <w:szCs w:val="24"/>
                <w:highlight w:val="none"/>
                <w:lang w:val="en-US" w:eastAsia="zh-CN" w:bidi="ar-SA"/>
              </w:rPr>
              <w:t>1</w:t>
            </w:r>
            <w:r>
              <w:rPr>
                <w:rFonts w:hint="default" w:ascii="Times New Roman" w:hAnsi="Times New Roman" w:eastAsia="黑体" w:cs="Times New Roman"/>
                <w:b w:val="0"/>
                <w:bCs w:val="0"/>
                <w:color w:val="auto"/>
                <w:kern w:val="2"/>
                <w:sz w:val="24"/>
                <w:szCs w:val="24"/>
                <w:highlight w:val="none"/>
                <w:lang w:val="en-US" w:eastAsia="zh-CN" w:bidi="ar-SA"/>
              </w:rPr>
              <w:t xml:space="preserve">  </w:t>
            </w:r>
            <w:r>
              <w:rPr>
                <w:rFonts w:hint="default" w:ascii="Times New Roman" w:hAnsi="Times New Roman" w:cs="Times New Roman"/>
                <w:b w:val="0"/>
                <w:bCs w:val="0"/>
                <w:color w:val="auto"/>
                <w:kern w:val="2"/>
                <w:sz w:val="24"/>
                <w:szCs w:val="24"/>
                <w:highlight w:val="none"/>
                <w:lang w:val="en-US" w:eastAsia="zh-CN" w:bidi="ar-SA"/>
              </w:rPr>
              <w:t>物料平衡图  单位：t/a</w:t>
            </w:r>
          </w:p>
          <w:p>
            <w:pPr>
              <w:pStyle w:val="3"/>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七、水平衡分析</w:t>
            </w:r>
          </w:p>
          <w:p>
            <w:pPr>
              <w:pStyle w:val="4"/>
              <w:pageBreakBefore w:val="0"/>
              <w:widowControl w:val="0"/>
              <w:numPr>
                <w:ilvl w:val="2"/>
                <w:numId w:val="0"/>
              </w:numPr>
              <w:kinsoku/>
              <w:wordWrap/>
              <w:overflowPunct/>
              <w:topLinePunct w:val="0"/>
              <w:autoSpaceDE/>
              <w:autoSpaceDN/>
              <w:bidi w:val="0"/>
              <w:adjustRightInd w:val="0"/>
              <w:snapToGrid w:val="0"/>
              <w:spacing w:before="0" w:after="0" w:line="348" w:lineRule="auto"/>
              <w:ind w:firstLine="481" w:firstLineChars="200"/>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rPr>
              <w:t>给水</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本项目用水主要为生</w:t>
            </w:r>
            <w:r>
              <w:rPr>
                <w:rFonts w:hint="default" w:ascii="Times New Roman" w:hAnsi="Times New Roman" w:eastAsia="宋体" w:cs="Times New Roman"/>
                <w:color w:val="auto"/>
                <w:sz w:val="24"/>
                <w:szCs w:val="24"/>
                <w:highlight w:val="none"/>
                <w:lang w:val="en-US" w:eastAsia="zh-CN"/>
              </w:rPr>
              <w:t>活用水，由</w:t>
            </w:r>
            <w:r>
              <w:rPr>
                <w:rFonts w:hint="default" w:ascii="Times New Roman" w:hAnsi="Times New Roman" w:cs="Times New Roman"/>
                <w:color w:val="auto"/>
                <w:sz w:val="24"/>
                <w:szCs w:val="24"/>
                <w:highlight w:val="none"/>
                <w:lang w:val="en-US" w:eastAsia="zh-CN"/>
              </w:rPr>
              <w:t>市政</w:t>
            </w:r>
            <w:r>
              <w:rPr>
                <w:rFonts w:hint="default" w:ascii="Times New Roman" w:hAnsi="Times New Roman" w:eastAsia="宋体" w:cs="Times New Roman"/>
                <w:color w:val="auto"/>
                <w:sz w:val="24"/>
                <w:szCs w:val="24"/>
                <w:highlight w:val="none"/>
                <w:lang w:val="en-US" w:eastAsia="zh-CN"/>
              </w:rPr>
              <w:t>供水管网提供。</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w:t>
            </w:r>
            <w:r>
              <w:rPr>
                <w:rFonts w:hint="default" w:ascii="Times New Roman" w:hAnsi="Times New Roman" w:cs="Times New Roman"/>
                <w:color w:val="auto"/>
                <w:sz w:val="24"/>
                <w:lang w:eastAsia="zh-CN"/>
              </w:rPr>
              <w:t>新增</w:t>
            </w:r>
            <w:r>
              <w:rPr>
                <w:rFonts w:hint="default" w:ascii="Times New Roman" w:hAnsi="Times New Roman" w:cs="Times New Roman"/>
                <w:color w:val="auto"/>
                <w:sz w:val="24"/>
              </w:rPr>
              <w:t>劳动定员</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人，年</w:t>
            </w:r>
            <w:r>
              <w:rPr>
                <w:rFonts w:hint="default" w:ascii="Times New Roman" w:hAnsi="Times New Roman" w:cs="Times New Roman"/>
                <w:color w:val="auto"/>
                <w:sz w:val="24"/>
                <w:shd w:val="clear" w:color="auto" w:fill="FFFFFF"/>
              </w:rPr>
              <w:t>工作天数为330天，</w:t>
            </w:r>
            <w:r>
              <w:rPr>
                <w:rFonts w:hint="default" w:ascii="Times New Roman" w:hAnsi="Times New Roman" w:cs="Times New Roman"/>
                <w:color w:val="auto"/>
                <w:sz w:val="24"/>
                <w:shd w:val="clear" w:color="auto" w:fill="FFFFFF"/>
                <w:lang w:val="en-US" w:eastAsia="zh-CN"/>
              </w:rPr>
              <w:t>根据宁夏回族自治区人民政府办公厅《宁夏回族自治区有关行业用水定额（修订）的通知》（宁政办规发[2020]20号）及项目实际情况，项目职工用水定额按60L/人·d计，则项目生活用水量为0.6m³/d（198m³/a）。</w:t>
            </w:r>
          </w:p>
          <w:p>
            <w:pPr>
              <w:pStyle w:val="3"/>
              <w:pageBreakBefore w:val="0"/>
              <w:widowControl w:val="0"/>
              <w:kinsoku/>
              <w:wordWrap/>
              <w:overflowPunct/>
              <w:topLinePunct w:val="0"/>
              <w:autoSpaceDE/>
              <w:autoSpaceDN/>
              <w:bidi w:val="0"/>
              <w:spacing w:line="348" w:lineRule="auto"/>
              <w:ind w:firstLine="481" w:firstLineChars="200"/>
              <w:textAlignment w:val="auto"/>
              <w:rPr>
                <w:rFonts w:hint="default" w:ascii="Times New Roman" w:hAnsi="Times New Roman" w:eastAsia="宋体" w:cs="Times New Roman"/>
                <w:b/>
                <w:bCs/>
                <w:snapToGrid w:val="0"/>
                <w:color w:val="auto"/>
                <w:sz w:val="24"/>
                <w:szCs w:val="20"/>
                <w:highlight w:val="none"/>
                <w:lang w:val="zh-CN" w:eastAsia="zh-CN"/>
              </w:rPr>
            </w:pPr>
            <w:r>
              <w:rPr>
                <w:rFonts w:hint="default" w:ascii="Times New Roman" w:hAnsi="Times New Roman" w:eastAsia="宋体" w:cs="Times New Roman"/>
                <w:b/>
                <w:bCs/>
                <w:snapToGrid w:val="0"/>
                <w:color w:val="auto"/>
                <w:sz w:val="24"/>
                <w:szCs w:val="20"/>
                <w:highlight w:val="none"/>
                <w:lang w:val="en-US" w:eastAsia="zh-CN"/>
              </w:rPr>
              <w:t>2、</w:t>
            </w:r>
            <w:r>
              <w:rPr>
                <w:rFonts w:hint="default" w:ascii="Times New Roman" w:hAnsi="Times New Roman" w:eastAsia="宋体" w:cs="Times New Roman"/>
                <w:b/>
                <w:bCs/>
                <w:snapToGrid w:val="0"/>
                <w:color w:val="auto"/>
                <w:sz w:val="24"/>
                <w:szCs w:val="20"/>
                <w:highlight w:val="none"/>
                <w:lang w:val="zh-CN" w:eastAsia="zh-CN"/>
              </w:rPr>
              <w:t>排水</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kern w:val="0"/>
                <w:sz w:val="24"/>
                <w:szCs w:val="20"/>
                <w:lang w:val="en-US" w:bidi="zh-CN"/>
              </w:rPr>
              <w:t>本项目排水主要为生活污水</w:t>
            </w:r>
            <w:r>
              <w:rPr>
                <w:rFonts w:hint="eastAsia" w:ascii="Times New Roman" w:hAnsi="Times New Roman" w:cs="Times New Roman"/>
                <w:color w:val="auto"/>
                <w:kern w:val="0"/>
                <w:sz w:val="24"/>
                <w:szCs w:val="20"/>
                <w:lang w:val="en-US" w:bidi="zh-CN"/>
              </w:rPr>
              <w:t>，</w:t>
            </w:r>
            <w:r>
              <w:rPr>
                <w:rFonts w:hint="default" w:ascii="Times New Roman" w:hAnsi="Times New Roman" w:cs="Times New Roman"/>
                <w:color w:val="auto"/>
                <w:kern w:val="0"/>
                <w:sz w:val="24"/>
                <w:szCs w:val="20"/>
                <w:lang w:val="zh-CN" w:bidi="zh-CN"/>
              </w:rPr>
              <w:t>按照生活用水量的</w:t>
            </w:r>
            <w:r>
              <w:rPr>
                <w:rFonts w:hint="default" w:ascii="Times New Roman" w:hAnsi="Times New Roman" w:cs="Times New Roman"/>
                <w:color w:val="auto"/>
                <w:kern w:val="0"/>
                <w:sz w:val="24"/>
                <w:szCs w:val="20"/>
                <w:lang w:bidi="zh-CN"/>
              </w:rPr>
              <w:t>80%计算，则生活污水产生量为</w:t>
            </w:r>
            <w:r>
              <w:rPr>
                <w:rFonts w:hint="default" w:ascii="Times New Roman" w:hAnsi="Times New Roman" w:cs="Times New Roman"/>
                <w:color w:val="auto"/>
                <w:kern w:val="0"/>
                <w:sz w:val="24"/>
                <w:szCs w:val="20"/>
                <w:lang w:val="en-US" w:bidi="zh-CN"/>
              </w:rPr>
              <w:t>0.48</w:t>
            </w:r>
            <w:r>
              <w:rPr>
                <w:rFonts w:hint="default" w:ascii="Times New Roman" w:hAnsi="Times New Roman" w:cs="Times New Roman"/>
                <w:color w:val="auto"/>
                <w:kern w:val="0"/>
                <w:sz w:val="24"/>
                <w:szCs w:val="20"/>
                <w:lang w:val="zh-CN" w:bidi="zh-CN"/>
              </w:rPr>
              <w:t>m³/d</w:t>
            </w:r>
            <w:r>
              <w:rPr>
                <w:rFonts w:hint="default" w:ascii="Times New Roman" w:hAnsi="Times New Roman" w:cs="Times New Roman"/>
                <w:color w:val="auto"/>
                <w:kern w:val="0"/>
                <w:sz w:val="24"/>
                <w:szCs w:val="20"/>
                <w:lang w:bidi="zh-CN"/>
              </w:rPr>
              <w:t>（</w:t>
            </w:r>
            <w:r>
              <w:rPr>
                <w:rFonts w:hint="default" w:ascii="Times New Roman" w:hAnsi="Times New Roman" w:cs="Times New Roman"/>
                <w:color w:val="auto"/>
                <w:kern w:val="0"/>
                <w:sz w:val="24"/>
                <w:szCs w:val="20"/>
                <w:lang w:val="en-US" w:bidi="zh-CN"/>
              </w:rPr>
              <w:t>158</w:t>
            </w:r>
            <w:r>
              <w:rPr>
                <w:rFonts w:hint="default" w:ascii="Times New Roman" w:hAnsi="Times New Roman" w:cs="Times New Roman"/>
                <w:color w:val="auto"/>
                <w:kern w:val="0"/>
                <w:sz w:val="24"/>
                <w:szCs w:val="20"/>
                <w:lang w:val="zh-CN" w:bidi="zh-CN"/>
              </w:rPr>
              <w:t>m³/a），</w:t>
            </w:r>
            <w:r>
              <w:rPr>
                <w:rFonts w:hint="default" w:ascii="Times New Roman" w:hAnsi="Times New Roman" w:cs="Times New Roman"/>
                <w:color w:val="auto"/>
                <w:kern w:val="0"/>
                <w:sz w:val="24"/>
                <w:szCs w:val="20"/>
                <w:lang w:val="zh-CN" w:eastAsia="zh-CN" w:bidi="zh-CN"/>
              </w:rPr>
              <w:t>厂区设置防渗旱厕</w:t>
            </w:r>
            <w:r>
              <w:rPr>
                <w:rFonts w:hint="default" w:ascii="Times New Roman" w:hAnsi="Times New Roman" w:cs="Times New Roman"/>
                <w:color w:val="auto"/>
                <w:kern w:val="0"/>
                <w:sz w:val="24"/>
                <w:szCs w:val="20"/>
                <w:lang w:val="zh-CN" w:bidi="zh-CN"/>
              </w:rPr>
              <w:t>，粪污经清掏后用于</w:t>
            </w:r>
            <w:r>
              <w:rPr>
                <w:rFonts w:hint="default" w:ascii="Times New Roman" w:hAnsi="Times New Roman" w:cs="Times New Roman"/>
                <w:color w:val="auto"/>
                <w:kern w:val="0"/>
                <w:sz w:val="24"/>
                <w:szCs w:val="20"/>
                <w:lang w:val="zh-CN" w:eastAsia="zh-CN" w:bidi="zh-CN"/>
              </w:rPr>
              <w:t>生产有机肥</w:t>
            </w:r>
            <w:r>
              <w:rPr>
                <w:rFonts w:hint="default" w:ascii="Times New Roman" w:hAnsi="Times New Roman" w:cs="Times New Roman"/>
                <w:color w:val="auto"/>
                <w:kern w:val="0"/>
                <w:sz w:val="24"/>
                <w:szCs w:val="20"/>
                <w:lang w:val="zh-CN" w:bidi="zh-CN"/>
              </w:rPr>
              <w:t>，盥洗废水用于厂区洒水抑尘，不外排</w:t>
            </w:r>
            <w:r>
              <w:rPr>
                <w:rFonts w:hint="default" w:ascii="Times New Roman" w:hAnsi="Times New Roman" w:cs="Times New Roman"/>
                <w:color w:val="auto"/>
                <w:sz w:val="24"/>
                <w:lang w:eastAsia="zh-CN"/>
              </w:rPr>
              <w:t>。</w:t>
            </w:r>
          </w:p>
          <w:p>
            <w:pPr>
              <w:pStyle w:val="7"/>
              <w:pageBreakBefore w:val="0"/>
              <w:widowControl w:val="0"/>
              <w:numPr>
                <w:ilvl w:val="0"/>
                <w:numId w:val="0"/>
              </w:numPr>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szCs w:val="20"/>
                <w:highlight w:val="none"/>
                <w:lang w:val="en-US" w:eastAsia="zh-CN" w:bidi="zh-CN"/>
              </w:rPr>
            </w:pPr>
            <w:r>
              <w:rPr>
                <w:rFonts w:hint="default" w:ascii="Times New Roman" w:hAnsi="Times New Roman" w:eastAsia="宋体" w:cs="Times New Roman"/>
                <w:color w:val="auto"/>
                <w:sz w:val="24"/>
                <w:szCs w:val="24"/>
                <w:highlight w:val="none"/>
              </w:rPr>
              <w:t>项目供排水情况见表2-</w:t>
            </w:r>
            <w:r>
              <w:rPr>
                <w:rFonts w:hint="default" w:ascii="Times New Roman" w:hAnsi="Times New Roman" w:cs="Times New Roman"/>
                <w:color w:val="auto"/>
                <w:sz w:val="24"/>
                <w:szCs w:val="24"/>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表2-</w:t>
            </w:r>
            <w:r>
              <w:rPr>
                <w:rFonts w:hint="default" w:ascii="Times New Roman" w:hAnsi="Times New Roman" w:eastAsia="黑体" w:cs="Times New Roman"/>
                <w:b w:val="0"/>
                <w:bCs w:val="0"/>
                <w:color w:val="auto"/>
                <w:sz w:val="24"/>
                <w:szCs w:val="24"/>
                <w:lang w:val="en-US" w:eastAsia="zh-CN"/>
              </w:rPr>
              <w:t>6</w:t>
            </w:r>
            <w:r>
              <w:rPr>
                <w:rFonts w:hint="default" w:ascii="Times New Roman" w:hAnsi="Times New Roman" w:eastAsia="黑体" w:cs="Times New Roman"/>
                <w:b w:val="0"/>
                <w:bCs w:val="0"/>
                <w:color w:val="auto"/>
                <w:sz w:val="24"/>
                <w:szCs w:val="24"/>
              </w:rPr>
              <w:t xml:space="preserve">  项目用排水情况表</w:t>
            </w:r>
            <w:r>
              <w:rPr>
                <w:rFonts w:hint="default" w:ascii="Times New Roman" w:hAnsi="Times New Roman" w:eastAsia="黑体" w:cs="Times New Roman"/>
                <w:b w:val="0"/>
                <w:bCs w:val="0"/>
                <w:color w:val="auto"/>
                <w:sz w:val="24"/>
                <w:szCs w:val="24"/>
                <w:lang w:val="en-US" w:eastAsia="zh-CN"/>
              </w:rPr>
              <w:t xml:space="preserve">  单位：m³/a</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67"/>
              <w:gridCol w:w="914"/>
              <w:gridCol w:w="919"/>
              <w:gridCol w:w="1080"/>
              <w:gridCol w:w="3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bookmarkStart w:id="10" w:name="OLE_LINK35"/>
                  <w:r>
                    <w:rPr>
                      <w:rFonts w:hint="default" w:ascii="Times New Roman" w:hAnsi="Times New Roman" w:cs="Times New Roman"/>
                      <w:b/>
                      <w:color w:val="auto"/>
                      <w:sz w:val="21"/>
                      <w:szCs w:val="21"/>
                      <w:lang w:val="en-US" w:eastAsia="zh-CN"/>
                    </w:rPr>
                    <w:t>序号</w:t>
                  </w:r>
                </w:p>
              </w:tc>
              <w:tc>
                <w:tcPr>
                  <w:tcW w:w="62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用水点</w:t>
                  </w:r>
                </w:p>
              </w:tc>
              <w:tc>
                <w:tcPr>
                  <w:tcW w:w="532"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val="en-US" w:eastAsia="zh-CN"/>
                    </w:rPr>
                    <w:t>使用量</w:t>
                  </w:r>
                </w:p>
              </w:tc>
              <w:tc>
                <w:tcPr>
                  <w:tcW w:w="53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损耗</w:t>
                  </w:r>
                </w:p>
              </w:tc>
              <w:tc>
                <w:tcPr>
                  <w:tcW w:w="62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cs="Times New Roman"/>
                      <w:b/>
                      <w:color w:val="auto"/>
                      <w:sz w:val="21"/>
                      <w:szCs w:val="21"/>
                      <w:lang w:val="en-US" w:eastAsia="zh-CN"/>
                    </w:rPr>
                    <w:t>排放</w:t>
                  </w:r>
                  <w:r>
                    <w:rPr>
                      <w:rFonts w:hint="default" w:ascii="Times New Roman" w:hAnsi="Times New Roman" w:eastAsia="宋体" w:cs="Times New Roman"/>
                      <w:b/>
                      <w:color w:val="auto"/>
                      <w:sz w:val="21"/>
                      <w:szCs w:val="21"/>
                    </w:rPr>
                    <w:t>量</w:t>
                  </w:r>
                </w:p>
              </w:tc>
              <w:tc>
                <w:tcPr>
                  <w:tcW w:w="225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最终去向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lang w:val="en-US" w:eastAsia="zh-CN"/>
                    </w:rPr>
                    <w:t>1</w:t>
                  </w:r>
                </w:p>
              </w:tc>
              <w:tc>
                <w:tcPr>
                  <w:tcW w:w="62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eastAsia="zh-CN"/>
                    </w:rPr>
                    <w:t>生活</w:t>
                  </w:r>
                  <w:r>
                    <w:rPr>
                      <w:rFonts w:hint="default" w:ascii="Times New Roman" w:hAnsi="Times New Roman" w:eastAsia="宋体" w:cs="Times New Roman"/>
                      <w:color w:val="auto"/>
                      <w:spacing w:val="0"/>
                      <w:sz w:val="21"/>
                      <w:szCs w:val="21"/>
                    </w:rPr>
                    <w:t>用水</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lang w:val="en-US" w:eastAsia="zh-CN"/>
                    </w:rPr>
                    <w:t>198</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40</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158</w:t>
                  </w:r>
                </w:p>
              </w:tc>
              <w:tc>
                <w:tcPr>
                  <w:tcW w:w="2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厂区设置防渗旱厕</w:t>
                  </w:r>
                  <w:r>
                    <w:rPr>
                      <w:rFonts w:hint="default" w:ascii="Times New Roman" w:hAnsi="Times New Roman" w:cs="Times New Roman"/>
                      <w:color w:val="auto"/>
                      <w:kern w:val="2"/>
                      <w:sz w:val="21"/>
                      <w:szCs w:val="21"/>
                      <w:lang w:val="en-US" w:eastAsia="zh-CN" w:bidi="ar-SA"/>
                    </w:rPr>
                    <w:t>，粪污经清掏后用于生产有机肥，盥洗废水用于厂区洒水抑尘。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pct"/>
                  <w:gridSpan w:val="2"/>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532"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198</w:t>
                  </w:r>
                </w:p>
              </w:tc>
              <w:tc>
                <w:tcPr>
                  <w:tcW w:w="1164" w:type="pct"/>
                  <w:gridSpan w:val="2"/>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198</w:t>
                  </w:r>
                </w:p>
              </w:tc>
              <w:tc>
                <w:tcPr>
                  <w:tcW w:w="225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w:t>
                  </w:r>
                </w:p>
              </w:tc>
            </w:tr>
            <w:bookmarkEnd w:id="10"/>
          </w:tbl>
          <w:p>
            <w:pPr>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八、劳动定员与工作制度</w:t>
            </w:r>
          </w:p>
          <w:p>
            <w:pPr>
              <w:adjustRightInd w:val="0"/>
              <w:snapToGrid w:val="0"/>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本项目</w:t>
            </w:r>
            <w:r>
              <w:rPr>
                <w:rFonts w:hint="default" w:ascii="Times New Roman" w:hAnsi="Times New Roman" w:cs="Times New Roman"/>
                <w:bCs/>
                <w:color w:val="auto"/>
                <w:sz w:val="24"/>
                <w:szCs w:val="24"/>
                <w:lang w:eastAsia="zh-CN"/>
              </w:rPr>
              <w:t>新增</w:t>
            </w:r>
            <w:r>
              <w:rPr>
                <w:rFonts w:hint="default" w:ascii="Times New Roman" w:hAnsi="Times New Roman" w:cs="Times New Roman"/>
                <w:bCs/>
                <w:color w:val="auto"/>
                <w:sz w:val="24"/>
                <w:szCs w:val="24"/>
              </w:rPr>
              <w:t>劳动定员</w:t>
            </w:r>
            <w:r>
              <w:rPr>
                <w:rFonts w:hint="default" w:ascii="Times New Roman" w:hAnsi="Times New Roman" w:cs="Times New Roman"/>
                <w:bCs/>
                <w:color w:val="auto"/>
                <w:sz w:val="24"/>
                <w:szCs w:val="24"/>
                <w:lang w:val="en-US" w:eastAsia="zh-CN"/>
              </w:rPr>
              <w:t>10</w:t>
            </w:r>
            <w:r>
              <w:rPr>
                <w:rFonts w:hint="default" w:ascii="Times New Roman" w:hAnsi="Times New Roman" w:cs="Times New Roman"/>
                <w:bCs/>
                <w:color w:val="auto"/>
                <w:sz w:val="24"/>
                <w:szCs w:val="24"/>
              </w:rPr>
              <w:t>人，</w:t>
            </w:r>
            <w:r>
              <w:rPr>
                <w:rFonts w:hint="default" w:ascii="Times New Roman" w:hAnsi="Times New Roman" w:cs="Times New Roman"/>
                <w:bCs/>
                <w:color w:val="auto"/>
                <w:sz w:val="24"/>
                <w:szCs w:val="24"/>
                <w:lang w:val="en-US" w:eastAsia="zh-CN"/>
              </w:rPr>
              <w:t>白班工作制，</w:t>
            </w:r>
            <w:r>
              <w:rPr>
                <w:rFonts w:hint="default" w:ascii="Times New Roman" w:hAnsi="Times New Roman" w:cs="Times New Roman"/>
                <w:bCs/>
                <w:color w:val="auto"/>
                <w:sz w:val="24"/>
                <w:szCs w:val="24"/>
              </w:rPr>
              <w:t>工作时间为8h</w:t>
            </w:r>
            <w:r>
              <w:rPr>
                <w:rFonts w:hint="default" w:ascii="Times New Roman" w:hAnsi="Times New Roman" w:cs="Times New Roman"/>
                <w:bCs/>
                <w:color w:val="auto"/>
                <w:sz w:val="24"/>
                <w:szCs w:val="24"/>
                <w:lang w:eastAsia="zh-CN"/>
              </w:rPr>
              <w:t>，年工作</w:t>
            </w:r>
            <w:r>
              <w:rPr>
                <w:rFonts w:hint="default" w:ascii="Times New Roman" w:hAnsi="Times New Roman" w:cs="Times New Roman"/>
                <w:bCs/>
                <w:color w:val="auto"/>
                <w:sz w:val="24"/>
                <w:szCs w:val="24"/>
                <w:lang w:val="en-US" w:eastAsia="zh-CN"/>
              </w:rPr>
              <w:t>330天</w:t>
            </w:r>
            <w:r>
              <w:rPr>
                <w:rFonts w:hint="default" w:ascii="Times New Roman" w:hAnsi="Times New Roman" w:cs="Times New Roman"/>
                <w:bCs/>
                <w:color w:val="auto"/>
                <w:sz w:val="24"/>
                <w:szCs w:val="24"/>
              </w:rPr>
              <w:t>。</w:t>
            </w:r>
          </w:p>
          <w:p>
            <w:pPr>
              <w:pStyle w:val="3"/>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九</w:t>
            </w:r>
            <w:r>
              <w:rPr>
                <w:rFonts w:hint="default" w:ascii="Times New Roman" w:hAnsi="Times New Roman" w:eastAsia="黑体" w:cs="Times New Roman"/>
                <w:color w:val="auto"/>
                <w:sz w:val="24"/>
                <w:szCs w:val="24"/>
                <w:lang w:val="en-US" w:eastAsia="zh-CN"/>
              </w:rPr>
              <w:t>、厂区平面布置</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cs="Times New Roman"/>
                <w:bCs/>
                <w:color w:val="auto"/>
                <w:sz w:val="24"/>
                <w:szCs w:val="24"/>
                <w:highlight w:val="none"/>
              </w:rPr>
              <w:t>本项目位于</w:t>
            </w:r>
            <w:r>
              <w:rPr>
                <w:rFonts w:hint="default" w:ascii="Times New Roman" w:hAnsi="Times New Roman" w:cs="Times New Roman"/>
                <w:bCs/>
                <w:color w:val="auto"/>
                <w:sz w:val="24"/>
                <w:szCs w:val="24"/>
                <w:highlight w:val="none"/>
                <w:lang w:eastAsia="zh-CN"/>
              </w:rPr>
              <w:t>固原市泾源县</w:t>
            </w:r>
            <w:r>
              <w:rPr>
                <w:rFonts w:hint="eastAsia" w:cs="Times New Roman"/>
                <w:bCs/>
                <w:color w:val="auto"/>
                <w:sz w:val="24"/>
                <w:szCs w:val="24"/>
                <w:highlight w:val="none"/>
                <w:lang w:eastAsia="zh-CN"/>
              </w:rPr>
              <w:t>香水镇城关村八组</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lang w:val="en-US" w:eastAsia="zh-CN"/>
              </w:rPr>
              <w:t>项</w:t>
            </w:r>
            <w:r>
              <w:rPr>
                <w:rFonts w:hint="default" w:ascii="Times New Roman" w:hAnsi="Times New Roman" w:eastAsia="宋体" w:cs="Times New Roman"/>
                <w:snapToGrid w:val="0"/>
                <w:color w:val="auto"/>
                <w:kern w:val="0"/>
                <w:sz w:val="24"/>
                <w:szCs w:val="24"/>
                <w:lang w:val="en-US" w:eastAsia="zh-CN" w:bidi="ar-SA"/>
              </w:rPr>
              <w:t>目平面布置充分利用现有场地及厂区地形，尽量满足生产要求和原料、成品的物流储运要求，布置集中紧凑。</w:t>
            </w:r>
          </w:p>
          <w:p>
            <w:pPr>
              <w:adjustRightInd w:val="0"/>
              <w:snapToGrid w:val="0"/>
              <w:spacing w:line="360" w:lineRule="auto"/>
              <w:ind w:firstLine="480" w:firstLineChars="200"/>
              <w:rPr>
                <w:rFonts w:hint="default" w:ascii="Times New Roman" w:hAnsi="Times New Roman" w:cs="Times New Roman"/>
                <w:snapToGrid w:val="0"/>
                <w:color w:val="auto"/>
                <w:kern w:val="0"/>
                <w:sz w:val="24"/>
                <w:szCs w:val="24"/>
                <w:lang w:val="en-US" w:eastAsia="zh-CN" w:bidi="ar-SA"/>
              </w:rPr>
            </w:pPr>
            <w:r>
              <w:rPr>
                <w:rFonts w:hint="default" w:ascii="Times New Roman" w:hAnsi="Times New Roman" w:cs="Times New Roman"/>
                <w:snapToGrid w:val="0"/>
                <w:color w:val="auto"/>
                <w:kern w:val="0"/>
                <w:sz w:val="24"/>
                <w:szCs w:val="24"/>
                <w:lang w:val="en-US" w:eastAsia="zh-CN" w:bidi="ar-SA"/>
              </w:rPr>
              <w:t>本项目新建原料陈化堆放棚位于</w:t>
            </w:r>
            <w:r>
              <w:rPr>
                <w:rFonts w:hint="eastAsia" w:cs="Times New Roman"/>
                <w:snapToGrid w:val="0"/>
                <w:color w:val="auto"/>
                <w:kern w:val="0"/>
                <w:sz w:val="24"/>
                <w:szCs w:val="24"/>
                <w:lang w:val="en-US" w:eastAsia="zh-CN" w:bidi="ar-SA"/>
              </w:rPr>
              <w:t>中部养殖牛棚东侧</w:t>
            </w:r>
            <w:r>
              <w:rPr>
                <w:rFonts w:hint="default" w:ascii="Times New Roman" w:hAnsi="Times New Roman" w:cs="Times New Roman"/>
                <w:snapToGrid w:val="0"/>
                <w:color w:val="auto"/>
                <w:kern w:val="0"/>
                <w:sz w:val="24"/>
                <w:szCs w:val="24"/>
                <w:lang w:val="en-US" w:eastAsia="zh-CN" w:bidi="ar-SA"/>
              </w:rPr>
              <w:t>，</w:t>
            </w:r>
            <w:r>
              <w:rPr>
                <w:rFonts w:hint="eastAsia" w:cs="Times New Roman"/>
                <w:snapToGrid w:val="0"/>
                <w:color w:val="auto"/>
                <w:kern w:val="0"/>
                <w:sz w:val="24"/>
                <w:szCs w:val="24"/>
                <w:lang w:val="en-US" w:eastAsia="zh-CN" w:bidi="ar-SA"/>
              </w:rPr>
              <w:t>依托现有有机肥生产车间位于厂区南侧中部</w:t>
            </w:r>
            <w:r>
              <w:rPr>
                <w:rFonts w:hint="default" w:ascii="Times New Roman" w:hAnsi="Times New Roman" w:cs="Times New Roman"/>
                <w:snapToGrid w:val="0"/>
                <w:color w:val="auto"/>
                <w:kern w:val="0"/>
                <w:sz w:val="24"/>
                <w:szCs w:val="24"/>
                <w:lang w:val="en-US" w:eastAsia="zh-CN" w:bidi="ar-SA"/>
              </w:rPr>
              <w:t>。在本项目的总平面布置设计中，充分考虑了生产工艺内各工序的衔接关系，力求工艺线路流畅、布局紧凑合理。从总平面布置来看，基本遵循工艺流畅原则，能够满足生产工艺流程的需求，有效缩短物料的输送路线。</w:t>
            </w:r>
          </w:p>
          <w:p>
            <w:pPr>
              <w:adjustRightInd w:val="0"/>
              <w:snapToGrid w:val="0"/>
              <w:spacing w:line="360" w:lineRule="auto"/>
              <w:ind w:firstLine="480" w:firstLineChars="200"/>
              <w:rPr>
                <w:rFonts w:hint="default" w:ascii="Times New Roman" w:hAnsi="Times New Roman" w:cs="Times New Roman"/>
                <w:snapToGrid w:val="0"/>
                <w:color w:val="auto"/>
                <w:kern w:val="0"/>
                <w:sz w:val="24"/>
                <w:szCs w:val="24"/>
                <w:lang w:val="en-US" w:eastAsia="zh-CN" w:bidi="ar-SA"/>
              </w:rPr>
            </w:pPr>
            <w:r>
              <w:rPr>
                <w:rFonts w:hint="default" w:ascii="Times New Roman" w:hAnsi="Times New Roman" w:cs="Times New Roman"/>
                <w:snapToGrid w:val="0"/>
                <w:color w:val="auto"/>
                <w:kern w:val="0"/>
                <w:sz w:val="24"/>
                <w:szCs w:val="24"/>
                <w:lang w:val="en-US" w:eastAsia="zh-CN" w:bidi="ar-SA"/>
              </w:rPr>
              <w:t>项目所在区域常年主导风向为东南风，DA001排气筒位于有机肥生产加工车间</w:t>
            </w:r>
            <w:r>
              <w:rPr>
                <w:rFonts w:hint="eastAsia" w:cs="Times New Roman"/>
                <w:snapToGrid w:val="0"/>
                <w:color w:val="auto"/>
                <w:kern w:val="0"/>
                <w:sz w:val="24"/>
                <w:szCs w:val="24"/>
                <w:lang w:val="en-US" w:eastAsia="zh-CN" w:bidi="ar-SA"/>
              </w:rPr>
              <w:t>东南</w:t>
            </w:r>
            <w:r>
              <w:rPr>
                <w:rFonts w:hint="default" w:ascii="Times New Roman" w:hAnsi="Times New Roman" w:cs="Times New Roman"/>
                <w:snapToGrid w:val="0"/>
                <w:color w:val="auto"/>
                <w:kern w:val="0"/>
                <w:sz w:val="24"/>
                <w:szCs w:val="24"/>
                <w:lang w:val="en-US" w:eastAsia="zh-CN" w:bidi="ar-SA"/>
              </w:rPr>
              <w:t>方向，则办公区位于DA001排气筒</w:t>
            </w:r>
            <w:r>
              <w:rPr>
                <w:rFonts w:hint="eastAsia" w:cs="Times New Roman"/>
                <w:snapToGrid w:val="0"/>
                <w:color w:val="auto"/>
                <w:kern w:val="0"/>
                <w:sz w:val="24"/>
                <w:szCs w:val="24"/>
                <w:lang w:val="en-US" w:eastAsia="zh-CN" w:bidi="ar-SA"/>
              </w:rPr>
              <w:t>右</w:t>
            </w:r>
            <w:r>
              <w:rPr>
                <w:rFonts w:hint="default" w:ascii="Times New Roman" w:hAnsi="Times New Roman" w:cs="Times New Roman"/>
                <w:snapToGrid w:val="0"/>
                <w:color w:val="auto"/>
                <w:kern w:val="0"/>
                <w:sz w:val="24"/>
                <w:szCs w:val="24"/>
                <w:lang w:val="en-US" w:eastAsia="zh-CN" w:bidi="ar-SA"/>
              </w:rPr>
              <w:t>侧风向，运营期生产区污染物对办公区影响较小。</w:t>
            </w:r>
          </w:p>
          <w:p>
            <w:pPr>
              <w:adjustRightInd w:val="0"/>
              <w:snapToGrid w:val="0"/>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综上</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本项目的平面布局合理</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项目平面布置图见附图</w:t>
            </w:r>
            <w:r>
              <w:rPr>
                <w:rFonts w:hint="default" w:ascii="Times New Roman" w:hAnsi="Times New Roman" w:cs="Times New Roman"/>
                <w:bCs/>
                <w:color w:val="auto"/>
                <w:sz w:val="24"/>
                <w:szCs w:val="24"/>
                <w:highlight w:val="none"/>
                <w:lang w:val="en-US" w:eastAsia="zh-CN"/>
              </w:rPr>
              <w:t>2-1</w:t>
            </w:r>
            <w:r>
              <w:rPr>
                <w:rFonts w:hint="default" w:ascii="Times New Roman" w:hAnsi="Times New Roman" w:eastAsia="宋体" w:cs="Times New Roman"/>
                <w:bCs/>
                <w:color w:val="auto"/>
                <w:sz w:val="24"/>
                <w:szCs w:val="24"/>
                <w:highlight w:val="none"/>
                <w:lang w:val="en-US" w:eastAsia="zh-CN"/>
              </w:rPr>
              <w:t>。</w:t>
            </w:r>
          </w:p>
          <w:p>
            <w:p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lang w:val="en-US" w:eastAsia="zh-CN"/>
              </w:rPr>
              <w:t>十、投资与环保投资</w:t>
            </w:r>
          </w:p>
          <w:p>
            <w:pPr>
              <w:adjustRightInd w:val="0"/>
              <w:snapToGrid w:val="0"/>
              <w:spacing w:line="360" w:lineRule="auto"/>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cs="Times New Roman"/>
                <w:bCs/>
                <w:color w:val="auto"/>
                <w:sz w:val="24"/>
                <w:szCs w:val="24"/>
                <w:highlight w:val="none"/>
                <w:lang w:eastAsia="zh-CN"/>
              </w:rPr>
              <w:t>根据《泾源县农业面源污染综合治理项目初步设计》，泾源县农业面源污染综合治理项目</w:t>
            </w:r>
            <w:r>
              <w:rPr>
                <w:rFonts w:hint="default" w:ascii="Times New Roman" w:hAnsi="Times New Roman" w:eastAsia="宋体" w:cs="Times New Roman"/>
                <w:bCs/>
                <w:color w:val="auto"/>
                <w:sz w:val="24"/>
                <w:szCs w:val="24"/>
                <w:highlight w:val="none"/>
                <w:lang w:eastAsia="zh-CN"/>
              </w:rPr>
              <w:t>总投资</w:t>
            </w:r>
            <w:r>
              <w:rPr>
                <w:rFonts w:hint="default" w:ascii="Times New Roman" w:hAnsi="Times New Roman" w:cs="Times New Roman"/>
                <w:bCs/>
                <w:color w:val="auto"/>
                <w:sz w:val="24"/>
                <w:szCs w:val="24"/>
                <w:highlight w:val="none"/>
                <w:lang w:eastAsia="zh-CN"/>
              </w:rPr>
              <w:t>为</w:t>
            </w:r>
            <w:r>
              <w:rPr>
                <w:rFonts w:hint="default" w:ascii="Times New Roman" w:hAnsi="Times New Roman" w:eastAsia="宋体" w:cs="Times New Roman"/>
                <w:bCs/>
                <w:color w:val="auto"/>
                <w:sz w:val="24"/>
                <w:szCs w:val="24"/>
                <w:highlight w:val="none"/>
                <w:lang w:val="en-US" w:eastAsia="zh-CN"/>
              </w:rPr>
              <w:t>10676.7</w:t>
            </w:r>
            <w:r>
              <w:rPr>
                <w:rFonts w:hint="default" w:ascii="Times New Roman" w:hAnsi="Times New Roman" w:eastAsia="宋体" w:cs="Times New Roman"/>
                <w:bCs/>
                <w:color w:val="auto"/>
                <w:sz w:val="24"/>
                <w:szCs w:val="24"/>
                <w:highlight w:val="none"/>
                <w:lang w:eastAsia="zh-CN"/>
              </w:rPr>
              <w:t>万元，</w:t>
            </w:r>
            <w:r>
              <w:rPr>
                <w:rFonts w:hint="default" w:ascii="Times New Roman" w:hAnsi="Times New Roman" w:cs="Times New Roman"/>
                <w:bCs/>
                <w:color w:val="auto"/>
                <w:sz w:val="24"/>
                <w:szCs w:val="24"/>
                <w:highlight w:val="none"/>
                <w:lang w:eastAsia="zh-CN"/>
              </w:rPr>
              <w:t>其中</w:t>
            </w:r>
            <w:r>
              <w:rPr>
                <w:rFonts w:hint="default" w:ascii="Times New Roman" w:hAnsi="Times New Roman" w:eastAsia="宋体" w:cs="Times New Roman"/>
                <w:bCs/>
                <w:color w:val="auto"/>
                <w:sz w:val="24"/>
                <w:szCs w:val="24"/>
                <w:highlight w:val="none"/>
                <w:lang w:val="en-US" w:eastAsia="zh-CN"/>
              </w:rPr>
              <w:t>有机肥厂提升改造</w:t>
            </w:r>
            <w:r>
              <w:rPr>
                <w:rFonts w:hint="default" w:ascii="Times New Roman" w:hAnsi="Times New Roman" w:cs="Times New Roman"/>
                <w:bCs/>
                <w:color w:val="auto"/>
                <w:sz w:val="24"/>
                <w:szCs w:val="24"/>
                <w:highlight w:val="none"/>
                <w:lang w:val="en-US" w:eastAsia="zh-CN"/>
              </w:rPr>
              <w:t>投资为</w:t>
            </w:r>
            <w:r>
              <w:rPr>
                <w:rFonts w:hint="default" w:ascii="Times New Roman" w:hAnsi="Times New Roman" w:eastAsia="宋体" w:cs="Times New Roman"/>
                <w:bCs/>
                <w:color w:val="auto"/>
                <w:sz w:val="24"/>
                <w:szCs w:val="24"/>
                <w:highlight w:val="none"/>
                <w:lang w:val="en-US" w:eastAsia="zh-CN"/>
              </w:rPr>
              <w:t>1774.46万元</w:t>
            </w:r>
            <w:r>
              <w:rPr>
                <w:rFonts w:hint="default" w:ascii="Times New Roman" w:hAnsi="Times New Roman" w:cs="Times New Roman"/>
                <w:bCs/>
                <w:color w:val="auto"/>
                <w:sz w:val="24"/>
                <w:szCs w:val="24"/>
                <w:highlight w:val="none"/>
                <w:lang w:val="en-US" w:eastAsia="zh-CN"/>
              </w:rPr>
              <w:t>（含4座），本项目为其中的1座，总投资为</w:t>
            </w:r>
            <w:r>
              <w:rPr>
                <w:rFonts w:hint="eastAsia" w:cs="Times New Roman"/>
                <w:bCs/>
                <w:color w:val="auto"/>
                <w:sz w:val="24"/>
                <w:szCs w:val="24"/>
                <w:highlight w:val="none"/>
                <w:lang w:val="en-US" w:eastAsia="zh-CN"/>
              </w:rPr>
              <w:t>228.46</w:t>
            </w:r>
            <w:r>
              <w:rPr>
                <w:rFonts w:hint="default" w:ascii="Times New Roman" w:hAnsi="Times New Roman" w:cs="Times New Roman"/>
                <w:bCs/>
                <w:color w:val="auto"/>
                <w:sz w:val="24"/>
                <w:szCs w:val="24"/>
                <w:highlight w:val="none"/>
                <w:lang w:val="en-US" w:eastAsia="zh-CN"/>
              </w:rPr>
              <w:t>万，</w:t>
            </w:r>
            <w:r>
              <w:rPr>
                <w:rFonts w:hint="default" w:ascii="Times New Roman" w:hAnsi="Times New Roman" w:eastAsia="宋体" w:cs="Times New Roman"/>
                <w:bCs/>
                <w:color w:val="auto"/>
                <w:sz w:val="24"/>
                <w:szCs w:val="24"/>
                <w:highlight w:val="none"/>
                <w:lang w:eastAsia="zh-CN"/>
              </w:rPr>
              <w:t>环保投资为</w:t>
            </w:r>
            <w:r>
              <w:rPr>
                <w:rFonts w:hint="eastAsia" w:cs="Times New Roman"/>
                <w:bCs/>
                <w:color w:val="auto"/>
                <w:sz w:val="24"/>
                <w:szCs w:val="24"/>
                <w:highlight w:val="none"/>
                <w:lang w:val="en-US" w:eastAsia="zh-CN"/>
              </w:rPr>
              <w:t>44.6</w:t>
            </w:r>
            <w:r>
              <w:rPr>
                <w:rFonts w:hint="default" w:ascii="Times New Roman" w:hAnsi="Times New Roman" w:eastAsia="宋体" w:cs="Times New Roman"/>
                <w:bCs/>
                <w:color w:val="auto"/>
                <w:sz w:val="24"/>
                <w:szCs w:val="24"/>
                <w:highlight w:val="none"/>
                <w:lang w:eastAsia="zh-CN"/>
              </w:rPr>
              <w:t>万元，占总投资的</w:t>
            </w:r>
            <w:r>
              <w:rPr>
                <w:rFonts w:hint="eastAsia" w:cs="Times New Roman"/>
                <w:bCs/>
                <w:color w:val="auto"/>
                <w:sz w:val="24"/>
                <w:szCs w:val="24"/>
                <w:highlight w:val="none"/>
                <w:lang w:val="en-US" w:eastAsia="zh-CN"/>
              </w:rPr>
              <w:t>19.52</w:t>
            </w:r>
            <w:r>
              <w:rPr>
                <w:rFonts w:hint="default" w:ascii="Times New Roman" w:hAnsi="Times New Roman" w:eastAsia="宋体" w:cs="Times New Roman"/>
                <w:bCs/>
                <w:color w:val="auto"/>
                <w:sz w:val="24"/>
                <w:szCs w:val="24"/>
                <w:lang w:eastAsia="zh-CN"/>
              </w:rPr>
              <w:t>%</w:t>
            </w:r>
            <w:r>
              <w:rPr>
                <w:rFonts w:hint="default" w:ascii="Times New Roman" w:hAnsi="Times New Roman" w:cs="Times New Roman"/>
                <w:bCs/>
                <w:color w:val="auto"/>
                <w:sz w:val="24"/>
                <w:szCs w:val="24"/>
                <w:lang w:eastAsia="zh-CN"/>
              </w:rPr>
              <w:t>，</w:t>
            </w:r>
            <w:r>
              <w:rPr>
                <w:rFonts w:hint="default" w:ascii="Times New Roman" w:hAnsi="Times New Roman" w:eastAsia="宋体" w:cs="Times New Roman"/>
                <w:bCs/>
                <w:color w:val="auto"/>
                <w:sz w:val="24"/>
                <w:szCs w:val="24"/>
                <w:lang w:eastAsia="zh-CN"/>
              </w:rPr>
              <w:t>本项目环保投资见下表</w:t>
            </w:r>
            <w:r>
              <w:rPr>
                <w:rFonts w:hint="default" w:ascii="Times New Roman" w:hAnsi="Times New Roman" w:cs="Times New Roman"/>
                <w:bCs/>
                <w:color w:val="auto"/>
                <w:sz w:val="24"/>
                <w:szCs w:val="24"/>
                <w:lang w:val="en-US" w:eastAsia="zh-CN"/>
              </w:rPr>
              <w:t>2-7</w:t>
            </w:r>
            <w:r>
              <w:rPr>
                <w:rFonts w:hint="default" w:ascii="Times New Roman" w:hAnsi="Times New Roman" w:eastAsia="宋体" w:cs="Times New Roman"/>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4"/>
                <w:szCs w:val="24"/>
                <w:highlight w:val="none"/>
              </w:rPr>
            </w:pPr>
            <w:r>
              <w:rPr>
                <w:rFonts w:hint="default" w:ascii="Times New Roman" w:hAnsi="Times New Roman" w:eastAsia="黑体" w:cs="Times New Roman"/>
                <w:b w:val="0"/>
                <w:bCs w:val="0"/>
                <w:color w:val="auto"/>
                <w:sz w:val="24"/>
                <w:szCs w:val="24"/>
                <w:highlight w:val="none"/>
              </w:rPr>
              <w:t>表</w:t>
            </w:r>
            <w:r>
              <w:rPr>
                <w:rFonts w:hint="default" w:ascii="Times New Roman" w:hAnsi="Times New Roman" w:eastAsia="黑体" w:cs="Times New Roman"/>
                <w:b w:val="0"/>
                <w:bCs w:val="0"/>
                <w:color w:val="auto"/>
                <w:sz w:val="24"/>
                <w:szCs w:val="24"/>
                <w:highlight w:val="none"/>
                <w:lang w:val="en-US" w:eastAsia="zh-CN"/>
              </w:rPr>
              <w:t>2-7</w:t>
            </w:r>
            <w:r>
              <w:rPr>
                <w:rFonts w:hint="default" w:ascii="Times New Roman" w:hAnsi="Times New Roman" w:eastAsia="黑体" w:cs="Times New Roman"/>
                <w:b w:val="0"/>
                <w:bCs w:val="0"/>
                <w:color w:val="auto"/>
                <w:sz w:val="24"/>
                <w:szCs w:val="24"/>
                <w:highlight w:val="none"/>
              </w:rPr>
              <w:t xml:space="preserve">  项目环保投资一览表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8"/>
              <w:gridCol w:w="548"/>
              <w:gridCol w:w="1412"/>
              <w:gridCol w:w="4561"/>
              <w:gridCol w:w="948"/>
              <w:gridCol w:w="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时段</w:t>
                  </w:r>
                </w:p>
              </w:tc>
              <w:tc>
                <w:tcPr>
                  <w:tcW w:w="1141"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污染源</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治理措施</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投资金额(万元)</w:t>
                  </w:r>
                </w:p>
              </w:tc>
              <w:tc>
                <w:tcPr>
                  <w:tcW w:w="447"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施工扬尘</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加盖苫布+湿法作业+洒水抑尘</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c>
                <w:tcPr>
                  <w:tcW w:w="447"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施工废水</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简易沉淀池</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447"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0.45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施工噪声</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低噪设备+减震</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w:t>
                  </w:r>
                </w:p>
              </w:tc>
              <w:tc>
                <w:tcPr>
                  <w:tcW w:w="447"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1.35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建筑垃圾</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0"/>
                      <w:sz w:val="21"/>
                      <w:szCs w:val="21"/>
                    </w:rPr>
                    <w:t>运至</w:t>
                  </w:r>
                  <w:r>
                    <w:rPr>
                      <w:rFonts w:hint="default" w:ascii="Times New Roman" w:hAnsi="Times New Roman" w:cs="Times New Roman"/>
                      <w:snapToGrid w:val="0"/>
                      <w:color w:val="auto"/>
                      <w:kern w:val="0"/>
                      <w:sz w:val="21"/>
                      <w:szCs w:val="21"/>
                      <w:lang w:eastAsia="zh-CN"/>
                    </w:rPr>
                    <w:t>当地</w:t>
                  </w:r>
                  <w:r>
                    <w:rPr>
                      <w:rFonts w:hint="default" w:ascii="Times New Roman" w:hAnsi="Times New Roman" w:cs="Times New Roman"/>
                      <w:snapToGrid w:val="0"/>
                      <w:color w:val="auto"/>
                      <w:kern w:val="0"/>
                      <w:sz w:val="21"/>
                      <w:szCs w:val="21"/>
                    </w:rPr>
                    <w:t>政府指定的建筑垃圾消纳场处置</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w:t>
                  </w:r>
                </w:p>
              </w:tc>
              <w:tc>
                <w:tcPr>
                  <w:tcW w:w="447"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0.67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生活垃圾</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由</w:t>
                  </w:r>
                  <w:r>
                    <w:rPr>
                      <w:rFonts w:hint="default" w:ascii="Times New Roman" w:hAnsi="Times New Roman" w:cs="Times New Roman"/>
                      <w:snapToGrid w:val="0"/>
                      <w:color w:val="auto"/>
                      <w:kern w:val="0"/>
                      <w:sz w:val="21"/>
                      <w:szCs w:val="21"/>
                      <w:lang w:eastAsia="zh-CN"/>
                    </w:rPr>
                    <w:t>市政</w:t>
                  </w:r>
                  <w:r>
                    <w:rPr>
                      <w:rFonts w:hint="default" w:ascii="Times New Roman" w:hAnsi="Times New Roman" w:cs="Times New Roman"/>
                      <w:snapToGrid w:val="0"/>
                      <w:color w:val="auto"/>
                      <w:kern w:val="0"/>
                      <w:sz w:val="21"/>
                      <w:szCs w:val="21"/>
                    </w:rPr>
                    <w:t>环卫部门清运处置</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447"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0.45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运营</w:t>
                  </w:r>
                  <w:r>
                    <w:rPr>
                      <w:rFonts w:hint="default" w:ascii="Times New Roman" w:hAnsi="Times New Roman" w:cs="Times New Roman"/>
                      <w:color w:val="auto"/>
                      <w:sz w:val="21"/>
                      <w:szCs w:val="21"/>
                    </w:rPr>
                    <w:t>期</w:t>
                  </w: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有组织废气</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lang w:val="en-US" w:eastAsia="zh-CN"/>
                    </w:rPr>
                    <w:t>生物除臭装置（生物滴滤）+布袋除尘器（</w:t>
                  </w:r>
                  <w:r>
                    <w:rPr>
                      <w:rFonts w:hint="eastAsia" w:cs="Times New Roman"/>
                      <w:color w:val="auto"/>
                      <w:kern w:val="0"/>
                      <w:sz w:val="21"/>
                      <w:szCs w:val="21"/>
                      <w:highlight w:val="none"/>
                      <w:lang w:val="en-US" w:eastAsia="zh-CN"/>
                    </w:rPr>
                    <w:t>2000</w:t>
                  </w:r>
                  <w:r>
                    <w:rPr>
                      <w:rFonts w:hint="default" w:ascii="Times New Roman" w:hAnsi="Times New Roman" w:cs="Times New Roman"/>
                      <w:color w:val="auto"/>
                      <w:kern w:val="0"/>
                      <w:sz w:val="21"/>
                      <w:szCs w:val="21"/>
                      <w:highlight w:val="none"/>
                      <w:lang w:val="en-US" w:eastAsia="zh-CN"/>
                    </w:rPr>
                    <w:t>m³/h）+15米高的排气筒。</w:t>
                  </w:r>
                </w:p>
              </w:tc>
              <w:tc>
                <w:tcPr>
                  <w:tcW w:w="552"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2</w:t>
                  </w:r>
                </w:p>
              </w:tc>
              <w:tc>
                <w:tcPr>
                  <w:tcW w:w="447" w:type="pct"/>
                  <w:vMerge w:val="restar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26.91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cs="Times New Roman"/>
                      <w:b w:val="0"/>
                      <w:bCs w:val="0"/>
                      <w:color w:val="auto"/>
                      <w:lang w:val="en-US" w:eastAsia="zh-CN"/>
                    </w:rPr>
                    <w:t>无组织废气</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highlight w:val="none"/>
                      <w:lang w:val="en-US" w:eastAsia="zh-CN"/>
                    </w:rPr>
                    <w:t>通过对原料陈化堆放棚（发酵区）进行密闭管理，并喷洒除臭剂，从而达到降低恶臭气体对周围环境不利影响的目的；各工序未被收集的废气经密闭车间降尘处理后无组织排放。</w:t>
                  </w:r>
                </w:p>
              </w:tc>
              <w:tc>
                <w:tcPr>
                  <w:tcW w:w="552"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c>
                <w:tcPr>
                  <w:tcW w:w="44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生活污水</w:t>
                  </w:r>
                </w:p>
              </w:tc>
              <w:tc>
                <w:tcPr>
                  <w:tcW w:w="2655"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厂区设置防渗旱厕</w:t>
                  </w:r>
                  <w:r>
                    <w:rPr>
                      <w:rFonts w:hint="default" w:ascii="Times New Roman" w:hAnsi="Times New Roman" w:cs="Times New Roman"/>
                      <w:color w:val="auto"/>
                      <w:kern w:val="0"/>
                      <w:sz w:val="21"/>
                      <w:szCs w:val="21"/>
                      <w:highlight w:val="none"/>
                      <w:lang w:eastAsia="zh-CN"/>
                    </w:rPr>
                    <w:t>，粪污经清掏后用于</w:t>
                  </w:r>
                  <w:r>
                    <w:rPr>
                      <w:rFonts w:hint="default" w:ascii="Times New Roman" w:hAnsi="Times New Roman" w:cs="Times New Roman"/>
                      <w:color w:val="auto"/>
                      <w:kern w:val="0"/>
                      <w:sz w:val="21"/>
                      <w:szCs w:val="21"/>
                      <w:highlight w:val="none"/>
                      <w:lang w:val="en-US" w:eastAsia="zh-CN"/>
                    </w:rPr>
                    <w:t>生产有机肥</w:t>
                  </w:r>
                  <w:r>
                    <w:rPr>
                      <w:rFonts w:hint="default" w:ascii="Times New Roman" w:hAnsi="Times New Roman" w:cs="Times New Roman"/>
                      <w:color w:val="auto"/>
                      <w:kern w:val="0"/>
                      <w:sz w:val="21"/>
                      <w:szCs w:val="21"/>
                      <w:highlight w:val="none"/>
                      <w:lang w:eastAsia="zh-CN"/>
                    </w:rPr>
                    <w:t>，盥洗废水用于厂区洒水抑尘。</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47"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生产设备噪声</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低噪设备+隔音减震</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447" w:type="pct"/>
                  <w:tcBorders>
                    <w:tl2br w:val="nil"/>
                    <w:tr2bl w:val="nil"/>
                  </w:tcBorders>
                  <w:shd w:val="clear" w:color="auto" w:fill="auto"/>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4.48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固废</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2655"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除尘灰收集后回用于生产线；废包装材料外售综合利用</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47"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生活垃圾</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垃圾分类收集后交由</w:t>
                  </w:r>
                  <w:r>
                    <w:rPr>
                      <w:rFonts w:hint="default" w:ascii="Times New Roman" w:hAnsi="Times New Roman" w:cs="Times New Roman"/>
                      <w:color w:val="auto"/>
                      <w:sz w:val="21"/>
                      <w:szCs w:val="21"/>
                    </w:rPr>
                    <w:t>环卫部门清运处置</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0.45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危险废物</w:t>
                  </w:r>
                </w:p>
              </w:tc>
              <w:tc>
                <w:tcPr>
                  <w:tcW w:w="265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废机油、废机油桶贮存于</w:t>
                  </w:r>
                  <w:r>
                    <w:rPr>
                      <w:rFonts w:hint="eastAsia" w:cs="Times New Roman"/>
                      <w:color w:val="auto"/>
                      <w:lang w:val="en-US" w:eastAsia="zh-CN"/>
                    </w:rPr>
                    <w:t>有机肥加工车间</w:t>
                  </w:r>
                  <w:r>
                    <w:rPr>
                      <w:rFonts w:hint="default" w:ascii="Times New Roman" w:hAnsi="Times New Roman" w:cs="Times New Roman"/>
                      <w:color w:val="auto"/>
                      <w:lang w:val="en-US" w:eastAsia="zh-CN"/>
                    </w:rPr>
                    <w:t>内危废贮存点，定期交由有资质的单位处置。</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0.22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防渗措施</w:t>
                  </w:r>
                </w:p>
              </w:tc>
              <w:tc>
                <w:tcPr>
                  <w:tcW w:w="3478"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本厂区采取分区防渗：①原料陈化堆放棚（发酵区）为重点防渗区，等效黏土防渗层Mb≥6.0m，K≤1x10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cm/s；②厂区道路为简单防渗区，地面采用混凝土硬化；③有机肥加工车间新建危废贮存点采取“地面一般防渗处理+防渗托盘+密闭油桶”方式，防止危险废物泄露污染地下水。</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58.30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3"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环境管理</w:t>
                  </w:r>
                </w:p>
              </w:tc>
              <w:tc>
                <w:tcPr>
                  <w:tcW w:w="3478" w:type="pct"/>
                  <w:gridSpan w:val="2"/>
                  <w:tcBorders>
                    <w:tl2br w:val="nil"/>
                    <w:tr2bl w:val="nil"/>
                  </w:tcBorders>
                  <w:shd w:val="clear" w:color="auto" w:fill="auto"/>
                  <w:noWrap w:val="0"/>
                  <w:tcMar>
                    <w:top w:w="0" w:type="dxa"/>
                    <w:left w:w="51" w:type="dxa"/>
                    <w:bottom w:w="0" w:type="dxa"/>
                    <w:right w:w="51" w:type="dxa"/>
                  </w:tcMar>
                  <w:vAlign w:val="center"/>
                </w:tcPr>
                <w:p>
                  <w:pPr>
                    <w:pStyle w:val="59"/>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kern w:val="0"/>
                      <w:sz w:val="21"/>
                      <w:szCs w:val="21"/>
                    </w:rPr>
                    <w:t>依据</w:t>
                  </w:r>
                  <w:r>
                    <w:rPr>
                      <w:rFonts w:hint="default" w:ascii="Times New Roman" w:hAnsi="Times New Roman" w:eastAsia="宋体" w:cs="Times New Roman"/>
                      <w:color w:val="auto"/>
                      <w:kern w:val="0"/>
                      <w:sz w:val="21"/>
                      <w:szCs w:val="21"/>
                      <w:lang w:eastAsia="zh-CN"/>
                    </w:rPr>
                    <w:t>《固定污染源排污许可分类管理名录（</w:t>
                  </w:r>
                  <w:r>
                    <w:rPr>
                      <w:rFonts w:hint="default" w:ascii="Times New Roman" w:hAnsi="Times New Roman" w:eastAsia="宋体" w:cs="Times New Roman"/>
                      <w:color w:val="auto"/>
                      <w:kern w:val="0"/>
                      <w:sz w:val="21"/>
                      <w:szCs w:val="21"/>
                      <w:lang w:val="en-US" w:eastAsia="zh-CN"/>
                    </w:rPr>
                    <w:t>2019年</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落实相关排污许可手续</w:t>
                  </w:r>
                  <w:r>
                    <w:rPr>
                      <w:rFonts w:hint="default" w:ascii="Times New Roman" w:hAnsi="Times New Roman" w:eastAsia="宋体" w:cs="Times New Roman"/>
                      <w:color w:val="auto"/>
                      <w:kern w:val="0"/>
                      <w:sz w:val="21"/>
                      <w:szCs w:val="21"/>
                    </w:rPr>
                    <w:t>；规范环境管理制度等。</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5.61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0" w:type="pct"/>
                  <w:gridSpan w:val="4"/>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Cs/>
                      <w:color w:val="auto"/>
                      <w:sz w:val="21"/>
                      <w:szCs w:val="21"/>
                    </w:rPr>
                    <w:t>合计</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i w:val="0"/>
                      <w:iCs w:val="0"/>
                      <w:color w:val="auto"/>
                      <w:kern w:val="0"/>
                      <w:sz w:val="21"/>
                      <w:szCs w:val="21"/>
                      <w:u w:val="none"/>
                      <w:lang w:val="en-US" w:eastAsia="zh-CN" w:bidi="ar"/>
                    </w:rPr>
                    <w:t>44.6</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100</w:t>
                  </w:r>
                </w:p>
              </w:tc>
            </w:tr>
          </w:tbl>
          <w:p>
            <w:pPr>
              <w:numPr>
                <w:ilvl w:val="0"/>
                <w:numId w:val="0"/>
              </w:numPr>
              <w:adjustRightInd w:val="0"/>
              <w:snapToGrid w:val="0"/>
              <w:jc w:val="both"/>
              <w:rPr>
                <w:rFonts w:hint="default" w:ascii="Times New Roman" w:hAnsi="Times New Roman" w:cs="Times New Roman"/>
                <w:bCs/>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tcBorders>
              <w:tl2br w:val="nil"/>
              <w:tr2bl w:val="nil"/>
            </w:tcBorders>
            <w:noWrap w:val="0"/>
            <w:vAlign w:val="center"/>
          </w:tcPr>
          <w:p>
            <w:pPr>
              <w:pStyle w:val="19"/>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工艺流程和产排污环节</w:t>
            </w:r>
          </w:p>
        </w:tc>
        <w:tc>
          <w:tcPr>
            <w:tcW w:w="8524" w:type="dxa"/>
            <w:tcBorders>
              <w:tl2br w:val="nil"/>
              <w:tr2bl w:val="nil"/>
            </w:tcBorders>
            <w:noWrap w:val="0"/>
            <w:vAlign w:val="center"/>
          </w:tcPr>
          <w:p>
            <w:pPr>
              <w:numPr>
                <w:ilvl w:val="0"/>
                <w:numId w:val="0"/>
              </w:numPr>
              <w:adjustRightInd w:val="0"/>
              <w:snapToGrid w:val="0"/>
              <w:spacing w:line="360" w:lineRule="auto"/>
              <w:rPr>
                <w:rFonts w:hint="default" w:ascii="Times New Roman" w:hAnsi="Times New Roman" w:eastAsia="黑体" w:cs="Times New Roman"/>
                <w:b w:val="0"/>
                <w:bCs/>
                <w:color w:val="auto"/>
                <w:kern w:val="2"/>
                <w:sz w:val="24"/>
                <w:szCs w:val="24"/>
                <w:lang w:val="en-US" w:eastAsia="zh-CN" w:bidi="ar-SA"/>
              </w:rPr>
            </w:pPr>
            <w:r>
              <w:rPr>
                <w:rFonts w:hint="default" w:ascii="Times New Roman" w:hAnsi="Times New Roman" w:eastAsia="黑体" w:cs="Times New Roman"/>
                <w:b w:val="0"/>
                <w:bCs/>
                <w:color w:val="auto"/>
                <w:kern w:val="2"/>
                <w:sz w:val="24"/>
                <w:szCs w:val="24"/>
                <w:lang w:val="en-US" w:eastAsia="zh-CN" w:bidi="ar-SA"/>
              </w:rPr>
              <w:t>一、施工期工艺流程及产污环节分析</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1.1 施工期工艺流程</w:t>
            </w:r>
          </w:p>
          <w:p>
            <w:pPr>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bCs/>
                <w:color w:val="auto"/>
                <w:sz w:val="24"/>
                <w:szCs w:val="24"/>
                <w:highlight w:val="none"/>
                <w:lang w:eastAsia="zh-CN"/>
              </w:rPr>
              <w:t>本项目施工</w:t>
            </w:r>
            <w:r>
              <w:rPr>
                <w:rFonts w:hint="eastAsia" w:cs="Times New Roman"/>
                <w:bCs/>
                <w:color w:val="auto"/>
                <w:sz w:val="24"/>
                <w:szCs w:val="24"/>
                <w:highlight w:val="none"/>
                <w:lang w:eastAsia="zh-CN"/>
              </w:rPr>
              <w:t>期</w:t>
            </w:r>
            <w:r>
              <w:rPr>
                <w:rFonts w:hint="default" w:ascii="Times New Roman" w:hAnsi="Times New Roman" w:cs="Times New Roman"/>
                <w:bCs/>
                <w:color w:val="auto"/>
                <w:sz w:val="24"/>
                <w:szCs w:val="24"/>
                <w:highlight w:val="none"/>
                <w:lang w:val="en-US" w:eastAsia="zh-CN"/>
              </w:rPr>
              <w:t>主要建设</w:t>
            </w:r>
            <w:r>
              <w:rPr>
                <w:rFonts w:hint="eastAsia" w:cs="Times New Roman"/>
                <w:bCs/>
                <w:color w:val="auto"/>
                <w:sz w:val="24"/>
                <w:szCs w:val="24"/>
                <w:highlight w:val="none"/>
                <w:lang w:val="en-US" w:eastAsia="zh-CN"/>
              </w:rPr>
              <w:t>1</w:t>
            </w:r>
            <w:r>
              <w:rPr>
                <w:rFonts w:hint="default" w:ascii="Times New Roman" w:hAnsi="Times New Roman" w:cs="Times New Roman"/>
                <w:bCs/>
                <w:color w:val="auto"/>
                <w:sz w:val="24"/>
                <w:szCs w:val="24"/>
                <w:highlight w:val="none"/>
                <w:lang w:val="en-US" w:eastAsia="zh-CN"/>
              </w:rPr>
              <w:t>座</w:t>
            </w:r>
            <w:r>
              <w:rPr>
                <w:rFonts w:hint="eastAsia" w:cs="Times New Roman"/>
                <w:bCs/>
                <w:color w:val="auto"/>
                <w:sz w:val="24"/>
                <w:szCs w:val="24"/>
                <w:highlight w:val="none"/>
                <w:lang w:val="en-US" w:eastAsia="zh-CN"/>
              </w:rPr>
              <w:t>原料陈化堆放棚</w:t>
            </w:r>
            <w:r>
              <w:rPr>
                <w:rFonts w:hint="default" w:ascii="Times New Roman" w:hAnsi="Times New Roman" w:cs="Times New Roman"/>
                <w:bCs/>
                <w:color w:val="auto"/>
                <w:sz w:val="24"/>
                <w:szCs w:val="24"/>
                <w:highlight w:val="none"/>
                <w:lang w:val="en-US" w:eastAsia="zh-CN"/>
              </w:rPr>
              <w:t>及雨水排水沟。施工范围包括场地基础开挖、场地平整、新增设备安装以及雨水排水沟的建设</w:t>
            </w:r>
            <w:r>
              <w:rPr>
                <w:rFonts w:hint="default" w:ascii="Times New Roman" w:hAnsi="Times New Roman" w:cs="Times New Roman"/>
                <w:color w:val="auto"/>
                <w:sz w:val="24"/>
                <w:lang w:val="en-US" w:eastAsia="zh-CN"/>
              </w:rPr>
              <w:t>。其他设施均依托现有设施。具体工艺流程及产排污节点详见下图</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color w:val="auto"/>
                <w:sz w:val="24"/>
              </w:rPr>
            </w:pPr>
            <w:r>
              <w:rPr>
                <w:rFonts w:hint="default" w:ascii="Times New Roman" w:hAnsi="Times New Roman" w:eastAsia="黑体" w:cs="Times New Roman"/>
                <w:color w:val="auto"/>
                <w:sz w:val="24"/>
                <w:lang w:val="en-US" w:eastAsia="zh-CN"/>
              </w:rPr>
              <w:object>
                <v:shape id="_x0000_i1026" o:spt="75" type="#_x0000_t75" style="height:103.8pt;width:437.9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r>
              <w:rPr>
                <w:rFonts w:hint="default" w:ascii="Times New Roman" w:hAnsi="Times New Roman" w:eastAsia="黑体" w:cs="Times New Roman"/>
                <w:color w:val="auto"/>
                <w:sz w:val="24"/>
              </w:rPr>
              <w:t>图2-</w:t>
            </w:r>
            <w:r>
              <w:rPr>
                <w:rFonts w:hint="default" w:ascii="Times New Roman" w:hAnsi="Times New Roman" w:eastAsia="黑体" w:cs="Times New Roman"/>
                <w:color w:val="auto"/>
                <w:sz w:val="24"/>
                <w:lang w:val="en-US" w:eastAsia="zh-CN"/>
              </w:rPr>
              <w:t>2</w:t>
            </w:r>
            <w:r>
              <w:rPr>
                <w:rFonts w:hint="default" w:ascii="Times New Roman" w:hAnsi="Times New Roman" w:eastAsia="黑体" w:cs="Times New Roman"/>
                <w:color w:val="auto"/>
                <w:sz w:val="24"/>
              </w:rPr>
              <w:t xml:space="preserve">  施工期工艺流程及产排污节点图</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1.2 施工期工艺流程简述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基础工程：主要为</w:t>
            </w:r>
            <w:r>
              <w:rPr>
                <w:rFonts w:hint="eastAsia" w:cs="Times New Roman"/>
                <w:b w:val="0"/>
                <w:bCs/>
                <w:color w:val="auto"/>
                <w:sz w:val="24"/>
                <w:szCs w:val="24"/>
                <w:lang w:val="en-US" w:eastAsia="zh-CN"/>
              </w:rPr>
              <w:t>原料陈化堆放棚</w:t>
            </w:r>
            <w:r>
              <w:rPr>
                <w:rFonts w:hint="default" w:ascii="Times New Roman" w:hAnsi="Times New Roman" w:eastAsia="宋体" w:cs="Times New Roman"/>
                <w:b w:val="0"/>
                <w:bCs/>
                <w:color w:val="auto"/>
                <w:sz w:val="24"/>
                <w:szCs w:val="24"/>
                <w:lang w:val="en-US" w:eastAsia="zh-CN"/>
              </w:rPr>
              <w:t>场地的开挖、填土、平整和夯实。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主体工程：主体工程阶段主要为钻孔灌注，现浇钢硂柱、梁，砌墙砌筑。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装饰工程：利用装修机械对主体工程进行装修。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设备安装：包括装卸设施、检测设备、消防设备、各种泵等施工。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竣工验收：竣工验收完成后进行使用。</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1.3 施工期环境影响因素识别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项目施工期主要环境影响因素识别结果见表2-</w:t>
            </w:r>
            <w:r>
              <w:rPr>
                <w:rFonts w:hint="default" w:ascii="Times New Roman" w:hAnsi="Times New Roman" w:cs="Times New Roman"/>
                <w:b w:val="0"/>
                <w:bCs/>
                <w:color w:val="auto"/>
                <w:sz w:val="24"/>
                <w:szCs w:val="24"/>
                <w:lang w:val="en-US" w:eastAsia="zh-CN"/>
              </w:rPr>
              <w:t>8</w:t>
            </w:r>
            <w:r>
              <w:rPr>
                <w:rFonts w:hint="default" w:ascii="Times New Roman" w:hAnsi="Times New Roman" w:eastAsia="宋体" w:cs="Times New Roman"/>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表2-8  环境因素识别表</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2"/>
              <w:gridCol w:w="1966"/>
              <w:gridCol w:w="51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污染类型</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污染源点</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废气</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施工扬尘</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粉尘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施工机械尾气</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颗粒物、</w:t>
                  </w:r>
                  <w:r>
                    <w:rPr>
                      <w:rFonts w:hint="default" w:ascii="Times New Roman" w:hAnsi="Times New Roman" w:cs="Times New Roman"/>
                      <w:color w:val="auto"/>
                      <w:kern w:val="0"/>
                      <w:sz w:val="21"/>
                      <w:szCs w:val="21"/>
                      <w:lang w:val="en-US" w:eastAsia="zh-CN" w:bidi="ar"/>
                    </w:rPr>
                    <w:t>挥发性有机物（以非甲烷总烃计）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废水</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施工废水</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SS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噪声</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eastAsia="zh-CN" w:bidi="ar"/>
                    </w:rPr>
                    <w:t>施工设备</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固体废物</w:t>
                  </w: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r>
          </w:tbl>
          <w:p>
            <w:pPr>
              <w:numPr>
                <w:ilvl w:val="0"/>
                <w:numId w:val="0"/>
              </w:num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kern w:val="2"/>
                <w:sz w:val="24"/>
                <w:szCs w:val="24"/>
                <w:lang w:val="en-US" w:eastAsia="zh-CN" w:bidi="ar-SA"/>
              </w:rPr>
              <w:t>二、</w:t>
            </w:r>
            <w:r>
              <w:rPr>
                <w:rFonts w:hint="default" w:ascii="Times New Roman" w:hAnsi="Times New Roman" w:eastAsia="黑体" w:cs="Times New Roman"/>
                <w:b w:val="0"/>
                <w:bCs/>
                <w:color w:val="auto"/>
                <w:sz w:val="24"/>
                <w:szCs w:val="24"/>
              </w:rPr>
              <w:t>运营期工艺流程及产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highlight w:val="none"/>
                <w:lang w:val="en-US" w:eastAsia="zh-CN"/>
              </w:rPr>
              <w:t>1、运营期工艺流程及</w:t>
            </w:r>
            <w:r>
              <w:rPr>
                <w:rFonts w:hint="default" w:ascii="Times New Roman" w:hAnsi="Times New Roman" w:eastAsia="黑体" w:cs="Times New Roman"/>
                <w:b w:val="0"/>
                <w:bCs/>
                <w:color w:val="auto"/>
                <w:sz w:val="24"/>
                <w:szCs w:val="24"/>
              </w:rPr>
              <w:t>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本项目粉状有机肥生产工艺由混配、发酵、陈化、粉碎、筛分组成；颗粒有机肥生产工艺主要由混配、发酵、陈化、粉碎、筛分、造粒、冷却、筛分组成，具体工艺流程及产污环节见图2-3。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object>
                <v:shape id="_x0000_i1027" o:spt="75" type="#_x0000_t75" style="height:267.05pt;width:425.15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eastAsia="黑体" w:cs="Times New Roman"/>
                <w:b w:val="0"/>
                <w:bCs w:val="0"/>
                <w:color w:val="auto"/>
                <w:sz w:val="24"/>
                <w:szCs w:val="24"/>
              </w:rPr>
              <w:t>图</w:t>
            </w:r>
            <w:r>
              <w:rPr>
                <w:rFonts w:hint="default" w:ascii="Times New Roman" w:hAnsi="Times New Roman" w:eastAsia="黑体" w:cs="Times New Roman"/>
                <w:b w:val="0"/>
                <w:bCs w:val="0"/>
                <w:color w:val="auto"/>
                <w:sz w:val="24"/>
                <w:szCs w:val="24"/>
                <w:lang w:val="en-US" w:eastAsia="zh-CN"/>
              </w:rPr>
              <w:t>2-3</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有机肥生产</w:t>
            </w:r>
            <w:r>
              <w:rPr>
                <w:rFonts w:hint="default" w:ascii="Times New Roman" w:hAnsi="Times New Roman" w:eastAsia="黑体" w:cs="Times New Roman"/>
                <w:b w:val="0"/>
                <w:bCs w:val="0"/>
                <w:color w:val="auto"/>
                <w:sz w:val="24"/>
                <w:szCs w:val="24"/>
              </w:rPr>
              <w:t>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（1）混配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有机肥生产原料（牛粪、秸秆）在发酵棚内混合后，由人工进行干湿比例调配，确保水分含量严格控制在50%至60%之间。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产污分析：该环节会产生混配废气G</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（2）发酵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混合后的物料由铲车运送至</w:t>
            </w:r>
            <w:r>
              <w:rPr>
                <w:rFonts w:hint="eastAsia" w:cs="Times New Roman"/>
                <w:bCs/>
                <w:color w:val="auto"/>
                <w:sz w:val="24"/>
                <w:szCs w:val="24"/>
                <w:highlight w:val="none"/>
                <w:lang w:val="en-US" w:eastAsia="zh-CN"/>
              </w:rPr>
              <w:t>原料陈化堆放棚（发酵区）</w:t>
            </w:r>
            <w:r>
              <w:rPr>
                <w:rFonts w:hint="default" w:ascii="Times New Roman" w:hAnsi="Times New Roman" w:cs="Times New Roman"/>
                <w:bCs/>
                <w:color w:val="auto"/>
                <w:sz w:val="24"/>
                <w:szCs w:val="24"/>
                <w:highlight w:val="none"/>
                <w:lang w:val="en-US" w:eastAsia="zh-CN"/>
              </w:rPr>
              <w:t>进行发酵，并添加发酵菌剂以启动发酵过程</w:t>
            </w:r>
            <w:r>
              <w:rPr>
                <w:rFonts w:hint="eastAsia"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val="en-US" w:eastAsia="zh-CN"/>
              </w:rPr>
              <w:t>当发酵温度升至60~65℃时，通过翻抛机进行翻堆作业，以确保物料均匀发酵。整个发酵过程历时15~30天，最终达到除臭、杀菌及腐熟目的。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产污分析：该环节会产生发酵废气G</w:t>
            </w:r>
            <w:r>
              <w:rPr>
                <w:rFonts w:hint="default" w:ascii="Times New Roman" w:hAnsi="Times New Roman" w:cs="Times New Roman"/>
                <w:bCs/>
                <w:color w:val="auto"/>
                <w:sz w:val="24"/>
                <w:szCs w:val="24"/>
                <w:highlight w:val="none"/>
                <w:vertAlign w:val="subscript"/>
                <w:lang w:val="en-US" w:eastAsia="zh-CN"/>
              </w:rPr>
              <w:t>2</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（3）陈化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lang w:val="en-US" w:eastAsia="zh-CN"/>
              </w:rPr>
              <w:t>发酵完成后，将物料转移至原料陈化堆放棚</w:t>
            </w:r>
            <w:r>
              <w:rPr>
                <w:rFonts w:hint="eastAsia" w:cs="Times New Roman"/>
                <w:bCs/>
                <w:color w:val="auto"/>
                <w:sz w:val="24"/>
                <w:szCs w:val="24"/>
                <w:highlight w:val="none"/>
                <w:lang w:val="en-US" w:eastAsia="zh-CN"/>
              </w:rPr>
              <w:t>（陈化区）</w:t>
            </w:r>
            <w:r>
              <w:rPr>
                <w:rFonts w:hint="default" w:ascii="Times New Roman" w:hAnsi="Times New Roman" w:cs="Times New Roman"/>
                <w:bCs/>
                <w:color w:val="auto"/>
                <w:sz w:val="24"/>
                <w:szCs w:val="24"/>
                <w:highlight w:val="none"/>
                <w:lang w:val="en-US" w:eastAsia="zh-CN"/>
              </w:rPr>
              <w:t>进行陈化处理</w:t>
            </w:r>
            <w:r>
              <w:rPr>
                <w:rFonts w:hint="default" w:ascii="Times New Roman" w:hAnsi="Times New Roman" w:eastAsia="宋体" w:cs="Times New Roman"/>
                <w:bCs/>
                <w:color w:val="auto"/>
                <w:kern w:val="2"/>
                <w:sz w:val="24"/>
                <w:szCs w:val="24"/>
                <w:highlight w:val="none"/>
                <w:lang w:val="en-US" w:eastAsia="zh-CN" w:bidi="ar-SA"/>
              </w:rPr>
              <w:t>。陈化时间通常为15~30天，在此期间需定期翻动物料，以确保陈化均匀，并降低水分含量，从而提高有机肥的稳定性。同时，</w:t>
            </w:r>
            <w:r>
              <w:rPr>
                <w:rFonts w:hint="default" w:ascii="Times New Roman" w:hAnsi="Times New Roman" w:cs="Times New Roman"/>
                <w:bCs/>
                <w:color w:val="auto"/>
                <w:sz w:val="24"/>
                <w:szCs w:val="24"/>
                <w:highlight w:val="none"/>
                <w:lang w:val="en-US" w:eastAsia="zh-CN"/>
              </w:rPr>
              <w:t>严格控制水分含量在30%以内，以实现陈化</w:t>
            </w:r>
            <w:r>
              <w:rPr>
                <w:rFonts w:hint="default" w:ascii="Times New Roman" w:hAnsi="Times New Roman" w:eastAsia="宋体" w:cs="Times New Roman"/>
                <w:bCs/>
                <w:color w:val="auto"/>
                <w:kern w:val="2"/>
                <w:sz w:val="24"/>
                <w:szCs w:val="24"/>
                <w:highlight w:val="none"/>
                <w:lang w:val="en-US" w:eastAsia="zh-CN" w:bidi="ar-SA"/>
              </w:rPr>
              <w:t>的</w:t>
            </w:r>
            <w:r>
              <w:rPr>
                <w:rFonts w:hint="default" w:ascii="Times New Roman" w:hAnsi="Times New Roman" w:cs="Times New Roman"/>
                <w:bCs/>
                <w:color w:val="auto"/>
                <w:sz w:val="24"/>
                <w:szCs w:val="24"/>
                <w:highlight w:val="none"/>
                <w:lang w:val="en-US" w:eastAsia="zh-CN"/>
              </w:rPr>
              <w:t>目</w:t>
            </w:r>
            <w:r>
              <w:rPr>
                <w:rFonts w:hint="default" w:ascii="Times New Roman" w:hAnsi="Times New Roman" w:eastAsia="宋体" w:cs="Times New Roman"/>
                <w:bCs/>
                <w:color w:val="auto"/>
                <w:kern w:val="2"/>
                <w:sz w:val="24"/>
                <w:szCs w:val="24"/>
                <w:highlight w:val="none"/>
                <w:lang w:val="en-US" w:eastAsia="zh-CN" w:bidi="ar-SA"/>
              </w:rPr>
              <w:t>标。这一过程有助于物料的进一步腐熟。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产污分析：该过程会产生陈化废气G</w:t>
            </w:r>
            <w:r>
              <w:rPr>
                <w:rFonts w:hint="default" w:ascii="Times New Roman" w:hAnsi="Times New Roman" w:cs="Times New Roman"/>
                <w:bCs/>
                <w:color w:val="auto"/>
                <w:sz w:val="24"/>
                <w:szCs w:val="24"/>
                <w:highlight w:val="none"/>
                <w:vertAlign w:val="subscript"/>
                <w:lang w:val="en-US" w:eastAsia="zh-CN"/>
              </w:rPr>
              <w:t>3</w:t>
            </w:r>
            <w:r>
              <w:rPr>
                <w:rFonts w:hint="default" w:ascii="Times New Roman" w:hAnsi="Times New Roman" w:cs="Times New Roman"/>
                <w:bCs/>
                <w:color w:val="auto"/>
                <w:sz w:val="24"/>
                <w:szCs w:val="24"/>
                <w:highlight w:val="none"/>
                <w:lang w:val="en-US" w:eastAsia="zh-CN"/>
              </w:rPr>
              <w:t>及</w:t>
            </w:r>
            <w:r>
              <w:rPr>
                <w:rFonts w:hint="default" w:ascii="Times New Roman" w:hAnsi="Times New Roman" w:eastAsia="宋体" w:cs="Times New Roman"/>
                <w:bCs/>
                <w:color w:val="auto"/>
                <w:kern w:val="2"/>
                <w:sz w:val="24"/>
                <w:szCs w:val="24"/>
                <w:highlight w:val="none"/>
                <w:lang w:val="en-US" w:eastAsia="zh-CN" w:bidi="ar-SA"/>
              </w:rPr>
              <w:t>设备运行噪声N</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（4）粉碎、筛分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陈化处理的物料经配料系统配料，添加复配腐植酸，从而生产高附加值的有机肥产品。配料后由皮带输送机提升和输送后进行粉碎和筛分处理，以便将其转化为粒度均匀的产品。</w:t>
            </w:r>
            <w:r>
              <w:rPr>
                <w:rFonts w:hint="default" w:ascii="Times New Roman" w:hAnsi="Times New Roman" w:eastAsia="宋体" w:cs="Times New Roman"/>
                <w:bCs/>
                <w:color w:val="auto"/>
                <w:kern w:val="2"/>
                <w:sz w:val="24"/>
                <w:szCs w:val="24"/>
                <w:highlight w:val="none"/>
                <w:lang w:val="en-US" w:eastAsia="zh-CN" w:bidi="ar-SA"/>
              </w:rPr>
              <w:t>在此过程中，采用双级粉碎机对发酵后的物料进行破碎，随后通过筛分设备</w:t>
            </w:r>
            <w:r>
              <w:rPr>
                <w:rFonts w:hint="default" w:ascii="Times New Roman" w:hAnsi="Times New Roman" w:cs="Times New Roman"/>
                <w:bCs/>
                <w:color w:val="auto"/>
                <w:kern w:val="2"/>
                <w:sz w:val="24"/>
                <w:szCs w:val="24"/>
                <w:highlight w:val="none"/>
                <w:lang w:val="en-US" w:eastAsia="zh-CN" w:bidi="ar-SA"/>
              </w:rPr>
              <w:t>进行筛分</w:t>
            </w:r>
            <w:r>
              <w:rPr>
                <w:rFonts w:hint="default" w:ascii="Times New Roman" w:hAnsi="Times New Roman" w:eastAsia="宋体" w:cs="Times New Roman"/>
                <w:bCs/>
                <w:color w:val="auto"/>
                <w:kern w:val="2"/>
                <w:sz w:val="24"/>
                <w:szCs w:val="24"/>
                <w:highlight w:val="none"/>
                <w:lang w:val="en-US" w:eastAsia="zh-CN" w:bidi="ar-SA"/>
              </w:rPr>
              <w:t>。筛上物</w:t>
            </w:r>
            <w:r>
              <w:rPr>
                <w:rFonts w:hint="default" w:ascii="Times New Roman" w:hAnsi="Times New Roman" w:cs="Times New Roman"/>
                <w:bCs/>
                <w:color w:val="auto"/>
                <w:kern w:val="2"/>
                <w:sz w:val="24"/>
                <w:szCs w:val="24"/>
                <w:highlight w:val="none"/>
                <w:lang w:val="en-US" w:eastAsia="zh-CN" w:bidi="ar-SA"/>
              </w:rPr>
              <w:t>（颗粒）通过返料皮带机输送至</w:t>
            </w:r>
            <w:r>
              <w:rPr>
                <w:rFonts w:hint="eastAsia" w:cs="Times New Roman"/>
                <w:bCs/>
                <w:color w:val="auto"/>
                <w:kern w:val="2"/>
                <w:sz w:val="24"/>
                <w:szCs w:val="24"/>
                <w:highlight w:val="none"/>
                <w:lang w:val="en-US" w:eastAsia="zh-CN" w:bidi="ar-SA"/>
              </w:rPr>
              <w:t>配料系统</w:t>
            </w:r>
            <w:r>
              <w:rPr>
                <w:rFonts w:hint="default" w:ascii="Times New Roman" w:hAnsi="Times New Roman" w:cs="Times New Roman"/>
                <w:bCs/>
                <w:color w:val="auto"/>
                <w:kern w:val="2"/>
                <w:sz w:val="24"/>
                <w:szCs w:val="24"/>
                <w:highlight w:val="none"/>
                <w:lang w:val="en-US" w:eastAsia="zh-CN" w:bidi="ar-SA"/>
              </w:rPr>
              <w:t>，以进一步配料</w:t>
            </w:r>
            <w:r>
              <w:rPr>
                <w:rFonts w:hint="default" w:ascii="Times New Roman" w:hAnsi="Times New Roman" w:eastAsia="宋体" w:cs="Times New Roman"/>
                <w:bCs/>
                <w:color w:val="auto"/>
                <w:kern w:val="2"/>
                <w:sz w:val="24"/>
                <w:szCs w:val="24"/>
                <w:highlight w:val="none"/>
                <w:lang w:val="en-US" w:eastAsia="zh-CN" w:bidi="ar-SA"/>
              </w:rPr>
              <w:t>；筛下粉状部分则由皮带输送机输送</w:t>
            </w:r>
            <w:r>
              <w:rPr>
                <w:rFonts w:hint="default" w:ascii="Times New Roman" w:hAnsi="Times New Roman" w:cs="Times New Roman"/>
                <w:bCs/>
                <w:color w:val="auto"/>
                <w:kern w:val="2"/>
                <w:sz w:val="24"/>
                <w:szCs w:val="24"/>
                <w:highlight w:val="none"/>
                <w:lang w:val="en-US" w:eastAsia="zh-CN" w:bidi="ar-SA"/>
              </w:rPr>
              <w:t>至粉料缓冲仓</w:t>
            </w:r>
            <w:r>
              <w:rPr>
                <w:rFonts w:hint="default" w:ascii="Times New Roman" w:hAnsi="Times New Roman" w:eastAsia="宋体" w:cs="Times New Roman"/>
                <w:bCs/>
                <w:color w:val="auto"/>
                <w:kern w:val="2"/>
                <w:sz w:val="24"/>
                <w:szCs w:val="24"/>
                <w:highlight w:val="none"/>
                <w:lang w:val="en-US" w:eastAsia="zh-CN" w:bidi="ar-SA"/>
              </w:rPr>
              <w:t>，经检验合格后进行计量包装，随后码垛入库，存储于成品库房</w:t>
            </w:r>
            <w:r>
              <w:rPr>
                <w:rFonts w:hint="default" w:ascii="Times New Roman" w:hAnsi="Times New Roman" w:cs="Times New Roman"/>
                <w:bCs/>
                <w:color w:val="auto"/>
                <w:kern w:val="2"/>
                <w:sz w:val="24"/>
                <w:szCs w:val="24"/>
                <w:highlight w:val="none"/>
                <w:lang w:val="en-US" w:eastAsia="zh-CN" w:bidi="ar-SA"/>
              </w:rPr>
              <w:t>。此外，部分筛下粉状物料经皮带输送至造粒缓冲仓，以进行造粒处理。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产污分析：该过程会产生粉碎G</w:t>
            </w:r>
            <w:r>
              <w:rPr>
                <w:rFonts w:hint="default" w:ascii="Times New Roman" w:hAnsi="Times New Roman" w:cs="Times New Roman"/>
                <w:bCs/>
                <w:color w:val="auto"/>
                <w:sz w:val="24"/>
                <w:szCs w:val="24"/>
                <w:highlight w:val="none"/>
                <w:vertAlign w:val="subscript"/>
                <w:lang w:val="en-US" w:eastAsia="zh-CN"/>
              </w:rPr>
              <w:t>4</w:t>
            </w:r>
            <w:r>
              <w:rPr>
                <w:rFonts w:hint="default" w:ascii="Times New Roman" w:hAnsi="Times New Roman" w:cs="Times New Roman"/>
                <w:bCs/>
                <w:color w:val="auto"/>
                <w:sz w:val="24"/>
                <w:szCs w:val="24"/>
                <w:highlight w:val="none"/>
                <w:lang w:val="en-US" w:eastAsia="zh-CN"/>
              </w:rPr>
              <w:t>、筛分废气G</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10-1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（5）造粒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lang w:val="en-US" w:eastAsia="zh-CN"/>
              </w:rPr>
              <w:t>部分筛下物通过颗粒机上料皮带机输送至颗粒机，进行有机肥造粒。</w:t>
            </w:r>
            <w:r>
              <w:rPr>
                <w:rFonts w:hint="default" w:ascii="Times New Roman" w:hAnsi="Times New Roman" w:eastAsia="宋体" w:cs="Times New Roman"/>
                <w:bCs/>
                <w:color w:val="auto"/>
                <w:kern w:val="2"/>
                <w:sz w:val="24"/>
                <w:szCs w:val="24"/>
                <w:highlight w:val="none"/>
                <w:lang w:val="en-US" w:eastAsia="zh-CN" w:bidi="ar-SA"/>
              </w:rPr>
              <w:t>在造粒过程中，颗粒机依靠特定的压力和温度，将筛下的粉状物料再经造粒抛圆一体机进行抛圆处理后得到大小均匀的颗粒状有机肥料</w:t>
            </w:r>
            <w:r>
              <w:rPr>
                <w:rFonts w:hint="default" w:ascii="Times New Roman" w:hAnsi="Times New Roman" w:cs="Times New Roman"/>
                <w:bCs/>
                <w:color w:val="auto"/>
                <w:kern w:val="2"/>
                <w:sz w:val="24"/>
                <w:szCs w:val="24"/>
                <w:highlight w:val="none"/>
                <w:lang w:val="en-US" w:eastAsia="zh-CN" w:bidi="ar-SA"/>
              </w:rPr>
              <w:t>。筛上物则经返料皮带机输送至双级粉碎机，进行进一步破碎</w:t>
            </w:r>
            <w:r>
              <w:rPr>
                <w:rFonts w:hint="default" w:ascii="Times New Roman" w:hAnsi="Times New Roman" w:eastAsia="宋体" w:cs="Times New Roman"/>
                <w:bCs/>
                <w:color w:val="auto"/>
                <w:kern w:val="2"/>
                <w:sz w:val="24"/>
                <w:szCs w:val="24"/>
                <w:highlight w:val="none"/>
                <w:lang w:val="en-US" w:eastAsia="zh-CN" w:bidi="ar-SA"/>
              </w:rPr>
              <w:t>。生产过程</w:t>
            </w:r>
            <w:r>
              <w:rPr>
                <w:rFonts w:hint="eastAsia" w:cs="Times New Roman"/>
                <w:bCs/>
                <w:color w:val="auto"/>
                <w:kern w:val="2"/>
                <w:sz w:val="24"/>
                <w:szCs w:val="24"/>
                <w:highlight w:val="none"/>
                <w:lang w:val="en-US" w:eastAsia="zh-CN" w:bidi="ar-SA"/>
              </w:rPr>
              <w:t>无</w:t>
            </w:r>
            <w:r>
              <w:rPr>
                <w:rFonts w:hint="default" w:ascii="Times New Roman" w:hAnsi="Times New Roman" w:eastAsia="宋体" w:cs="Times New Roman"/>
                <w:bCs/>
                <w:color w:val="auto"/>
                <w:kern w:val="2"/>
                <w:sz w:val="24"/>
                <w:szCs w:val="24"/>
                <w:highlight w:val="none"/>
                <w:lang w:val="en-US" w:eastAsia="zh-CN" w:bidi="ar-SA"/>
              </w:rPr>
              <w:t>需烘干，性状稳定，水分合适。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产污分析：该过程会产生上料废气G</w:t>
            </w:r>
            <w:r>
              <w:rPr>
                <w:rFonts w:hint="default" w:ascii="Times New Roman" w:hAnsi="Times New Roman" w:cs="Times New Roman"/>
                <w:bCs/>
                <w:color w:val="auto"/>
                <w:kern w:val="2"/>
                <w:sz w:val="24"/>
                <w:szCs w:val="24"/>
                <w:highlight w:val="none"/>
                <w:vertAlign w:val="subscript"/>
                <w:lang w:val="en-US" w:eastAsia="zh-CN" w:bidi="ar-SA"/>
              </w:rPr>
              <w:t>6</w:t>
            </w:r>
            <w:r>
              <w:rPr>
                <w:rFonts w:hint="default" w:ascii="Times New Roman" w:hAnsi="Times New Roman" w:cs="Times New Roman"/>
                <w:bCs/>
                <w:color w:val="auto"/>
                <w:kern w:val="2"/>
                <w:sz w:val="24"/>
                <w:szCs w:val="24"/>
                <w:highlight w:val="none"/>
                <w:lang w:val="en-US" w:eastAsia="zh-CN" w:bidi="ar-SA"/>
              </w:rPr>
              <w:t>、造粒废气G</w:t>
            </w:r>
            <w:r>
              <w:rPr>
                <w:rFonts w:hint="default" w:ascii="Times New Roman" w:hAnsi="Times New Roman" w:cs="Times New Roman"/>
                <w:bCs/>
                <w:color w:val="auto"/>
                <w:kern w:val="2"/>
                <w:sz w:val="24"/>
                <w:szCs w:val="24"/>
                <w:highlight w:val="none"/>
                <w:vertAlign w:val="subscript"/>
                <w:lang w:val="en-US" w:eastAsia="zh-CN" w:bidi="ar-SA"/>
              </w:rPr>
              <w:t>7</w:t>
            </w:r>
            <w:r>
              <w:rPr>
                <w:rFonts w:hint="default" w:ascii="Times New Roman" w:hAnsi="Times New Roman" w:cs="Times New Roman"/>
                <w:bCs/>
                <w:color w:val="auto"/>
                <w:kern w:val="2"/>
                <w:sz w:val="24"/>
                <w:szCs w:val="24"/>
                <w:highlight w:val="none"/>
                <w:lang w:val="en-US" w:eastAsia="zh-CN" w:bidi="ar-SA"/>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（6）冷却、筛分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bidi="ar-SA"/>
              </w:rPr>
              <w:t>造粒工序完成后，颗粒状有机肥料通过冷却机的上料皮带机输送至冷却机（</w:t>
            </w:r>
            <w:r>
              <w:rPr>
                <w:rFonts w:hint="default" w:ascii="Times New Roman" w:hAnsi="Times New Roman" w:cs="Times New Roman"/>
                <w:bCs/>
                <w:color w:val="auto"/>
                <w:kern w:val="2"/>
                <w:sz w:val="24"/>
                <w:szCs w:val="24"/>
                <w:highlight w:val="none"/>
                <w:lang w:val="en-US" w:eastAsia="zh-CN" w:bidi="ar-SA"/>
              </w:rPr>
              <w:t>带</w:t>
            </w:r>
            <w:r>
              <w:rPr>
                <w:rFonts w:hint="default" w:ascii="Times New Roman" w:hAnsi="Times New Roman" w:eastAsia="宋体" w:cs="Times New Roman"/>
                <w:bCs/>
                <w:color w:val="auto"/>
                <w:kern w:val="2"/>
                <w:sz w:val="24"/>
                <w:szCs w:val="24"/>
                <w:highlight w:val="none"/>
                <w:lang w:val="en-US" w:eastAsia="zh-CN" w:bidi="ar-SA"/>
              </w:rPr>
              <w:t>滚筛），在此进行冷却处理和二次筛分，确保颗粒的硬度和稳定性达到标准要求。冷却后的颗粒</w:t>
            </w:r>
            <w:r>
              <w:rPr>
                <w:rFonts w:hint="default" w:ascii="Times New Roman" w:hAnsi="Times New Roman" w:cs="Times New Roman"/>
                <w:bCs/>
                <w:color w:val="auto"/>
                <w:kern w:val="2"/>
                <w:sz w:val="24"/>
                <w:szCs w:val="24"/>
                <w:highlight w:val="none"/>
                <w:lang w:val="en-US" w:eastAsia="zh-CN" w:bidi="ar-SA"/>
              </w:rPr>
              <w:t>状</w:t>
            </w:r>
            <w:r>
              <w:rPr>
                <w:rFonts w:hint="default" w:ascii="Times New Roman" w:hAnsi="Times New Roman" w:eastAsia="宋体" w:cs="Times New Roman"/>
                <w:bCs/>
                <w:color w:val="auto"/>
                <w:kern w:val="2"/>
                <w:sz w:val="24"/>
                <w:szCs w:val="24"/>
                <w:highlight w:val="none"/>
                <w:lang w:val="en-US" w:eastAsia="zh-CN" w:bidi="ar-SA"/>
              </w:rPr>
              <w:t>有机肥料再</w:t>
            </w:r>
            <w:r>
              <w:rPr>
                <w:rFonts w:hint="default" w:ascii="Times New Roman" w:hAnsi="Times New Roman" w:cs="Times New Roman"/>
                <w:bCs/>
                <w:color w:val="auto"/>
                <w:kern w:val="2"/>
                <w:sz w:val="24"/>
                <w:szCs w:val="24"/>
                <w:highlight w:val="none"/>
                <w:lang w:val="en-US" w:eastAsia="zh-CN" w:bidi="ar-SA"/>
              </w:rPr>
              <w:t>经由皮带输送机送至</w:t>
            </w:r>
            <w:r>
              <w:rPr>
                <w:rFonts w:hint="default" w:ascii="Times New Roman" w:hAnsi="Times New Roman" w:eastAsia="宋体" w:cs="Times New Roman"/>
                <w:bCs/>
                <w:color w:val="auto"/>
                <w:kern w:val="2"/>
                <w:sz w:val="24"/>
                <w:szCs w:val="24"/>
                <w:highlight w:val="none"/>
                <w:lang w:val="en-US" w:eastAsia="zh-CN" w:bidi="ar-SA"/>
              </w:rPr>
              <w:t>成品缓存料仓</w:t>
            </w:r>
            <w:r>
              <w:rPr>
                <w:rFonts w:hint="default" w:ascii="Times New Roman" w:hAnsi="Times New Roman"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经过严格检验合格后，进行计量和包装，最终整齐码垛并入库，存放于成品库房中。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产污分析：该过程会产生冷却废气G</w:t>
            </w:r>
            <w:r>
              <w:rPr>
                <w:rFonts w:hint="default" w:ascii="Times New Roman" w:hAnsi="Times New Roman" w:cs="Times New Roman"/>
                <w:bCs/>
                <w:color w:val="auto"/>
                <w:sz w:val="24"/>
                <w:szCs w:val="24"/>
                <w:highlight w:val="none"/>
                <w:vertAlign w:val="subscript"/>
                <w:lang w:val="en-US" w:eastAsia="zh-CN"/>
              </w:rPr>
              <w:t>8</w:t>
            </w:r>
            <w:r>
              <w:rPr>
                <w:rFonts w:hint="default" w:ascii="Times New Roman" w:hAnsi="Times New Roman" w:cs="Times New Roman"/>
                <w:bCs/>
                <w:color w:val="auto"/>
                <w:sz w:val="24"/>
                <w:szCs w:val="24"/>
                <w:highlight w:val="none"/>
                <w:lang w:val="en-US" w:eastAsia="zh-CN"/>
              </w:rPr>
              <w:t>、二次筛分废气G</w:t>
            </w:r>
            <w:r>
              <w:rPr>
                <w:rFonts w:hint="default" w:ascii="Times New Roman" w:hAnsi="Times New Roman" w:cs="Times New Roman"/>
                <w:bCs/>
                <w:color w:val="auto"/>
                <w:sz w:val="24"/>
                <w:szCs w:val="24"/>
                <w:highlight w:val="none"/>
                <w:vertAlign w:val="subscript"/>
                <w:lang w:val="en-US" w:eastAsia="zh-CN"/>
              </w:rPr>
              <w:t>9</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10-2</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cs="Times New Roman"/>
                <w:bCs/>
                <w:color w:val="auto"/>
                <w:spacing w:val="-6"/>
                <w:sz w:val="24"/>
                <w:szCs w:val="24"/>
                <w:highlight w:val="none"/>
                <w:lang w:eastAsia="zh-CN"/>
              </w:rPr>
              <w:t>其他产污</w:t>
            </w:r>
            <w:r>
              <w:rPr>
                <w:rFonts w:hint="default" w:ascii="Times New Roman" w:hAnsi="Times New Roman" w:cs="Times New Roman"/>
                <w:bCs/>
                <w:color w:val="auto"/>
                <w:spacing w:val="-6"/>
                <w:sz w:val="24"/>
                <w:szCs w:val="24"/>
                <w:highlight w:val="none"/>
                <w:lang w:val="en-US" w:eastAsia="zh-CN"/>
              </w:rPr>
              <w:t>分析</w:t>
            </w:r>
            <w:r>
              <w:rPr>
                <w:rFonts w:hint="default" w:ascii="Times New Roman" w:hAnsi="Times New Roman" w:cs="Times New Roman"/>
                <w:bCs/>
                <w:color w:val="auto"/>
                <w:spacing w:val="-6"/>
                <w:sz w:val="24"/>
                <w:szCs w:val="24"/>
                <w:highlight w:val="none"/>
                <w:lang w:eastAsia="zh-CN"/>
              </w:rPr>
              <w:t>：生活污水</w:t>
            </w:r>
            <w:r>
              <w:rPr>
                <w:rFonts w:hint="default" w:ascii="Times New Roman" w:hAnsi="Times New Roman" w:cs="Times New Roman"/>
                <w:bCs/>
                <w:color w:val="auto"/>
                <w:spacing w:val="-6"/>
                <w:sz w:val="24"/>
                <w:szCs w:val="24"/>
                <w:highlight w:val="none"/>
                <w:lang w:val="en-US" w:eastAsia="zh-CN"/>
              </w:rPr>
              <w:t>W</w:t>
            </w:r>
            <w:r>
              <w:rPr>
                <w:rFonts w:hint="default" w:ascii="Times New Roman" w:hAnsi="Times New Roman" w:cs="Times New Roman"/>
                <w:bCs/>
                <w:color w:val="auto"/>
                <w:spacing w:val="-6"/>
                <w:sz w:val="24"/>
                <w:szCs w:val="24"/>
                <w:highlight w:val="none"/>
                <w:vertAlign w:val="subscript"/>
                <w:lang w:val="en-US" w:eastAsia="zh-CN"/>
              </w:rPr>
              <w:t>1</w:t>
            </w:r>
            <w:r>
              <w:rPr>
                <w:rFonts w:hint="default" w:ascii="Times New Roman" w:hAnsi="Times New Roman" w:cs="Times New Roman"/>
                <w:bCs/>
                <w:color w:val="auto"/>
                <w:spacing w:val="-6"/>
                <w:sz w:val="24"/>
                <w:szCs w:val="24"/>
                <w:highlight w:val="none"/>
                <w:lang w:val="en-US" w:eastAsia="zh-CN"/>
              </w:rPr>
              <w:t>、</w:t>
            </w:r>
            <w:r>
              <w:rPr>
                <w:rFonts w:hint="default" w:ascii="Times New Roman" w:hAnsi="Times New Roman" w:cs="Times New Roman"/>
                <w:bCs/>
                <w:color w:val="auto"/>
                <w:spacing w:val="-6"/>
                <w:sz w:val="24"/>
                <w:szCs w:val="24"/>
                <w:highlight w:val="none"/>
                <w:lang w:eastAsia="zh-CN"/>
              </w:rPr>
              <w:t>除尘灰</w:t>
            </w:r>
            <w:r>
              <w:rPr>
                <w:rFonts w:hint="default" w:ascii="Times New Roman" w:hAnsi="Times New Roman" w:cs="Times New Roman"/>
                <w:bCs/>
                <w:color w:val="auto"/>
                <w:spacing w:val="-6"/>
                <w:sz w:val="24"/>
                <w:szCs w:val="24"/>
                <w:highlight w:val="none"/>
                <w:lang w:val="en-US" w:eastAsia="zh-CN"/>
              </w:rPr>
              <w:t>S</w:t>
            </w:r>
            <w:r>
              <w:rPr>
                <w:rFonts w:hint="default" w:ascii="Times New Roman" w:hAnsi="Times New Roman" w:cs="Times New Roman"/>
                <w:bCs/>
                <w:color w:val="auto"/>
                <w:spacing w:val="-6"/>
                <w:sz w:val="24"/>
                <w:szCs w:val="24"/>
                <w:highlight w:val="none"/>
                <w:vertAlign w:val="subscript"/>
                <w:lang w:val="en-US" w:eastAsia="zh-CN"/>
              </w:rPr>
              <w:t>2</w:t>
            </w:r>
            <w:r>
              <w:rPr>
                <w:rFonts w:hint="default" w:ascii="Times New Roman" w:hAnsi="Times New Roman" w:cs="Times New Roman"/>
                <w:bCs/>
                <w:color w:val="auto"/>
                <w:spacing w:val="-6"/>
                <w:sz w:val="24"/>
                <w:szCs w:val="24"/>
                <w:highlight w:val="none"/>
                <w:lang w:val="en-US" w:eastAsia="zh-CN"/>
              </w:rPr>
              <w:t>、生活垃圾S</w:t>
            </w:r>
            <w:r>
              <w:rPr>
                <w:rFonts w:hint="default" w:ascii="Times New Roman" w:hAnsi="Times New Roman" w:cs="Times New Roman"/>
                <w:bCs/>
                <w:color w:val="auto"/>
                <w:spacing w:val="-6"/>
                <w:sz w:val="24"/>
                <w:szCs w:val="24"/>
                <w:highlight w:val="none"/>
                <w:vertAlign w:val="subscript"/>
                <w:lang w:val="en-US" w:eastAsia="zh-CN"/>
              </w:rPr>
              <w:t>3</w:t>
            </w:r>
            <w:r>
              <w:rPr>
                <w:rFonts w:hint="default" w:ascii="Times New Roman" w:hAnsi="Times New Roman" w:cs="Times New Roman"/>
                <w:bCs/>
                <w:color w:val="auto"/>
                <w:spacing w:val="-6"/>
                <w:sz w:val="24"/>
                <w:szCs w:val="24"/>
                <w:highlight w:val="none"/>
                <w:vertAlign w:val="baseline"/>
                <w:lang w:val="en-US" w:eastAsia="zh-CN"/>
              </w:rPr>
              <w:t>、</w:t>
            </w:r>
            <w:r>
              <w:rPr>
                <w:rFonts w:hint="default" w:ascii="Times New Roman" w:hAnsi="Times New Roman" w:cs="Times New Roman"/>
                <w:bCs/>
                <w:color w:val="auto"/>
                <w:spacing w:val="-6"/>
                <w:sz w:val="24"/>
                <w:szCs w:val="24"/>
                <w:highlight w:val="none"/>
                <w:lang w:val="en-US" w:eastAsia="zh-CN"/>
              </w:rPr>
              <w:t>废机油S</w:t>
            </w:r>
            <w:r>
              <w:rPr>
                <w:rFonts w:hint="default" w:ascii="Times New Roman" w:hAnsi="Times New Roman" w:cs="Times New Roman"/>
                <w:bCs/>
                <w:color w:val="auto"/>
                <w:spacing w:val="-6"/>
                <w:sz w:val="24"/>
                <w:szCs w:val="24"/>
                <w:highlight w:val="none"/>
                <w:vertAlign w:val="subscript"/>
                <w:lang w:val="en-US" w:eastAsia="zh-CN"/>
              </w:rPr>
              <w:t>4</w:t>
            </w:r>
            <w:r>
              <w:rPr>
                <w:rFonts w:hint="default" w:ascii="Times New Roman" w:hAnsi="Times New Roman" w:cs="Times New Roman"/>
                <w:bCs/>
                <w:color w:val="auto"/>
                <w:spacing w:val="-6"/>
                <w:sz w:val="24"/>
                <w:szCs w:val="24"/>
                <w:highlight w:val="none"/>
                <w:lang w:val="en-US" w:eastAsia="zh-CN"/>
              </w:rPr>
              <w:t>、废机油桶S</w:t>
            </w:r>
            <w:r>
              <w:rPr>
                <w:rFonts w:hint="default" w:ascii="Times New Roman" w:hAnsi="Times New Roman" w:cs="Times New Roman"/>
                <w:bCs/>
                <w:color w:val="auto"/>
                <w:spacing w:val="-6"/>
                <w:sz w:val="24"/>
                <w:szCs w:val="24"/>
                <w:highlight w:val="none"/>
                <w:vertAlign w:val="subscript"/>
                <w:lang w:val="en-US" w:eastAsia="zh-CN"/>
              </w:rPr>
              <w:t>5</w:t>
            </w:r>
            <w:r>
              <w:rPr>
                <w:rFonts w:hint="default" w:ascii="Times New Roman" w:hAnsi="Times New Roman" w:cs="Times New Roman"/>
                <w:bCs/>
                <w:color w:val="auto"/>
                <w:spacing w:val="-6"/>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2、产污环节及污染物汇总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rPr>
              <w:t>本项目主要产污环节及污染物详见下表</w:t>
            </w:r>
            <w:r>
              <w:rPr>
                <w:rFonts w:hint="default" w:ascii="Times New Roman" w:hAnsi="Times New Roman" w:cs="Times New Roman"/>
                <w:bCs/>
                <w:color w:val="auto"/>
                <w:sz w:val="24"/>
                <w:szCs w:val="24"/>
                <w:highlight w:val="none"/>
                <w:lang w:val="en-US" w:eastAsia="zh-CN"/>
              </w:rPr>
              <w:t>2-9。</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表2-9  本项目主要产污工序及污染物</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775"/>
              <w:gridCol w:w="1278"/>
              <w:gridCol w:w="2174"/>
              <w:gridCol w:w="1639"/>
              <w:gridCol w:w="2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36"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污染类别</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名称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产</w:t>
                  </w:r>
                  <w:r>
                    <w:rPr>
                      <w:rFonts w:hint="default" w:ascii="Times New Roman" w:hAnsi="Times New Roman" w:cs="Times New Roman"/>
                      <w:b/>
                      <w:bCs/>
                      <w:color w:val="auto"/>
                      <w:sz w:val="21"/>
                      <w:szCs w:val="21"/>
                      <w:lang w:val="en-US" w:eastAsia="zh-CN"/>
                    </w:rPr>
                    <w:t>污</w:t>
                  </w:r>
                  <w:r>
                    <w:rPr>
                      <w:rFonts w:hint="default" w:ascii="Times New Roman" w:hAnsi="Times New Roman" w:cs="Times New Roman"/>
                      <w:b/>
                      <w:bCs/>
                      <w:color w:val="auto"/>
                      <w:sz w:val="21"/>
                      <w:szCs w:val="21"/>
                      <w:lang w:eastAsia="zh-CN"/>
                    </w:rPr>
                    <w:t>环节</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混配废气G</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混合配料</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颗粒物、氨、硫化氢、臭气浓度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发酵废气G</w:t>
                  </w:r>
                  <w:r>
                    <w:rPr>
                      <w:rFonts w:hint="default" w:ascii="Times New Roman" w:hAnsi="Times New Roman" w:cs="Times New Roman"/>
                      <w:color w:val="auto"/>
                      <w:sz w:val="21"/>
                      <w:szCs w:val="21"/>
                      <w:vertAlign w:val="subscript"/>
                      <w:lang w:val="en-US" w:eastAsia="zh-CN"/>
                    </w:rPr>
                    <w:t>2</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w:t>
                  </w: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陈化废气G</w:t>
                  </w:r>
                  <w:r>
                    <w:rPr>
                      <w:rFonts w:hint="default" w:ascii="Times New Roman" w:hAnsi="Times New Roman" w:cs="Times New Roman"/>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陈化</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highlight w:val="none"/>
                      <w:lang w:val="en-US" w:eastAsia="zh-CN"/>
                    </w:rPr>
                    <w:t>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粉碎废气G</w:t>
                  </w:r>
                  <w:r>
                    <w:rPr>
                      <w:rFonts w:hint="default" w:ascii="Times New Roman" w:hAnsi="Times New Roman" w:cs="Times New Roman"/>
                      <w:color w:val="auto"/>
                      <w:sz w:val="21"/>
                      <w:szCs w:val="21"/>
                      <w:vertAlign w:val="subscript"/>
                      <w:lang w:val="en-US" w:eastAsia="zh-CN"/>
                    </w:rPr>
                    <w:t>4</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3"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筛分废气G</w:t>
                  </w:r>
                  <w:r>
                    <w:rPr>
                      <w:rFonts w:hint="default" w:ascii="Times New Roman" w:hAnsi="Times New Roman" w:cs="Times New Roman"/>
                      <w:color w:val="auto"/>
                      <w:sz w:val="21"/>
                      <w:szCs w:val="21"/>
                      <w:vertAlign w:val="subscript"/>
                      <w:lang w:val="en-US" w:eastAsia="zh-CN"/>
                    </w:rPr>
                    <w:t>5</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上料废气G</w:t>
                  </w:r>
                  <w:r>
                    <w:rPr>
                      <w:rFonts w:hint="default" w:ascii="Times New Roman" w:hAnsi="Times New Roman" w:cs="Times New Roman"/>
                      <w:color w:val="auto"/>
                      <w:sz w:val="21"/>
                      <w:szCs w:val="21"/>
                      <w:vertAlign w:val="subscript"/>
                      <w:lang w:val="en-US" w:eastAsia="zh-CN"/>
                    </w:rPr>
                    <w:t>6</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上料</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vertAlign w:val="subscript"/>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造粒废气G</w:t>
                  </w:r>
                  <w:r>
                    <w:rPr>
                      <w:rFonts w:hint="default" w:ascii="Times New Roman" w:hAnsi="Times New Roman" w:cs="Times New Roman"/>
                      <w:color w:val="auto"/>
                      <w:sz w:val="21"/>
                      <w:szCs w:val="21"/>
                      <w:vertAlign w:val="subscript"/>
                      <w:lang w:val="en-US" w:eastAsia="zh-CN"/>
                    </w:rPr>
                    <w:t>7</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造粒</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冷却废气G</w:t>
                  </w:r>
                  <w:r>
                    <w:rPr>
                      <w:rFonts w:hint="default" w:ascii="Times New Roman" w:hAnsi="Times New Roman" w:cs="Times New Roman"/>
                      <w:color w:val="auto"/>
                      <w:sz w:val="21"/>
                      <w:szCs w:val="21"/>
                      <w:vertAlign w:val="subscript"/>
                      <w:lang w:val="en-US" w:eastAsia="zh-CN"/>
                    </w:rPr>
                    <w:t>8</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二次筛分废气G</w:t>
                  </w:r>
                  <w:r>
                    <w:rPr>
                      <w:rFonts w:hint="default" w:ascii="Times New Roman" w:hAnsi="Times New Roman" w:cs="Times New Roman"/>
                      <w:color w:val="auto"/>
                      <w:sz w:val="21"/>
                      <w:szCs w:val="21"/>
                      <w:vertAlign w:val="subscript"/>
                      <w:lang w:val="en-US" w:eastAsia="zh-CN"/>
                    </w:rPr>
                    <w:t>9</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包装废气G</w:t>
                  </w:r>
                  <w:r>
                    <w:rPr>
                      <w:rFonts w:hint="default" w:ascii="Times New Roman" w:hAnsi="Times New Roman" w:cs="Times New Roman"/>
                      <w:color w:val="auto"/>
                      <w:sz w:val="21"/>
                      <w:szCs w:val="21"/>
                      <w:vertAlign w:val="subscript"/>
                      <w:lang w:val="en-US" w:eastAsia="zh-CN"/>
                    </w:rPr>
                    <w:t>10-1</w:t>
                  </w:r>
                  <w:r>
                    <w:rPr>
                      <w:rFonts w:hint="default" w:ascii="Times New Roman" w:hAnsi="Times New Roman" w:cs="Times New Roman"/>
                      <w:color w:val="auto"/>
                      <w:sz w:val="21"/>
                      <w:szCs w:val="21"/>
                      <w:lang w:val="en-US" w:eastAsia="zh-CN"/>
                    </w:rPr>
                    <w:t>、G</w:t>
                  </w:r>
                  <w:r>
                    <w:rPr>
                      <w:rFonts w:hint="default" w:ascii="Times New Roman" w:hAnsi="Times New Roman" w:cs="Times New Roman"/>
                      <w:color w:val="auto"/>
                      <w:sz w:val="21"/>
                      <w:szCs w:val="21"/>
                      <w:vertAlign w:val="subscript"/>
                      <w:lang w:val="en-US" w:eastAsia="zh-CN"/>
                    </w:rPr>
                    <w:t>10-2</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64"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COD、BOD、氨氮、</w:t>
                  </w:r>
                  <w:r>
                    <w:rPr>
                      <w:rFonts w:hint="default" w:ascii="Times New Roman" w:hAnsi="Times New Roman" w:cs="Times New Roman"/>
                      <w:bCs/>
                      <w:color w:val="auto"/>
                      <w:sz w:val="21"/>
                      <w:szCs w:val="21"/>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一般工业固体废物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bCs/>
                      <w:color w:val="auto"/>
                      <w:sz w:val="21"/>
                      <w:szCs w:val="21"/>
                      <w:lang w:eastAsia="zh-CN"/>
                    </w:rPr>
                    <w:t>废包装材料</w:t>
                  </w:r>
                  <w:r>
                    <w:rPr>
                      <w:rFonts w:hint="default" w:ascii="Times New Roman" w:hAnsi="Times New Roman" w:cs="Times New Roman"/>
                      <w:bCs/>
                      <w:color w:val="auto"/>
                      <w:sz w:val="21"/>
                      <w:szCs w:val="21"/>
                      <w:lang w:val="en-US" w:eastAsia="zh-CN"/>
                    </w:rPr>
                    <w:t>S</w:t>
                  </w:r>
                  <w:r>
                    <w:rPr>
                      <w:rFonts w:hint="default" w:ascii="Times New Roman" w:hAnsi="Times New Roman" w:cs="Times New Roman"/>
                      <w:bCs/>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原辅料包装拆除、包装</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废包装材料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0"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除尘灰</w:t>
                  </w:r>
                  <w:r>
                    <w:rPr>
                      <w:rFonts w:hint="default" w:ascii="Times New Roman" w:hAnsi="Times New Roman" w:cs="Times New Roman"/>
                      <w:color w:val="auto"/>
                      <w:kern w:val="2"/>
                      <w:sz w:val="21"/>
                      <w:szCs w:val="21"/>
                      <w:lang w:val="en-US" w:eastAsia="zh-CN" w:bidi="ar-SA"/>
                    </w:rPr>
                    <w:t>S</w:t>
                  </w:r>
                  <w:r>
                    <w:rPr>
                      <w:rFonts w:hint="default" w:ascii="Times New Roman" w:hAnsi="Times New Roman" w:cs="Times New Roman"/>
                      <w:color w:val="auto"/>
                      <w:kern w:val="2"/>
                      <w:sz w:val="21"/>
                      <w:szCs w:val="21"/>
                      <w:vertAlign w:val="subscript"/>
                      <w:lang w:val="en-US" w:eastAsia="zh-CN" w:bidi="ar-SA"/>
                    </w:rPr>
                    <w:t>2</w:t>
                  </w:r>
                </w:p>
              </w:tc>
              <w:tc>
                <w:tcPr>
                  <w:tcW w:w="95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废气治理</w:t>
                  </w:r>
                </w:p>
              </w:tc>
              <w:tc>
                <w:tcPr>
                  <w:tcW w:w="158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收尘灰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生活垃圾S</w:t>
                  </w:r>
                  <w:r>
                    <w:rPr>
                      <w:rFonts w:hint="default" w:ascii="Times New Roman" w:hAnsi="Times New Roman" w:cs="Times New Roman"/>
                      <w:bCs/>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果皮、纸屑等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废机油S</w:t>
                  </w:r>
                  <w:r>
                    <w:rPr>
                      <w:rFonts w:hint="default" w:ascii="Times New Roman" w:hAnsi="Times New Roman" w:cs="Times New Roman"/>
                      <w:bCs/>
                      <w:color w:val="auto"/>
                      <w:sz w:val="21"/>
                      <w:szCs w:val="21"/>
                      <w:vertAlign w:val="subscript"/>
                      <w:lang w:val="en-US" w:eastAsia="zh-CN"/>
                    </w:rPr>
                    <w:t>4</w:t>
                  </w:r>
                </w:p>
              </w:tc>
              <w:tc>
                <w:tcPr>
                  <w:tcW w:w="95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设备维护</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废机油桶S</w:t>
                  </w:r>
                  <w:r>
                    <w:rPr>
                      <w:rFonts w:hint="default" w:ascii="Times New Roman" w:hAnsi="Times New Roman" w:cs="Times New Roman"/>
                      <w:bCs/>
                      <w:color w:val="auto"/>
                      <w:sz w:val="21"/>
                      <w:szCs w:val="21"/>
                      <w:vertAlign w:val="subscript"/>
                      <w:lang w:val="en-US" w:eastAsia="zh-CN"/>
                    </w:rPr>
                    <w:t>5</w:t>
                  </w:r>
                </w:p>
              </w:tc>
              <w:tc>
                <w:tcPr>
                  <w:tcW w:w="95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43" w:hRule="atLeast"/>
                <w:jc w:val="center"/>
              </w:trPr>
              <w:tc>
                <w:tcPr>
                  <w:tcW w:w="2460" w:type="pct"/>
                  <w:gridSpan w:val="3"/>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设备运行</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噪声</w:t>
                  </w:r>
                </w:p>
              </w:tc>
            </w:tr>
          </w:tbl>
          <w:p>
            <w:pPr>
              <w:adjustRightInd w:val="0"/>
              <w:snapToGrid w:val="0"/>
              <w:jc w:val="both"/>
              <w:rPr>
                <w:rFonts w:hint="default" w:ascii="Times New Roman" w:hAnsi="Times New Roman" w:cs="Times New Roman"/>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460" w:type="dxa"/>
            <w:tcBorders>
              <w:tl2br w:val="nil"/>
              <w:tr2bl w:val="nil"/>
            </w:tcBorders>
            <w:noWrap w:val="0"/>
            <w:vAlign w:val="center"/>
          </w:tcPr>
          <w:p>
            <w:pPr>
              <w:pStyle w:val="19"/>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val="0"/>
                <w:color w:val="auto"/>
                <w:kern w:val="2"/>
                <w:sz w:val="24"/>
                <w:szCs w:val="24"/>
              </w:rPr>
              <w:t>与项目有关的原有环境污染问题</w:t>
            </w:r>
          </w:p>
        </w:tc>
        <w:tc>
          <w:tcPr>
            <w:tcW w:w="8524" w:type="dxa"/>
            <w:tcBorders>
              <w:tl2br w:val="nil"/>
              <w:tr2bl w:val="nil"/>
            </w:tcBorders>
            <w:noWrap w:val="0"/>
            <w:vAlign w:val="center"/>
          </w:tcPr>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一、现有工程履行环境影响评价、竣工环境保护验收、排污许可手续等情况</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eastAsia" w:cs="Times New Roman"/>
                <w:snapToGrid w:val="0"/>
                <w:color w:val="auto"/>
                <w:kern w:val="0"/>
                <w:sz w:val="24"/>
                <w:szCs w:val="32"/>
                <w:lang w:val="en-US" w:eastAsia="zh-CN"/>
              </w:rPr>
              <w:t>宁夏泾源县六盘山牧业有限责任公司</w:t>
            </w:r>
            <w:r>
              <w:rPr>
                <w:rFonts w:hint="default" w:ascii="Times New Roman" w:hAnsi="Times New Roman" w:eastAsia="宋体" w:cs="Times New Roman"/>
                <w:snapToGrid w:val="0"/>
                <w:color w:val="auto"/>
                <w:kern w:val="0"/>
                <w:sz w:val="24"/>
                <w:szCs w:val="32"/>
                <w:lang w:val="en-US" w:eastAsia="zh-CN"/>
              </w:rPr>
              <w:t>于</w:t>
            </w:r>
            <w:r>
              <w:rPr>
                <w:rFonts w:hint="default" w:ascii="Times New Roman" w:hAnsi="Times New Roman" w:cs="Times New Roman"/>
                <w:snapToGrid w:val="0"/>
                <w:color w:val="auto"/>
                <w:kern w:val="0"/>
                <w:sz w:val="24"/>
                <w:szCs w:val="32"/>
                <w:lang w:val="en-US" w:eastAsia="zh-CN"/>
              </w:rPr>
              <w:t>20</w:t>
            </w:r>
            <w:r>
              <w:rPr>
                <w:rFonts w:hint="eastAsia" w:cs="Times New Roman"/>
                <w:snapToGrid w:val="0"/>
                <w:color w:val="auto"/>
                <w:kern w:val="0"/>
                <w:sz w:val="24"/>
                <w:szCs w:val="32"/>
                <w:lang w:val="en-US" w:eastAsia="zh-CN"/>
              </w:rPr>
              <w:t>17</w:t>
            </w:r>
            <w:r>
              <w:rPr>
                <w:rFonts w:hint="default" w:ascii="Times New Roman" w:hAnsi="Times New Roman" w:eastAsia="宋体" w:cs="Times New Roman"/>
                <w:snapToGrid w:val="0"/>
                <w:color w:val="auto"/>
                <w:kern w:val="0"/>
                <w:sz w:val="24"/>
                <w:szCs w:val="32"/>
                <w:lang w:val="en-US" w:eastAsia="zh-CN"/>
              </w:rPr>
              <w:t>年</w:t>
            </w:r>
            <w:r>
              <w:rPr>
                <w:rFonts w:hint="eastAsia" w:cs="Times New Roman"/>
                <w:snapToGrid w:val="0"/>
                <w:color w:val="auto"/>
                <w:kern w:val="0"/>
                <w:sz w:val="24"/>
                <w:szCs w:val="32"/>
                <w:lang w:val="en-US" w:eastAsia="zh-CN"/>
              </w:rPr>
              <w:t>11</w:t>
            </w:r>
            <w:r>
              <w:rPr>
                <w:rFonts w:hint="default" w:ascii="Times New Roman" w:hAnsi="Times New Roman" w:eastAsia="宋体" w:cs="Times New Roman"/>
                <w:snapToGrid w:val="0"/>
                <w:color w:val="auto"/>
                <w:kern w:val="0"/>
                <w:sz w:val="24"/>
                <w:szCs w:val="32"/>
                <w:lang w:val="en-US" w:eastAsia="zh-CN"/>
              </w:rPr>
              <w:t>月</w:t>
            </w:r>
            <w:r>
              <w:rPr>
                <w:rFonts w:hint="eastAsia" w:cs="Times New Roman"/>
                <w:snapToGrid w:val="0"/>
                <w:color w:val="auto"/>
                <w:kern w:val="0"/>
                <w:sz w:val="24"/>
                <w:szCs w:val="32"/>
                <w:lang w:val="en-US" w:eastAsia="zh-CN"/>
              </w:rPr>
              <w:t>9</w:t>
            </w:r>
            <w:r>
              <w:rPr>
                <w:rFonts w:hint="default" w:ascii="Times New Roman" w:hAnsi="Times New Roman" w:cs="Times New Roman"/>
                <w:snapToGrid w:val="0"/>
                <w:color w:val="auto"/>
                <w:kern w:val="0"/>
                <w:sz w:val="24"/>
                <w:szCs w:val="32"/>
                <w:lang w:val="en-US" w:eastAsia="zh-CN"/>
              </w:rPr>
              <w:t>日</w:t>
            </w:r>
            <w:r>
              <w:rPr>
                <w:rFonts w:hint="default" w:ascii="Times New Roman" w:hAnsi="Times New Roman" w:eastAsia="宋体" w:cs="Times New Roman"/>
                <w:snapToGrid w:val="0"/>
                <w:color w:val="auto"/>
                <w:kern w:val="0"/>
                <w:sz w:val="24"/>
                <w:szCs w:val="32"/>
                <w:lang w:val="en-US" w:eastAsia="zh-CN"/>
              </w:rPr>
              <w:t>完成了“宁夏泾源县六盘山牧业有限责任公司”的建设项目环境影响登记表（见附件2）。</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现有工程环保手续情况见表2-1</w:t>
            </w:r>
            <w:r>
              <w:rPr>
                <w:rFonts w:hint="default" w:ascii="Times New Roman" w:hAnsi="Times New Roman" w:cs="Times New Roman"/>
                <w:snapToGrid w:val="0"/>
                <w:color w:val="auto"/>
                <w:kern w:val="0"/>
                <w:sz w:val="24"/>
                <w:szCs w:val="32"/>
                <w:lang w:val="en-US" w:eastAsia="zh-CN"/>
              </w:rPr>
              <w:t>0</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表2-10  现有工程项目环保手续情况表</w:t>
            </w:r>
          </w:p>
          <w:tbl>
            <w:tblPr>
              <w:tblStyle w:val="23"/>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951"/>
              <w:gridCol w:w="803"/>
              <w:gridCol w:w="2114"/>
              <w:gridCol w:w="1002"/>
              <w:gridCol w:w="2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6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序号</w:t>
                  </w:r>
                </w:p>
              </w:tc>
              <w:tc>
                <w:tcPr>
                  <w:tcW w:w="113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项目名称</w:t>
                  </w:r>
                </w:p>
              </w:tc>
              <w:tc>
                <w:tcPr>
                  <w:tcW w:w="46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环评类别</w:t>
                  </w:r>
                </w:p>
              </w:tc>
              <w:tc>
                <w:tcPr>
                  <w:tcW w:w="12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环评批复情况</w:t>
                  </w:r>
                </w:p>
              </w:tc>
              <w:tc>
                <w:tcPr>
                  <w:tcW w:w="58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验收情况</w:t>
                  </w:r>
                </w:p>
              </w:tc>
              <w:tc>
                <w:tcPr>
                  <w:tcW w:w="130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1</w:t>
                  </w:r>
                </w:p>
              </w:tc>
              <w:tc>
                <w:tcPr>
                  <w:tcW w:w="113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val="en-US" w:eastAsia="zh-CN"/>
                    </w:rPr>
                    <w:t>宁夏泾源县六盘山牧业有限责任公司</w:t>
                  </w:r>
                </w:p>
              </w:tc>
              <w:tc>
                <w:tcPr>
                  <w:tcW w:w="46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登记表</w:t>
                  </w:r>
                </w:p>
              </w:tc>
              <w:tc>
                <w:tcPr>
                  <w:tcW w:w="12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eastAsia="zh-CN"/>
                    </w:rPr>
                    <w:t>登记备案号：</w:t>
                  </w:r>
                  <w:r>
                    <w:rPr>
                      <w:rFonts w:hint="default" w:ascii="Times New Roman" w:hAnsi="Times New Roman" w:cs="Times New Roman"/>
                      <w:b w:val="0"/>
                      <w:bCs w:val="0"/>
                      <w:color w:val="auto"/>
                      <w:kern w:val="0"/>
                      <w:sz w:val="21"/>
                      <w:szCs w:val="21"/>
                      <w:lang w:val="en-US" w:eastAsia="zh-CN"/>
                    </w:rPr>
                    <w:t>201764042400000058</w:t>
                  </w:r>
                </w:p>
              </w:tc>
              <w:tc>
                <w:tcPr>
                  <w:tcW w:w="58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w:t>
                  </w:r>
                </w:p>
              </w:tc>
              <w:tc>
                <w:tcPr>
                  <w:tcW w:w="130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年存栏肉牛900头，建设年产5000吨有机肥生产线1条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00" w:type="pct"/>
                  <w:gridSpan w:val="6"/>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both"/>
                    <w:textAlignment w:val="auto"/>
                    <w:rPr>
                      <w:rFonts w:hint="default"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建设单位于2020年12月4日取得固定污染源排污登记回执（见附件4），登记编号：91640424317719486M001Z，有效期：2020年12月04日至2025年12月03日。</w:t>
                  </w:r>
                </w:p>
              </w:tc>
            </w:tr>
          </w:tbl>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二、现有工程污染物实际排放总量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1、废气</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w:t>
            </w:r>
            <w:r>
              <w:rPr>
                <w:rFonts w:hint="default" w:ascii="Times New Roman" w:hAnsi="Times New Roman" w:cs="Times New Roman"/>
                <w:b w:val="0"/>
                <w:bCs w:val="0"/>
                <w:snapToGrid w:val="0"/>
                <w:color w:val="auto"/>
                <w:kern w:val="0"/>
                <w:sz w:val="24"/>
                <w:szCs w:val="32"/>
                <w:lang w:val="en-US" w:eastAsia="zh-CN"/>
              </w:rPr>
              <w:t>现有工程项目为建设项目环境影响登记表，未对各污染物排放量进行理论核算，且各环节废气均以无组织形式排放，本次现有工程废气采用产排污系数法进行核算。</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根据建设单位提供的资料，现有工程分为肉牛养殖区及有机肥生产车间，肉牛养殖区废气主要为牛舍恶臭</w:t>
            </w:r>
            <w:r>
              <w:rPr>
                <w:rFonts w:hint="eastAsia" w:cs="Times New Roman"/>
                <w:b w:val="0"/>
                <w:bCs w:val="0"/>
                <w:snapToGrid w:val="0"/>
                <w:color w:val="auto"/>
                <w:kern w:val="0"/>
                <w:sz w:val="24"/>
                <w:szCs w:val="32"/>
                <w:lang w:val="en-US" w:eastAsia="zh-CN"/>
              </w:rPr>
              <w:t>及堆粪棚废气</w:t>
            </w:r>
            <w:r>
              <w:rPr>
                <w:rFonts w:hint="default" w:ascii="Times New Roman" w:hAnsi="Times New Roman" w:cs="Times New Roman"/>
                <w:b w:val="0"/>
                <w:bCs w:val="0"/>
                <w:snapToGrid w:val="0"/>
                <w:color w:val="auto"/>
                <w:kern w:val="0"/>
                <w:sz w:val="24"/>
                <w:szCs w:val="32"/>
                <w:lang w:val="en-US" w:eastAsia="zh-CN"/>
              </w:rPr>
              <w:t>；现有有机肥生产车间</w:t>
            </w:r>
            <w:r>
              <w:rPr>
                <w:rFonts w:hint="eastAsia" w:cs="Times New Roman"/>
                <w:b w:val="0"/>
                <w:bCs w:val="0"/>
                <w:snapToGrid w:val="0"/>
                <w:color w:val="auto"/>
                <w:kern w:val="0"/>
                <w:sz w:val="24"/>
                <w:szCs w:val="32"/>
                <w:lang w:val="en-US" w:eastAsia="zh-CN"/>
              </w:rPr>
              <w:t>废气</w:t>
            </w:r>
            <w:r>
              <w:rPr>
                <w:rFonts w:hint="default" w:ascii="Times New Roman" w:hAnsi="Times New Roman" w:cs="Times New Roman"/>
                <w:b w:val="0"/>
                <w:bCs w:val="0"/>
                <w:snapToGrid w:val="0"/>
                <w:color w:val="auto"/>
                <w:kern w:val="0"/>
                <w:sz w:val="24"/>
                <w:szCs w:val="32"/>
                <w:lang w:val="en-US" w:eastAsia="zh-CN"/>
              </w:rPr>
              <w:t>主要为</w:t>
            </w:r>
            <w:r>
              <w:rPr>
                <w:rFonts w:hint="eastAsia" w:cs="Times New Roman"/>
                <w:b w:val="0"/>
                <w:bCs w:val="0"/>
                <w:snapToGrid w:val="0"/>
                <w:color w:val="auto"/>
                <w:kern w:val="0"/>
                <w:sz w:val="24"/>
                <w:szCs w:val="32"/>
                <w:lang w:val="en-US" w:eastAsia="zh-CN"/>
              </w:rPr>
              <w:t>有机肥加工生产过程产生的粉尘</w:t>
            </w:r>
            <w:r>
              <w:rPr>
                <w:rFonts w:hint="default" w:ascii="Times New Roman" w:hAnsi="Times New Roman" w:cs="Times New Roman"/>
                <w:b w:val="0"/>
                <w:bCs w:val="0"/>
                <w:snapToGrid w:val="0"/>
                <w:color w:val="auto"/>
                <w:kern w:val="0"/>
                <w:sz w:val="24"/>
                <w:szCs w:val="32"/>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（1）牛舍恶臭</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牛舍</w:t>
            </w:r>
            <w:r>
              <w:rPr>
                <w:rFonts w:hint="default" w:ascii="Times New Roman" w:hAnsi="Times New Roman" w:eastAsia="宋体" w:cs="Times New Roman"/>
                <w:color w:val="auto"/>
                <w:sz w:val="24"/>
                <w:szCs w:val="24"/>
                <w:lang w:val="en-US" w:eastAsia="zh-CN"/>
              </w:rPr>
              <w:t>恶臭是牛粪便排出体外之后腐败分解产生，主要污染物为臭气浓度、NH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、及H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S，以无组织形式排放。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A</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牛粪、牛尿中含氮量计算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根据《排污许可证申请与核发技术规范 畜禽养殖行业》(HJ1029-2019)表9，肉牛粪便产生量为10.88kg/d·头，牛粪中含氮量为68.8g/d·头、牛尿中总氮含量为38.8g/d·头。根据建设单位提供资料，年存栏肉牛</w:t>
            </w:r>
            <w:r>
              <w:rPr>
                <w:rFonts w:hint="eastAsia" w:cs="Times New Roman"/>
                <w:color w:val="auto"/>
                <w:sz w:val="24"/>
                <w:szCs w:val="24"/>
                <w:lang w:val="en-US" w:eastAsia="zh-CN"/>
              </w:rPr>
              <w:t>900</w:t>
            </w:r>
            <w:r>
              <w:rPr>
                <w:rFonts w:hint="default" w:ascii="Times New Roman" w:hAnsi="Times New Roman" w:eastAsia="宋体" w:cs="Times New Roman"/>
                <w:color w:val="auto"/>
                <w:sz w:val="24"/>
                <w:szCs w:val="24"/>
                <w:lang w:val="en-US" w:eastAsia="zh-CN"/>
              </w:rPr>
              <w:t>头，牛粪产生量为</w:t>
            </w:r>
            <w:r>
              <w:rPr>
                <w:rFonts w:hint="eastAsia" w:cs="Times New Roman"/>
                <w:color w:val="auto"/>
                <w:sz w:val="24"/>
                <w:szCs w:val="24"/>
                <w:lang w:val="en-US" w:eastAsia="zh-CN"/>
              </w:rPr>
              <w:t>3574.08</w:t>
            </w:r>
            <w:r>
              <w:rPr>
                <w:rFonts w:hint="default" w:ascii="Times New Roman" w:hAnsi="Times New Roman" w:eastAsia="宋体" w:cs="Times New Roman"/>
                <w:color w:val="auto"/>
                <w:sz w:val="24"/>
                <w:szCs w:val="24"/>
                <w:lang w:val="en-US" w:eastAsia="zh-CN"/>
              </w:rPr>
              <w:t>t/a，则牛粪中含氮量为</w:t>
            </w:r>
            <w:r>
              <w:rPr>
                <w:rFonts w:hint="eastAsia" w:cs="Times New Roman"/>
                <w:color w:val="auto"/>
                <w:sz w:val="24"/>
                <w:szCs w:val="24"/>
                <w:lang w:val="en-US" w:eastAsia="zh-CN"/>
              </w:rPr>
              <w:t>22.6</w:t>
            </w:r>
            <w:r>
              <w:rPr>
                <w:rFonts w:hint="default" w:ascii="Times New Roman" w:hAnsi="Times New Roman" w:eastAsia="宋体" w:cs="Times New Roman"/>
                <w:color w:val="auto"/>
                <w:sz w:val="24"/>
                <w:szCs w:val="24"/>
                <w:lang w:val="en-US" w:eastAsia="zh-CN"/>
              </w:rPr>
              <w:t>t/a、牛尿中含氮量为</w:t>
            </w:r>
            <w:r>
              <w:rPr>
                <w:rFonts w:hint="eastAsia" w:cs="Times New Roman"/>
                <w:color w:val="auto"/>
                <w:sz w:val="24"/>
                <w:szCs w:val="24"/>
                <w:lang w:val="en-US" w:eastAsia="zh-CN"/>
              </w:rPr>
              <w:t>12.75</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B</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牛粪中含硫量计算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根据《牛粪混合煤渣压缩成型蜂窝煤特性研究》(中国农业科技导报2008年)可知，牛粪中含硫量为0.28%，牛粪中总固体量约为20%，则项目牛粪中的含硫量约为</w:t>
            </w:r>
            <w:r>
              <w:rPr>
                <w:rFonts w:hint="eastAsia"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恶臭污染物排放量计算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结合上述分析，肉牛养殖过程排放的总氮量为</w:t>
            </w:r>
            <w:r>
              <w:rPr>
                <w:rFonts w:hint="eastAsia" w:cs="Times New Roman"/>
                <w:color w:val="auto"/>
                <w:sz w:val="24"/>
                <w:szCs w:val="24"/>
                <w:lang w:val="en-US" w:eastAsia="zh-CN"/>
              </w:rPr>
              <w:t>35.35</w:t>
            </w:r>
            <w:r>
              <w:rPr>
                <w:rFonts w:hint="default" w:ascii="Times New Roman" w:hAnsi="Times New Roman" w:eastAsia="宋体" w:cs="Times New Roman"/>
                <w:color w:val="auto"/>
                <w:sz w:val="24"/>
                <w:szCs w:val="24"/>
                <w:lang w:val="en-US" w:eastAsia="zh-CN"/>
              </w:rPr>
              <w:t>t/a、总硫量为</w:t>
            </w:r>
            <w:r>
              <w:rPr>
                <w:rFonts w:hint="eastAsia"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t/a。现有养殖牛棚采用干清粪工艺，每天及时进行清粪，牛粪、尿液在养殖牛棚时尚未开始发酵，根据查阅相关参考资料，在饲料配方合理，栏舍管理得当的前提下，总氮、总硫转化成氨、硫化氢的总量不超过其总量的5%，本次按最不利情况考虑，即转化率以5%计算，则</w:t>
            </w:r>
            <w:r>
              <w:rPr>
                <w:rFonts w:hint="eastAsia" w:cs="Times New Roman"/>
                <w:color w:val="auto"/>
                <w:sz w:val="24"/>
                <w:szCs w:val="24"/>
                <w:lang w:val="en-US" w:eastAsia="zh-CN"/>
              </w:rPr>
              <w:t>牛舍</w:t>
            </w:r>
            <w:r>
              <w:rPr>
                <w:rFonts w:hint="default" w:ascii="Times New Roman" w:hAnsi="Times New Roman" w:eastAsia="宋体" w:cs="Times New Roman"/>
                <w:color w:val="auto"/>
                <w:sz w:val="24"/>
                <w:szCs w:val="24"/>
                <w:lang w:val="en-US" w:eastAsia="zh-CN"/>
              </w:rPr>
              <w:t>恶臭污染物NH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S产生量分别为</w:t>
            </w:r>
            <w:r>
              <w:rPr>
                <w:rFonts w:hint="eastAsia" w:cs="Times New Roman"/>
                <w:color w:val="auto"/>
                <w:sz w:val="24"/>
                <w:szCs w:val="24"/>
                <w:lang w:val="en-US" w:eastAsia="zh-CN"/>
              </w:rPr>
              <w:t>1.77</w:t>
            </w:r>
            <w:r>
              <w:rPr>
                <w:rFonts w:hint="default" w:ascii="Times New Roman" w:hAnsi="Times New Roman" w:eastAsia="宋体" w:cs="Times New Roman"/>
                <w:color w:val="auto"/>
                <w:sz w:val="24"/>
                <w:szCs w:val="24"/>
                <w:lang w:val="en-US" w:eastAsia="zh-CN"/>
              </w:rPr>
              <w:t>t/a、</w:t>
            </w:r>
            <w:r>
              <w:rPr>
                <w:rFonts w:hint="eastAsia" w:cs="Times New Roman"/>
                <w:color w:val="auto"/>
                <w:sz w:val="24"/>
                <w:szCs w:val="24"/>
                <w:lang w:val="en-US" w:eastAsia="zh-CN"/>
              </w:rPr>
              <w:t>0.1</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根据现场踏勘，现有肉牛养殖过程采取干清粪方式及时清理牛粪，并定期喷洒生物除臭剂对养殖牛棚恶臭气体进行处理，根据《利用微生物对畜禽粪便除臭的研究进展》(刘冰 刘丽丽 天津师范大学生命科学学院，天津300387)，并结合广东省微生物研究所罗永华等的研究，生物除臭剂(由氨氧化细菌、硫氧化细菌等多种微生物复合发酵制成的生物除臭剂EM生物菌)对恶臭污染物的去除率均可达到70%以上，本次评价取70%，采取上述措施后，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vertAlign w:val="baseline"/>
                <w:lang w:val="en-US" w:eastAsia="zh-CN"/>
              </w:rPr>
              <w:t>的</w:t>
            </w:r>
            <w:r>
              <w:rPr>
                <w:rFonts w:hint="default" w:ascii="Times New Roman" w:hAnsi="Times New Roman" w:eastAsia="宋体" w:cs="Times New Roman"/>
                <w:color w:val="auto"/>
                <w:sz w:val="24"/>
                <w:szCs w:val="24"/>
                <w:lang w:val="en-US" w:eastAsia="zh-CN"/>
              </w:rPr>
              <w:t>排放量为</w:t>
            </w:r>
            <w:r>
              <w:rPr>
                <w:rFonts w:hint="eastAsia" w:cs="Times New Roman"/>
                <w:color w:val="auto"/>
                <w:sz w:val="24"/>
                <w:szCs w:val="24"/>
                <w:lang w:val="en-US" w:eastAsia="zh-CN"/>
              </w:rPr>
              <w:t>0.531</w:t>
            </w:r>
            <w:r>
              <w:rPr>
                <w:rFonts w:hint="default" w:ascii="Times New Roman" w:hAnsi="Times New Roman" w:eastAsia="宋体" w:cs="Times New Roman"/>
                <w:color w:val="auto"/>
                <w:sz w:val="24"/>
                <w:szCs w:val="24"/>
                <w:lang w:val="en-US" w:eastAsia="zh-CN"/>
              </w:rPr>
              <w:t>t/a，H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S的排放量为</w:t>
            </w:r>
            <w:r>
              <w:rPr>
                <w:rFonts w:hint="eastAsia" w:cs="Times New Roman"/>
                <w:color w:val="auto"/>
                <w:sz w:val="24"/>
                <w:szCs w:val="24"/>
                <w:lang w:val="en-US" w:eastAsia="zh-CN"/>
              </w:rPr>
              <w:t>0.03</w:t>
            </w:r>
            <w:r>
              <w:rPr>
                <w:rFonts w:hint="default" w:ascii="Times New Roman" w:hAnsi="Times New Roman" w:eastAsia="宋体" w:cs="Times New Roman"/>
                <w:color w:val="auto"/>
                <w:sz w:val="24"/>
                <w:szCs w:val="24"/>
                <w:lang w:val="en-US" w:eastAsia="zh-CN"/>
              </w:rPr>
              <w:t>t/a，以无组织形式排放。</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（2）</w:t>
            </w:r>
            <w:r>
              <w:rPr>
                <w:rFonts w:hint="eastAsia" w:cs="Times New Roman"/>
                <w:b w:val="0"/>
                <w:bCs w:val="0"/>
                <w:snapToGrid w:val="0"/>
                <w:color w:val="auto"/>
                <w:kern w:val="0"/>
                <w:sz w:val="24"/>
                <w:szCs w:val="32"/>
                <w:lang w:val="en-US" w:eastAsia="zh-CN"/>
              </w:rPr>
              <w:t>堆粪棚废气（发酵废气）</w:t>
            </w:r>
          </w:p>
          <w:p>
            <w:pPr>
              <w:autoSpaceDE w:val="0"/>
              <w:autoSpaceDN w:val="0"/>
              <w:adjustRightInd w:val="0"/>
              <w:snapToGrid w:val="0"/>
              <w:spacing w:line="360" w:lineRule="auto"/>
              <w:ind w:firstLine="480" w:firstLineChars="200"/>
              <w:jc w:val="both"/>
              <w:rPr>
                <w:rFonts w:hint="eastAsia" w:cs="Times New Roman"/>
                <w:b w:val="0"/>
                <w:bCs w:val="0"/>
                <w:snapToGrid w:val="0"/>
                <w:color w:val="auto"/>
                <w:kern w:val="0"/>
                <w:sz w:val="24"/>
                <w:szCs w:val="32"/>
                <w:lang w:val="en-US" w:eastAsia="zh-CN"/>
              </w:rPr>
            </w:pPr>
            <w:r>
              <w:rPr>
                <w:rFonts w:hint="eastAsia" w:cs="Times New Roman"/>
                <w:b w:val="0"/>
                <w:bCs w:val="0"/>
                <w:snapToGrid w:val="0"/>
                <w:color w:val="auto"/>
                <w:kern w:val="0"/>
                <w:sz w:val="24"/>
                <w:szCs w:val="32"/>
                <w:lang w:val="en-US" w:eastAsia="zh-CN"/>
              </w:rPr>
              <w:t>根据建设单位提供资料，现有工程牛粪采取干清粪方式清理至堆粪棚进行发酵，该过程会产生发酵废气，根据《排放源统计调查产排污核算方法和系数手册》-2625有机肥料及微生物肥料制造行业系数手册，发酵废气中颗粒物产污系数以0.370千克/吨-产品计。现有有机肥生产产能为5000t，经计算，发酵废气中颗粒物产生量为1.85t/a，经密闭车间降尘处理后，以无组织形式排放，排放量为0.925t/a。</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eastAsia" w:cs="Times New Roman"/>
                <w:b w:val="0"/>
                <w:bCs w:val="0"/>
                <w:snapToGrid w:val="0"/>
                <w:color w:val="auto"/>
                <w:kern w:val="0"/>
                <w:sz w:val="24"/>
                <w:szCs w:val="32"/>
                <w:lang w:val="en-US" w:eastAsia="zh-CN"/>
              </w:rPr>
              <w:t>现有工程罐式发酵主要是通过高温好氧发酵技术，时间为8760h，根据《畜禽养殖污染防治技术与政策》(王凯军主编，化学工业出版社)中对于畜禽粪便采用好氧堆肥工艺的研究，发酵过程每处理1000t畜禽粪便产生的NH</w:t>
            </w:r>
            <w:r>
              <w:rPr>
                <w:rFonts w:hint="eastAsia" w:cs="Times New Roman"/>
                <w:b w:val="0"/>
                <w:bCs w:val="0"/>
                <w:snapToGrid w:val="0"/>
                <w:color w:val="auto"/>
                <w:kern w:val="0"/>
                <w:sz w:val="24"/>
                <w:szCs w:val="32"/>
                <w:vertAlign w:val="subscript"/>
                <w:lang w:val="en-US" w:eastAsia="zh-CN"/>
              </w:rPr>
              <w:t>3</w:t>
            </w:r>
            <w:r>
              <w:rPr>
                <w:rFonts w:hint="eastAsia" w:cs="Times New Roman"/>
                <w:b w:val="0"/>
                <w:bCs w:val="0"/>
                <w:snapToGrid w:val="0"/>
                <w:color w:val="auto"/>
                <w:kern w:val="0"/>
                <w:sz w:val="24"/>
                <w:szCs w:val="32"/>
                <w:lang w:val="en-US" w:eastAsia="zh-CN"/>
              </w:rPr>
              <w:t>按1.5kg计，产生的H</w:t>
            </w:r>
            <w:r>
              <w:rPr>
                <w:rFonts w:hint="eastAsia" w:cs="Times New Roman"/>
                <w:b w:val="0"/>
                <w:bCs w:val="0"/>
                <w:snapToGrid w:val="0"/>
                <w:color w:val="auto"/>
                <w:kern w:val="0"/>
                <w:sz w:val="24"/>
                <w:szCs w:val="32"/>
                <w:vertAlign w:val="subscript"/>
                <w:lang w:val="en-US" w:eastAsia="zh-CN"/>
              </w:rPr>
              <w:t>2</w:t>
            </w:r>
            <w:r>
              <w:rPr>
                <w:rFonts w:hint="eastAsia" w:cs="Times New Roman"/>
                <w:b w:val="0"/>
                <w:bCs w:val="0"/>
                <w:snapToGrid w:val="0"/>
                <w:color w:val="auto"/>
                <w:kern w:val="0"/>
                <w:sz w:val="24"/>
                <w:szCs w:val="32"/>
                <w:lang w:val="en-US" w:eastAsia="zh-CN"/>
              </w:rPr>
              <w:t>S按0.058kg计，根据建设单位提供资料，现有工程共处理粪便量为11000t/a，则发酵废气中NH</w:t>
            </w:r>
            <w:r>
              <w:rPr>
                <w:rFonts w:hint="eastAsia" w:cs="Times New Roman"/>
                <w:b w:val="0"/>
                <w:bCs w:val="0"/>
                <w:snapToGrid w:val="0"/>
                <w:color w:val="auto"/>
                <w:kern w:val="0"/>
                <w:sz w:val="24"/>
                <w:szCs w:val="32"/>
                <w:vertAlign w:val="subscript"/>
                <w:lang w:val="en-US" w:eastAsia="zh-CN"/>
              </w:rPr>
              <w:t>3</w:t>
            </w:r>
            <w:r>
              <w:rPr>
                <w:rFonts w:hint="eastAsia" w:cs="Times New Roman"/>
                <w:b w:val="0"/>
                <w:bCs w:val="0"/>
                <w:snapToGrid w:val="0"/>
                <w:color w:val="auto"/>
                <w:kern w:val="0"/>
                <w:sz w:val="24"/>
                <w:szCs w:val="32"/>
                <w:lang w:val="en-US" w:eastAsia="zh-CN"/>
              </w:rPr>
              <w:t>的产生量为0.0165t/a、H</w:t>
            </w:r>
            <w:r>
              <w:rPr>
                <w:rFonts w:hint="eastAsia" w:cs="Times New Roman"/>
                <w:b w:val="0"/>
                <w:bCs w:val="0"/>
                <w:snapToGrid w:val="0"/>
                <w:color w:val="auto"/>
                <w:kern w:val="0"/>
                <w:sz w:val="24"/>
                <w:szCs w:val="32"/>
                <w:vertAlign w:val="subscript"/>
                <w:lang w:val="en-US" w:eastAsia="zh-CN"/>
              </w:rPr>
              <w:t>2</w:t>
            </w:r>
            <w:r>
              <w:rPr>
                <w:rFonts w:hint="eastAsia" w:cs="Times New Roman"/>
                <w:b w:val="0"/>
                <w:bCs w:val="0"/>
                <w:snapToGrid w:val="0"/>
                <w:color w:val="auto"/>
                <w:kern w:val="0"/>
                <w:sz w:val="24"/>
                <w:szCs w:val="32"/>
                <w:lang w:val="en-US" w:eastAsia="zh-CN"/>
              </w:rPr>
              <w:t>S的产生量为0.0006t/a，以无组织形式排放，即污染物NH</w:t>
            </w:r>
            <w:r>
              <w:rPr>
                <w:rFonts w:hint="eastAsia" w:cs="Times New Roman"/>
                <w:b w:val="0"/>
                <w:bCs w:val="0"/>
                <w:snapToGrid w:val="0"/>
                <w:color w:val="auto"/>
                <w:kern w:val="0"/>
                <w:sz w:val="24"/>
                <w:szCs w:val="32"/>
                <w:vertAlign w:val="subscript"/>
                <w:lang w:val="en-US" w:eastAsia="zh-CN"/>
              </w:rPr>
              <w:t>3</w:t>
            </w:r>
            <w:r>
              <w:rPr>
                <w:rFonts w:hint="eastAsia" w:cs="Times New Roman"/>
                <w:b w:val="0"/>
                <w:bCs w:val="0"/>
                <w:snapToGrid w:val="0"/>
                <w:color w:val="auto"/>
                <w:kern w:val="0"/>
                <w:sz w:val="24"/>
                <w:szCs w:val="32"/>
                <w:lang w:val="en-US" w:eastAsia="zh-CN"/>
              </w:rPr>
              <w:t>的排放量为0.0165t/a；H</w:t>
            </w:r>
            <w:r>
              <w:rPr>
                <w:rFonts w:hint="eastAsia" w:cs="Times New Roman"/>
                <w:b w:val="0"/>
                <w:bCs w:val="0"/>
                <w:snapToGrid w:val="0"/>
                <w:color w:val="auto"/>
                <w:kern w:val="0"/>
                <w:sz w:val="24"/>
                <w:szCs w:val="32"/>
                <w:vertAlign w:val="subscript"/>
                <w:lang w:val="en-US" w:eastAsia="zh-CN"/>
              </w:rPr>
              <w:t>2</w:t>
            </w:r>
            <w:r>
              <w:rPr>
                <w:rFonts w:hint="eastAsia" w:cs="Times New Roman"/>
                <w:b w:val="0"/>
                <w:bCs w:val="0"/>
                <w:snapToGrid w:val="0"/>
                <w:color w:val="auto"/>
                <w:kern w:val="0"/>
                <w:sz w:val="24"/>
                <w:szCs w:val="32"/>
                <w:lang w:val="en-US" w:eastAsia="zh-CN"/>
              </w:rPr>
              <w:t>S的排放量为0.0006t/a。</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w:t>
            </w:r>
            <w:r>
              <w:rPr>
                <w:rFonts w:hint="eastAsia" w:cs="Times New Roman"/>
                <w:b w:val="0"/>
                <w:bCs w:val="0"/>
                <w:snapToGrid w:val="0"/>
                <w:color w:val="auto"/>
                <w:kern w:val="0"/>
                <w:sz w:val="24"/>
                <w:szCs w:val="32"/>
                <w:lang w:val="en-US" w:eastAsia="zh-CN"/>
              </w:rPr>
              <w:t>3</w:t>
            </w:r>
            <w:r>
              <w:rPr>
                <w:rFonts w:hint="default" w:ascii="Times New Roman" w:hAnsi="Times New Roman" w:cs="Times New Roman"/>
                <w:b w:val="0"/>
                <w:bCs w:val="0"/>
                <w:snapToGrid w:val="0"/>
                <w:color w:val="auto"/>
                <w:kern w:val="0"/>
                <w:sz w:val="24"/>
                <w:szCs w:val="32"/>
                <w:lang w:val="en-US" w:eastAsia="zh-CN"/>
              </w:rPr>
              <w:t>）有机肥生产车间</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eastAsia" w:cs="Times New Roman"/>
                <w:b w:val="0"/>
                <w:bCs w:val="0"/>
                <w:snapToGrid w:val="0"/>
                <w:color w:val="auto"/>
                <w:kern w:val="0"/>
                <w:sz w:val="24"/>
                <w:szCs w:val="32"/>
                <w:lang w:val="en-US" w:eastAsia="zh-CN"/>
              </w:rPr>
              <w:t>现有工程有机肥生产工艺过程主要包括粉碎、筛分、造粒、冷却、二次筛分，均属于有机肥生产前处理、后处理过程，均在有机肥生产车间内完成，且各工序生产过程中均会产生粉尘，根据《排放源统计调查产排污核算方法和系数手册》-2625有机肥料及微生物肥料制造行业系数手册，颗粒物产污系数以0.370千克/吨-产品计。现有工程有机肥产能为5000t，经计算，颗粒物产生量为1.85t/a，经密闭厂房降尘处理后，以无组织形式排放，项目无组织排放量为1.85t/a。</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废水</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根据现场调查，现有工程废水主要</w:t>
            </w:r>
            <w:r>
              <w:rPr>
                <w:rFonts w:hint="default" w:ascii="Times New Roman" w:hAnsi="Times New Roman" w:cs="Times New Roman"/>
                <w:b w:val="0"/>
                <w:bCs w:val="0"/>
                <w:snapToGrid w:val="0"/>
                <w:color w:val="auto"/>
                <w:kern w:val="0"/>
                <w:sz w:val="24"/>
                <w:szCs w:val="32"/>
                <w:lang w:val="en-US" w:eastAsia="zh-CN"/>
              </w:rPr>
              <w:t>为</w:t>
            </w:r>
            <w:r>
              <w:rPr>
                <w:rFonts w:hint="default" w:ascii="Times New Roman" w:hAnsi="Times New Roman" w:eastAsia="宋体" w:cs="Times New Roman"/>
                <w:b w:val="0"/>
                <w:bCs w:val="0"/>
                <w:snapToGrid w:val="0"/>
                <w:color w:val="auto"/>
                <w:kern w:val="0"/>
                <w:sz w:val="24"/>
                <w:szCs w:val="32"/>
                <w:lang w:val="en-US" w:eastAsia="zh-CN"/>
              </w:rPr>
              <w:t>员工生活污水，现有职工</w:t>
            </w:r>
            <w:r>
              <w:rPr>
                <w:rFonts w:hint="eastAsia" w:cs="Times New Roman"/>
                <w:b w:val="0"/>
                <w:bCs w:val="0"/>
                <w:snapToGrid w:val="0"/>
                <w:color w:val="auto"/>
                <w:kern w:val="0"/>
                <w:sz w:val="24"/>
                <w:szCs w:val="32"/>
                <w:lang w:val="en-US" w:eastAsia="zh-CN"/>
              </w:rPr>
              <w:t>30</w:t>
            </w:r>
            <w:r>
              <w:rPr>
                <w:rFonts w:hint="default" w:ascii="Times New Roman" w:hAnsi="Times New Roman" w:eastAsia="宋体" w:cs="Times New Roman"/>
                <w:b w:val="0"/>
                <w:bCs w:val="0"/>
                <w:snapToGrid w:val="0"/>
                <w:color w:val="auto"/>
                <w:kern w:val="0"/>
                <w:sz w:val="24"/>
                <w:szCs w:val="32"/>
                <w:lang w:val="en-US" w:eastAsia="zh-CN"/>
              </w:rPr>
              <w:t>人，生活污水产生量约</w:t>
            </w:r>
            <w:r>
              <w:rPr>
                <w:rFonts w:hint="eastAsia" w:cs="Times New Roman"/>
                <w:b w:val="0"/>
                <w:bCs w:val="0"/>
                <w:snapToGrid w:val="0"/>
                <w:color w:val="auto"/>
                <w:kern w:val="0"/>
                <w:sz w:val="24"/>
                <w:szCs w:val="32"/>
                <w:lang w:val="en-US" w:eastAsia="zh-CN"/>
              </w:rPr>
              <w:t>594</w:t>
            </w:r>
            <w:r>
              <w:rPr>
                <w:rFonts w:hint="default" w:ascii="Times New Roman" w:hAnsi="Times New Roman" w:eastAsia="宋体" w:cs="Times New Roman"/>
                <w:b w:val="0"/>
                <w:bCs w:val="0"/>
                <w:snapToGrid w:val="0"/>
                <w:color w:val="auto"/>
                <w:kern w:val="0"/>
                <w:sz w:val="24"/>
                <w:szCs w:val="32"/>
                <w:lang w:val="en-US" w:eastAsia="zh-CN"/>
              </w:rPr>
              <w:t>m³/a，</w:t>
            </w:r>
            <w:r>
              <w:rPr>
                <w:rFonts w:hint="default" w:ascii="Times New Roman" w:hAnsi="Times New Roman" w:cs="Times New Roman"/>
                <w:b w:val="0"/>
                <w:bCs w:val="0"/>
                <w:snapToGrid w:val="0"/>
                <w:color w:val="auto"/>
                <w:kern w:val="0"/>
                <w:sz w:val="24"/>
                <w:szCs w:val="32"/>
                <w:lang w:val="en-US" w:eastAsia="zh-CN"/>
              </w:rPr>
              <w:t>厂区设置防渗旱厕，粪污经清掏后用于生产有机肥，盥洗废水用于厂区洒水抑尘。</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3、</w:t>
            </w:r>
            <w:r>
              <w:rPr>
                <w:rFonts w:hint="default" w:ascii="Times New Roman" w:hAnsi="Times New Roman" w:eastAsia="宋体" w:cs="Times New Roman"/>
                <w:b w:val="0"/>
                <w:bCs w:val="0"/>
                <w:snapToGrid w:val="0"/>
                <w:color w:val="auto"/>
                <w:kern w:val="0"/>
                <w:sz w:val="24"/>
                <w:szCs w:val="32"/>
                <w:lang w:val="en-US" w:eastAsia="zh-CN"/>
              </w:rPr>
              <w:t>固体废物</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根据现场调查，现有工程固体废物</w:t>
            </w:r>
            <w:r>
              <w:rPr>
                <w:rFonts w:hint="default" w:ascii="Times New Roman" w:hAnsi="Times New Roman" w:cs="Times New Roman"/>
                <w:b w:val="0"/>
                <w:bCs w:val="0"/>
                <w:snapToGrid w:val="0"/>
                <w:color w:val="auto"/>
                <w:kern w:val="0"/>
                <w:sz w:val="24"/>
                <w:szCs w:val="32"/>
                <w:lang w:val="en-US" w:eastAsia="zh-CN"/>
              </w:rPr>
              <w:t>主要</w:t>
            </w:r>
            <w:r>
              <w:rPr>
                <w:rFonts w:hint="default" w:ascii="Times New Roman" w:hAnsi="Times New Roman" w:eastAsia="宋体" w:cs="Times New Roman"/>
                <w:b w:val="0"/>
                <w:bCs w:val="0"/>
                <w:snapToGrid w:val="0"/>
                <w:color w:val="auto"/>
                <w:kern w:val="0"/>
                <w:sz w:val="24"/>
                <w:szCs w:val="32"/>
                <w:lang w:val="en-US" w:eastAsia="zh-CN"/>
              </w:rPr>
              <w:t>为</w:t>
            </w:r>
            <w:r>
              <w:rPr>
                <w:rFonts w:hint="default" w:ascii="Times New Roman" w:hAnsi="Times New Roman" w:cs="Times New Roman"/>
                <w:b w:val="0"/>
                <w:bCs w:val="0"/>
                <w:snapToGrid w:val="0"/>
                <w:color w:val="auto"/>
                <w:kern w:val="0"/>
                <w:sz w:val="24"/>
                <w:szCs w:val="32"/>
                <w:lang w:val="en-US" w:eastAsia="zh-CN"/>
              </w:rPr>
              <w:t>牛粪及</w:t>
            </w:r>
            <w:r>
              <w:rPr>
                <w:rFonts w:hint="default" w:ascii="Times New Roman" w:hAnsi="Times New Roman" w:eastAsia="宋体" w:cs="Times New Roman"/>
                <w:b w:val="0"/>
                <w:bCs w:val="0"/>
                <w:snapToGrid w:val="0"/>
                <w:color w:val="auto"/>
                <w:kern w:val="0"/>
                <w:sz w:val="24"/>
                <w:szCs w:val="32"/>
                <w:lang w:val="en-US" w:eastAsia="zh-CN"/>
              </w:rPr>
              <w:t>生活垃圾</w:t>
            </w:r>
            <w:r>
              <w:rPr>
                <w:rFonts w:hint="default" w:ascii="Times New Roman" w:hAnsi="Times New Roman" w:cs="Times New Roman"/>
                <w:b w:val="0"/>
                <w:bCs w:val="0"/>
                <w:snapToGrid w:val="0"/>
                <w:color w:val="auto"/>
                <w:kern w:val="0"/>
                <w:sz w:val="24"/>
                <w:szCs w:val="32"/>
                <w:lang w:val="en-US" w:eastAsia="zh-CN"/>
              </w:rPr>
              <w:t>，</w:t>
            </w:r>
            <w:r>
              <w:rPr>
                <w:rFonts w:hint="default" w:ascii="Times New Roman" w:hAnsi="Times New Roman" w:eastAsia="宋体" w:cs="Times New Roman"/>
                <w:b w:val="0"/>
                <w:bCs w:val="0"/>
                <w:snapToGrid w:val="0"/>
                <w:color w:val="auto"/>
                <w:kern w:val="0"/>
                <w:sz w:val="24"/>
                <w:szCs w:val="32"/>
                <w:lang w:val="en-US" w:eastAsia="zh-CN"/>
              </w:rPr>
              <w:t>其中</w:t>
            </w:r>
            <w:r>
              <w:rPr>
                <w:rFonts w:hint="default" w:ascii="Times New Roman" w:hAnsi="Times New Roman" w:cs="Times New Roman"/>
                <w:b w:val="0"/>
                <w:bCs w:val="0"/>
                <w:snapToGrid w:val="0"/>
                <w:color w:val="auto"/>
                <w:kern w:val="0"/>
                <w:sz w:val="24"/>
                <w:szCs w:val="32"/>
                <w:lang w:val="en-US" w:eastAsia="zh-CN"/>
              </w:rPr>
              <w:t>牛粪</w:t>
            </w:r>
            <w:r>
              <w:rPr>
                <w:rFonts w:hint="default" w:ascii="Times New Roman" w:hAnsi="Times New Roman" w:eastAsia="宋体" w:cs="Times New Roman"/>
                <w:b w:val="0"/>
                <w:bCs w:val="0"/>
                <w:snapToGrid w:val="0"/>
                <w:color w:val="auto"/>
                <w:kern w:val="0"/>
                <w:sz w:val="24"/>
                <w:szCs w:val="32"/>
                <w:lang w:val="en-US" w:eastAsia="zh-CN"/>
              </w:rPr>
              <w:t>产生量为</w:t>
            </w:r>
            <w:r>
              <w:rPr>
                <w:rFonts w:hint="default" w:ascii="Times New Roman" w:hAnsi="Times New Roman" w:cs="Times New Roman"/>
                <w:b w:val="0"/>
                <w:bCs w:val="0"/>
                <w:snapToGrid w:val="0"/>
                <w:color w:val="auto"/>
                <w:kern w:val="0"/>
                <w:sz w:val="24"/>
                <w:szCs w:val="32"/>
                <w:lang w:val="en-US" w:eastAsia="zh-CN"/>
              </w:rPr>
              <w:t>3574.08</w:t>
            </w:r>
            <w:r>
              <w:rPr>
                <w:rFonts w:hint="default" w:ascii="Times New Roman" w:hAnsi="Times New Roman" w:eastAsia="宋体" w:cs="Times New Roman"/>
                <w:b w:val="0"/>
                <w:bCs w:val="0"/>
                <w:snapToGrid w:val="0"/>
                <w:color w:val="auto"/>
                <w:kern w:val="0"/>
                <w:sz w:val="24"/>
                <w:szCs w:val="32"/>
                <w:lang w:val="en-US" w:eastAsia="zh-CN"/>
              </w:rPr>
              <w:t>t/a，经收集后</w:t>
            </w:r>
            <w:r>
              <w:rPr>
                <w:rFonts w:hint="default" w:ascii="Times New Roman" w:hAnsi="Times New Roman" w:cs="Times New Roman"/>
                <w:b w:val="0"/>
                <w:bCs w:val="0"/>
                <w:snapToGrid w:val="0"/>
                <w:color w:val="auto"/>
                <w:kern w:val="0"/>
                <w:sz w:val="24"/>
                <w:szCs w:val="32"/>
                <w:lang w:val="en-US" w:eastAsia="zh-CN"/>
              </w:rPr>
              <w:t>用于生产有机肥</w:t>
            </w:r>
            <w:r>
              <w:rPr>
                <w:rFonts w:hint="default" w:ascii="Times New Roman" w:hAnsi="Times New Roman" w:eastAsia="宋体" w:cs="Times New Roman"/>
                <w:b w:val="0"/>
                <w:bCs w:val="0"/>
                <w:snapToGrid w:val="0"/>
                <w:color w:val="auto"/>
                <w:kern w:val="0"/>
                <w:sz w:val="24"/>
                <w:szCs w:val="32"/>
                <w:lang w:val="en-US" w:eastAsia="zh-CN"/>
              </w:rPr>
              <w:t>；生活垃圾产生量为</w:t>
            </w:r>
            <w:r>
              <w:rPr>
                <w:rFonts w:hint="eastAsia" w:cs="Times New Roman"/>
                <w:b w:val="0"/>
                <w:bCs w:val="0"/>
                <w:snapToGrid w:val="0"/>
                <w:color w:val="auto"/>
                <w:kern w:val="0"/>
                <w:sz w:val="24"/>
                <w:szCs w:val="32"/>
                <w:lang w:val="en-US" w:eastAsia="zh-CN"/>
              </w:rPr>
              <w:t>4.95</w:t>
            </w:r>
            <w:r>
              <w:rPr>
                <w:rFonts w:hint="default" w:ascii="Times New Roman" w:hAnsi="Times New Roman" w:eastAsia="宋体" w:cs="Times New Roman"/>
                <w:b w:val="0"/>
                <w:bCs w:val="0"/>
                <w:snapToGrid w:val="0"/>
                <w:color w:val="auto"/>
                <w:kern w:val="0"/>
                <w:sz w:val="24"/>
                <w:szCs w:val="32"/>
                <w:lang w:val="en-US" w:eastAsia="zh-CN"/>
              </w:rPr>
              <w:t>t/a，经厂内垃圾桶收集后，交由</w:t>
            </w:r>
            <w:r>
              <w:rPr>
                <w:rFonts w:hint="default" w:ascii="Times New Roman" w:hAnsi="Times New Roman" w:cs="Times New Roman"/>
                <w:b w:val="0"/>
                <w:bCs w:val="0"/>
                <w:snapToGrid w:val="0"/>
                <w:color w:val="auto"/>
                <w:kern w:val="0"/>
                <w:sz w:val="24"/>
                <w:szCs w:val="32"/>
                <w:lang w:val="en-US" w:eastAsia="zh-CN"/>
              </w:rPr>
              <w:t>环卫部门处理</w:t>
            </w:r>
            <w:r>
              <w:rPr>
                <w:rFonts w:hint="default" w:ascii="Times New Roman" w:hAnsi="Times New Roman" w:eastAsia="宋体" w:cs="Times New Roman"/>
                <w:b w:val="0"/>
                <w:bCs w:val="0"/>
                <w:snapToGrid w:val="0"/>
                <w:color w:val="auto"/>
                <w:kern w:val="0"/>
                <w:sz w:val="24"/>
                <w:szCs w:val="32"/>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现有工程固体废物产生及处置情况见表2-1</w:t>
            </w:r>
            <w:r>
              <w:rPr>
                <w:rFonts w:hint="default" w:ascii="Times New Roman" w:hAnsi="Times New Roman" w:cs="Times New Roman"/>
                <w:b w:val="0"/>
                <w:bCs w:val="0"/>
                <w:snapToGrid w:val="0"/>
                <w:color w:val="auto"/>
                <w:kern w:val="0"/>
                <w:sz w:val="24"/>
                <w:szCs w:val="32"/>
                <w:lang w:val="en-US" w:eastAsia="zh-CN"/>
              </w:rPr>
              <w:t>1</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表2-11  现有工程固体废物产生量及处置情况一览表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189"/>
              <w:gridCol w:w="1118"/>
              <w:gridCol w:w="1557"/>
              <w:gridCol w:w="2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固体废物污染源</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产生量t/a</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物理性状</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利用或处置去向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4.95</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固态</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经收集后交由环卫部门处理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牛粪</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3574.08</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固态</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一般工业固体废物</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经收集用于生产有机肥</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4</w:t>
            </w:r>
            <w:r>
              <w:rPr>
                <w:rFonts w:hint="default" w:ascii="Times New Roman" w:hAnsi="Times New Roman" w:eastAsia="宋体" w:cs="Times New Roman"/>
                <w:b w:val="0"/>
                <w:bCs w:val="0"/>
                <w:snapToGrid w:val="0"/>
                <w:color w:val="auto"/>
                <w:kern w:val="0"/>
                <w:sz w:val="24"/>
                <w:szCs w:val="32"/>
                <w:lang w:val="en-US" w:eastAsia="zh-CN"/>
              </w:rPr>
              <w:t>、</w:t>
            </w:r>
            <w:r>
              <w:rPr>
                <w:rFonts w:hint="default" w:ascii="Times New Roman" w:hAnsi="Times New Roman" w:cs="Times New Roman"/>
                <w:b w:val="0"/>
                <w:bCs w:val="0"/>
                <w:snapToGrid w:val="0"/>
                <w:color w:val="auto"/>
                <w:kern w:val="0"/>
                <w:sz w:val="24"/>
                <w:szCs w:val="32"/>
                <w:lang w:val="en-US" w:eastAsia="zh-CN"/>
              </w:rPr>
              <w:t>现有</w:t>
            </w:r>
            <w:r>
              <w:rPr>
                <w:rFonts w:hint="default" w:ascii="Times New Roman" w:hAnsi="Times New Roman" w:eastAsia="宋体" w:cs="Times New Roman"/>
                <w:b w:val="0"/>
                <w:bCs w:val="0"/>
                <w:snapToGrid w:val="0"/>
                <w:color w:val="auto"/>
                <w:kern w:val="0"/>
                <w:sz w:val="24"/>
                <w:szCs w:val="32"/>
                <w:lang w:val="en-US" w:eastAsia="zh-CN"/>
              </w:rPr>
              <w:t>工程污染物实际排放总量</w:t>
            </w:r>
            <w:r>
              <w:rPr>
                <w:rFonts w:hint="default" w:ascii="Times New Roman" w:hAnsi="Times New Roman" w:cs="Times New Roman"/>
                <w:b w:val="0"/>
                <w:bCs w:val="0"/>
                <w:snapToGrid w:val="0"/>
                <w:color w:val="auto"/>
                <w:kern w:val="0"/>
                <w:sz w:val="24"/>
                <w:szCs w:val="32"/>
                <w:lang w:val="en-US" w:eastAsia="zh-CN"/>
              </w:rPr>
              <w:t>汇总</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现有工程各污染物排放量汇总见表2-1</w:t>
            </w:r>
            <w:r>
              <w:rPr>
                <w:rFonts w:hint="default" w:ascii="Times New Roman" w:hAnsi="Times New Roman"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表2-12  现有工程污染物排放量汇总一览表  单位：t/a</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183"/>
              <w:gridCol w:w="3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污染物</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废气（无组织）</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颗粒物</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2.775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氨</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0.5475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硫化氢</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0.0306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废水</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生活污水</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594</w:t>
                  </w:r>
                  <w:r>
                    <w:rPr>
                      <w:rFonts w:hint="default" w:ascii="Times New Roman" w:hAnsi="Times New Roman" w:cs="Times New Roman"/>
                      <w:color w:val="auto"/>
                      <w:kern w:val="0"/>
                      <w:sz w:val="21"/>
                      <w:szCs w:val="21"/>
                      <w:lang w:val="en-US" w:eastAsia="zh-CN" w:bidi="ar-SA"/>
                    </w:rPr>
                    <w:t>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固体废物</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牛粪</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3574.08</w:t>
                  </w:r>
                </w:p>
              </w:tc>
            </w:tr>
          </w:tbl>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三、现有工程主要存在的环境问题及整改措施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eastAsia" w:ascii="Times New Roman" w:hAnsi="Times New Roman" w:eastAsia="宋体" w:cs="Times New Roman"/>
                <w:b w:val="0"/>
                <w:bCs w:val="0"/>
                <w:snapToGrid w:val="0"/>
                <w:color w:val="auto"/>
                <w:kern w:val="0"/>
                <w:sz w:val="24"/>
                <w:szCs w:val="32"/>
                <w:lang w:val="en-US" w:eastAsia="zh-CN"/>
              </w:rPr>
              <w:t>根据现场</w:t>
            </w:r>
            <w:r>
              <w:rPr>
                <w:rFonts w:hint="eastAsia" w:cs="Times New Roman"/>
                <w:b w:val="0"/>
                <w:bCs w:val="0"/>
                <w:snapToGrid w:val="0"/>
                <w:color w:val="auto"/>
                <w:kern w:val="0"/>
                <w:sz w:val="24"/>
                <w:szCs w:val="32"/>
                <w:lang w:val="en-US" w:eastAsia="zh-CN"/>
              </w:rPr>
              <w:t>踏勘</w:t>
            </w:r>
            <w:r>
              <w:rPr>
                <w:rFonts w:hint="eastAsia" w:ascii="Times New Roman" w:hAnsi="Times New Roman" w:eastAsia="宋体" w:cs="Times New Roman"/>
                <w:b w:val="0"/>
                <w:bCs w:val="0"/>
                <w:snapToGrid w:val="0"/>
                <w:color w:val="auto"/>
                <w:kern w:val="0"/>
                <w:sz w:val="24"/>
                <w:szCs w:val="32"/>
                <w:lang w:val="en-US" w:eastAsia="zh-CN"/>
              </w:rPr>
              <w:t>，养殖区未发现</w:t>
            </w:r>
            <w:r>
              <w:rPr>
                <w:rFonts w:hint="eastAsia" w:cs="Times New Roman"/>
                <w:b w:val="0"/>
                <w:bCs w:val="0"/>
                <w:snapToGrid w:val="0"/>
                <w:color w:val="auto"/>
                <w:kern w:val="0"/>
                <w:sz w:val="24"/>
                <w:szCs w:val="32"/>
                <w:lang w:val="en-US" w:eastAsia="zh-CN"/>
              </w:rPr>
              <w:t>主要</w:t>
            </w:r>
            <w:r>
              <w:rPr>
                <w:rFonts w:hint="eastAsia" w:ascii="Times New Roman" w:hAnsi="Times New Roman" w:eastAsia="宋体" w:cs="Times New Roman"/>
                <w:b w:val="0"/>
                <w:bCs w:val="0"/>
                <w:snapToGrid w:val="0"/>
                <w:color w:val="auto"/>
                <w:kern w:val="0"/>
                <w:sz w:val="24"/>
                <w:szCs w:val="32"/>
                <w:lang w:val="en-US" w:eastAsia="zh-CN"/>
              </w:rPr>
              <w:t>的环境问题。依据《排污许可证申请与核发技术规范 磷肥、钾肥、复混肥料、有机肥料及微生物肥料工业》（HJ864.2-2018），在有机肥生产过程中产生的废气需经过处理，并按照规定进行有组织排放，同时</w:t>
            </w:r>
            <w:r>
              <w:rPr>
                <w:rFonts w:hint="eastAsia" w:cs="Times New Roman"/>
                <w:b w:val="0"/>
                <w:bCs w:val="0"/>
                <w:snapToGrid w:val="0"/>
                <w:color w:val="auto"/>
                <w:kern w:val="0"/>
                <w:sz w:val="24"/>
                <w:szCs w:val="32"/>
                <w:lang w:val="en-US" w:eastAsia="zh-CN"/>
              </w:rPr>
              <w:t>根据《固定污染源排污许可分类管理名录（2019年）》相关要求，重新</w:t>
            </w:r>
            <w:r>
              <w:rPr>
                <w:rFonts w:hint="eastAsia" w:ascii="Times New Roman" w:hAnsi="Times New Roman" w:eastAsia="宋体" w:cs="Times New Roman"/>
                <w:b w:val="0"/>
                <w:bCs w:val="0"/>
                <w:snapToGrid w:val="0"/>
                <w:color w:val="auto"/>
                <w:kern w:val="0"/>
                <w:sz w:val="24"/>
                <w:szCs w:val="32"/>
                <w:lang w:val="en-US" w:eastAsia="zh-CN"/>
              </w:rPr>
              <w:t>申领相应的排污许可证。</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现有工程存在的主要环境保护问题及整改措施见表2-15。</w:t>
            </w:r>
          </w:p>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表2-15  现有工程存在的环境保护问题及整改措施一览表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165"/>
              <w:gridCol w:w="4707"/>
              <w:gridCol w:w="11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6" w:type="dxa"/>
                  <w:gridSpan w:val="2"/>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存在的环境保护问题</w:t>
                  </w:r>
                </w:p>
              </w:tc>
              <w:tc>
                <w:tcPr>
                  <w:tcW w:w="4707"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整改措施</w:t>
                  </w:r>
                </w:p>
              </w:tc>
              <w:tc>
                <w:tcPr>
                  <w:tcW w:w="112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整改时限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91" w:type="dxa"/>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有机肥生产</w:t>
                  </w:r>
                </w:p>
              </w:tc>
              <w:tc>
                <w:tcPr>
                  <w:tcW w:w="216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发酵废气</w:t>
                  </w:r>
                </w:p>
              </w:tc>
              <w:tc>
                <w:tcPr>
                  <w:tcW w:w="4707"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生物除臭装置（生物滴滤）处理后，通过1根15m高排气筒排放</w:t>
                  </w:r>
                </w:p>
              </w:tc>
              <w:tc>
                <w:tcPr>
                  <w:tcW w:w="1125" w:type="dxa"/>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与本项目同步实施并纳入本项目竣工环境保护验收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91"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216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生产过程产生的粉尘</w:t>
                  </w:r>
                </w:p>
              </w:tc>
              <w:tc>
                <w:tcPr>
                  <w:tcW w:w="4707"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采取布袋除尘处理后，通过1根15m高排气筒排放</w:t>
                  </w:r>
                </w:p>
              </w:tc>
              <w:tc>
                <w:tcPr>
                  <w:tcW w:w="1125"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91"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2165"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重新</w:t>
                  </w:r>
                  <w:r>
                    <w:rPr>
                      <w:rFonts w:hint="default" w:ascii="Times New Roman" w:hAnsi="Times New Roman" w:eastAsia="宋体" w:cs="Times New Roman"/>
                      <w:color w:val="auto"/>
                      <w:kern w:val="0"/>
                      <w:sz w:val="21"/>
                      <w:szCs w:val="21"/>
                      <w:lang w:val="en-US" w:eastAsia="zh-CN" w:bidi="ar-SA"/>
                    </w:rPr>
                    <w:t>领排污许可证</w:t>
                  </w:r>
                </w:p>
              </w:tc>
              <w:tc>
                <w:tcPr>
                  <w:tcW w:w="470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根据</w:t>
                  </w:r>
                  <w:r>
                    <w:rPr>
                      <w:rFonts w:hint="default" w:ascii="Times New Roman" w:hAnsi="Times New Roman" w:cs="Times New Roman"/>
                      <w:color w:val="auto"/>
                      <w:kern w:val="0"/>
                      <w:sz w:val="21"/>
                      <w:szCs w:val="21"/>
                      <w:lang w:val="en-US" w:eastAsia="zh-CN" w:bidi="ar-SA"/>
                    </w:rPr>
                    <w:t>《</w:t>
                  </w:r>
                  <w:r>
                    <w:rPr>
                      <w:rFonts w:hint="default" w:ascii="Times New Roman" w:hAnsi="Times New Roman" w:eastAsia="宋体" w:cs="Times New Roman"/>
                      <w:color w:val="auto"/>
                      <w:kern w:val="0"/>
                      <w:sz w:val="21"/>
                      <w:szCs w:val="21"/>
                      <w:lang w:val="en-US" w:eastAsia="zh-CN" w:bidi="ar-SA"/>
                    </w:rPr>
                    <w:t>固定污染源排污许可分类管理名录（2019年）》，有机肥生产属于简化管理，本次评价要求建设单位</w:t>
                  </w:r>
                  <w:r>
                    <w:rPr>
                      <w:rFonts w:hint="default" w:ascii="Times New Roman" w:hAnsi="Times New Roman" w:cs="Times New Roman"/>
                      <w:color w:val="auto"/>
                      <w:kern w:val="0"/>
                      <w:sz w:val="21"/>
                      <w:szCs w:val="21"/>
                      <w:lang w:val="en-US" w:eastAsia="zh-CN" w:bidi="ar-SA"/>
                    </w:rPr>
                    <w:t>重新申请</w:t>
                  </w:r>
                  <w:r>
                    <w:rPr>
                      <w:rFonts w:hint="default" w:ascii="Times New Roman" w:hAnsi="Times New Roman" w:eastAsia="宋体" w:cs="Times New Roman"/>
                      <w:color w:val="auto"/>
                      <w:kern w:val="0"/>
                      <w:sz w:val="21"/>
                      <w:szCs w:val="21"/>
                      <w:lang w:val="en-US" w:eastAsia="zh-CN" w:bidi="ar-SA"/>
                    </w:rPr>
                    <w:t>排污许可证</w:t>
                  </w:r>
                </w:p>
              </w:tc>
              <w:tc>
                <w:tcPr>
                  <w:tcW w:w="1125"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91"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2165"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例行监测</w:t>
                  </w:r>
                </w:p>
              </w:tc>
              <w:tc>
                <w:tcPr>
                  <w:tcW w:w="470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根据《排污单位自行监测技术指南 磷肥、钾肥、复混肥料、有机肥料和微生物肥料》（HJ1088-2020）</w:t>
                  </w:r>
                  <w:r>
                    <w:rPr>
                      <w:rFonts w:hint="default" w:ascii="Times New Roman" w:hAnsi="Times New Roman" w:cs="Times New Roman"/>
                      <w:color w:val="auto"/>
                      <w:kern w:val="0"/>
                      <w:sz w:val="21"/>
                      <w:szCs w:val="21"/>
                      <w:lang w:val="en-US" w:eastAsia="zh-CN" w:bidi="ar-SA"/>
                    </w:rPr>
                    <w:t>，须对污染物颗粒物、氨、硫化氢及臭气浓度定期开展污染源监测</w:t>
                  </w:r>
                </w:p>
              </w:tc>
              <w:tc>
                <w:tcPr>
                  <w:tcW w:w="1125"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bl>
          <w:p>
            <w:pPr>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rPr>
            </w:pPr>
          </w:p>
        </w:tc>
      </w:tr>
    </w:tbl>
    <w:p>
      <w:pPr>
        <w:pStyle w:val="19"/>
        <w:jc w:val="center"/>
        <w:rPr>
          <w:rFonts w:hint="default" w:ascii="Times New Roman" w:hAnsi="Times New Roman" w:eastAsia="黑体" w:cs="Times New Roman"/>
          <w:snapToGrid w:val="0"/>
          <w:color w:val="auto"/>
          <w:sz w:val="36"/>
          <w:szCs w:val="36"/>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8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区域</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质量</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现状</w:t>
            </w:r>
          </w:p>
        </w:tc>
        <w:tc>
          <w:tcPr>
            <w:tcW w:w="8492" w:type="dxa"/>
            <w:tcBorders>
              <w:tl2br w:val="nil"/>
              <w:tr2bl w:val="nil"/>
            </w:tcBorders>
            <w:noWrap w:val="0"/>
            <w:vAlign w:val="center"/>
          </w:tcPr>
          <w:p>
            <w:pPr>
              <w:pStyle w:val="57"/>
              <w:rPr>
                <w:rFonts w:hint="default" w:ascii="Times New Roman" w:hAnsi="Times New Roman" w:cs="Times New Roman"/>
                <w:color w:val="auto"/>
                <w:szCs w:val="20"/>
                <w:lang w:eastAsia="zh-CN" w:bidi="ar"/>
              </w:rPr>
            </w:pPr>
            <w:r>
              <w:rPr>
                <w:rFonts w:hint="default" w:ascii="Times New Roman" w:hAnsi="Times New Roman" w:cs="Times New Roman"/>
                <w:color w:val="auto"/>
                <w:szCs w:val="20"/>
                <w:lang w:eastAsia="zh-CN" w:bidi="ar"/>
              </w:rPr>
              <w:t>一、区域环境空气质量达标情况</w:t>
            </w:r>
          </w:p>
          <w:p>
            <w:pPr>
              <w:pStyle w:val="56"/>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r>
              <w:rPr>
                <w:rFonts w:hint="eastAsia" w:cs="Times New Roman"/>
                <w:color w:val="auto"/>
                <w:lang w:val="en-US" w:eastAsia="zh-CN"/>
              </w:rPr>
              <w:t>、</w:t>
            </w:r>
            <w:r>
              <w:rPr>
                <w:rFonts w:hint="default" w:ascii="Times New Roman" w:hAnsi="Times New Roman" w:cs="Times New Roman"/>
                <w:color w:val="auto"/>
                <w:lang w:val="en-US" w:eastAsia="zh-CN"/>
              </w:rPr>
              <w:t>区域环境空气质量现状</w:t>
            </w:r>
          </w:p>
          <w:p>
            <w:pPr>
              <w:pStyle w:val="56"/>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w:t>
            </w:r>
            <w:r>
              <w:rPr>
                <w:rFonts w:hint="eastAsia" w:cs="Times New Roman"/>
                <w:color w:val="auto"/>
                <w:lang w:val="en-US" w:eastAsia="zh-CN"/>
              </w:rPr>
              <w:t>香水镇城关村</w:t>
            </w:r>
            <w:r>
              <w:rPr>
                <w:rFonts w:hint="default" w:ascii="Times New Roman" w:hAnsi="Times New Roman" w:cs="Times New Roman"/>
                <w:bCs/>
                <w:color w:val="auto"/>
              </w:rPr>
              <w:t>，</w:t>
            </w:r>
            <w:r>
              <w:rPr>
                <w:rFonts w:hint="default" w:ascii="Times New Roman" w:hAnsi="Times New Roman" w:cs="Times New Roman"/>
                <w:bCs/>
                <w:color w:val="auto"/>
                <w:lang w:eastAsia="zh-CN"/>
              </w:rPr>
              <w:t>隶属于泾源县</w:t>
            </w:r>
            <w:r>
              <w:rPr>
                <w:rFonts w:hint="default" w:ascii="Times New Roman" w:hAnsi="Times New Roman" w:cs="Times New Roman"/>
                <w:bCs/>
                <w:color w:val="auto"/>
              </w:rPr>
              <w:t>行政区划范围内</w:t>
            </w:r>
            <w:r>
              <w:rPr>
                <w:rFonts w:hint="default" w:ascii="Times New Roman" w:hAnsi="Times New Roman" w:cs="Times New Roman"/>
                <w:color w:val="auto"/>
              </w:rPr>
              <w:t>，</w:t>
            </w:r>
            <w:r>
              <w:rPr>
                <w:rFonts w:hint="default" w:ascii="Times New Roman" w:hAnsi="Times New Roman" w:cs="Times New Roman"/>
                <w:color w:val="auto"/>
                <w:lang w:eastAsia="zh-CN"/>
              </w:rPr>
              <w:t>故</w:t>
            </w:r>
            <w:r>
              <w:rPr>
                <w:rFonts w:hint="default" w:ascii="Times New Roman" w:hAnsi="Times New Roman" w:cs="Times New Roman"/>
                <w:color w:val="auto"/>
              </w:rPr>
              <w:t>本次评价采用</w:t>
            </w:r>
            <w:r>
              <w:rPr>
                <w:rFonts w:hint="default" w:ascii="Times New Roman" w:hAnsi="Times New Roman" w:cs="Times New Roman"/>
                <w:color w:val="auto"/>
                <w:lang w:eastAsia="zh-CN"/>
              </w:rPr>
              <w:t>泾源县</w:t>
            </w:r>
            <w:r>
              <w:rPr>
                <w:rFonts w:hint="default" w:ascii="Times New Roman" w:hAnsi="Times New Roman" w:cs="Times New Roman"/>
                <w:color w:val="auto"/>
              </w:rPr>
              <w:t>环境空气质量数据进行分析。</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年均浓度，CO相应百分位数24h平均质量浓度，O</w:t>
            </w:r>
            <w:r>
              <w:rPr>
                <w:rFonts w:hint="default" w:ascii="Times New Roman" w:hAnsi="Times New Roman" w:cs="Times New Roman"/>
                <w:color w:val="auto"/>
                <w:vertAlign w:val="subscript"/>
              </w:rPr>
              <w:t>3</w:t>
            </w:r>
            <w:r>
              <w:rPr>
                <w:rFonts w:hint="default" w:ascii="Times New Roman" w:hAnsi="Times New Roman" w:cs="Times New Roman"/>
                <w:color w:val="auto"/>
              </w:rPr>
              <w:t>相应百分位数8h平均质量浓度均引用《</w:t>
            </w:r>
            <w:r>
              <w:rPr>
                <w:rFonts w:hint="default" w:ascii="Times New Roman" w:hAnsi="Times New Roman" w:cs="Times New Roman"/>
                <w:color w:val="auto"/>
                <w:lang w:val="en-US" w:eastAsia="zh-CN"/>
              </w:rPr>
              <w:t>2023</w:t>
            </w:r>
            <w:r>
              <w:rPr>
                <w:rFonts w:hint="default" w:ascii="Times New Roman" w:hAnsi="Times New Roman" w:cs="Times New Roman"/>
                <w:color w:val="auto"/>
              </w:rPr>
              <w:t>年宁夏生态环境</w:t>
            </w:r>
            <w:r>
              <w:rPr>
                <w:rFonts w:hint="default" w:ascii="Times New Roman" w:hAnsi="Times New Roman" w:cs="Times New Roman"/>
                <w:color w:val="auto"/>
                <w:lang w:val="en-US" w:eastAsia="zh-CN"/>
              </w:rPr>
              <w:t>状况公报</w:t>
            </w:r>
            <w:r>
              <w:rPr>
                <w:rFonts w:hint="default" w:ascii="Times New Roman" w:hAnsi="Times New Roman" w:cs="Times New Roman"/>
                <w:color w:val="auto"/>
              </w:rPr>
              <w:t>》（PM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为剔除沙尘天气后）中公布数据。</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年区域环境空气质量评价见下表</w:t>
            </w:r>
            <w:r>
              <w:rPr>
                <w:rFonts w:hint="default" w:ascii="Times New Roman" w:hAnsi="Times New Roman" w:cs="Times New Roman"/>
                <w:color w:val="auto"/>
                <w:lang w:val="en-US" w:eastAsia="zh-CN"/>
              </w:rPr>
              <w:t>3-1</w:t>
            </w:r>
            <w:r>
              <w:rPr>
                <w:rFonts w:hint="default" w:ascii="Times New Roman" w:hAnsi="Times New Roman" w:cs="Times New Roman"/>
                <w:color w:val="auto"/>
              </w:rPr>
              <w:t>。</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eastAsia="黑体" w:cs="Times New Roman"/>
                <w:color w:val="auto"/>
              </w:rPr>
              <w:t>表3</w:t>
            </w: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rPr>
              <w:t xml:space="preserve">1  </w:t>
            </w:r>
            <w:r>
              <w:rPr>
                <w:rFonts w:hint="default" w:ascii="Times New Roman" w:hAnsi="Times New Roman" w:cs="Times New Roman"/>
                <w:color w:val="auto"/>
                <w:lang w:val="en-US" w:eastAsia="zh-CN"/>
              </w:rPr>
              <w:t>2023</w:t>
            </w:r>
            <w:r>
              <w:rPr>
                <w:rFonts w:hint="default" w:ascii="Times New Roman" w:hAnsi="Times New Roman" w:eastAsia="黑体" w:cs="Times New Roman"/>
                <w:color w:val="auto"/>
              </w:rPr>
              <w:t>年</w:t>
            </w:r>
            <w:r>
              <w:rPr>
                <w:rFonts w:hint="default" w:ascii="Times New Roman" w:hAnsi="Times New Roman" w:cs="Times New Roman"/>
                <w:color w:val="auto"/>
                <w:lang w:eastAsia="zh-CN"/>
              </w:rPr>
              <w:t>泾源县</w:t>
            </w:r>
            <w:r>
              <w:rPr>
                <w:rFonts w:hint="default" w:ascii="Times New Roman" w:hAnsi="Times New Roman" w:eastAsia="黑体" w:cs="Times New Roman"/>
                <w:color w:val="auto"/>
              </w:rPr>
              <w:t>区域环境空气质量现状评价表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453"/>
              <w:gridCol w:w="1238"/>
              <w:gridCol w:w="1238"/>
              <w:gridCol w:w="984"/>
              <w:gridCol w:w="7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污染物名称</w:t>
                  </w:r>
                </w:p>
              </w:tc>
              <w:tc>
                <w:tcPr>
                  <w:tcW w:w="1429"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年评价指标</w:t>
                  </w:r>
                </w:p>
              </w:tc>
              <w:tc>
                <w:tcPr>
                  <w:tcW w:w="721"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721"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现状浓度/（µg/m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573"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占标率/%</w:t>
                  </w:r>
                </w:p>
              </w:tc>
              <w:tc>
                <w:tcPr>
                  <w:tcW w:w="435"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超标倍数</w:t>
                  </w:r>
                </w:p>
              </w:tc>
              <w:tc>
                <w:tcPr>
                  <w:tcW w:w="570"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60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10.00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20.00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70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52</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74.29</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35</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48.57</w:t>
                  </w:r>
                </w:p>
              </w:tc>
              <w:tc>
                <w:tcPr>
                  <w:tcW w:w="435"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w:t>
                  </w:r>
                </w:p>
              </w:tc>
              <w:tc>
                <w:tcPr>
                  <w:tcW w:w="570"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CO</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24h平均第95百分位数</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0.7</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17.50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O</w:t>
                  </w:r>
                  <w:r>
                    <w:rPr>
                      <w:rFonts w:hint="default" w:ascii="Times New Roman" w:hAnsi="Times New Roman" w:eastAsia="宋体" w:cs="Times New Roman"/>
                      <w:color w:val="auto"/>
                      <w:vertAlign w:val="subscript"/>
                    </w:rPr>
                    <w:t>3</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日最大8h滑动平均值的第90百分位数</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160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132</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82.50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l2br w:val="nil"/>
                    <w:tr2bl w:val="nil"/>
                  </w:tcBorders>
                  <w:noWrap w:val="0"/>
                  <w:vAlign w:val="center"/>
                </w:tcPr>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注：1、CO现状浓度和标准值单位均为mg/m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2、现状浓度中PM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为剔除沙尘天气后的数值。</w:t>
                  </w:r>
                </w:p>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val="en-US" w:eastAsia="zh-CN"/>
                    </w:rPr>
                    <w:t>2023</w:t>
                  </w:r>
                  <w:r>
                    <w:rPr>
                      <w:rFonts w:hint="default" w:ascii="Times New Roman" w:hAnsi="Times New Roman" w:eastAsia="宋体" w:cs="Times New Roman"/>
                      <w:color w:val="auto"/>
                    </w:rPr>
                    <w:t>年宁夏生态环境</w:t>
                  </w:r>
                  <w:r>
                    <w:rPr>
                      <w:rFonts w:hint="default" w:ascii="Times New Roman" w:hAnsi="Times New Roman" w:eastAsia="宋体" w:cs="Times New Roman"/>
                      <w:color w:val="auto"/>
                      <w:lang w:val="en-US" w:eastAsia="zh-CN"/>
                    </w:rPr>
                    <w:t>状况公报</w:t>
                  </w:r>
                  <w:r>
                    <w:rPr>
                      <w:rFonts w:hint="default" w:ascii="Times New Roman" w:hAnsi="Times New Roman" w:eastAsia="宋体" w:cs="Times New Roman"/>
                      <w:color w:val="auto"/>
                    </w:rPr>
                    <w:t>》中未公布SO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相应百分位数24h平均浓度，故未评价上述污染物相应百分位数24h平均浓度达标情况。</w:t>
                  </w:r>
                </w:p>
              </w:tc>
            </w:tr>
          </w:tbl>
          <w:p>
            <w:pPr>
              <w:pStyle w:val="56"/>
              <w:ind w:firstLine="480"/>
              <w:rPr>
                <w:rFonts w:hint="default" w:ascii="Times New Roman" w:hAnsi="Times New Roman" w:cs="Times New Roman"/>
                <w:color w:val="auto"/>
              </w:rPr>
            </w:pPr>
            <w:r>
              <w:rPr>
                <w:rFonts w:hint="default" w:ascii="Times New Roman" w:hAnsi="Times New Roman" w:cs="Times New Roman"/>
                <w:color w:val="auto"/>
                <w:lang w:eastAsia="zh-CN"/>
              </w:rPr>
              <w:t>由上表分析可知</w:t>
            </w:r>
            <w:r>
              <w:rPr>
                <w:rFonts w:hint="default" w:ascii="Times New Roman" w:hAnsi="Times New Roman" w:cs="Times New Roman"/>
                <w:color w:val="auto"/>
              </w:rPr>
              <w:t>，</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eastAsia"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日最大8h滑动平均值的第90百分位数浓度值均满足《环境空气质量标准》（GB3095-2012）中二级标准要求。</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环境空气质量现状补充监测</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建设项目环境影响报告表编制技术指南》（污染影响类）（试行）区域环境质量现状中“排放国家、地方环境空气质量标准中有标准限值要求的特征污染物时，引用建设项目周边5千米范围内近3年的现有监测数据，无相关数据的选择当季主导风向下风向1个点位补充不少于3天的监测数据”。</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本项目特征污染物为TSP，根据《宁夏回族自治区泾源县黄河流域农业面源污染综合治理项目监测》，宁夏泽瑞隆环保技术有限公司于2025年7月22日~7月24日连续3天对该项目环境空气质量进行了现状监测</w:t>
            </w:r>
            <w:r>
              <w:rPr>
                <w:rFonts w:hint="eastAsia" w:cs="Times New Roman"/>
                <w:color w:val="auto"/>
                <w:highlight w:val="none"/>
                <w:lang w:val="en-US" w:eastAsia="zh-CN"/>
              </w:rPr>
              <w:t>，见附件5</w:t>
            </w:r>
            <w:r>
              <w:rPr>
                <w:rFonts w:hint="default" w:ascii="Times New Roman" w:hAnsi="Times New Roman" w:eastAsia="宋体" w:cs="Times New Roman"/>
                <w:color w:val="auto"/>
                <w:highlight w:val="none"/>
                <w:lang w:val="en-US" w:eastAsia="zh-CN"/>
              </w:rPr>
              <w:t>。</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具体监测点位分布见表3-2及图3-1。</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yellow"/>
                <w:lang w:val="en-US" w:eastAsia="zh-CN"/>
              </w:rPr>
            </w:pP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表3-2  </w:t>
            </w:r>
            <w:r>
              <w:rPr>
                <w:rFonts w:hint="default" w:ascii="Times New Roman" w:hAnsi="Times New Roman" w:cs="Times New Roman"/>
                <w:color w:val="auto"/>
                <w:highlight w:val="none"/>
                <w:lang w:val="en-US" w:eastAsia="zh-CN"/>
              </w:rPr>
              <w:t>本项目引用监测点位情况</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3651"/>
              <w:gridCol w:w="2116"/>
              <w:gridCol w:w="1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点位编号</w:t>
                  </w:r>
                </w:p>
              </w:tc>
              <w:tc>
                <w:tcPr>
                  <w:tcW w:w="2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坐标</w:t>
                  </w:r>
                </w:p>
              </w:tc>
              <w:tc>
                <w:tcPr>
                  <w:tcW w:w="12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与本项目位置关系</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监测因子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w:t>
                  </w: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21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E：106°20′36.433″</w:t>
                  </w:r>
                  <w:r>
                    <w:rPr>
                      <w:rFonts w:hint="default" w:ascii="Times New Roman" w:hAnsi="Times New Roman" w:cs="Times New Roman"/>
                      <w:b w:val="0"/>
                      <w:bCs w:val="0"/>
                      <w:color w:val="auto"/>
                      <w:sz w:val="21"/>
                      <w:szCs w:val="21"/>
                      <w:highlight w:val="none"/>
                      <w:vertAlign w:val="baseline"/>
                      <w:lang w:val="en-US" w:eastAsia="zh-CN"/>
                    </w:rPr>
                    <w:t>、</w:t>
                  </w:r>
                  <w:r>
                    <w:rPr>
                      <w:rFonts w:hint="default" w:ascii="Times New Roman" w:hAnsi="Times New Roman" w:eastAsia="宋体" w:cs="Times New Roman"/>
                      <w:b w:val="0"/>
                      <w:bCs w:val="0"/>
                      <w:color w:val="auto"/>
                      <w:sz w:val="21"/>
                      <w:szCs w:val="21"/>
                      <w:highlight w:val="none"/>
                      <w:vertAlign w:val="baseline"/>
                      <w:lang w:val="en-US" w:eastAsia="zh-CN"/>
                    </w:rPr>
                    <w:t>N：35°28′31.476″</w:t>
                  </w:r>
                </w:p>
              </w:tc>
              <w:tc>
                <w:tcPr>
                  <w:tcW w:w="12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厂区内</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TSP</w:t>
                  </w:r>
                </w:p>
              </w:tc>
            </w:tr>
          </w:tbl>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yellow"/>
                <w:lang w:val="en-US" w:eastAsia="zh-CN"/>
              </w:rPr>
            </w:pP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yellow"/>
                <w:lang w:val="en-US" w:eastAsia="zh-CN"/>
              </w:rPr>
            </w:pPr>
            <w:r>
              <w:rPr>
                <w:rFonts w:hint="default" w:ascii="Times New Roman" w:hAnsi="Times New Roman" w:eastAsia="黑体" w:cs="Times New Roman"/>
                <w:color w:val="auto"/>
                <w:highlight w:val="yellow"/>
                <w:lang w:val="en-US" w:eastAsia="zh-CN"/>
              </w:rPr>
              <w:drawing>
                <wp:inline distT="0" distB="0" distL="114300" distR="114300">
                  <wp:extent cx="5478145" cy="3502025"/>
                  <wp:effectExtent l="9525" t="9525" r="17780" b="12700"/>
                  <wp:docPr id="1"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true"/>
                          </pic:cNvPicPr>
                        </pic:nvPicPr>
                        <pic:blipFill>
                          <a:blip r:embed="rId15"/>
                          <a:stretch>
                            <a:fillRect/>
                          </a:stretch>
                        </pic:blipFill>
                        <pic:spPr>
                          <a:xfrm>
                            <a:off x="0" y="0"/>
                            <a:ext cx="5478145" cy="3502025"/>
                          </a:xfrm>
                          <a:prstGeom prst="rect">
                            <a:avLst/>
                          </a:prstGeom>
                          <a:noFill/>
                          <a:ln w="28575">
                            <a:solidFill>
                              <a:schemeClr val="bg1"/>
                            </a:solidFill>
                          </a:ln>
                        </pic:spPr>
                      </pic:pic>
                    </a:graphicData>
                  </a:graphic>
                </wp:inline>
              </w:drawing>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图3-1  环境空气现状监测点位分布图</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TSP监测结果见表3-3。</w:t>
            </w:r>
          </w:p>
          <w:p>
            <w:pPr>
              <w:pStyle w:val="15"/>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表3-</w:t>
            </w:r>
            <w:r>
              <w:rPr>
                <w:rFonts w:hint="default" w:ascii="Times New Roman" w:hAnsi="Times New Roman" w:cs="Times New Roman"/>
                <w:color w:val="auto"/>
                <w:highlight w:val="none"/>
                <w:lang w:val="en-US" w:eastAsia="zh-CN"/>
              </w:rPr>
              <w:t>3</w:t>
            </w:r>
            <w:r>
              <w:rPr>
                <w:rFonts w:hint="default" w:ascii="Times New Roman" w:hAnsi="Times New Roman" w:eastAsia="黑体" w:cs="Times New Roman"/>
                <w:color w:val="auto"/>
                <w:highlight w:val="none"/>
                <w:lang w:val="en-US" w:eastAsia="zh-CN"/>
              </w:rPr>
              <w:t xml:space="preserve">  监测</w:t>
            </w:r>
            <w:r>
              <w:rPr>
                <w:rFonts w:hint="default" w:ascii="Times New Roman" w:hAnsi="Times New Roman" w:cs="Times New Roman"/>
                <w:color w:val="auto"/>
                <w:highlight w:val="none"/>
                <w:lang w:val="en-US" w:eastAsia="zh-CN"/>
              </w:rPr>
              <w:t>结果统计表</w:t>
            </w:r>
          </w:p>
          <w:tbl>
            <w:tblPr>
              <w:tblStyle w:val="24"/>
              <w:tblW w:w="83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062"/>
              <w:gridCol w:w="1209"/>
              <w:gridCol w:w="1238"/>
              <w:gridCol w:w="933"/>
              <w:gridCol w:w="1016"/>
              <w:gridCol w:w="838"/>
              <w:gridCol w:w="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6"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污染物</w:t>
                  </w:r>
                </w:p>
              </w:tc>
              <w:tc>
                <w:tcPr>
                  <w:tcW w:w="1062"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日均值</w:t>
                  </w:r>
                </w:p>
              </w:tc>
              <w:tc>
                <w:tcPr>
                  <w:tcW w:w="2447" w:type="dxa"/>
                  <w:gridSpan w:val="2"/>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监测结果(μg/m³)</w:t>
                  </w:r>
                </w:p>
              </w:tc>
              <w:tc>
                <w:tcPr>
                  <w:tcW w:w="933"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标准值(μg/m³)</w:t>
                  </w:r>
                </w:p>
              </w:tc>
              <w:tc>
                <w:tcPr>
                  <w:tcW w:w="1016"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最大占标率(%)</w:t>
                  </w:r>
                </w:p>
              </w:tc>
              <w:tc>
                <w:tcPr>
                  <w:tcW w:w="838"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超标率(%)</w:t>
                  </w:r>
                </w:p>
              </w:tc>
              <w:tc>
                <w:tcPr>
                  <w:tcW w:w="834"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6"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highlight w:val="none"/>
                    </w:rPr>
                  </w:pPr>
                </w:p>
              </w:tc>
              <w:tc>
                <w:tcPr>
                  <w:tcW w:w="106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highlight w:val="none"/>
                    </w:rPr>
                  </w:pPr>
                </w:p>
              </w:tc>
              <w:tc>
                <w:tcPr>
                  <w:tcW w:w="1209" w:type="dxa"/>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最小值</w:t>
                  </w:r>
                </w:p>
              </w:tc>
              <w:tc>
                <w:tcPr>
                  <w:tcW w:w="1238" w:type="dxa"/>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最大值</w:t>
                  </w:r>
                </w:p>
              </w:tc>
              <w:tc>
                <w:tcPr>
                  <w:tcW w:w="933"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1016"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838"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834"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7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TSP</w:t>
                  </w:r>
                </w:p>
              </w:tc>
              <w:tc>
                <w:tcPr>
                  <w:tcW w:w="1062" w:type="dxa"/>
                  <w:tcBorders>
                    <w:tl2br w:val="nil"/>
                    <w:tr2bl w:val="nil"/>
                  </w:tcBorders>
                  <w:noWrap w:val="0"/>
                  <w:vAlign w:val="center"/>
                </w:tcPr>
                <w:p>
                  <w:pPr>
                    <w:pStyle w:val="36"/>
                    <w:tabs>
                      <w:tab w:val="left" w:pos="4584"/>
                    </w:tabs>
                    <w:spacing w:line="240" w:lineRule="auto"/>
                    <w:ind w:left="0" w:lef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24h</w:t>
                  </w:r>
                </w:p>
              </w:tc>
              <w:tc>
                <w:tcPr>
                  <w:tcW w:w="1209"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11</w:t>
                  </w:r>
                </w:p>
              </w:tc>
              <w:tc>
                <w:tcPr>
                  <w:tcW w:w="123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45</w:t>
                  </w:r>
                </w:p>
              </w:tc>
              <w:tc>
                <w:tcPr>
                  <w:tcW w:w="933"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300</w:t>
                  </w:r>
                </w:p>
              </w:tc>
              <w:tc>
                <w:tcPr>
                  <w:tcW w:w="101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15.00</w:t>
                  </w:r>
                </w:p>
              </w:tc>
              <w:tc>
                <w:tcPr>
                  <w:tcW w:w="83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c>
                <w:tcPr>
                  <w:tcW w:w="834"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达标</w:t>
                  </w:r>
                </w:p>
              </w:tc>
            </w:tr>
          </w:tbl>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根据表3-3可知，本项目所在区域TSP日均值浓度满足《环境空气质量标准》(GB3095-2012)中二级标准要求。</w:t>
            </w:r>
          </w:p>
          <w:p>
            <w:pPr>
              <w:pStyle w:val="57"/>
              <w:rPr>
                <w:rFonts w:hint="default" w:ascii="Times New Roman" w:hAnsi="Times New Roman" w:cs="Times New Roman"/>
                <w:color w:val="auto"/>
                <w:szCs w:val="22"/>
                <w:lang w:bidi="ar"/>
              </w:rPr>
            </w:pPr>
            <w:r>
              <w:rPr>
                <w:rFonts w:hint="default" w:ascii="Times New Roman" w:hAnsi="Times New Roman" w:cs="Times New Roman"/>
                <w:color w:val="auto"/>
                <w:szCs w:val="20"/>
                <w:lang w:eastAsia="zh-CN" w:bidi="ar"/>
              </w:rPr>
              <w:t>二</w:t>
            </w:r>
            <w:r>
              <w:rPr>
                <w:rFonts w:hint="default" w:ascii="Times New Roman" w:hAnsi="Times New Roman" w:cs="Times New Roman"/>
                <w:color w:val="auto"/>
                <w:szCs w:val="20"/>
                <w:lang w:bidi="ar"/>
              </w:rPr>
              <w:t>、</w:t>
            </w:r>
            <w:r>
              <w:rPr>
                <w:rFonts w:hint="default" w:ascii="Times New Roman" w:hAnsi="Times New Roman" w:cs="Times New Roman"/>
                <w:color w:val="auto"/>
              </w:rPr>
              <w:t>地表水环境质量现状</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筑项目环境影响报告表编制技术指南》（污染影响类）（试行）要求：引用与建设项目距离近的有效数据，包括近三年的规划环境影响评价的监测数据，所在流域控制单元内国家、地方控制断面监测数据，生态环境主管部门发布的水环境质量数据或地表水达标情况的结论。</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本项目位于固原市泾源县</w:t>
            </w:r>
            <w:r>
              <w:rPr>
                <w:rFonts w:hint="eastAsia" w:eastAsia="宋体" w:cs="Times New Roman"/>
                <w:bCs w:val="0"/>
                <w:snapToGrid w:val="0"/>
                <w:color w:val="auto"/>
                <w:kern w:val="0"/>
                <w:sz w:val="24"/>
                <w:szCs w:val="22"/>
                <w:lang w:val="en-US" w:eastAsia="zh-CN" w:bidi="ar-SA"/>
              </w:rPr>
              <w:t>香水镇城关村八组</w:t>
            </w:r>
            <w:r>
              <w:rPr>
                <w:rFonts w:hint="default" w:ascii="Times New Roman" w:hAnsi="Times New Roman" w:eastAsia="宋体" w:cs="Times New Roman"/>
                <w:bCs w:val="0"/>
                <w:snapToGrid w:val="0"/>
                <w:color w:val="auto"/>
                <w:kern w:val="0"/>
                <w:sz w:val="24"/>
                <w:szCs w:val="22"/>
                <w:lang w:val="en-US" w:eastAsia="zh-CN" w:bidi="ar-SA"/>
              </w:rPr>
              <w:t>，所在区域地表水体为项目</w:t>
            </w:r>
            <w:r>
              <w:rPr>
                <w:rFonts w:hint="eastAsia" w:eastAsia="宋体" w:cs="Times New Roman"/>
                <w:bCs w:val="0"/>
                <w:snapToGrid w:val="0"/>
                <w:color w:val="auto"/>
                <w:kern w:val="0"/>
                <w:sz w:val="24"/>
                <w:szCs w:val="22"/>
                <w:lang w:val="en-US" w:eastAsia="zh-CN" w:bidi="ar-SA"/>
              </w:rPr>
              <w:t>东北方向320</w:t>
            </w:r>
            <w:r>
              <w:rPr>
                <w:rFonts w:hint="default" w:ascii="Times New Roman" w:hAnsi="Times New Roman" w:eastAsia="宋体" w:cs="Times New Roman"/>
                <w:bCs w:val="0"/>
                <w:snapToGrid w:val="0"/>
                <w:color w:val="auto"/>
                <w:kern w:val="0"/>
                <w:sz w:val="24"/>
                <w:szCs w:val="22"/>
                <w:lang w:val="en-US" w:eastAsia="zh-CN" w:bidi="ar-SA"/>
              </w:rPr>
              <w:t>m处的</w:t>
            </w:r>
            <w:r>
              <w:rPr>
                <w:rFonts w:hint="eastAsia" w:eastAsia="宋体" w:cs="Times New Roman"/>
                <w:bCs w:val="0"/>
                <w:snapToGrid w:val="0"/>
                <w:color w:val="auto"/>
                <w:kern w:val="0"/>
                <w:sz w:val="24"/>
                <w:szCs w:val="22"/>
                <w:lang w:val="en-US" w:eastAsia="zh-CN" w:bidi="ar-SA"/>
              </w:rPr>
              <w:t>香水河</w:t>
            </w:r>
            <w:r>
              <w:rPr>
                <w:rFonts w:hint="default" w:ascii="Times New Roman" w:hAnsi="Times New Roman" w:eastAsia="宋体" w:cs="Times New Roman"/>
                <w:bCs w:val="0"/>
                <w:snapToGrid w:val="0"/>
                <w:color w:val="auto"/>
                <w:kern w:val="0"/>
                <w:sz w:val="24"/>
                <w:szCs w:val="22"/>
                <w:lang w:val="en-US" w:eastAsia="zh-CN" w:bidi="ar-SA"/>
              </w:rPr>
              <w:t>，属于泾河的重要支流，根据《2023年宁夏生态环境质量状况》，泾河监测断面弹筝峡省界（宁夏－甘肃）（国控）断面为Ⅱ类水质，相较于2022年水质情况无明显变化。</w:t>
            </w:r>
          </w:p>
          <w:p>
            <w:pPr>
              <w:numPr>
                <w:ilvl w:val="0"/>
                <w:numId w:val="0"/>
              </w:num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三、声环境质量现状</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根据《建设项目环境影响报告表编制技术指南（污染影响类）（试行）》声环境质量现状监测要求：“厂界外周边50米范围内存在声环境保护目标的建设项目，应监测保护目标声环境质量现状并评价达标情况。各点位应监测昼夜间噪声，监测时间不少于1天，项目夜间不生产则仅监测昼间噪声”。</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本项目厂界外50m范围内无声环境保护目标，本次评价不开展声环境质量现状监测。</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四、生态环境状况</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根据《建设项目环境影响报告表编制技术指南》（污染影响类）（试行）“产业园区外建设项目新增用地且用地范围内含有生态环境保护目标时，应进行生态现状调查”。</w:t>
            </w:r>
          </w:p>
          <w:p>
            <w:pPr>
              <w:pStyle w:val="1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宋体" w:cs="Times New Roman"/>
                <w:bCs w:val="0"/>
                <w:snapToGrid w:val="0"/>
                <w:color w:val="auto"/>
                <w:kern w:val="0"/>
                <w:sz w:val="24"/>
                <w:szCs w:val="22"/>
                <w:lang w:val="en-US" w:eastAsia="zh-CN" w:bidi="ar-SA"/>
              </w:rPr>
              <w:t>本项目位于泾源县</w:t>
            </w:r>
            <w:r>
              <w:rPr>
                <w:rFonts w:hint="eastAsia" w:eastAsia="宋体" w:cs="Times New Roman"/>
                <w:bCs w:val="0"/>
                <w:snapToGrid w:val="0"/>
                <w:color w:val="auto"/>
                <w:kern w:val="0"/>
                <w:sz w:val="24"/>
                <w:szCs w:val="22"/>
                <w:lang w:val="en-US" w:eastAsia="zh-CN" w:bidi="ar-SA"/>
              </w:rPr>
              <w:t>香水镇城关村八组宁夏泾源县六盘山牧业有限责任公司</w:t>
            </w:r>
            <w:r>
              <w:rPr>
                <w:rFonts w:hint="default" w:ascii="Times New Roman" w:hAnsi="Times New Roman" w:eastAsia="宋体" w:cs="Times New Roman"/>
                <w:bCs w:val="0"/>
                <w:snapToGrid w:val="0"/>
                <w:color w:val="auto"/>
                <w:kern w:val="0"/>
                <w:sz w:val="24"/>
                <w:szCs w:val="22"/>
                <w:lang w:val="en-US" w:eastAsia="zh-CN" w:bidi="ar-SA"/>
              </w:rPr>
              <w:t>现有厂区内，不新增占地，无生态环境保护目标，无需进行生态环境现状调查。</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五、地下水、土壤环境质量现状</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地下水、土壤原则上不开展环境质量现状调查，建设项目存在土壤、地下水环境污染途径的，应结合污染源、保护目标分布情况开展现状调查以留作背景值”。</w:t>
            </w:r>
            <w:r>
              <w:rPr>
                <w:rFonts w:hint="default" w:ascii="Times New Roman" w:hAnsi="Times New Roman" w:cs="Times New Roman"/>
                <w:bCs/>
                <w:color w:val="auto"/>
                <w:sz w:val="24"/>
                <w:lang w:val="en-US" w:eastAsia="zh-CN"/>
              </w:rPr>
              <w:t>本</w:t>
            </w:r>
            <w:r>
              <w:rPr>
                <w:rFonts w:hint="default" w:ascii="Times New Roman" w:hAnsi="Times New Roman" w:cs="Times New Roman"/>
                <w:bCs/>
                <w:color w:val="auto"/>
                <w:sz w:val="24"/>
                <w:lang w:eastAsia="zh-CN"/>
              </w:rPr>
              <w:t>厂区采取分区防渗：</w:t>
            </w:r>
            <w:r>
              <w:rPr>
                <w:rFonts w:hint="default" w:ascii="Times New Roman" w:hAnsi="Times New Roman" w:cs="Times New Roman"/>
                <w:bCs/>
                <w:color w:val="auto"/>
                <w:sz w:val="24"/>
                <w:lang w:val="en-US" w:eastAsia="zh-CN"/>
              </w:rPr>
              <w:t>原料陈化堆放棚（发酵区）</w:t>
            </w:r>
            <w:r>
              <w:rPr>
                <w:rFonts w:hint="default" w:ascii="Times New Roman" w:hAnsi="Times New Roman" w:cs="Times New Roman"/>
                <w:bCs/>
                <w:color w:val="auto"/>
                <w:sz w:val="24"/>
                <w:lang w:eastAsia="zh-CN"/>
              </w:rPr>
              <w:t>为重点防渗区</w:t>
            </w:r>
            <w:r>
              <w:rPr>
                <w:rFonts w:hint="default" w:ascii="Times New Roman" w:hAnsi="Times New Roman" w:cs="Times New Roman"/>
                <w:bCs/>
                <w:color w:val="auto"/>
                <w:sz w:val="24"/>
                <w:lang w:val="en-US" w:eastAsia="zh-CN"/>
              </w:rPr>
              <w:t>，等效黏土防渗层Mb≥6.0m，K≤1x10</w:t>
            </w:r>
            <w:r>
              <w:rPr>
                <w:rFonts w:hint="default" w:ascii="Times New Roman" w:hAnsi="Times New Roman" w:cs="Times New Roman"/>
                <w:bCs/>
                <w:color w:val="auto"/>
                <w:sz w:val="24"/>
                <w:vertAlign w:val="superscript"/>
                <w:lang w:val="en-US" w:eastAsia="zh-CN"/>
              </w:rPr>
              <w:t>-7</w:t>
            </w:r>
            <w:r>
              <w:rPr>
                <w:rFonts w:hint="default" w:ascii="Times New Roman" w:hAnsi="Times New Roman" w:cs="Times New Roman"/>
                <w:bCs/>
                <w:color w:val="auto"/>
                <w:sz w:val="24"/>
                <w:lang w:val="en-US" w:eastAsia="zh-CN"/>
              </w:rPr>
              <w:t>cm/s</w:t>
            </w:r>
            <w:r>
              <w:rPr>
                <w:rFonts w:hint="default" w:ascii="Times New Roman" w:hAnsi="Times New Roman" w:cs="Times New Roman"/>
                <w:bCs/>
                <w:color w:val="auto"/>
                <w:sz w:val="24"/>
                <w:lang w:eastAsia="zh-CN"/>
              </w:rPr>
              <w:t>；厂区道路</w:t>
            </w:r>
            <w:r>
              <w:rPr>
                <w:rFonts w:hint="default" w:ascii="Times New Roman" w:hAnsi="Times New Roman" w:cs="Times New Roman"/>
                <w:bCs/>
                <w:color w:val="auto"/>
                <w:sz w:val="24"/>
              </w:rPr>
              <w:t>为简单防渗区，地面采用混凝土硬化</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有机肥加工车间新建</w:t>
            </w:r>
            <w:r>
              <w:rPr>
                <w:rFonts w:hint="default" w:ascii="Times New Roman" w:hAnsi="Times New Roman" w:cs="Times New Roman"/>
                <w:bCs/>
                <w:color w:val="auto"/>
                <w:sz w:val="24"/>
                <w:lang w:eastAsia="zh-CN"/>
              </w:rPr>
              <w:t>危废贮存点</w:t>
            </w:r>
            <w:r>
              <w:rPr>
                <w:rFonts w:hint="default" w:ascii="Times New Roman" w:hAnsi="Times New Roman" w:cs="Times New Roman"/>
                <w:bCs/>
                <w:color w:val="auto"/>
                <w:sz w:val="24"/>
                <w:lang w:val="en-US" w:eastAsia="zh-CN"/>
              </w:rPr>
              <w:t>采取“地面一般防渗处理+防渗托盘+密闭油桶”方式，</w:t>
            </w:r>
            <w:r>
              <w:rPr>
                <w:rFonts w:hint="default" w:ascii="Times New Roman" w:hAnsi="Times New Roman" w:cs="Times New Roman"/>
                <w:bCs/>
                <w:color w:val="auto"/>
                <w:sz w:val="24"/>
                <w:lang w:eastAsia="zh-CN"/>
              </w:rPr>
              <w:t>防止危险废物泄露污染地下水。</w:t>
            </w:r>
          </w:p>
          <w:p>
            <w:pPr>
              <w:spacing w:line="360" w:lineRule="auto"/>
              <w:ind w:firstLine="480" w:firstLineChars="200"/>
              <w:rPr>
                <w:rFonts w:hint="default" w:ascii="Times New Roman" w:hAnsi="Times New Roman" w:cs="Times New Roman"/>
                <w:b/>
                <w:bCs/>
                <w:color w:val="auto"/>
                <w:kern w:val="0"/>
                <w:sz w:val="24"/>
                <w:szCs w:val="24"/>
              </w:rPr>
            </w:pPr>
            <w:r>
              <w:rPr>
                <w:rFonts w:hint="default" w:ascii="Times New Roman" w:hAnsi="Times New Roman" w:eastAsia="宋体" w:cs="Times New Roman"/>
                <w:b w:val="0"/>
                <w:bCs/>
                <w:color w:val="auto"/>
                <w:sz w:val="24"/>
                <w:szCs w:val="24"/>
                <w:lang w:val="en-US" w:eastAsia="zh-CN"/>
              </w:rPr>
              <w:t>经采取上述措施后</w:t>
            </w:r>
            <w:r>
              <w:rPr>
                <w:rFonts w:hint="default" w:ascii="Times New Roman" w:hAnsi="Times New Roman" w:cs="Times New Roman"/>
                <w:b w:val="0"/>
                <w:bCs/>
                <w:color w:val="auto"/>
                <w:sz w:val="24"/>
                <w:szCs w:val="24"/>
                <w:lang w:val="en-US" w:eastAsia="zh-CN"/>
              </w:rPr>
              <w:t>，正</w:t>
            </w:r>
            <w:r>
              <w:rPr>
                <w:rFonts w:hint="default" w:ascii="Times New Roman" w:hAnsi="Times New Roman" w:eastAsia="宋体" w:cs="Times New Roman"/>
                <w:b w:val="0"/>
                <w:bCs/>
                <w:color w:val="auto"/>
                <w:sz w:val="24"/>
                <w:szCs w:val="24"/>
                <w:lang w:val="en-US" w:eastAsia="zh-CN"/>
              </w:rPr>
              <w:t>常工况下不存在地下水、土壤污染途径</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因此，本项目无需开展地下水、土壤环境质量现状调查</w:t>
            </w:r>
            <w:r>
              <w:rPr>
                <w:rFonts w:hint="default" w:ascii="Times New Roman" w:hAnsi="Times New Roman" w:cs="Times New Roman"/>
                <w:b w:val="0"/>
                <w:bCs/>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环境保护目标</w:t>
            </w:r>
          </w:p>
        </w:tc>
        <w:tc>
          <w:tcPr>
            <w:tcW w:w="8492" w:type="dxa"/>
            <w:tcBorders>
              <w:tl2br w:val="nil"/>
              <w:tr2bl w:val="nil"/>
            </w:tcBorders>
            <w:noWrap w:val="0"/>
            <w:vAlign w:val="center"/>
          </w:tcPr>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本项目位于固原市泾源县</w:t>
            </w:r>
            <w:r>
              <w:rPr>
                <w:rFonts w:hint="eastAsia" w:cs="Times New Roman"/>
                <w:b w:val="0"/>
                <w:bCs/>
                <w:color w:val="auto"/>
                <w:sz w:val="24"/>
                <w:szCs w:val="24"/>
                <w:lang w:val="en-US" w:eastAsia="zh-CN"/>
              </w:rPr>
              <w:t>香水镇城关村八组</w:t>
            </w:r>
            <w:r>
              <w:rPr>
                <w:rFonts w:hint="default" w:ascii="Times New Roman" w:hAnsi="Times New Roman" w:eastAsia="宋体" w:cs="Times New Roman"/>
                <w:b w:val="0"/>
                <w:bCs/>
                <w:color w:val="auto"/>
                <w:sz w:val="24"/>
                <w:szCs w:val="24"/>
                <w:lang w:val="en-US" w:eastAsia="zh-CN"/>
              </w:rPr>
              <w:t>，具体地理位置坐标为东经106°</w:t>
            </w:r>
            <w:r>
              <w:rPr>
                <w:rFonts w:hint="default" w:ascii="Times New Roman" w:hAnsi="Times New Roman" w:cs="Times New Roman"/>
                <w:b w:val="0"/>
                <w:bCs/>
                <w:color w:val="auto"/>
                <w:sz w:val="24"/>
                <w:szCs w:val="24"/>
                <w:lang w:val="en-US" w:eastAsia="zh-CN"/>
              </w:rPr>
              <w:t>2</w:t>
            </w:r>
            <w:r>
              <w:rPr>
                <w:rFonts w:hint="eastAsia" w:cs="Times New Roman"/>
                <w:b w:val="0"/>
                <w:bCs/>
                <w:color w:val="auto"/>
                <w:sz w:val="24"/>
                <w:szCs w:val="24"/>
                <w:lang w:val="en-US" w:eastAsia="zh-CN"/>
              </w:rPr>
              <w:t>0</w:t>
            </w:r>
            <w:r>
              <w:rPr>
                <w:rFonts w:hint="default" w:ascii="Times New Roman" w:hAnsi="Times New Roman" w:eastAsia="宋体" w:cs="Times New Roman"/>
                <w:b w:val="0"/>
                <w:bCs/>
                <w:color w:val="auto"/>
                <w:sz w:val="24"/>
                <w:szCs w:val="24"/>
                <w:lang w:val="en-US" w:eastAsia="zh-CN"/>
              </w:rPr>
              <w:t>′</w:t>
            </w:r>
            <w:r>
              <w:rPr>
                <w:rFonts w:hint="eastAsia" w:cs="Times New Roman"/>
                <w:b w:val="0"/>
                <w:bCs/>
                <w:color w:val="auto"/>
                <w:sz w:val="24"/>
                <w:szCs w:val="24"/>
                <w:lang w:val="en-US" w:eastAsia="zh-CN"/>
              </w:rPr>
              <w:t>12.340</w:t>
            </w:r>
            <w:r>
              <w:rPr>
                <w:rFonts w:hint="default" w:ascii="Times New Roman" w:hAnsi="Times New Roman" w:eastAsia="宋体" w:cs="Times New Roman"/>
                <w:b w:val="0"/>
                <w:bCs/>
                <w:color w:val="auto"/>
                <w:sz w:val="24"/>
                <w:szCs w:val="24"/>
                <w:lang w:val="en-US" w:eastAsia="zh-CN"/>
              </w:rPr>
              <w:t>″，北纬35°</w:t>
            </w:r>
            <w:r>
              <w:rPr>
                <w:rFonts w:hint="eastAsia" w:cs="Times New Roman"/>
                <w:b w:val="0"/>
                <w:bCs/>
                <w:color w:val="auto"/>
                <w:sz w:val="24"/>
                <w:szCs w:val="24"/>
                <w:lang w:val="en-US" w:eastAsia="zh-CN"/>
              </w:rPr>
              <w:t>28</w:t>
            </w:r>
            <w:r>
              <w:rPr>
                <w:rFonts w:hint="default" w:ascii="Times New Roman" w:hAnsi="Times New Roman" w:eastAsia="宋体" w:cs="Times New Roman"/>
                <w:b w:val="0"/>
                <w:bCs/>
                <w:color w:val="auto"/>
                <w:sz w:val="24"/>
                <w:szCs w:val="24"/>
                <w:lang w:val="en-US" w:eastAsia="zh-CN"/>
              </w:rPr>
              <w:t>′</w:t>
            </w:r>
            <w:r>
              <w:rPr>
                <w:rFonts w:hint="eastAsia" w:cs="Times New Roman"/>
                <w:b w:val="0"/>
                <w:bCs/>
                <w:color w:val="auto"/>
                <w:sz w:val="24"/>
                <w:szCs w:val="24"/>
                <w:lang w:val="en-US" w:eastAsia="zh-CN"/>
              </w:rPr>
              <w:t>49.603</w:t>
            </w:r>
            <w:r>
              <w:rPr>
                <w:rFonts w:hint="default" w:ascii="Times New Roman" w:hAnsi="Times New Roman" w:eastAsia="宋体" w:cs="Times New Roman"/>
                <w:b w:val="0"/>
                <w:bCs/>
                <w:color w:val="auto"/>
                <w:sz w:val="24"/>
                <w:szCs w:val="24"/>
                <w:lang w:val="en-US" w:eastAsia="zh-CN"/>
              </w:rPr>
              <w:t>″，项目地理位置见附图3-2。项目</w:t>
            </w:r>
            <w:r>
              <w:rPr>
                <w:rFonts w:hint="default" w:ascii="Times New Roman" w:hAnsi="Times New Roman" w:cs="Times New Roman"/>
                <w:b w:val="0"/>
                <w:bCs/>
                <w:color w:val="auto"/>
                <w:sz w:val="24"/>
                <w:szCs w:val="24"/>
                <w:lang w:val="en-US" w:eastAsia="zh-CN"/>
              </w:rPr>
              <w:t>四至为东至</w:t>
            </w:r>
            <w:r>
              <w:rPr>
                <w:rFonts w:hint="eastAsia" w:cs="Times New Roman"/>
                <w:b w:val="0"/>
                <w:bCs/>
                <w:color w:val="auto"/>
                <w:sz w:val="24"/>
                <w:szCs w:val="24"/>
                <w:lang w:val="en-US" w:eastAsia="zh-CN"/>
              </w:rPr>
              <w:t>农田</w:t>
            </w:r>
            <w:r>
              <w:rPr>
                <w:rFonts w:hint="default" w:ascii="Times New Roman" w:hAnsi="Times New Roman" w:cs="Times New Roman"/>
                <w:b w:val="0"/>
                <w:bCs/>
                <w:color w:val="auto"/>
                <w:sz w:val="24"/>
                <w:szCs w:val="24"/>
                <w:lang w:val="en-US" w:eastAsia="zh-CN"/>
              </w:rPr>
              <w:t>；南</w:t>
            </w:r>
            <w:r>
              <w:rPr>
                <w:rFonts w:hint="eastAsia" w:cs="Times New Roman"/>
                <w:b w:val="0"/>
                <w:bCs/>
                <w:color w:val="auto"/>
                <w:sz w:val="24"/>
                <w:szCs w:val="24"/>
                <w:lang w:val="en-US" w:eastAsia="zh-CN"/>
              </w:rPr>
              <w:t>侧及次侧均为</w:t>
            </w:r>
            <w:r>
              <w:rPr>
                <w:rFonts w:hint="default" w:ascii="Times New Roman" w:hAnsi="Times New Roman" w:cs="Times New Roman"/>
                <w:b w:val="0"/>
                <w:bCs/>
                <w:color w:val="auto"/>
                <w:sz w:val="24"/>
                <w:szCs w:val="24"/>
                <w:lang w:val="en-US" w:eastAsia="zh-CN"/>
              </w:rPr>
              <w:t>至土堎；</w:t>
            </w:r>
            <w:r>
              <w:rPr>
                <w:rFonts w:hint="default" w:ascii="Times New Roman" w:hAnsi="Times New Roman" w:eastAsia="宋体" w:cs="Times New Roman"/>
                <w:b w:val="0"/>
                <w:bCs/>
                <w:color w:val="auto"/>
                <w:sz w:val="24"/>
                <w:szCs w:val="24"/>
                <w:lang w:val="en-US" w:eastAsia="zh-CN"/>
              </w:rPr>
              <w:t>北</w:t>
            </w:r>
            <w:r>
              <w:rPr>
                <w:rFonts w:hint="default" w:ascii="Times New Roman" w:hAnsi="Times New Roman" w:cs="Times New Roman"/>
                <w:b w:val="0"/>
                <w:bCs/>
                <w:color w:val="auto"/>
                <w:sz w:val="24"/>
                <w:szCs w:val="24"/>
                <w:lang w:val="en-US" w:eastAsia="zh-CN"/>
              </w:rPr>
              <w:t>至</w:t>
            </w:r>
            <w:r>
              <w:rPr>
                <w:rFonts w:hint="eastAsia" w:cs="Times New Roman"/>
                <w:b w:val="0"/>
                <w:bCs/>
                <w:color w:val="auto"/>
                <w:sz w:val="24"/>
                <w:szCs w:val="24"/>
                <w:lang w:val="en-US" w:eastAsia="zh-CN"/>
              </w:rPr>
              <w:t>荣盛路。</w:t>
            </w:r>
            <w:r>
              <w:rPr>
                <w:rFonts w:hint="default" w:ascii="Times New Roman" w:hAnsi="Times New Roman" w:cs="Times New Roman"/>
                <w:b w:val="0"/>
                <w:bCs/>
                <w:color w:val="auto"/>
                <w:sz w:val="24"/>
                <w:szCs w:val="24"/>
                <w:lang w:val="en-US" w:eastAsia="zh-CN"/>
              </w:rPr>
              <w:t>项目四至关系</w:t>
            </w:r>
            <w:r>
              <w:rPr>
                <w:rFonts w:hint="default" w:ascii="Times New Roman" w:hAnsi="Times New Roman" w:eastAsia="宋体" w:cs="Times New Roman"/>
                <w:b w:val="0"/>
                <w:bCs/>
                <w:color w:val="auto"/>
                <w:sz w:val="24"/>
                <w:szCs w:val="24"/>
                <w:lang w:val="en-US" w:eastAsia="zh-CN"/>
              </w:rPr>
              <w:t>见附图3-3。</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要求，环境保护目标确定为：大气环境明确厂界外500m范围内自然保护区、风景名胜区、居住区、文化区和农村地区中人群较集中的区域；声环境明确厂界外50m范围内声环境保护目标；地下水环境明确厂界外500m范围内地下水集中式饮用水水源和热水、矿泉水、温泉等特殊地下水资源。</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①大气环境</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根据调查，本项目厂界外500米范围内大气环境保护目标主要为</w:t>
            </w:r>
            <w:r>
              <w:rPr>
                <w:rFonts w:hint="eastAsia" w:cs="Times New Roman"/>
                <w:b w:val="0"/>
                <w:bCs/>
                <w:color w:val="auto"/>
                <w:sz w:val="24"/>
                <w:szCs w:val="24"/>
                <w:lang w:val="en-US" w:eastAsia="zh-CN"/>
              </w:rPr>
              <w:t>下桥村</w:t>
            </w:r>
            <w:r>
              <w:rPr>
                <w:rFonts w:hint="default" w:ascii="Times New Roman" w:hAnsi="Times New Roman" w:eastAsia="宋体" w:cs="Times New Roman"/>
                <w:b w:val="0"/>
                <w:bCs/>
                <w:color w:val="auto"/>
                <w:sz w:val="24"/>
                <w:szCs w:val="24"/>
                <w:lang w:val="en-US" w:eastAsia="zh-CN"/>
              </w:rPr>
              <w:t>，大气环境保护目标见表3-3，具体分布情况见附图3-3。</w:t>
            </w:r>
          </w:p>
          <w:p>
            <w:pPr>
              <w:pStyle w:val="48"/>
              <w:spacing w:before="0" w:after="0" w:line="240" w:lineRule="auto"/>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表3.3  项目大气环境保护目标一览表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256"/>
              <w:gridCol w:w="1216"/>
              <w:gridCol w:w="857"/>
              <w:gridCol w:w="955"/>
              <w:gridCol w:w="1511"/>
              <w:gridCol w:w="885"/>
              <w:gridCol w:w="9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77" w:type="pct"/>
                  <w:vMerge w:val="restar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名称</w:t>
                  </w:r>
                </w:p>
              </w:tc>
              <w:tc>
                <w:tcPr>
                  <w:tcW w:w="1439" w:type="pct"/>
                  <w:gridSpan w:val="2"/>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坐标/°</w:t>
                  </w:r>
                </w:p>
              </w:tc>
              <w:tc>
                <w:tcPr>
                  <w:tcW w:w="499" w:type="pct"/>
                  <w:vMerge w:val="restar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保护对象</w:t>
                  </w:r>
                </w:p>
              </w:tc>
              <w:tc>
                <w:tcPr>
                  <w:tcW w:w="556" w:type="pct"/>
                  <w:vMerge w:val="restar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保护内容(人)</w:t>
                  </w:r>
                </w:p>
              </w:tc>
              <w:tc>
                <w:tcPr>
                  <w:tcW w:w="880" w:type="pct"/>
                  <w:vMerge w:val="restar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环境功能区</w:t>
                  </w:r>
                </w:p>
              </w:tc>
              <w:tc>
                <w:tcPr>
                  <w:tcW w:w="515" w:type="pct"/>
                  <w:vMerge w:val="restar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相对厂址方位</w:t>
                  </w:r>
                </w:p>
              </w:tc>
              <w:tc>
                <w:tcPr>
                  <w:tcW w:w="531" w:type="pct"/>
                  <w:vMerge w:val="restar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77" w:type="pct"/>
                  <w:vMerge w:val="continue"/>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p>
              </w:tc>
              <w:tc>
                <w:tcPr>
                  <w:tcW w:w="731" w:type="pc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经度</w:t>
                  </w:r>
                </w:p>
              </w:tc>
              <w:tc>
                <w:tcPr>
                  <w:tcW w:w="707" w:type="pc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纬度</w:t>
                  </w:r>
                </w:p>
              </w:tc>
              <w:tc>
                <w:tcPr>
                  <w:tcW w:w="499" w:type="pct"/>
                  <w:vMerge w:val="continue"/>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p>
              </w:tc>
              <w:tc>
                <w:tcPr>
                  <w:tcW w:w="556" w:type="pct"/>
                  <w:vMerge w:val="continue"/>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p>
              </w:tc>
              <w:tc>
                <w:tcPr>
                  <w:tcW w:w="880" w:type="pct"/>
                  <w:vMerge w:val="continue"/>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p>
              </w:tc>
              <w:tc>
                <w:tcPr>
                  <w:tcW w:w="515" w:type="pct"/>
                  <w:vMerge w:val="continue"/>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p>
              </w:tc>
              <w:tc>
                <w:tcPr>
                  <w:tcW w:w="531" w:type="pct"/>
                  <w:vMerge w:val="continue"/>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7" w:type="pct"/>
                  <w:tcBorders>
                    <w:tl2br w:val="nil"/>
                    <w:tr2bl w:val="nil"/>
                  </w:tcBorders>
                  <w:shd w:val="clear" w:color="auto" w:fill="auto"/>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下桥村</w:t>
                  </w:r>
                </w:p>
              </w:tc>
              <w:tc>
                <w:tcPr>
                  <w:tcW w:w="731" w:type="pct"/>
                  <w:tcBorders>
                    <w:tl2br w:val="nil"/>
                    <w:tr2bl w:val="nil"/>
                  </w:tcBorders>
                  <w:shd w:val="clear" w:color="auto" w:fill="auto"/>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106.339486</w:t>
                  </w:r>
                </w:p>
              </w:tc>
              <w:tc>
                <w:tcPr>
                  <w:tcW w:w="707" w:type="pct"/>
                  <w:tcBorders>
                    <w:tl2br w:val="nil"/>
                    <w:tr2bl w:val="nil"/>
                  </w:tcBorders>
                  <w:shd w:val="clear" w:color="auto" w:fill="auto"/>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35.482924</w:t>
                  </w:r>
                </w:p>
              </w:tc>
              <w:tc>
                <w:tcPr>
                  <w:tcW w:w="499" w:type="pc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56" w:type="pc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880" w:type="pc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二类环境空气功能区</w:t>
                  </w:r>
                </w:p>
              </w:tc>
              <w:tc>
                <w:tcPr>
                  <w:tcW w:w="515" w:type="pc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cs="Times New Roman"/>
                      <w:color w:val="auto"/>
                      <w:sz w:val="21"/>
                      <w:szCs w:val="21"/>
                      <w:lang w:val="en-US" w:eastAsia="zh-CN"/>
                    </w:rPr>
                    <w:t>W</w:t>
                  </w:r>
                </w:p>
              </w:tc>
              <w:tc>
                <w:tcPr>
                  <w:tcW w:w="531" w:type="pct"/>
                  <w:tcBorders>
                    <w:tl2br w:val="nil"/>
                    <w:tr2bl w:val="nil"/>
                  </w:tcBorders>
                  <w:noWrap w:val="0"/>
                  <w:vAlign w:val="center"/>
                </w:tcPr>
                <w:p>
                  <w:pPr>
                    <w:pStyle w:val="31"/>
                    <w:spacing w:before="24" w:after="24"/>
                    <w:ind w:firstLine="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208</w:t>
                  </w:r>
                  <w:r>
                    <w:rPr>
                      <w:rFonts w:hint="default" w:ascii="Times New Roman" w:hAnsi="Times New Roman" w:cs="Times New Roman"/>
                      <w:color w:val="auto"/>
                      <w:sz w:val="21"/>
                      <w:szCs w:val="21"/>
                      <w:lang w:val="en-US" w:eastAsia="zh-CN"/>
                    </w:rPr>
                    <w:t>m</w:t>
                  </w:r>
                </w:p>
              </w:tc>
            </w:tr>
          </w:tbl>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②声环境：本项目厂界周边50米范围内不涉及声环境保护目标；</w:t>
            </w:r>
          </w:p>
          <w:p>
            <w:pPr>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③地下水环境：厂界外500米范围内的不涉及地下水集中式饮用水水源和热水、矿泉水、温泉等特殊地下水资源；</w:t>
            </w:r>
          </w:p>
          <w:p>
            <w:pPr>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color w:val="auto"/>
                <w:sz w:val="24"/>
                <w:szCs w:val="24"/>
                <w:lang w:val="en-US" w:eastAsia="zh-CN"/>
              </w:rPr>
              <w:t>④生态环境：本项目位于固原市泾源县香水镇城关村八组宁夏泾源县六盘山牧业有限责任公司现有厂区内，不新增用地，不涉及生态环境保护目标。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98"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污染物排放控制标准</w:t>
            </w:r>
          </w:p>
        </w:tc>
        <w:tc>
          <w:tcPr>
            <w:tcW w:w="8492" w:type="dxa"/>
            <w:tcBorders>
              <w:tl2br w:val="nil"/>
              <w:tr2bl w:val="nil"/>
            </w:tcBorders>
            <w:noWrap w:val="0"/>
            <w:vAlign w:val="center"/>
          </w:tcPr>
          <w:p>
            <w:pPr>
              <w:pStyle w:val="3"/>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color w:val="auto"/>
                <w:sz w:val="24"/>
                <w:szCs w:val="24"/>
                <w:lang w:val="en-US" w:eastAsia="zh-CN"/>
              </w:rPr>
            </w:pPr>
            <w:bookmarkStart w:id="11" w:name="_Toc18804"/>
            <w:bookmarkStart w:id="12" w:name="_Toc25191"/>
            <w:bookmarkStart w:id="13" w:name="_Toc1769"/>
            <w:bookmarkStart w:id="14" w:name="_Toc471"/>
            <w:r>
              <w:rPr>
                <w:rFonts w:hint="default" w:ascii="Times New Roman" w:hAnsi="Times New Roman" w:eastAsia="黑体" w:cs="Times New Roman"/>
                <w:color w:val="auto"/>
                <w:sz w:val="24"/>
                <w:szCs w:val="24"/>
                <w:lang w:val="en-US" w:eastAsia="zh-CN"/>
              </w:rPr>
              <w:t>一、废气</w:t>
            </w:r>
            <w:bookmarkEnd w:id="11"/>
            <w:bookmarkEnd w:id="12"/>
            <w:bookmarkEnd w:id="13"/>
            <w:bookmarkEnd w:id="1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项目施工期扬尘执行《大气污染物综合排放标准》（GB16297-1996）表2新污染源大气污染物排放限值，</w:t>
            </w:r>
            <w:r>
              <w:rPr>
                <w:rFonts w:hint="default" w:ascii="Times New Roman" w:hAnsi="Times New Roman" w:cs="Times New Roman"/>
                <w:color w:val="auto"/>
                <w:sz w:val="24"/>
                <w:lang w:eastAsia="zh-CN"/>
              </w:rPr>
              <w:t>详</w:t>
            </w:r>
            <w:r>
              <w:rPr>
                <w:rFonts w:hint="default" w:ascii="Times New Roman" w:hAnsi="Times New Roman" w:cs="Times New Roman"/>
                <w:color w:val="auto"/>
                <w:sz w:val="24"/>
              </w:rPr>
              <w:t>见表3</w:t>
            </w:r>
            <w:r>
              <w:rPr>
                <w:rFonts w:hint="default" w:ascii="Times New Roman" w:hAnsi="Times New Roman" w:cs="Times New Roman"/>
                <w:color w:val="auto"/>
                <w:sz w:val="24"/>
                <w:lang w:val="en-US" w:eastAsia="zh-CN"/>
              </w:rPr>
              <w:t>-</w:t>
            </w:r>
            <w:r>
              <w:rPr>
                <w:rFonts w:hint="eastAsia" w:cs="Times New Roman"/>
                <w:color w:val="auto"/>
                <w:sz w:val="24"/>
                <w:lang w:val="en-US" w:eastAsia="zh-CN"/>
              </w:rPr>
              <w:t>4</w:t>
            </w:r>
            <w:r>
              <w:rPr>
                <w:rFonts w:hint="default" w:ascii="Times New Roman" w:hAnsi="Times New Roman" w:cs="Times New Roman"/>
                <w:color w:val="auto"/>
                <w:sz w:val="24"/>
              </w:rPr>
              <w:t>。</w:t>
            </w:r>
          </w:p>
          <w:p>
            <w:pPr>
              <w:pStyle w:val="48"/>
              <w:spacing w:before="0" w:after="0" w:line="240" w:lineRule="auto"/>
              <w:rPr>
                <w:rFonts w:hint="default" w:ascii="Times New Roman" w:hAnsi="Times New Roman" w:eastAsia="黑体" w:cs="Times New Roman"/>
                <w:bCs/>
                <w:color w:val="auto"/>
              </w:rPr>
            </w:pPr>
            <w:r>
              <w:rPr>
                <w:rFonts w:hint="default" w:ascii="Times New Roman" w:hAnsi="Times New Roman" w:eastAsia="黑体" w:cs="Times New Roman"/>
                <w:bCs/>
                <w:color w:val="auto"/>
              </w:rPr>
              <w:t>表3-</w:t>
            </w:r>
            <w:r>
              <w:rPr>
                <w:rFonts w:hint="eastAsia" w:ascii="Times New Roman" w:eastAsia="黑体" w:cs="Times New Roman"/>
                <w:bCs/>
                <w:color w:val="auto"/>
                <w:lang w:val="en-US" w:eastAsia="zh-CN"/>
              </w:rPr>
              <w:t>4</w:t>
            </w:r>
            <w:r>
              <w:rPr>
                <w:rFonts w:hint="default" w:ascii="Times New Roman" w:hAnsi="Times New Roman" w:eastAsia="黑体" w:cs="Times New Roman"/>
                <w:bCs/>
                <w:color w:val="auto"/>
              </w:rPr>
              <w:t xml:space="preserve">  </w:t>
            </w:r>
            <w:r>
              <w:rPr>
                <w:rFonts w:hint="default" w:ascii="Times New Roman" w:hAnsi="Times New Roman" w:eastAsia="黑体" w:cs="Times New Roman"/>
                <w:bCs/>
                <w:color w:val="auto"/>
                <w:lang w:val="en-US" w:eastAsia="zh-CN"/>
              </w:rPr>
              <w:t>本项目施工期</w:t>
            </w:r>
            <w:r>
              <w:rPr>
                <w:rFonts w:hint="default" w:ascii="Times New Roman" w:hAnsi="Times New Roman" w:eastAsia="黑体" w:cs="Times New Roman"/>
                <w:bCs/>
                <w:color w:val="auto"/>
              </w:rPr>
              <w:t>废气排放标准</w:t>
            </w:r>
          </w:p>
          <w:tbl>
            <w:tblPr>
              <w:tblStyle w:val="23"/>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2876"/>
              <w:gridCol w:w="46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 w:hRule="atLeast"/>
                <w:jc w:val="center"/>
              </w:trPr>
              <w:tc>
                <w:tcPr>
                  <w:tcW w:w="617" w:type="pct"/>
                  <w:tcBorders>
                    <w:tl2br w:val="nil"/>
                    <w:tr2bl w:val="nil"/>
                  </w:tcBorders>
                  <w:shd w:val="clear" w:color="auto" w:fill="auto"/>
                  <w:vAlign w:val="center"/>
                </w:tcPr>
                <w:p>
                  <w:pPr>
                    <w:pStyle w:val="31"/>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676" w:type="pct"/>
                  <w:tcBorders>
                    <w:tl2br w:val="nil"/>
                    <w:tr2bl w:val="nil"/>
                  </w:tcBorders>
                  <w:shd w:val="clear" w:color="auto" w:fill="auto"/>
                  <w:vAlign w:val="center"/>
                </w:tcPr>
                <w:p>
                  <w:pPr>
                    <w:pStyle w:val="31"/>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厂界无组织排放监控浓度限值(mg/m³)</w:t>
                  </w:r>
                </w:p>
              </w:tc>
              <w:tc>
                <w:tcPr>
                  <w:tcW w:w="2706" w:type="pct"/>
                  <w:tcBorders>
                    <w:tl2br w:val="nil"/>
                    <w:tr2bl w:val="nil"/>
                  </w:tcBorders>
                  <w:shd w:val="clear" w:color="auto" w:fill="auto"/>
                  <w:vAlign w:val="center"/>
                </w:tcPr>
                <w:p>
                  <w:pPr>
                    <w:pStyle w:val="31"/>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617" w:type="pct"/>
                  <w:tcBorders>
                    <w:tl2br w:val="nil"/>
                    <w:tr2bl w:val="nil"/>
                  </w:tcBorders>
                  <w:shd w:val="clear" w:color="auto" w:fill="auto"/>
                  <w:vAlign w:val="center"/>
                </w:tcPr>
                <w:p>
                  <w:pPr>
                    <w:pStyle w:val="31"/>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676" w:type="pct"/>
                  <w:tcBorders>
                    <w:tl2br w:val="nil"/>
                    <w:tr2bl w:val="nil"/>
                  </w:tcBorders>
                  <w:shd w:val="clear" w:color="auto" w:fill="auto"/>
                  <w:vAlign w:val="center"/>
                </w:tcPr>
                <w:p>
                  <w:pPr>
                    <w:pStyle w:val="31"/>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06" w:type="pct"/>
                  <w:tcBorders>
                    <w:tl2br w:val="nil"/>
                    <w:tr2bl w:val="nil"/>
                  </w:tcBorders>
                  <w:shd w:val="clear" w:color="auto" w:fill="auto"/>
                  <w:vAlign w:val="center"/>
                </w:tcPr>
                <w:p>
                  <w:pPr>
                    <w:pStyle w:val="31"/>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《大气污染物综合排放标准》（GB16297-1996）</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2、运营期</w:t>
            </w:r>
          </w:p>
          <w:p>
            <w:pPr>
              <w:numPr>
                <w:ilvl w:val="0"/>
                <w:numId w:val="1"/>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有组织废气</w:t>
            </w:r>
          </w:p>
          <w:p>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lang w:val="en-US" w:eastAsia="zh-CN"/>
              </w:rPr>
              <w:t>本项目有组织废气主要污染物为颗粒物、氨、硫化氢及臭气浓度，其中颗粒物</w:t>
            </w:r>
            <w:r>
              <w:rPr>
                <w:rFonts w:hint="default" w:ascii="Times New Roman" w:hAnsi="Times New Roman" w:cs="Times New Roman"/>
                <w:color w:val="auto"/>
                <w:sz w:val="24"/>
                <w:szCs w:val="24"/>
              </w:rPr>
              <w:t>排放执行《大气污染物综合排放标准》（GB16297-1996）表2新污染源排放限值</w:t>
            </w:r>
            <w:r>
              <w:rPr>
                <w:rFonts w:hint="default" w:ascii="Times New Roman" w:hAnsi="Times New Roman" w:cs="Times New Roman"/>
                <w:color w:val="auto"/>
                <w:sz w:val="24"/>
                <w:szCs w:val="24"/>
                <w:lang w:val="en-US" w:eastAsia="zh-CN"/>
              </w:rPr>
              <w:t>中二级标准限值要求；氨、硫化氢及臭气浓度排放速率及浓度执行《恶臭污染物排放标准》（GB14554-93）限值要求，详见表3-</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w:t>
            </w:r>
          </w:p>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3-</w:t>
            </w:r>
            <w:r>
              <w:rPr>
                <w:rFonts w:hint="eastAsia" w:eastAsia="黑体" w:cs="Times New Roman"/>
                <w:color w:val="auto"/>
                <w:sz w:val="24"/>
                <w:szCs w:val="24"/>
                <w:lang w:val="en-US" w:eastAsia="zh-CN"/>
              </w:rPr>
              <w:t>5</w:t>
            </w:r>
            <w:r>
              <w:rPr>
                <w:rFonts w:hint="default" w:ascii="Times New Roman" w:hAnsi="Times New Roman" w:eastAsia="黑体" w:cs="Times New Roman"/>
                <w:color w:val="auto"/>
                <w:sz w:val="24"/>
                <w:szCs w:val="24"/>
                <w:lang w:val="en-US" w:eastAsia="zh-CN"/>
              </w:rPr>
              <w:t xml:space="preserve">  有组织废气排放标准限值要求一览表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171"/>
              <w:gridCol w:w="1733"/>
              <w:gridCol w:w="1834"/>
              <w:gridCol w:w="2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6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排气筒高度/m</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最高允许排放浓度(mg/m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最高允许排放速率(kg/h</w:t>
                  </w:r>
                  <w:r>
                    <w:rPr>
                      <w:rFonts w:hint="default" w:ascii="Times New Roman" w:hAnsi="Times New Roman" w:cs="Times New Roman"/>
                      <w:b/>
                      <w:bCs/>
                      <w:color w:val="auto"/>
                      <w:sz w:val="21"/>
                      <w:szCs w:val="21"/>
                      <w:vertAlign w:val="baseline"/>
                      <w:lang w:val="en-US" w:eastAsia="zh-CN"/>
                    </w:rPr>
                    <w:t>)</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682" w:type="pct"/>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15</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氨</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w:t>
                  </w:r>
                </w:p>
              </w:tc>
              <w:tc>
                <w:tcPr>
                  <w:tcW w:w="15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硫化氢</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0.33</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臭气浓度</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2000（无量纲）</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bl>
          <w:p>
            <w:pPr>
              <w:numPr>
                <w:ilvl w:val="0"/>
                <w:numId w:val="0"/>
              </w:num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cs="Times New Roman"/>
                <w:color w:val="auto"/>
                <w:sz w:val="24"/>
                <w:lang w:val="en-US" w:eastAsia="zh-CN"/>
              </w:rPr>
              <w:t>无组织废气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本项目厂界处颗粒物排放执行</w:t>
            </w:r>
            <w:r>
              <w:rPr>
                <w:rFonts w:hint="default" w:ascii="Times New Roman" w:hAnsi="Times New Roman" w:cs="Times New Roman"/>
                <w:color w:val="auto"/>
                <w:sz w:val="24"/>
                <w:szCs w:val="24"/>
              </w:rPr>
              <w:t>《大气污染物综合排放标准》（GB16297-1996）表2</w:t>
            </w:r>
            <w:r>
              <w:rPr>
                <w:rFonts w:hint="default" w:ascii="Times New Roman" w:hAnsi="Times New Roman" w:cs="Times New Roman"/>
                <w:color w:val="auto"/>
                <w:sz w:val="24"/>
                <w:szCs w:val="24"/>
                <w:lang w:val="en-US" w:eastAsia="zh-CN"/>
              </w:rPr>
              <w:t>无组织排放控制浓度限值要求；氨、硫化氢及臭气浓度执行《恶臭污染物排放标准》（GB14554-93）排放限值要求，</w:t>
            </w:r>
            <w:r>
              <w:rPr>
                <w:rFonts w:hint="default" w:ascii="Times New Roman" w:hAnsi="Times New Roman" w:cs="Times New Roman"/>
                <w:color w:val="auto"/>
                <w:sz w:val="24"/>
                <w:szCs w:val="24"/>
                <w:lang w:eastAsia="zh-CN"/>
              </w:rPr>
              <w:t>具体见</w:t>
            </w:r>
            <w:r>
              <w:rPr>
                <w:rFonts w:hint="default" w:ascii="Times New Roman" w:hAnsi="Times New Roman" w:cs="Times New Roman"/>
                <w:color w:val="auto"/>
                <w:sz w:val="24"/>
                <w:szCs w:val="24"/>
                <w:lang w:val="en-US" w:eastAsia="zh-CN"/>
              </w:rPr>
              <w:t>下表3-</w:t>
            </w:r>
            <w:r>
              <w:rPr>
                <w:rFonts w:hint="eastAsia" w:cs="Times New Roman"/>
                <w:color w:val="auto"/>
                <w:sz w:val="24"/>
                <w:szCs w:val="24"/>
                <w:lang w:val="en-US" w:eastAsia="zh-CN"/>
              </w:rPr>
              <w:t>6</w:t>
            </w:r>
            <w:r>
              <w:rPr>
                <w:rFonts w:hint="default" w:ascii="Times New Roman" w:hAnsi="Times New Roman" w:cs="Times New Roman"/>
                <w:color w:val="auto"/>
                <w:sz w:val="24"/>
                <w:szCs w:val="24"/>
                <w:lang w:eastAsia="zh-CN"/>
              </w:rPr>
              <w:t>。</w:t>
            </w:r>
          </w:p>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lang w:eastAsia="zh-CN"/>
              </w:rPr>
            </w:pPr>
            <w:bookmarkStart w:id="15" w:name="_Toc27474"/>
            <w:bookmarkStart w:id="16" w:name="_Toc1680"/>
            <w:bookmarkStart w:id="17" w:name="_Toc20458"/>
            <w:bookmarkStart w:id="18" w:name="_Toc29661"/>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3-</w:t>
            </w:r>
            <w:r>
              <w:rPr>
                <w:rFonts w:hint="eastAsia" w:eastAsia="黑体" w:cs="Times New Roman"/>
                <w:color w:val="auto"/>
                <w:sz w:val="24"/>
                <w:szCs w:val="24"/>
                <w:lang w:val="en-US" w:eastAsia="zh-CN"/>
              </w:rPr>
              <w:t>6</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无组织废气排放标准限值要求一览表</w:t>
            </w:r>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3674"/>
              <w:gridCol w:w="3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污染物</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无组织排放控制浓度限值</w:t>
                  </w:r>
                  <w:r>
                    <w:rPr>
                      <w:rFonts w:hint="default" w:ascii="Times New Roman" w:hAnsi="Times New Roman" w:cs="Times New Roman"/>
                      <w:b/>
                      <w:bCs/>
                      <w:color w:val="auto"/>
                      <w:sz w:val="21"/>
                      <w:szCs w:val="21"/>
                      <w:lang w:val="en-US" w:eastAsia="zh-CN"/>
                    </w:rPr>
                    <w:t>(mg/m³</w:t>
                  </w:r>
                  <w:r>
                    <w:rPr>
                      <w:rFonts w:hint="default" w:ascii="Times New Roman" w:hAnsi="Times New Roman" w:cs="Times New Roman"/>
                      <w:b/>
                      <w:bCs/>
                      <w:color w:val="auto"/>
                      <w:sz w:val="21"/>
                      <w:szCs w:val="21"/>
                      <w:vertAlign w:val="baseline"/>
                      <w:lang w:val="en-US" w:eastAsia="zh-CN"/>
                    </w:rPr>
                    <w:t>)</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0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氨</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176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硫化氢</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臭气浓度</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20（无量纲）</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bl>
          <w:p>
            <w:pPr>
              <w:pStyle w:val="3"/>
              <w:bidi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二、</w:t>
            </w:r>
            <w:r>
              <w:rPr>
                <w:rFonts w:hint="default" w:ascii="Times New Roman" w:hAnsi="Times New Roman" w:cs="Times New Roman"/>
                <w:color w:val="auto"/>
                <w:sz w:val="24"/>
                <w:szCs w:val="24"/>
                <w:lang w:val="en-US" w:eastAsia="zh-CN"/>
              </w:rPr>
              <w:t>废水</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本项目运营期主要为生活污水，厂区设置防渗旱厕，粪污经清掏后用于生产有机肥，盥洗废水用于厂区洒水抑尘，不外排</w:t>
            </w:r>
            <w:r>
              <w:rPr>
                <w:rFonts w:hint="default" w:ascii="Times New Roman" w:hAnsi="Times New Roman" w:cs="Times New Roman"/>
                <w:color w:val="auto"/>
                <w:lang w:eastAsia="zh-CN"/>
              </w:rPr>
              <w:t>。</w:t>
            </w:r>
          </w:p>
          <w:bookmarkEnd w:id="15"/>
          <w:bookmarkEnd w:id="16"/>
          <w:bookmarkEnd w:id="17"/>
          <w:bookmarkEnd w:id="18"/>
          <w:p>
            <w:pPr>
              <w:pStyle w:val="3"/>
              <w:bidi w:val="0"/>
              <w:spacing w:line="360" w:lineRule="auto"/>
              <w:rPr>
                <w:rFonts w:hint="default" w:ascii="Times New Roman" w:hAnsi="Times New Roman" w:cs="Times New Roman"/>
                <w:color w:val="auto"/>
                <w:sz w:val="24"/>
                <w:szCs w:val="24"/>
              </w:rPr>
            </w:pPr>
            <w:bookmarkStart w:id="19" w:name="_Toc24970"/>
            <w:bookmarkStart w:id="20" w:name="_Toc1449"/>
            <w:bookmarkStart w:id="21" w:name="_Toc5614"/>
            <w:bookmarkStart w:id="22" w:name="_Toc26951"/>
            <w:r>
              <w:rPr>
                <w:rFonts w:hint="default" w:ascii="Times New Roman" w:hAnsi="Times New Roman" w:cs="Times New Roman"/>
                <w:color w:val="auto"/>
                <w:sz w:val="24"/>
                <w:szCs w:val="24"/>
                <w:lang w:val="en-US" w:eastAsia="zh-CN"/>
              </w:rPr>
              <w:t>三、</w:t>
            </w:r>
            <w:r>
              <w:rPr>
                <w:rFonts w:hint="default" w:ascii="Times New Roman" w:hAnsi="Times New Roman" w:cs="Times New Roman"/>
                <w:color w:val="auto"/>
                <w:sz w:val="24"/>
                <w:szCs w:val="24"/>
              </w:rPr>
              <w:t>噪声</w:t>
            </w:r>
            <w:bookmarkEnd w:id="19"/>
            <w:bookmarkEnd w:id="20"/>
            <w:bookmarkEnd w:id="21"/>
            <w:bookmarkEnd w:id="22"/>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本项目施工期</w:t>
            </w:r>
            <w:r>
              <w:rPr>
                <w:rFonts w:hint="default" w:ascii="Times New Roman" w:hAnsi="Times New Roman" w:cs="Times New Roman"/>
                <w:color w:val="auto"/>
                <w:sz w:val="24"/>
                <w:szCs w:val="24"/>
              </w:rPr>
              <w:t>厂界噪声排放执行《建筑施工场界环境噪声排放标准》（GB12523-2011）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运营期厂界噪声排放执行</w:t>
            </w:r>
            <w:r>
              <w:rPr>
                <w:rFonts w:hint="default" w:ascii="Times New Roman" w:hAnsi="Times New Roman" w:cs="Times New Roman"/>
                <w:color w:val="auto"/>
                <w:sz w:val="24"/>
                <w:szCs w:val="24"/>
              </w:rPr>
              <w:t>《工业企业厂界环境噪声排放标准》（GB12348-2008）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w:t>
            </w:r>
            <w:r>
              <w:rPr>
                <w:rFonts w:hint="default" w:ascii="Times New Roman" w:hAnsi="Times New Roman" w:cs="Times New Roman"/>
                <w:color w:val="auto"/>
                <w:sz w:val="24"/>
                <w:szCs w:val="24"/>
              </w:rPr>
              <w:t>，具体见表</w:t>
            </w:r>
            <w:r>
              <w:rPr>
                <w:rFonts w:hint="default" w:ascii="Times New Roman" w:hAnsi="Times New Roman" w:cs="Times New Roman"/>
                <w:color w:val="auto"/>
                <w:sz w:val="24"/>
                <w:szCs w:val="24"/>
                <w:lang w:val="en-US" w:eastAsia="zh-CN"/>
              </w:rPr>
              <w:t>3-</w:t>
            </w:r>
            <w:r>
              <w:rPr>
                <w:rFonts w:hint="eastAsia" w:cs="Times New Roman"/>
                <w:color w:val="auto"/>
                <w:sz w:val="24"/>
                <w:szCs w:val="24"/>
                <w:lang w:val="en-US" w:eastAsia="zh-CN"/>
              </w:rPr>
              <w:t>7</w:t>
            </w:r>
            <w:r>
              <w:rPr>
                <w:rFonts w:hint="default" w:ascii="Times New Roman" w:hAnsi="Times New Roman" w:cs="Times New Roman"/>
                <w:color w:val="auto"/>
                <w:sz w:val="24"/>
                <w:szCs w:val="24"/>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3-</w:t>
            </w:r>
            <w:r>
              <w:rPr>
                <w:rFonts w:hint="eastAsia" w:ascii="Times New Roman" w:eastAsia="黑体" w:cs="Times New Roman"/>
                <w:color w:val="auto"/>
                <w:lang w:val="en-US" w:eastAsia="zh-CN"/>
              </w:rPr>
              <w:t>7</w:t>
            </w:r>
            <w:r>
              <w:rPr>
                <w:rFonts w:hint="default" w:ascii="Times New Roman" w:hAnsi="Times New Roman" w:eastAsia="黑体" w:cs="Times New Roman"/>
                <w:color w:val="auto"/>
              </w:rPr>
              <w:t xml:space="preserve">  环境噪声排放标准表</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061"/>
              <w:gridCol w:w="3814"/>
              <w:gridCol w:w="1102"/>
              <w:gridCol w:w="878"/>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24" w:type="pct"/>
                  <w:gridSpan w:val="2"/>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污染类别</w:t>
                  </w:r>
                </w:p>
              </w:tc>
              <w:tc>
                <w:tcPr>
                  <w:tcW w:w="2221" w:type="pct"/>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c>
                <w:tcPr>
                  <w:tcW w:w="642" w:type="pct"/>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级(类)别</w:t>
                  </w:r>
                </w:p>
              </w:tc>
              <w:tc>
                <w:tcPr>
                  <w:tcW w:w="1111" w:type="pct"/>
                  <w:gridSpan w:val="2"/>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024" w:type="pct"/>
                  <w:gridSpan w:val="2"/>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2221" w:type="pct"/>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642" w:type="pct"/>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昼间</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6" w:type="pct"/>
                  <w:vMerge w:val="restart"/>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618"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施工期</w:t>
                  </w:r>
                </w:p>
              </w:tc>
              <w:tc>
                <w:tcPr>
                  <w:tcW w:w="222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《建筑施工场界环境噪声排放标准》GB12523-2011</w:t>
                  </w:r>
                </w:p>
              </w:tc>
              <w:tc>
                <w:tcPr>
                  <w:tcW w:w="64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w:t>
                  </w: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70</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color w:val="auto"/>
                    </w:rPr>
                  </w:pPr>
                </w:p>
              </w:tc>
              <w:tc>
                <w:tcPr>
                  <w:tcW w:w="618"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运营期</w:t>
                  </w:r>
                </w:p>
              </w:tc>
              <w:tc>
                <w:tcPr>
                  <w:tcW w:w="222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《工业企业厂界环境噪声排放标准》GB12348-2008</w:t>
                  </w:r>
                </w:p>
              </w:tc>
              <w:tc>
                <w:tcPr>
                  <w:tcW w:w="64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w:t>
                  </w: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60</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50</w:t>
                  </w:r>
                </w:p>
              </w:tc>
            </w:tr>
          </w:tbl>
          <w:p>
            <w:pPr>
              <w:pStyle w:val="3"/>
              <w:bidi w:val="0"/>
              <w:rPr>
                <w:rFonts w:hint="default" w:ascii="Times New Roman" w:hAnsi="Times New Roman" w:cs="Times New Roman"/>
                <w:color w:val="auto"/>
                <w:sz w:val="24"/>
                <w:szCs w:val="24"/>
              </w:rPr>
            </w:pPr>
            <w:bookmarkStart w:id="23" w:name="_Toc17890"/>
            <w:bookmarkStart w:id="24" w:name="_Toc11884"/>
            <w:bookmarkStart w:id="25" w:name="_Toc3704"/>
            <w:bookmarkStart w:id="26" w:name="_Toc1952"/>
            <w:r>
              <w:rPr>
                <w:rFonts w:hint="default" w:ascii="Times New Roman" w:hAnsi="Times New Roman" w:cs="Times New Roman"/>
                <w:color w:val="auto"/>
                <w:sz w:val="24"/>
                <w:szCs w:val="24"/>
                <w:lang w:val="en-US" w:eastAsia="zh-CN"/>
              </w:rPr>
              <w:t>四、</w:t>
            </w:r>
            <w:r>
              <w:rPr>
                <w:rFonts w:hint="default" w:ascii="Times New Roman" w:hAnsi="Times New Roman" w:cs="Times New Roman"/>
                <w:color w:val="auto"/>
                <w:sz w:val="24"/>
                <w:szCs w:val="24"/>
              </w:rPr>
              <w:t>固体废物</w:t>
            </w:r>
            <w:bookmarkEnd w:id="23"/>
            <w:bookmarkEnd w:id="24"/>
            <w:bookmarkEnd w:id="25"/>
            <w:bookmarkEnd w:id="26"/>
          </w:p>
          <w:p>
            <w:pPr>
              <w:pStyle w:val="3"/>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工业固体废物处置执行《一般工业固体废物贮存和填埋污染控制标准》（GB18599-2020），其中采用库房、包装工具（罐、桶、包装袋等）贮存一般工业固体废物过程的污染控制，不适用《一般工业固体废物贮存和填埋污染控制标准》(GB18599-2020)，其贮存过程应满足相应防渗漏、防雨淋、防扬尘等环境保护要求；</w:t>
            </w:r>
          </w:p>
          <w:p>
            <w:pPr>
              <w:pStyle w:val="3"/>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（2）生活垃圾处理、处置应满足《中华人民共和国固体废物污染环境防治法》中的有关规定要求。</w:t>
            </w:r>
          </w:p>
          <w:p>
            <w:pPr>
              <w:pStyle w:val="3"/>
              <w:ind w:firstLine="48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lang w:val="en-US" w:eastAsia="zh-CN"/>
              </w:rPr>
              <w:t>（3）本项目生产过程涉及危险废物的产生、收集、贮存等过程，执行《危险废物贮存污染控制标准》（GB18597-2023）及《危险废物收集 贮存 运输技术规范》（HJ2025-2012）要求。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3"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总量控制指标</w:t>
            </w:r>
          </w:p>
        </w:tc>
        <w:tc>
          <w:tcPr>
            <w:tcW w:w="8492" w:type="dxa"/>
            <w:tcBorders>
              <w:tl2br w:val="nil"/>
              <w:tr2bl w:val="nil"/>
            </w:tcBorders>
            <w:noWrap w:val="0"/>
            <w:vAlign w:val="top"/>
          </w:tcPr>
          <w:p>
            <w:pPr>
              <w:adjustRightInd w:val="0"/>
              <w:snapToGrid w:val="0"/>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w:t>
            </w:r>
            <w:r>
              <w:rPr>
                <w:rFonts w:hint="default" w:ascii="Times New Roman" w:hAnsi="Times New Roman" w:eastAsia="宋体" w:cs="Times New Roman"/>
                <w:color w:val="auto"/>
                <w:sz w:val="24"/>
                <w:highlight w:val="none"/>
                <w:lang w:eastAsia="zh-CN"/>
              </w:rPr>
              <w:t>《国务院关于印发大气污染防治行动计划的通知》（国发</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2013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eastAsia="zh-CN"/>
              </w:rPr>
              <w:t>37号）</w:t>
            </w:r>
            <w:r>
              <w:rPr>
                <w:rFonts w:hint="default" w:ascii="Times New Roman" w:hAnsi="Times New Roman" w:eastAsia="宋体" w:cs="Times New Roman"/>
                <w:color w:val="auto"/>
                <w:sz w:val="24"/>
                <w:highlight w:val="none"/>
              </w:rPr>
              <w:t>，大气污染防治行动计划要求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严格实施污染物排放总量控制，将二氧化硫、氮氧化物、烟粉尘和挥发性有机物排放是否符合总量控制要求作为建设项目环境影响评价审批的前置条件</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。根据《宁夏回族自治区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十四五</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主要污染物减排综合工作方案》（宁生态环保办[2021]14号）</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宁夏大气污染物排放总量控制因子为</w:t>
            </w:r>
            <w:r>
              <w:rPr>
                <w:rFonts w:hint="default" w:ascii="Times New Roman" w:hAnsi="Times New Roman" w:cs="Times New Roman"/>
                <w:color w:val="auto"/>
                <w:sz w:val="24"/>
                <w:highlight w:val="none"/>
                <w:lang w:val="en-US" w:eastAsia="zh-CN"/>
              </w:rPr>
              <w:t>SO</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rPr>
              <w:t>NO</w:t>
            </w:r>
            <w:r>
              <w:rPr>
                <w:rFonts w:hint="default" w:ascii="Times New Roman" w:hAnsi="Times New Roman" w:eastAsia="宋体" w:cs="Times New Roman"/>
                <w:color w:val="auto"/>
                <w:sz w:val="24"/>
                <w:highlight w:val="none"/>
                <w:vertAlign w:val="subscript"/>
              </w:rPr>
              <w:t>x</w:t>
            </w:r>
            <w:r>
              <w:rPr>
                <w:rFonts w:hint="default" w:ascii="Times New Roman" w:hAnsi="Times New Roman" w:eastAsia="宋体" w:cs="Times New Roman"/>
                <w:color w:val="auto"/>
                <w:sz w:val="24"/>
                <w:highlight w:val="none"/>
              </w:rPr>
              <w:t>、VOCs，水污染物排放总量控制因子为COD、NH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p>
          <w:p>
            <w:pPr>
              <w:pStyle w:val="3"/>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一、大气污染物排放总量指标</w:t>
            </w:r>
          </w:p>
          <w:p>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根据工程分析可知，本项目大气污染物排放总量控制因子为颗粒物，颗粒物不属于总量控制指标因子，不涉及总量控制的大气污染物</w:t>
            </w:r>
            <w:r>
              <w:rPr>
                <w:rFonts w:hint="default" w:ascii="Times New Roman" w:hAnsi="Times New Roman" w:cs="Times New Roman"/>
                <w:color w:val="auto"/>
                <w:lang w:eastAsia="zh-CN"/>
              </w:rPr>
              <w:t>。</w:t>
            </w:r>
          </w:p>
          <w:p>
            <w:pPr>
              <w:pStyle w:val="3"/>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二、水污染物排放总量指标</w:t>
            </w:r>
          </w:p>
          <w:p>
            <w:pPr>
              <w:adjustRightInd w:val="0"/>
              <w:snapToGrid w:val="0"/>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highlight w:val="none"/>
                <w:lang w:val="en-US" w:eastAsia="zh-CN"/>
              </w:rPr>
              <w:t>根据工程分析可知，项目主要为生活污水，</w:t>
            </w:r>
            <w:r>
              <w:rPr>
                <w:rFonts w:hint="default" w:ascii="Times New Roman" w:hAnsi="Times New Roman" w:cs="Times New Roman"/>
                <w:color w:val="auto"/>
                <w:sz w:val="24"/>
                <w:szCs w:val="24"/>
                <w:highlight w:val="none"/>
                <w:lang w:val="en-US" w:eastAsia="zh-CN"/>
              </w:rPr>
              <w:t>厂区设置防渗旱厕，粪污经清掏后用于生产有机肥，盥洗废水用于厂区洒水抑尘</w:t>
            </w:r>
            <w:r>
              <w:rPr>
                <w:rFonts w:hint="default" w:ascii="Times New Roman" w:hAnsi="Times New Roman" w:cs="Times New Roman"/>
                <w:color w:val="auto"/>
                <w:sz w:val="24"/>
                <w:highlight w:val="none"/>
                <w:lang w:val="en-US" w:eastAsia="zh-CN"/>
              </w:rPr>
              <w:t>，不外排，故本项目无水污染物排放总量指标因子。</w:t>
            </w:r>
          </w:p>
        </w:tc>
      </w:tr>
    </w:tbl>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Style w:val="2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7" w:hRule="atLeast"/>
          <w:jc w:val="center"/>
        </w:trPr>
        <w:tc>
          <w:tcPr>
            <w:tcW w:w="399" w:type="dxa"/>
            <w:noWrap w:val="0"/>
            <w:tcMar>
              <w:left w:w="28" w:type="dxa"/>
              <w:right w:w="28" w:type="dxa"/>
            </w:tcMar>
            <w:vAlign w:val="center"/>
          </w:tcPr>
          <w:p>
            <w:pPr>
              <w:pStyle w:val="19"/>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施工期环境保护措施</w:t>
            </w:r>
          </w:p>
        </w:tc>
        <w:tc>
          <w:tcPr>
            <w:tcW w:w="8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Cs/>
                <w:color w:val="auto"/>
                <w:sz w:val="24"/>
                <w:szCs w:val="24"/>
                <w:highlight w:val="none"/>
              </w:rPr>
              <w:t>本项目</w:t>
            </w:r>
            <w:r>
              <w:rPr>
                <w:rFonts w:hint="default" w:ascii="Times New Roman" w:hAnsi="Times New Roman" w:cs="Times New Roman"/>
                <w:bCs/>
                <w:color w:val="auto"/>
                <w:sz w:val="24"/>
                <w:szCs w:val="24"/>
                <w:highlight w:val="none"/>
                <w:lang w:eastAsia="zh-CN"/>
              </w:rPr>
              <w:t>施工期</w:t>
            </w:r>
            <w:r>
              <w:rPr>
                <w:rFonts w:hint="default" w:ascii="Times New Roman" w:hAnsi="Times New Roman" w:cs="Times New Roman"/>
                <w:color w:val="auto"/>
                <w:sz w:val="24"/>
                <w:szCs w:val="24"/>
                <w:lang w:val="en-US" w:eastAsia="zh-CN"/>
              </w:rPr>
              <w:t>主要为基础开挖、场地</w:t>
            </w:r>
            <w:r>
              <w:rPr>
                <w:rFonts w:hint="default" w:ascii="Times New Roman" w:hAnsi="Times New Roman" w:cs="Times New Roman"/>
                <w:color w:val="auto"/>
                <w:sz w:val="24"/>
              </w:rPr>
              <w:t>平整及配套设施</w:t>
            </w:r>
            <w:r>
              <w:rPr>
                <w:rFonts w:hint="default" w:ascii="Times New Roman" w:hAnsi="Times New Roman" w:cs="Times New Roman"/>
                <w:color w:val="auto"/>
                <w:sz w:val="24"/>
                <w:lang w:eastAsia="zh-CN"/>
              </w:rPr>
              <w:t>以及</w:t>
            </w:r>
            <w:r>
              <w:rPr>
                <w:rFonts w:hint="default" w:ascii="Times New Roman" w:hAnsi="Times New Roman" w:cs="Times New Roman"/>
                <w:color w:val="auto"/>
                <w:sz w:val="24"/>
              </w:rPr>
              <w:t>环保设施的建设与安装</w:t>
            </w:r>
            <w:r>
              <w:rPr>
                <w:rFonts w:hint="default" w:ascii="Times New Roman" w:hAnsi="Times New Roman" w:cs="Times New Roman"/>
                <w:color w:val="auto"/>
                <w:sz w:val="24"/>
                <w:lang w:eastAsia="zh-CN"/>
              </w:rPr>
              <w:t>以及</w:t>
            </w:r>
            <w:r>
              <w:rPr>
                <w:rFonts w:hint="default" w:ascii="Times New Roman" w:hAnsi="Times New Roman" w:cs="Times New Roman"/>
                <w:color w:val="auto"/>
                <w:sz w:val="24"/>
                <w:lang w:val="en-US" w:eastAsia="zh-CN"/>
              </w:rPr>
              <w:t>雨水排水沟的建设</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施工期</w:t>
            </w:r>
            <w:r>
              <w:rPr>
                <w:rFonts w:hint="default" w:ascii="Times New Roman" w:hAnsi="Times New Roman" w:cs="Times New Roman"/>
                <w:color w:val="auto"/>
                <w:sz w:val="24"/>
                <w:szCs w:val="24"/>
                <w:lang w:val="en-US" w:eastAsia="zh-CN"/>
              </w:rPr>
              <w:t>将产生扬尘、施工噪声、建筑垃圾、施工废水及施工人员产生的生活垃圾等。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一、废气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项目施工期环境空气污染物主要为施工扬尘和施工机械尾气。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项目施工期产生的扬尘主要来自基础开挖、场地平整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为避免产生扬尘，根据《宁夏回族自治区大气污染防治条例》</w:t>
            </w:r>
            <w:r>
              <w:rPr>
                <w:rFonts w:hint="default" w:ascii="Times New Roman" w:hAnsi="Times New Roman" w:cs="Times New Roman"/>
                <w:color w:val="auto"/>
                <w:sz w:val="24"/>
                <w:szCs w:val="24"/>
                <w:highlight w:val="none"/>
                <w:lang w:val="en-US" w:eastAsia="zh-CN"/>
              </w:rPr>
              <w:t>相关要求，</w:t>
            </w:r>
            <w:r>
              <w:rPr>
                <w:rFonts w:hint="default" w:ascii="Times New Roman" w:hAnsi="Times New Roman" w:cs="Times New Roman"/>
                <w:color w:val="auto"/>
                <w:sz w:val="24"/>
              </w:rPr>
              <w:t>项目施工期大气污染防治需落实“六个百分之百”的措施</w:t>
            </w:r>
            <w:r>
              <w:rPr>
                <w:rFonts w:hint="default" w:ascii="Times New Roman" w:hAnsi="Times New Roman" w:cs="Times New Roman"/>
                <w:color w:val="auto"/>
                <w:sz w:val="24"/>
                <w:lang w:eastAsia="zh-CN"/>
              </w:rPr>
              <w:t>，</w:t>
            </w:r>
            <w:r>
              <w:rPr>
                <w:rFonts w:hint="default" w:ascii="Times New Roman" w:hAnsi="Times New Roman" w:cs="Times New Roman"/>
                <w:color w:val="auto"/>
                <w:sz w:val="24"/>
                <w:szCs w:val="24"/>
                <w:highlight w:val="none"/>
                <w:lang w:val="en-US" w:eastAsia="zh-CN"/>
              </w:rPr>
              <w:t>即：</w:t>
            </w:r>
            <w:r>
              <w:rPr>
                <w:rFonts w:hint="default" w:ascii="Times New Roman" w:hAnsi="Times New Roman" w:eastAsia="宋体" w:cs="Times New Roman"/>
                <w:color w:val="auto"/>
                <w:sz w:val="24"/>
                <w:szCs w:val="24"/>
                <w:highlight w:val="none"/>
                <w:lang w:val="en-US" w:eastAsia="zh-CN"/>
              </w:rPr>
              <w:t>实施工地周边100%标准化围挡、物料堆放防尘100%覆盖、出入车辆100%冲洗、施工现场地面100%硬化、拆迁工地100%湿法作业、渣土车辆100%密闭运输。</w:t>
            </w:r>
            <w:r>
              <w:rPr>
                <w:rFonts w:hint="default" w:ascii="Times New Roman" w:hAnsi="Times New Roman" w:cs="Times New Roman"/>
                <w:color w:val="auto"/>
                <w:sz w:val="24"/>
                <w:szCs w:val="24"/>
                <w:highlight w:val="none"/>
                <w:lang w:val="en-US" w:eastAsia="zh-CN"/>
              </w:rPr>
              <w:t>具体如下：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(1)施工时设置施工标志牌，并标明扬尘防治措施责任人及环保监督电话。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(2)施工场地四周设置围挡，围挡高度不低于2.0m。围挡由金属、混凝土、塑料等硬质材料制作，并不得有明显破损的漏洞。此措施贯穿于整个施工过程，保证施工围挡100%。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(3)开挖时采取湿法作业，开挖土方集中堆放，并加盖苫布，缩小粉尘影响范围；施工结束后及时回填、压实，减少粉尘影响时间。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(4)施工过程中产生的弃料及建筑垃圾要集中堆放、及时清运。临时堆存点应覆盖防尘布，并定期喷水抑尘。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(5)施工场地每天定时洒水抑尘，施工洒水遵循少量多次的原则，施工现场每天洒水2~4次，每次洒水时控制洒水水量，以每次施工场地表面不起尘为准，派专人负责。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(6)物料运输利用周边已有道路，施工道路的清扫、运输过程产生的撒漏，拟委托环卫部门进行清理；对运输整个线路分段派专人负责，保证撒漏得到及时有效的清理。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(7)运输易产尘物料的车辆加盖苫布，运输车辆应按照交通部门核准的运输路线运行，不得超载；合理控制车速，并尽可能避免交通高峰期运输。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(8)施工过程中使用商品料，施工场地不设置现场沥青、混凝土搅拌站以及水稳拌合站。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(9)施工过程中产生的建筑垃圾应及时清运并在指定的垃圾处置场处置。不能及时清运的，应当采取封闭、遮盖等有效防尘措施。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2、施工机械尾气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项目施工机械尾气主要由吊装机、装载机、运输车辆产生的机械尾气。对项目施工期作业提出以下防治措施：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(1)为降低机械尾气排放，应加强施工机械的使用管理和保养维修，合理降低使用次数，提高机械使用效率，以达到降低废气排放目的。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(2)合理安排施工运输工作，对于施工作业中的大型构件和大量物资及余方的运输，应尽量避开交通高峰期，以缓解交通压力。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综上，采取以上措施</w:t>
            </w:r>
            <w:r>
              <w:rPr>
                <w:rFonts w:hint="default" w:ascii="Times New Roman" w:hAnsi="Times New Roman" w:cs="Times New Roman"/>
                <w:color w:val="auto"/>
                <w:sz w:val="24"/>
                <w:szCs w:val="24"/>
                <w:highlight w:val="none"/>
                <w:lang w:val="en-US" w:eastAsia="zh-CN"/>
              </w:rPr>
              <w:t>后，</w:t>
            </w:r>
            <w:r>
              <w:rPr>
                <w:rFonts w:hint="default" w:ascii="Times New Roman" w:hAnsi="Times New Roman" w:cs="Times New Roman"/>
                <w:color w:val="auto"/>
                <w:sz w:val="24"/>
              </w:rPr>
              <w:t>项目施工期废气对周边环境影响较小，措施可行。</w:t>
            </w:r>
          </w:p>
          <w:p>
            <w:pPr>
              <w:pStyle w:val="3"/>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二</w:t>
            </w:r>
            <w:r>
              <w:rPr>
                <w:rFonts w:hint="default" w:ascii="Times New Roman" w:hAnsi="Times New Roman" w:eastAsia="黑体" w:cs="Times New Roman"/>
                <w:color w:val="auto"/>
                <w:sz w:val="24"/>
                <w:szCs w:val="24"/>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施工人员</w:t>
            </w:r>
            <w:r>
              <w:rPr>
                <w:rFonts w:hint="default" w:ascii="Times New Roman" w:hAnsi="Times New Roman" w:cs="Times New Roman"/>
                <w:color w:val="auto"/>
                <w:sz w:val="24"/>
                <w:szCs w:val="24"/>
                <w:highlight w:val="none"/>
                <w:lang w:val="en-US" w:eastAsia="zh-CN"/>
              </w:rPr>
              <w:t>为周边村民，均</w:t>
            </w:r>
            <w:r>
              <w:rPr>
                <w:rFonts w:hint="default" w:ascii="Times New Roman" w:hAnsi="Times New Roman" w:eastAsia="宋体" w:cs="Times New Roman"/>
                <w:color w:val="auto"/>
                <w:sz w:val="24"/>
                <w:szCs w:val="24"/>
                <w:highlight w:val="none"/>
                <w:lang w:val="en-US" w:eastAsia="zh-CN"/>
              </w:rPr>
              <w:t>不在厂区食宿，因此无生活污水产生</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施工期会产生车辆冲洗废水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设置</w:t>
            </w:r>
            <w:r>
              <w:rPr>
                <w:rFonts w:hint="default" w:ascii="Times New Roman" w:hAnsi="Times New Roman" w:cs="Times New Roman"/>
                <w:color w:val="auto"/>
                <w:sz w:val="24"/>
                <w:szCs w:val="24"/>
                <w:highlight w:val="none"/>
                <w:lang w:val="en-US" w:eastAsia="zh-CN"/>
              </w:rPr>
              <w:t>简易</w:t>
            </w:r>
            <w:r>
              <w:rPr>
                <w:rFonts w:hint="default" w:ascii="Times New Roman" w:hAnsi="Times New Roman" w:eastAsia="宋体" w:cs="Times New Roman"/>
                <w:color w:val="auto"/>
                <w:sz w:val="24"/>
                <w:szCs w:val="24"/>
                <w:highlight w:val="none"/>
                <w:lang w:val="en-US" w:eastAsia="zh-CN"/>
              </w:rPr>
              <w:t>沉淀池，</w:t>
            </w:r>
            <w:r>
              <w:rPr>
                <w:rFonts w:hint="default" w:ascii="Times New Roman" w:hAnsi="Times New Roman" w:cs="Times New Roman"/>
                <w:color w:val="auto"/>
                <w:sz w:val="24"/>
                <w:szCs w:val="24"/>
                <w:highlight w:val="none"/>
                <w:lang w:val="en-US" w:eastAsia="zh-CN"/>
              </w:rPr>
              <w:t>废水中主要污染物为溶解性总固体，</w:t>
            </w:r>
            <w:r>
              <w:rPr>
                <w:rFonts w:hint="default" w:ascii="Times New Roman" w:hAnsi="Times New Roman" w:eastAsia="宋体" w:cs="Times New Roman"/>
                <w:color w:val="auto"/>
                <w:sz w:val="24"/>
                <w:szCs w:val="24"/>
                <w:highlight w:val="none"/>
                <w:lang w:val="en-US" w:eastAsia="zh-CN"/>
              </w:rPr>
              <w:t>废水</w:t>
            </w:r>
            <w:r>
              <w:rPr>
                <w:rFonts w:hint="default" w:ascii="Times New Roman" w:hAnsi="Times New Roman" w:cs="Times New Roman"/>
                <w:color w:val="auto"/>
                <w:sz w:val="24"/>
                <w:szCs w:val="24"/>
                <w:highlight w:val="none"/>
                <w:lang w:val="en-US" w:eastAsia="zh-CN"/>
              </w:rPr>
              <w:t>经简易</w:t>
            </w:r>
            <w:r>
              <w:rPr>
                <w:rFonts w:hint="default" w:ascii="Times New Roman" w:hAnsi="Times New Roman" w:eastAsia="宋体" w:cs="Times New Roman"/>
                <w:color w:val="auto"/>
                <w:sz w:val="24"/>
                <w:szCs w:val="24"/>
                <w:highlight w:val="none"/>
                <w:lang w:val="en-US" w:eastAsia="zh-CN"/>
              </w:rPr>
              <w:t>沉淀</w:t>
            </w:r>
            <w:r>
              <w:rPr>
                <w:rFonts w:hint="default" w:ascii="Times New Roman" w:hAnsi="Times New Roman" w:cs="Times New Roman"/>
                <w:color w:val="auto"/>
                <w:sz w:val="24"/>
                <w:szCs w:val="24"/>
                <w:highlight w:val="none"/>
                <w:lang w:val="en-US" w:eastAsia="zh-CN"/>
              </w:rPr>
              <w:t>池</w:t>
            </w:r>
            <w:r>
              <w:rPr>
                <w:rFonts w:hint="default" w:ascii="Times New Roman" w:hAnsi="Times New Roman" w:eastAsia="宋体" w:cs="Times New Roman"/>
                <w:color w:val="auto"/>
                <w:sz w:val="24"/>
                <w:szCs w:val="24"/>
                <w:highlight w:val="none"/>
                <w:lang w:val="en-US" w:eastAsia="zh-CN"/>
              </w:rPr>
              <w:t>处理后</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作为施工场地降尘及运输车辆和机械设备冲洗用水回用。</w:t>
            </w:r>
          </w:p>
          <w:p>
            <w:pPr>
              <w:pStyle w:val="3"/>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主要为运输车辆、</w:t>
            </w:r>
            <w:r>
              <w:rPr>
                <w:rFonts w:hint="default" w:ascii="Times New Roman" w:hAnsi="Times New Roman" w:cs="Times New Roman"/>
                <w:color w:val="auto"/>
                <w:sz w:val="24"/>
                <w:szCs w:val="24"/>
                <w:highlight w:val="none"/>
                <w:lang w:val="en-US" w:eastAsia="zh-CN"/>
              </w:rPr>
              <w:t>机械</w:t>
            </w:r>
            <w:r>
              <w:rPr>
                <w:rFonts w:hint="default" w:ascii="Times New Roman" w:hAnsi="Times New Roman" w:eastAsia="宋体" w:cs="Times New Roman"/>
                <w:color w:val="auto"/>
                <w:sz w:val="24"/>
                <w:szCs w:val="24"/>
                <w:highlight w:val="none"/>
                <w:lang w:val="en-US" w:eastAsia="zh-CN"/>
              </w:rPr>
              <w:t>设备等机械噪声，经现场调查，</w:t>
            </w:r>
            <w:r>
              <w:rPr>
                <w:rFonts w:hint="default" w:ascii="Times New Roman" w:hAnsi="Times New Roman" w:cs="Times New Roman"/>
                <w:color w:val="auto"/>
                <w:sz w:val="24"/>
                <w:szCs w:val="24"/>
                <w:highlight w:val="none"/>
                <w:lang w:val="en-US" w:eastAsia="zh-CN"/>
              </w:rPr>
              <w:t>本次施工场地</w:t>
            </w:r>
            <w:r>
              <w:rPr>
                <w:rFonts w:hint="default" w:ascii="Times New Roman" w:hAnsi="Times New Roman" w:eastAsia="宋体" w:cs="Times New Roman"/>
                <w:color w:val="auto"/>
                <w:sz w:val="24"/>
                <w:szCs w:val="24"/>
                <w:highlight w:val="none"/>
                <w:lang w:val="en-US" w:eastAsia="zh-CN"/>
              </w:rPr>
              <w:t>场界外50m范围内无声环境敏感保护目标，且在施工过程中合理安排施工时间、施工机械选型时尽量选用可替代的低噪声的设备，对动力机械设备进行定期的维修、养护，避免设备因松动部件的振动或消音器的损坏而增加其工作时的声压级；设备用完后或不用时应立即关闭</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承担原材料及建筑垃圾运输的车辆，进出施工场地及途经环境敏感点时要做到减速慢行，严禁鸣笛等减少对周围环境的影响</w:t>
            </w:r>
            <w:r>
              <w:rPr>
                <w:rFonts w:hint="default" w:ascii="Times New Roman" w:hAnsi="Times New Roman" w:cs="Times New Roman"/>
                <w:color w:val="auto"/>
                <w:sz w:val="24"/>
                <w:szCs w:val="24"/>
                <w:highlight w:val="none"/>
                <w:lang w:val="en-US" w:eastAsia="zh-CN"/>
              </w:rPr>
              <w:t>。</w:t>
            </w:r>
          </w:p>
          <w:p>
            <w:pPr>
              <w:pStyle w:val="3"/>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四</w:t>
            </w:r>
            <w:r>
              <w:rPr>
                <w:rFonts w:hint="default" w:ascii="Times New Roman" w:hAnsi="Times New Roman" w:eastAsia="黑体" w:cs="Times New Roman"/>
                <w:color w:val="auto"/>
                <w:sz w:val="24"/>
                <w:szCs w:val="24"/>
                <w:lang w:val="en-US" w:eastAsia="zh-CN"/>
              </w:rPr>
              <w:t>、固体废物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施工期</w:t>
            </w:r>
            <w:r>
              <w:rPr>
                <w:rFonts w:hint="default" w:ascii="Times New Roman" w:hAnsi="Times New Roman" w:eastAsia="宋体" w:cs="Times New Roman"/>
                <w:color w:val="auto"/>
                <w:sz w:val="24"/>
                <w:szCs w:val="24"/>
                <w:highlight w:val="none"/>
                <w:lang w:val="en-US" w:eastAsia="zh-CN"/>
              </w:rPr>
              <w:t>固体废物主要为</w:t>
            </w:r>
            <w:r>
              <w:rPr>
                <w:rFonts w:hint="default" w:ascii="Times New Roman" w:hAnsi="Times New Roman" w:cs="Times New Roman"/>
                <w:color w:val="auto"/>
                <w:sz w:val="24"/>
                <w:szCs w:val="24"/>
                <w:highlight w:val="none"/>
                <w:lang w:val="en-US" w:eastAsia="zh-CN"/>
              </w:rPr>
              <w:t>建筑垃圾以及废弃包装</w:t>
            </w:r>
            <w:r>
              <w:rPr>
                <w:rFonts w:hint="default" w:ascii="Times New Roman" w:hAnsi="Times New Roman" w:eastAsia="宋体" w:cs="Times New Roman"/>
                <w:color w:val="auto"/>
                <w:sz w:val="24"/>
                <w:szCs w:val="24"/>
                <w:highlight w:val="none"/>
                <w:lang w:val="en-US" w:eastAsia="zh-CN"/>
              </w:rPr>
              <w:t>，建筑垃圾应及时收集、清运，运输固体废物的车辆应当使用苫布遮挡，并且应在相关部门批准的地点妥善处置；</w:t>
            </w:r>
            <w:r>
              <w:rPr>
                <w:rFonts w:hint="default" w:ascii="Times New Roman" w:hAnsi="Times New Roman" w:cs="Times New Roman"/>
                <w:color w:val="auto"/>
                <w:sz w:val="24"/>
                <w:szCs w:val="24"/>
                <w:highlight w:val="none"/>
                <w:lang w:val="en-US" w:eastAsia="zh-CN"/>
              </w:rPr>
              <w:t>废弃包装</w:t>
            </w:r>
            <w:r>
              <w:rPr>
                <w:rFonts w:hint="default" w:ascii="Times New Roman" w:hAnsi="Times New Roman" w:eastAsia="宋体" w:cs="Times New Roman"/>
                <w:color w:val="auto"/>
                <w:sz w:val="24"/>
                <w:szCs w:val="24"/>
                <w:highlight w:val="none"/>
                <w:lang w:val="en-US" w:eastAsia="zh-CN"/>
              </w:rPr>
              <w:t>外售</w:t>
            </w:r>
            <w:r>
              <w:rPr>
                <w:rFonts w:hint="default" w:ascii="Times New Roman" w:hAnsi="Times New Roman" w:cs="Times New Roman"/>
                <w:color w:val="auto"/>
                <w:sz w:val="24"/>
                <w:szCs w:val="24"/>
                <w:highlight w:val="none"/>
                <w:lang w:val="en-US" w:eastAsia="zh-CN"/>
              </w:rPr>
              <w:t>综合利用</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综上，项目施工期</w:t>
            </w:r>
            <w:r>
              <w:rPr>
                <w:rFonts w:hint="default" w:ascii="Times New Roman" w:hAnsi="Times New Roman" w:eastAsia="宋体" w:cs="Times New Roman"/>
                <w:color w:val="auto"/>
                <w:sz w:val="24"/>
                <w:szCs w:val="24"/>
                <w:highlight w:val="none"/>
                <w:lang w:val="en-US" w:eastAsia="zh-CN"/>
              </w:rPr>
              <w:t>通过上述措施后对周围环境影响较小</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lang w:val="en-US" w:eastAsia="zh-CN"/>
              </w:rPr>
              <w:t>随着施工期的结束环境影响也随之结束。</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3"/>
        <w:tblW w:w="13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5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13592" w:type="dxa"/>
            <w:tcBorders>
              <w:tl2br w:val="nil"/>
              <w:tr2bl w:val="nil"/>
            </w:tcBorders>
            <w:noWrap w:val="0"/>
            <w:vAlign w:val="top"/>
          </w:tcPr>
          <w:p>
            <w:pPr>
              <w:pStyle w:val="3"/>
              <w:bidi w:val="0"/>
              <w:spacing w:line="360" w:lineRule="auto"/>
              <w:jc w:val="both"/>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一、废气</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1、污染源产排情况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本项目废气主要为混配废气G</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、发酵废气G</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、陈化废气G</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、粉碎废气G</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、筛分废气G</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、上料废气G</w:t>
            </w:r>
            <w:r>
              <w:rPr>
                <w:rFonts w:hint="default" w:ascii="Times New Roman" w:hAnsi="Times New Roman" w:eastAsia="宋体" w:cs="Times New Roman"/>
                <w:color w:val="auto"/>
                <w:kern w:val="2"/>
                <w:sz w:val="24"/>
                <w:szCs w:val="24"/>
                <w:vertAlign w:val="subscript"/>
                <w:lang w:val="en-US" w:eastAsia="zh-CN" w:bidi="ar-SA"/>
              </w:rPr>
              <w:t>6</w:t>
            </w:r>
            <w:r>
              <w:rPr>
                <w:rFonts w:hint="default" w:ascii="Times New Roman" w:hAnsi="Times New Roman" w:eastAsia="宋体" w:cs="Times New Roman"/>
                <w:color w:val="auto"/>
                <w:kern w:val="2"/>
                <w:sz w:val="24"/>
                <w:szCs w:val="24"/>
                <w:lang w:val="en-US" w:eastAsia="zh-CN" w:bidi="ar-SA"/>
              </w:rPr>
              <w:t>、造粒废气G</w:t>
            </w:r>
            <w:r>
              <w:rPr>
                <w:rFonts w:hint="default" w:ascii="Times New Roman" w:hAnsi="Times New Roman" w:eastAsia="宋体" w:cs="Times New Roman"/>
                <w:color w:val="auto"/>
                <w:kern w:val="2"/>
                <w:sz w:val="24"/>
                <w:szCs w:val="24"/>
                <w:vertAlign w:val="subscript"/>
                <w:lang w:val="en-US" w:eastAsia="zh-CN" w:bidi="ar-SA"/>
              </w:rPr>
              <w:t>7</w:t>
            </w:r>
            <w:r>
              <w:rPr>
                <w:rFonts w:hint="default" w:ascii="Times New Roman" w:hAnsi="Times New Roman" w:eastAsia="宋体" w:cs="Times New Roman"/>
                <w:color w:val="auto"/>
                <w:kern w:val="2"/>
                <w:sz w:val="24"/>
                <w:szCs w:val="24"/>
                <w:lang w:val="en-US" w:eastAsia="zh-CN" w:bidi="ar-SA"/>
              </w:rPr>
              <w:t>、冷却废气G</w:t>
            </w:r>
            <w:r>
              <w:rPr>
                <w:rFonts w:hint="default" w:ascii="Times New Roman" w:hAnsi="Times New Roman" w:eastAsia="宋体" w:cs="Times New Roman"/>
                <w:color w:val="auto"/>
                <w:kern w:val="2"/>
                <w:sz w:val="24"/>
                <w:szCs w:val="24"/>
                <w:vertAlign w:val="subscript"/>
                <w:lang w:val="en-US" w:eastAsia="zh-CN" w:bidi="ar-SA"/>
              </w:rPr>
              <w:t>8</w:t>
            </w:r>
            <w:r>
              <w:rPr>
                <w:rFonts w:hint="default" w:ascii="Times New Roman" w:hAnsi="Times New Roman" w:eastAsia="宋体" w:cs="Times New Roman"/>
                <w:color w:val="auto"/>
                <w:kern w:val="2"/>
                <w:sz w:val="24"/>
                <w:szCs w:val="24"/>
                <w:lang w:val="en-US" w:eastAsia="zh-CN" w:bidi="ar-SA"/>
              </w:rPr>
              <w:t>、二次筛分废气G</w:t>
            </w:r>
            <w:r>
              <w:rPr>
                <w:rFonts w:hint="default" w:ascii="Times New Roman" w:hAnsi="Times New Roman" w:eastAsia="宋体" w:cs="Times New Roman"/>
                <w:color w:val="auto"/>
                <w:kern w:val="2"/>
                <w:sz w:val="24"/>
                <w:szCs w:val="24"/>
                <w:vertAlign w:val="subscript"/>
                <w:lang w:val="en-US" w:eastAsia="zh-CN" w:bidi="ar-SA"/>
              </w:rPr>
              <w:t>9</w:t>
            </w:r>
            <w:r>
              <w:rPr>
                <w:rFonts w:hint="default" w:ascii="Times New Roman" w:hAnsi="Times New Roman" w:eastAsia="宋体" w:cs="Times New Roman"/>
                <w:color w:val="auto"/>
                <w:kern w:val="2"/>
                <w:sz w:val="24"/>
                <w:szCs w:val="24"/>
                <w:lang w:val="en-US" w:eastAsia="zh-CN" w:bidi="ar-SA"/>
              </w:rPr>
              <w:t>、包装废气G</w:t>
            </w:r>
            <w:r>
              <w:rPr>
                <w:rFonts w:hint="default" w:ascii="Times New Roman" w:hAnsi="Times New Roman" w:eastAsia="宋体" w:cs="Times New Roman"/>
                <w:color w:val="auto"/>
                <w:kern w:val="2"/>
                <w:sz w:val="24"/>
                <w:szCs w:val="24"/>
                <w:vertAlign w:val="subscript"/>
                <w:lang w:val="en-US" w:eastAsia="zh-CN" w:bidi="ar-SA"/>
              </w:rPr>
              <w:t>10-1</w:t>
            </w:r>
            <w:r>
              <w:rPr>
                <w:rFonts w:hint="default" w:ascii="Times New Roman" w:hAnsi="Times New Roman" w:eastAsia="宋体" w:cs="Times New Roman"/>
                <w:color w:val="auto"/>
                <w:kern w:val="2"/>
                <w:sz w:val="24"/>
                <w:szCs w:val="24"/>
                <w:lang w:val="en-US" w:eastAsia="zh-CN" w:bidi="ar-SA"/>
              </w:rPr>
              <w:t>、G</w:t>
            </w:r>
            <w:r>
              <w:rPr>
                <w:rFonts w:hint="default" w:ascii="Times New Roman" w:hAnsi="Times New Roman" w:eastAsia="宋体" w:cs="Times New Roman"/>
                <w:color w:val="auto"/>
                <w:kern w:val="2"/>
                <w:sz w:val="24"/>
                <w:szCs w:val="24"/>
                <w:vertAlign w:val="subscript"/>
                <w:lang w:val="en-US" w:eastAsia="zh-CN" w:bidi="ar-SA"/>
              </w:rPr>
              <w:t>10-2</w:t>
            </w:r>
            <w:r>
              <w:rPr>
                <w:rFonts w:hint="default" w:ascii="Times New Roman" w:hAnsi="Times New Roman" w:eastAsia="宋体" w:cs="Times New Roman"/>
                <w:color w:val="auto"/>
                <w:kern w:val="2"/>
                <w:sz w:val="24"/>
                <w:szCs w:val="24"/>
                <w:lang w:val="en-US" w:eastAsia="zh-CN" w:bidi="ar-SA"/>
              </w:rPr>
              <w:t>。</w:t>
            </w:r>
          </w:p>
          <w:p>
            <w:pPr>
              <w:pStyle w:val="22"/>
              <w:ind w:left="0" w:leftChars="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default" w:ascii="Times New Roman" w:hAnsi="Times New Roman" w:cs="Times New Roman"/>
                <w:color w:val="auto"/>
                <w:sz w:val="24"/>
                <w:szCs w:val="24"/>
                <w:lang w:eastAsia="zh-CN"/>
              </w:rPr>
              <w:t>有组织</w:t>
            </w:r>
            <w:r>
              <w:rPr>
                <w:rFonts w:hint="default" w:ascii="Times New Roman" w:hAnsi="Times New Roman" w:eastAsia="宋体" w:cs="Times New Roman"/>
                <w:color w:val="auto"/>
                <w:sz w:val="24"/>
                <w:szCs w:val="24"/>
              </w:rPr>
              <w:t>废气污染源强见表4-1，</w:t>
            </w:r>
            <w:r>
              <w:rPr>
                <w:rFonts w:hint="default" w:ascii="Times New Roman" w:hAnsi="Times New Roman" w:cs="Times New Roman"/>
                <w:color w:val="auto"/>
                <w:sz w:val="24"/>
                <w:szCs w:val="24"/>
                <w:lang w:eastAsia="zh-CN"/>
              </w:rPr>
              <w:t>无组织废气污染源强见表</w:t>
            </w:r>
            <w:r>
              <w:rPr>
                <w:rFonts w:hint="default" w:ascii="Times New Roman" w:hAnsi="Times New Roman" w:cs="Times New Roman"/>
                <w:color w:val="auto"/>
                <w:sz w:val="24"/>
                <w:szCs w:val="24"/>
                <w:lang w:val="en-US" w:eastAsia="zh-CN"/>
              </w:rPr>
              <w:t>4-2，</w:t>
            </w:r>
            <w:r>
              <w:rPr>
                <w:rFonts w:hint="default" w:ascii="Times New Roman" w:hAnsi="Times New Roman" w:eastAsia="宋体" w:cs="Times New Roman"/>
                <w:color w:val="auto"/>
                <w:sz w:val="24"/>
                <w:szCs w:val="24"/>
              </w:rPr>
              <w:t>排气筒设置见表4-</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w:t>
            </w:r>
          </w:p>
          <w:p>
            <w:pPr>
              <w:spacing w:line="240" w:lineRule="auto"/>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 xml:space="preserve">表4-1  </w:t>
            </w:r>
            <w:r>
              <w:rPr>
                <w:rFonts w:hint="default" w:ascii="Times New Roman" w:hAnsi="Times New Roman" w:eastAsia="黑体" w:cs="Times New Roman"/>
                <w:b w:val="0"/>
                <w:bCs w:val="0"/>
                <w:color w:val="auto"/>
                <w:sz w:val="24"/>
                <w:lang w:val="en-US" w:eastAsia="zh-CN"/>
              </w:rPr>
              <w:t>本项目有组织</w:t>
            </w:r>
            <w:r>
              <w:rPr>
                <w:rFonts w:hint="default" w:ascii="Times New Roman" w:hAnsi="Times New Roman" w:eastAsia="黑体" w:cs="Times New Roman"/>
                <w:b w:val="0"/>
                <w:bCs w:val="0"/>
                <w:color w:val="auto"/>
                <w:sz w:val="24"/>
              </w:rPr>
              <w:t>废气污染物产排情况一览表</w:t>
            </w:r>
          </w:p>
          <w:tbl>
            <w:tblPr>
              <w:tblStyle w:val="2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900"/>
              <w:gridCol w:w="900"/>
              <w:gridCol w:w="938"/>
              <w:gridCol w:w="992"/>
              <w:gridCol w:w="559"/>
              <w:gridCol w:w="764"/>
              <w:gridCol w:w="777"/>
              <w:gridCol w:w="625"/>
              <w:gridCol w:w="775"/>
              <w:gridCol w:w="994"/>
              <w:gridCol w:w="887"/>
              <w:gridCol w:w="1087"/>
              <w:gridCol w:w="852"/>
              <w:gridCol w:w="8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33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1060" w:type="pct"/>
                  <w:gridSpan w:val="3"/>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20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474" w:type="pct"/>
                  <w:gridSpan w:val="5"/>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1058" w:type="pct"/>
                  <w:gridSpan w:val="3"/>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315"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排放筒</w:t>
                  </w:r>
                  <w:r>
                    <w:rPr>
                      <w:rFonts w:hint="default" w:ascii="Times New Roman" w:hAnsi="Times New Roman" w:eastAsia="宋体" w:cs="Times New Roman"/>
                      <w:b/>
                      <w:bCs/>
                      <w:color w:val="auto"/>
                      <w:sz w:val="21"/>
                      <w:szCs w:val="21"/>
                    </w:rPr>
                    <w:t>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35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7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86"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收集设施</w:t>
                  </w:r>
                </w:p>
              </w:tc>
              <w:tc>
                <w:tcPr>
                  <w:tcW w:w="29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收集效率%</w:t>
                  </w:r>
                </w:p>
              </w:tc>
              <w:tc>
                <w:tcPr>
                  <w:tcW w:w="23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处理措施</w:t>
                  </w: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372"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是否为可行技术</w:t>
                  </w:r>
                </w:p>
              </w:tc>
              <w:tc>
                <w:tcPr>
                  <w:tcW w:w="332"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40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1.402 </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700.76 </w:t>
                  </w:r>
                </w:p>
              </w:tc>
              <w:tc>
                <w:tcPr>
                  <w:tcW w:w="20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有组织</w:t>
                  </w: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生物除臭装置+布袋除尘器</w:t>
                  </w: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0.067 </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0.025 </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12.614 </w:t>
                  </w:r>
                </w:p>
              </w:tc>
              <w:tc>
                <w:tcPr>
                  <w:tcW w:w="315"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3.7</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0.422 </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211.19 </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微负压密闭厂房</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w:t>
                  </w: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0.070 </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0.008 </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4.013 </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0.030471</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0.0035 </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1.739 </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0.006 </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0.330 </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0.0012 </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0.0001 </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0.067 </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 </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0.0000 </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0.013 </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33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w:t>
                  </w:r>
                </w:p>
              </w:tc>
              <w:tc>
                <w:tcPr>
                  <w:tcW w:w="938"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1.402 </w:t>
                  </w:r>
                </w:p>
              </w:tc>
              <w:tc>
                <w:tcPr>
                  <w:tcW w:w="99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700.758 </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是</w:t>
                  </w:r>
                </w:p>
              </w:tc>
              <w:tc>
                <w:tcPr>
                  <w:tcW w:w="8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0.067 </w:t>
                  </w:r>
                </w:p>
              </w:tc>
              <w:tc>
                <w:tcPr>
                  <w:tcW w:w="10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0.025 </w:t>
                  </w:r>
                </w:p>
              </w:tc>
              <w:tc>
                <w:tcPr>
                  <w:tcW w:w="85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12.614 </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上料废气</w:t>
                  </w: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11.1</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3.225 </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1612.702 </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23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0.204 </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0.06 </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29.24 </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0.030471</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0.0035 </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1.739 </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0.006 </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0.001 </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0.330 </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0.0012 </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0.00013 </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0.067 </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0.0002 </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0.00003 </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 xml:space="preserve">0.013 </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bl>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r>
              <w:rPr>
                <w:rFonts w:hint="default" w:ascii="Times New Roman" w:hAnsi="Times New Roman" w:eastAsia="黑体" w:cs="Times New Roman"/>
                <w:b w:val="0"/>
                <w:bCs w:val="0"/>
                <w:color w:val="auto"/>
                <w:sz w:val="24"/>
                <w:lang w:val="en-US" w:eastAsia="zh-CN"/>
              </w:rPr>
              <w:t>表4-2  本项目无组织废气污染物产排情况一览表</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37"/>
              <w:gridCol w:w="1199"/>
              <w:gridCol w:w="1172"/>
              <w:gridCol w:w="1172"/>
              <w:gridCol w:w="847"/>
              <w:gridCol w:w="3237"/>
              <w:gridCol w:w="1129"/>
              <w:gridCol w:w="1185"/>
              <w:gridCol w:w="13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44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878"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31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636"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954"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43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43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121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治理设施</w:t>
                  </w:r>
                </w:p>
              </w:tc>
              <w:tc>
                <w:tcPr>
                  <w:tcW w:w="42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4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51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0.37</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0.1402 </w:t>
                  </w:r>
                </w:p>
              </w:tc>
              <w:tc>
                <w:tcPr>
                  <w:tcW w:w="317"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无组织</w:t>
                  </w:r>
                </w:p>
              </w:tc>
              <w:tc>
                <w:tcPr>
                  <w:tcW w:w="1213"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密闭厂房</w:t>
                  </w: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0.185 </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0.070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0.185</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0.0211 </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0.093 </w:t>
                  </w:r>
                </w:p>
              </w:tc>
              <w:tc>
                <w:tcPr>
                  <w:tcW w:w="1363"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0.0106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0.00152355</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0.00017 </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0.00152</w:t>
                  </w:r>
                </w:p>
              </w:tc>
              <w:tc>
                <w:tcPr>
                  <w:tcW w:w="1363"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0.00017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5.89106E-05</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0.000007 </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5.89</w:t>
                  </w:r>
                  <w:r>
                    <w:rPr>
                      <w:rFonts w:hint="default" w:ascii="Arial" w:hAnsi="Arial" w:eastAsia="宋体" w:cs="Arial"/>
                      <w:i w:val="0"/>
                      <w:iCs w:val="0"/>
                      <w:color w:val="auto"/>
                      <w:kern w:val="0"/>
                      <w:sz w:val="21"/>
                      <w:szCs w:val="21"/>
                      <w:u w:val="none"/>
                      <w:lang w:val="en-US" w:eastAsia="zh-CN" w:bidi="ar"/>
                    </w:rPr>
                    <w:t>×</w:t>
                  </w:r>
                  <w:r>
                    <w:rPr>
                      <w:rFonts w:hint="eastAsia" w:ascii="Times New Roman" w:hAnsi="Times New Roman" w:cs="Times New Roman"/>
                      <w:i w:val="0"/>
                      <w:iCs w:val="0"/>
                      <w:color w:val="auto"/>
                      <w:kern w:val="0"/>
                      <w:sz w:val="21"/>
                      <w:szCs w:val="21"/>
                      <w:u w:val="none"/>
                      <w:lang w:val="en-US" w:eastAsia="zh-CN" w:bidi="ar"/>
                    </w:rPr>
                    <w:t>10</w:t>
                  </w:r>
                  <w:r>
                    <w:rPr>
                      <w:rFonts w:hint="default" w:ascii="Times New Roman" w:hAnsi="Times New Roman" w:eastAsia="宋体" w:cs="Times New Roman"/>
                      <w:i w:val="0"/>
                      <w:iCs w:val="0"/>
                      <w:color w:val="auto"/>
                      <w:kern w:val="0"/>
                      <w:sz w:val="21"/>
                      <w:szCs w:val="21"/>
                      <w:u w:val="none"/>
                      <w:vertAlign w:val="superscript"/>
                      <w:lang w:val="en-US" w:eastAsia="zh-CN" w:bidi="ar"/>
                    </w:rPr>
                    <w:t>-5</w:t>
                  </w:r>
                </w:p>
              </w:tc>
              <w:tc>
                <w:tcPr>
                  <w:tcW w:w="1363"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6.72×10</w:t>
                  </w:r>
                  <w:r>
                    <w:rPr>
                      <w:rFonts w:hint="eastAsia" w:ascii="Times New Roman" w:hAnsi="Times New Roman" w:cs="Times New Roman"/>
                      <w:i w:val="0"/>
                      <w:iCs w:val="0"/>
                      <w:color w:val="auto"/>
                      <w:kern w:val="0"/>
                      <w:sz w:val="21"/>
                      <w:szCs w:val="21"/>
                      <w:u w:val="none"/>
                      <w:vertAlign w:val="superscript"/>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陈化废气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3.7</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0.422 </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0.211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0.003 </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0.00035 </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0.00305 </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0.000348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0.00012 </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0.00001 </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0.000118 </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0.000013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44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0.37</w:t>
                  </w:r>
                </w:p>
              </w:tc>
              <w:tc>
                <w:tcPr>
                  <w:tcW w:w="117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0.140 </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1185"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0.185</w:t>
                  </w:r>
                </w:p>
              </w:tc>
              <w:tc>
                <w:tcPr>
                  <w:tcW w:w="1363"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0.070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上料废气</w:t>
                  </w: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44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颗粒物</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4.625 </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0.724 </w:t>
                  </w:r>
                </w:p>
              </w:tc>
              <w:tc>
                <w:tcPr>
                  <w:tcW w:w="31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3"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423"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2.31 </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0.362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氨</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0.005 </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0.001 </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0.0046 </w:t>
                  </w:r>
                </w:p>
              </w:tc>
              <w:tc>
                <w:tcPr>
                  <w:tcW w:w="1363"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0.001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硫化氢</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0.0002 </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0.00002 </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0.0002 </w:t>
                  </w:r>
                </w:p>
              </w:tc>
              <w:tc>
                <w:tcPr>
                  <w:tcW w:w="1363"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0.00002 </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rPr>
          <w:rFonts w:hint="default" w:ascii="Times New Roman" w:hAnsi="Times New Roman" w:cs="Times New Roman"/>
          <w:color w:val="auto"/>
        </w:rPr>
      </w:pPr>
    </w:p>
    <w:tbl>
      <w:tblPr>
        <w:tblStyle w:val="23"/>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4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spacing w:line="240" w:lineRule="auto"/>
              <w:jc w:val="center"/>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sz w:val="24"/>
              </w:rPr>
              <w:t>表4-</w:t>
            </w:r>
            <w:r>
              <w:rPr>
                <w:rFonts w:hint="default" w:ascii="Times New Roman" w:hAnsi="Times New Roman" w:eastAsia="黑体" w:cs="Times New Roman"/>
                <w:b w:val="0"/>
                <w:bCs w:val="0"/>
                <w:color w:val="auto"/>
                <w:sz w:val="24"/>
                <w:lang w:val="en-US" w:eastAsia="zh-CN"/>
              </w:rPr>
              <w:t>3</w:t>
            </w:r>
            <w:r>
              <w:rPr>
                <w:rFonts w:hint="default" w:ascii="Times New Roman" w:hAnsi="Times New Roman" w:eastAsia="黑体" w:cs="Times New Roman"/>
                <w:b w:val="0"/>
                <w:bCs w:val="0"/>
                <w:color w:val="auto"/>
                <w:sz w:val="24"/>
              </w:rPr>
              <w:t xml:space="preserve">  项目排气筒设置情况一览表</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633"/>
              <w:gridCol w:w="628"/>
              <w:gridCol w:w="1469"/>
              <w:gridCol w:w="582"/>
              <w:gridCol w:w="567"/>
              <w:gridCol w:w="620"/>
              <w:gridCol w:w="818"/>
              <w:gridCol w:w="798"/>
              <w:gridCol w:w="717"/>
              <w:gridCol w:w="5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1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384"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名称</w:t>
                  </w:r>
                </w:p>
              </w:tc>
              <w:tc>
                <w:tcPr>
                  <w:tcW w:w="380"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排放时长</w:t>
                  </w:r>
                </w:p>
              </w:tc>
              <w:tc>
                <w:tcPr>
                  <w:tcW w:w="889"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rPr>
                    <w:t>排气筒底部中心位置坐标</w:t>
                  </w:r>
                  <w:r>
                    <w:rPr>
                      <w:rFonts w:hint="default" w:ascii="Times New Roman" w:hAnsi="Times New Roman" w:eastAsia="宋体" w:cs="Times New Roman"/>
                      <w:b/>
                      <w:bCs/>
                      <w:color w:val="auto"/>
                      <w:lang w:val="en-US" w:eastAsia="zh-CN"/>
                    </w:rPr>
                    <w:t>/°</w:t>
                  </w:r>
                </w:p>
              </w:tc>
              <w:tc>
                <w:tcPr>
                  <w:tcW w:w="1070" w:type="pct"/>
                  <w:gridSpan w:val="3"/>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排气筒参数</w:t>
                  </w:r>
                </w:p>
              </w:tc>
              <w:tc>
                <w:tcPr>
                  <w:tcW w:w="49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废气量m³/h</w:t>
                  </w:r>
                </w:p>
              </w:tc>
              <w:tc>
                <w:tcPr>
                  <w:tcW w:w="48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污染物名称</w:t>
                  </w:r>
                </w:p>
              </w:tc>
              <w:tc>
                <w:tcPr>
                  <w:tcW w:w="783" w:type="pct"/>
                  <w:gridSpan w:val="2"/>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1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8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80"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52"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高度m</w:t>
                  </w:r>
                </w:p>
              </w:tc>
              <w:tc>
                <w:tcPr>
                  <w:tcW w:w="34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内径m</w:t>
                  </w:r>
                </w:p>
              </w:tc>
              <w:tc>
                <w:tcPr>
                  <w:tcW w:w="37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温度℃</w:t>
                  </w: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48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排放浓度</w:t>
                  </w:r>
                  <w:r>
                    <w:rPr>
                      <w:rFonts w:hint="default" w:ascii="Times New Roman" w:hAnsi="Times New Roman" w:eastAsia="宋体" w:cs="Times New Roman"/>
                      <w:b/>
                      <w:bCs/>
                      <w:color w:val="auto"/>
                    </w:rPr>
                    <w:t>mg/m³</w:t>
                  </w:r>
                </w:p>
              </w:tc>
              <w:tc>
                <w:tcPr>
                  <w:tcW w:w="349"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排放速率</w:t>
                  </w:r>
                  <w:r>
                    <w:rPr>
                      <w:rFonts w:hint="default" w:ascii="Times New Roman" w:hAnsi="Times New Roman" w:eastAsia="宋体" w:cs="Times New Roman"/>
                      <w:b/>
                      <w:bCs/>
                      <w:color w:val="auto"/>
                      <w:sz w:val="21"/>
                      <w:szCs w:val="21"/>
                    </w:rPr>
                    <w:t>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1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384"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排气筒</w:t>
                  </w:r>
                </w:p>
              </w:tc>
              <w:tc>
                <w:tcPr>
                  <w:tcW w:w="380"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24h/d</w:t>
                  </w:r>
                </w:p>
              </w:tc>
              <w:tc>
                <w:tcPr>
                  <w:tcW w:w="889"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E:106.335803</w:t>
                  </w:r>
                </w:p>
                <w:p>
                  <w:pPr>
                    <w:pStyle w:val="59"/>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N:35.479440</w:t>
                  </w:r>
                </w:p>
              </w:tc>
              <w:tc>
                <w:tcPr>
                  <w:tcW w:w="352"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15</w:t>
                  </w:r>
                </w:p>
              </w:tc>
              <w:tc>
                <w:tcPr>
                  <w:tcW w:w="34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w:t>
                  </w:r>
                </w:p>
              </w:tc>
              <w:tc>
                <w:tcPr>
                  <w:tcW w:w="374"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25</w:t>
                  </w:r>
                </w:p>
              </w:tc>
              <w:tc>
                <w:tcPr>
                  <w:tcW w:w="49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highlight w:val="none"/>
                      <w:lang w:val="en-US" w:eastAsia="zh-CN"/>
                    </w:rPr>
                    <w:t>2000</w:t>
                  </w: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颗粒物</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349"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1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8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eastAsia="zh-CN"/>
                    </w:rPr>
                  </w:pPr>
                </w:p>
              </w:tc>
              <w:tc>
                <w:tcPr>
                  <w:tcW w:w="380"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4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1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8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80"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4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000" w:type="pct"/>
                  <w:gridSpan w:val="11"/>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根据《排污许可证申请与核发技术规范 磷肥、钾肥、复混肥料、有机肥料及微生物肥料工业》（HJ864.2-2018），DA001排气筒为一般排放口。</w:t>
                  </w:r>
                </w:p>
              </w:tc>
            </w:tr>
          </w:tbl>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2、源强分析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（1）混配废气G</w:t>
            </w:r>
            <w:r>
              <w:rPr>
                <w:rFonts w:hint="default" w:ascii="Times New Roman" w:hAnsi="Times New Roman" w:cs="Times New Roman"/>
                <w:color w:val="auto"/>
                <w:kern w:val="2"/>
                <w:sz w:val="24"/>
                <w:szCs w:val="24"/>
                <w:vertAlign w:val="subscript"/>
                <w:lang w:val="en-US" w:eastAsia="zh-CN" w:bidi="ar-SA"/>
              </w:rPr>
              <w:t>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根据《排放源统计调查产排污核算方法和系数手册》-2625有机肥料及微生物肥料制造行业系数手册，本项目有机肥生产原料（牛粪、羊粪、秸秆、糠醛渣）先混合配料后再进行发酵等工序，故混配工序颗粒物产污系数以0.370千克/吨-产品计。本次技改后产能为</w:t>
            </w:r>
            <w:r>
              <w:rPr>
                <w:rFonts w:hint="eastAsia" w:cs="Times New Roman"/>
                <w:color w:val="auto"/>
                <w:kern w:val="2"/>
                <w:sz w:val="24"/>
                <w:szCs w:val="24"/>
                <w:lang w:val="en-US" w:eastAsia="zh-CN" w:bidi="ar-SA"/>
              </w:rPr>
              <w:t>10000</w:t>
            </w:r>
            <w:r>
              <w:rPr>
                <w:rFonts w:hint="default" w:ascii="Times New Roman" w:hAnsi="Times New Roman" w:cs="Times New Roman"/>
                <w:color w:val="auto"/>
                <w:kern w:val="2"/>
                <w:sz w:val="24"/>
                <w:szCs w:val="24"/>
                <w:lang w:val="en-US" w:eastAsia="zh-CN" w:bidi="ar-SA"/>
              </w:rPr>
              <w:t>t，经计算，混配废气中颗粒物产生量为</w:t>
            </w:r>
            <w:r>
              <w:rPr>
                <w:rFonts w:hint="eastAsia" w:cs="Times New Roman"/>
                <w:color w:val="auto"/>
                <w:kern w:val="2"/>
                <w:sz w:val="24"/>
                <w:szCs w:val="24"/>
                <w:lang w:val="en-US" w:eastAsia="zh-CN" w:bidi="ar-SA"/>
              </w:rPr>
              <w:t>3.7</w:t>
            </w:r>
            <w:r>
              <w:rPr>
                <w:rFonts w:hint="default" w:ascii="Times New Roman" w:hAnsi="Times New Roman" w:cs="Times New Roman"/>
                <w:color w:val="auto"/>
                <w:kern w:val="2"/>
                <w:sz w:val="24"/>
                <w:szCs w:val="24"/>
                <w:lang w:val="en-US" w:eastAsia="zh-CN" w:bidi="ar-SA"/>
              </w:rPr>
              <w:t>t/a，经集气罩收集（收集效率90%）后经布袋除尘器（处理效率98%）处理后通过1根15m高排气筒排放。其中未被收集的废气在密闭厂房降尘（降尘效果50%）处理后以无组织形式排放，则集气罩收集颗粒物量为</w:t>
            </w:r>
            <w:r>
              <w:rPr>
                <w:rFonts w:hint="eastAsia" w:cs="Times New Roman"/>
                <w:color w:val="auto"/>
                <w:kern w:val="2"/>
                <w:sz w:val="24"/>
                <w:szCs w:val="24"/>
                <w:lang w:val="en-US" w:eastAsia="zh-CN" w:bidi="ar-SA"/>
              </w:rPr>
              <w:t>3.33</w:t>
            </w:r>
            <w:r>
              <w:rPr>
                <w:rFonts w:hint="default" w:ascii="Times New Roman" w:hAnsi="Times New Roman" w:cs="Times New Roman"/>
                <w:color w:val="auto"/>
                <w:kern w:val="2"/>
                <w:sz w:val="24"/>
                <w:szCs w:val="24"/>
                <w:lang w:val="en-US" w:eastAsia="zh-CN" w:bidi="ar-SA"/>
              </w:rPr>
              <w:t>t/a，经布袋除尘器处理后的排放量为</w:t>
            </w:r>
            <w:r>
              <w:rPr>
                <w:rFonts w:hint="eastAsia" w:cs="Times New Roman"/>
                <w:color w:val="auto"/>
                <w:kern w:val="2"/>
                <w:sz w:val="24"/>
                <w:szCs w:val="24"/>
                <w:lang w:val="en-US" w:eastAsia="zh-CN" w:bidi="ar-SA"/>
              </w:rPr>
              <w:t>0.067</w:t>
            </w:r>
            <w:r>
              <w:rPr>
                <w:rFonts w:hint="default" w:ascii="Times New Roman" w:hAnsi="Times New Roman" w:cs="Times New Roman"/>
                <w:color w:val="auto"/>
                <w:kern w:val="2"/>
                <w:sz w:val="24"/>
                <w:szCs w:val="24"/>
                <w:lang w:val="en-US" w:eastAsia="zh-CN" w:bidi="ar-SA"/>
              </w:rPr>
              <w:t>t/a；未收集的颗粒物量为</w:t>
            </w:r>
            <w:r>
              <w:rPr>
                <w:rFonts w:hint="eastAsia" w:cs="Times New Roman"/>
                <w:color w:val="auto"/>
                <w:kern w:val="2"/>
                <w:sz w:val="24"/>
                <w:szCs w:val="24"/>
                <w:lang w:val="en-US" w:eastAsia="zh-CN" w:bidi="ar-SA"/>
              </w:rPr>
              <w:t>0.37</w:t>
            </w:r>
            <w:r>
              <w:rPr>
                <w:rFonts w:hint="default" w:ascii="Times New Roman" w:hAnsi="Times New Roman" w:cs="Times New Roman"/>
                <w:color w:val="auto"/>
                <w:kern w:val="2"/>
                <w:sz w:val="24"/>
                <w:szCs w:val="24"/>
                <w:lang w:val="en-US" w:eastAsia="zh-CN" w:bidi="ar-SA"/>
              </w:rPr>
              <w:t>t/a，则配料工序无组织产生量为</w:t>
            </w:r>
            <w:r>
              <w:rPr>
                <w:rFonts w:hint="eastAsia" w:cs="Times New Roman"/>
                <w:color w:val="auto"/>
                <w:kern w:val="2"/>
                <w:sz w:val="24"/>
                <w:szCs w:val="24"/>
                <w:lang w:val="en-US" w:eastAsia="zh-CN" w:bidi="ar-SA"/>
              </w:rPr>
              <w:t>0.37</w:t>
            </w:r>
            <w:r>
              <w:rPr>
                <w:rFonts w:hint="default" w:ascii="Times New Roman" w:hAnsi="Times New Roman" w:cs="Times New Roman"/>
                <w:color w:val="auto"/>
                <w:kern w:val="2"/>
                <w:sz w:val="24"/>
                <w:szCs w:val="24"/>
                <w:lang w:val="en-US" w:eastAsia="zh-CN" w:bidi="ar-SA"/>
              </w:rPr>
              <w:t>t/a，经密闭厂房降尘处理后，项目混配工序无组织排放量为0.</w:t>
            </w:r>
            <w:r>
              <w:rPr>
                <w:rFonts w:hint="eastAsia" w:cs="Times New Roman"/>
                <w:color w:val="auto"/>
                <w:kern w:val="2"/>
                <w:sz w:val="24"/>
                <w:szCs w:val="24"/>
                <w:lang w:val="en-US" w:eastAsia="zh-CN" w:bidi="ar-SA"/>
              </w:rPr>
              <w:t>185</w:t>
            </w:r>
            <w:r>
              <w:rPr>
                <w:rFonts w:hint="default" w:ascii="Times New Roman" w:hAnsi="Times New Roman" w:cs="Times New Roman"/>
                <w:color w:val="auto"/>
                <w:kern w:val="2"/>
                <w:sz w:val="24"/>
                <w:szCs w:val="24"/>
                <w:lang w:val="en-US" w:eastAsia="zh-CN" w:bidi="ar-SA"/>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另外，根据《排放源统计调查产排污核算方法和系数手册》-2625有机肥料及微生物肥料制造行业系数手册，混配过程无相关恶臭污染物核算方法，且该过程采用人工配料，属于间歇式生产过程，工作时间为8h/d（2640h/a），故针对该过程恶臭污染物产生情况本次评价不进行定量分析，废气经一套“生物除臭</w:t>
            </w:r>
            <w:r>
              <w:rPr>
                <w:rFonts w:hint="eastAsia" w:cs="Times New Roman"/>
                <w:color w:val="auto"/>
                <w:kern w:val="2"/>
                <w:sz w:val="24"/>
                <w:szCs w:val="24"/>
                <w:lang w:val="en-US" w:eastAsia="zh-CN" w:bidi="ar-SA"/>
              </w:rPr>
              <w:t>装置</w:t>
            </w:r>
            <w:r>
              <w:rPr>
                <w:rFonts w:hint="default" w:ascii="Times New Roman" w:hAnsi="Times New Roman" w:eastAsia="宋体" w:cs="Times New Roman"/>
                <w:color w:val="auto"/>
                <w:kern w:val="2"/>
                <w:sz w:val="24"/>
                <w:szCs w:val="24"/>
                <w:lang w:val="en-US" w:eastAsia="zh-CN" w:bidi="ar-SA"/>
              </w:rPr>
              <w:t>+布袋除尘器”处理后，通过1根15m高排气筒排放。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2"/>
                <w:sz w:val="24"/>
                <w:szCs w:val="24"/>
                <w:lang w:val="en-US" w:eastAsia="zh-CN" w:bidi="ar-SA"/>
              </w:rPr>
              <w:t>（2）</w:t>
            </w:r>
            <w:r>
              <w:rPr>
                <w:rFonts w:hint="default" w:ascii="Times New Roman" w:hAnsi="Times New Roman" w:cs="Times New Roman"/>
                <w:color w:val="auto"/>
                <w:sz w:val="24"/>
                <w:szCs w:val="24"/>
                <w:lang w:val="en-US" w:eastAsia="zh-CN"/>
              </w:rPr>
              <w:t>发酵废气G</w:t>
            </w:r>
            <w:r>
              <w:rPr>
                <w:rFonts w:hint="default" w:ascii="Times New Roman" w:hAnsi="Times New Roman" w:cs="Times New Roman"/>
                <w:color w:val="auto"/>
                <w:sz w:val="24"/>
                <w:szCs w:val="24"/>
                <w:vertAlign w:val="subscript"/>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根据《排放源统计调查产排污核算方法和系数手册》-2625有机肥料及微生物肥料制造行业系数手册，</w:t>
            </w:r>
            <w:r>
              <w:rPr>
                <w:rFonts w:hint="eastAsia" w:cs="Times New Roman"/>
                <w:color w:val="auto"/>
                <w:sz w:val="24"/>
                <w:szCs w:val="24"/>
                <w:lang w:val="en-US" w:eastAsia="zh-CN"/>
              </w:rPr>
              <w:t>本项目</w:t>
            </w:r>
            <w:r>
              <w:rPr>
                <w:rFonts w:hint="default" w:ascii="Times New Roman" w:hAnsi="Times New Roman" w:cs="Times New Roman"/>
                <w:color w:val="auto"/>
                <w:sz w:val="24"/>
                <w:szCs w:val="24"/>
                <w:lang w:val="en-US" w:eastAsia="zh-CN"/>
              </w:rPr>
              <w:t>发酵工艺为非罐式发酵</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发酵废气中</w:t>
            </w:r>
            <w:r>
              <w:rPr>
                <w:rFonts w:hint="default" w:ascii="Times New Roman" w:hAnsi="Times New Roman" w:eastAsia="宋体" w:cs="Times New Roman"/>
                <w:color w:val="auto"/>
                <w:sz w:val="24"/>
                <w:szCs w:val="24"/>
                <w:lang w:val="en-US" w:eastAsia="zh-CN"/>
              </w:rPr>
              <w:t>颗粒物产污系数以0.370千克/吨-产品计。本次技改后产能为</w:t>
            </w:r>
            <w:r>
              <w:rPr>
                <w:rFonts w:hint="eastAsia" w:cs="Times New Roman"/>
                <w:color w:val="auto"/>
                <w:sz w:val="24"/>
                <w:szCs w:val="24"/>
                <w:lang w:val="en-US" w:eastAsia="zh-CN"/>
              </w:rPr>
              <w:t>10000</w:t>
            </w:r>
            <w:r>
              <w:rPr>
                <w:rFonts w:hint="default" w:ascii="Times New Roman" w:hAnsi="Times New Roman" w:eastAsia="宋体" w:cs="Times New Roman"/>
                <w:color w:val="auto"/>
                <w:sz w:val="24"/>
                <w:szCs w:val="24"/>
                <w:lang w:val="en-US" w:eastAsia="zh-CN"/>
              </w:rPr>
              <w:t>t，经计算，</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废气中颗粒物产生量为</w:t>
            </w:r>
            <w:r>
              <w:rPr>
                <w:rFonts w:hint="eastAsia" w:cs="Times New Roman"/>
                <w:color w:val="auto"/>
                <w:sz w:val="24"/>
                <w:szCs w:val="24"/>
                <w:lang w:val="en-US" w:eastAsia="zh-CN"/>
              </w:rPr>
              <w:t>3.7</w:t>
            </w:r>
            <w:r>
              <w:rPr>
                <w:rFonts w:hint="default" w:ascii="Times New Roman" w:hAnsi="Times New Roman" w:eastAsia="宋体" w:cs="Times New Roman"/>
                <w:color w:val="auto"/>
                <w:sz w:val="24"/>
                <w:szCs w:val="24"/>
                <w:lang w:val="en-US" w:eastAsia="zh-CN"/>
              </w:rPr>
              <w:t>t/a，经</w:t>
            </w:r>
            <w:r>
              <w:rPr>
                <w:rFonts w:hint="default" w:ascii="Times New Roman" w:hAnsi="Times New Roman" w:cs="Times New Roman"/>
                <w:color w:val="auto"/>
                <w:sz w:val="24"/>
                <w:szCs w:val="24"/>
                <w:lang w:val="en-US" w:eastAsia="zh-CN"/>
              </w:rPr>
              <w:t>微负压</w:t>
            </w:r>
            <w:r>
              <w:rPr>
                <w:rFonts w:hint="default" w:ascii="Times New Roman" w:hAnsi="Times New Roman" w:eastAsia="宋体" w:cs="Times New Roman"/>
                <w:color w:val="auto"/>
                <w:sz w:val="24"/>
                <w:szCs w:val="24"/>
                <w:lang w:val="en-US" w:eastAsia="zh-CN"/>
              </w:rPr>
              <w:t>收集（收集效率</w:t>
            </w:r>
            <w:r>
              <w:rPr>
                <w:rFonts w:hint="default" w:ascii="Times New Roman" w:hAnsi="Times New Roman" w:cs="Times New Roman"/>
                <w:color w:val="auto"/>
                <w:sz w:val="24"/>
                <w:szCs w:val="24"/>
                <w:lang w:val="en-US" w:eastAsia="zh-CN"/>
              </w:rPr>
              <w:t>95</w:t>
            </w:r>
            <w:r>
              <w:rPr>
                <w:rFonts w:hint="default" w:ascii="Times New Roman" w:hAnsi="Times New Roman" w:eastAsia="宋体" w:cs="Times New Roman"/>
                <w:color w:val="auto"/>
                <w:sz w:val="24"/>
                <w:szCs w:val="24"/>
                <w:lang w:val="en-US" w:eastAsia="zh-CN"/>
              </w:rPr>
              <w:t>%）后</w:t>
            </w:r>
            <w:r>
              <w:rPr>
                <w:rFonts w:hint="default" w:ascii="Times New Roman" w:hAnsi="Times New Roman" w:cs="Times New Roman"/>
                <w:color w:val="auto"/>
                <w:sz w:val="24"/>
                <w:szCs w:val="24"/>
                <w:lang w:val="en-US" w:eastAsia="zh-CN"/>
              </w:rPr>
              <w:t>由一套布袋除尘器（处理效率98%）处理后通过1根15m高排气筒排放</w:t>
            </w:r>
            <w:r>
              <w:rPr>
                <w:rFonts w:hint="default" w:ascii="Times New Roman" w:hAnsi="Times New Roman" w:eastAsia="宋体" w:cs="Times New Roman"/>
                <w:color w:val="auto"/>
                <w:sz w:val="24"/>
                <w:szCs w:val="24"/>
                <w:lang w:val="en-US" w:eastAsia="zh-CN"/>
              </w:rPr>
              <w:t>。其中未被收集的废气在</w:t>
            </w:r>
            <w:r>
              <w:rPr>
                <w:rFonts w:hint="default" w:ascii="Times New Roman" w:hAnsi="Times New Roman" w:cs="Times New Roman"/>
                <w:color w:val="auto"/>
                <w:sz w:val="24"/>
                <w:szCs w:val="24"/>
                <w:lang w:val="en-US" w:eastAsia="zh-CN"/>
              </w:rPr>
              <w:t>密闭</w:t>
            </w:r>
            <w:r>
              <w:rPr>
                <w:rFonts w:hint="default" w:ascii="Times New Roman" w:hAnsi="Times New Roman" w:eastAsia="宋体" w:cs="Times New Roman"/>
                <w:color w:val="auto"/>
                <w:sz w:val="24"/>
                <w:szCs w:val="24"/>
                <w:lang w:val="en-US" w:eastAsia="zh-CN"/>
              </w:rPr>
              <w:t>厂房降尘（降尘效果50%）处理后以无组织形式排放，经布袋除尘器处理后的排放量为</w:t>
            </w:r>
            <w:r>
              <w:rPr>
                <w:rFonts w:hint="eastAsia" w:cs="Times New Roman"/>
                <w:color w:val="auto"/>
                <w:sz w:val="24"/>
                <w:szCs w:val="24"/>
                <w:lang w:val="en-US" w:eastAsia="zh-CN"/>
              </w:rPr>
              <w:t>0.07</w:t>
            </w:r>
            <w:r>
              <w:rPr>
                <w:rFonts w:hint="default" w:ascii="Times New Roman" w:hAnsi="Times New Roman" w:eastAsia="宋体" w:cs="Times New Roman"/>
                <w:color w:val="auto"/>
                <w:sz w:val="24"/>
                <w:szCs w:val="24"/>
                <w:lang w:val="en-US" w:eastAsia="zh-CN"/>
              </w:rPr>
              <w:t>t/a；未收集的颗粒物量为</w:t>
            </w:r>
            <w:r>
              <w:rPr>
                <w:rFonts w:hint="eastAsia" w:cs="Times New Roman"/>
                <w:color w:val="auto"/>
                <w:sz w:val="24"/>
                <w:szCs w:val="24"/>
                <w:lang w:val="en-US" w:eastAsia="zh-CN"/>
              </w:rPr>
              <w:t>0.185</w:t>
            </w:r>
            <w:r>
              <w:rPr>
                <w:rFonts w:hint="default" w:ascii="Times New Roman" w:hAnsi="Times New Roman" w:eastAsia="宋体" w:cs="Times New Roman"/>
                <w:color w:val="auto"/>
                <w:sz w:val="24"/>
                <w:szCs w:val="24"/>
                <w:lang w:val="en-US" w:eastAsia="zh-CN"/>
              </w:rPr>
              <w:t>t/a，则</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工序无组织产生量为</w:t>
            </w:r>
            <w:r>
              <w:rPr>
                <w:rFonts w:hint="eastAsia" w:cs="Times New Roman"/>
                <w:color w:val="auto"/>
                <w:sz w:val="24"/>
                <w:szCs w:val="24"/>
                <w:lang w:val="en-US" w:eastAsia="zh-CN"/>
              </w:rPr>
              <w:t>0.185</w:t>
            </w:r>
            <w:r>
              <w:rPr>
                <w:rFonts w:hint="default" w:ascii="Times New Roman" w:hAnsi="Times New Roman" w:eastAsia="宋体" w:cs="Times New Roman"/>
                <w:color w:val="auto"/>
                <w:sz w:val="24"/>
                <w:szCs w:val="24"/>
                <w:lang w:val="en-US" w:eastAsia="zh-CN"/>
              </w:rPr>
              <w:t>t/a，经</w:t>
            </w:r>
            <w:r>
              <w:rPr>
                <w:rFonts w:hint="default" w:ascii="Times New Roman" w:hAnsi="Times New Roman" w:cs="Times New Roman"/>
                <w:color w:val="auto"/>
                <w:sz w:val="24"/>
                <w:szCs w:val="24"/>
                <w:lang w:val="en-US" w:eastAsia="zh-CN"/>
              </w:rPr>
              <w:t>密闭</w:t>
            </w:r>
            <w:r>
              <w:rPr>
                <w:rFonts w:hint="default" w:ascii="Times New Roman" w:hAnsi="Times New Roman" w:eastAsia="宋体" w:cs="Times New Roman"/>
                <w:color w:val="auto"/>
                <w:sz w:val="24"/>
                <w:szCs w:val="24"/>
                <w:lang w:val="en-US" w:eastAsia="zh-CN"/>
              </w:rPr>
              <w:t>厂房降尘处理后，本项目</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工序无组织排放量为</w:t>
            </w:r>
            <w:r>
              <w:rPr>
                <w:rFonts w:hint="eastAsia" w:cs="Times New Roman"/>
                <w:color w:val="auto"/>
                <w:sz w:val="24"/>
                <w:szCs w:val="24"/>
                <w:lang w:val="en-US" w:eastAsia="zh-CN"/>
              </w:rPr>
              <w:t>0.093</w:t>
            </w:r>
            <w:r>
              <w:rPr>
                <w:rFonts w:hint="default" w:ascii="Times New Roman" w:hAnsi="Times New Roman" w:eastAsia="宋体" w:cs="Times New Roman"/>
                <w:color w:val="auto"/>
                <w:sz w:val="24"/>
                <w:szCs w:val="24"/>
                <w:lang w:val="en-US" w:eastAsia="zh-CN"/>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本项目粪污发酵采用的发酵工艺为好氧堆肥的工艺，发酵时间以最不利考虑，取8760h，根据《畜禽养殖污染防治技术与政策》(王凯军主编，化学工业出版社)中对于畜禽粪便采用好氧堆肥工艺的研究，发酵过程每处理1000t畜禽粪便产生的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按1.5kg计，产生的H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S按0.058kg计，根据建设单位提供资料，本次技改后共处理粪便量为</w:t>
            </w:r>
            <w:r>
              <w:rPr>
                <w:rFonts w:hint="eastAsia" w:cs="Times New Roman"/>
                <w:color w:val="auto"/>
                <w:kern w:val="2"/>
                <w:sz w:val="24"/>
                <w:szCs w:val="24"/>
                <w:lang w:val="en-US" w:eastAsia="zh-CN" w:bidi="ar-SA"/>
              </w:rPr>
              <w:t>20314</w:t>
            </w:r>
            <w:r>
              <w:rPr>
                <w:rFonts w:hint="default" w:ascii="Times New Roman" w:hAnsi="Times New Roman" w:cs="Times New Roman"/>
                <w:color w:val="auto"/>
                <w:kern w:val="2"/>
                <w:sz w:val="24"/>
                <w:szCs w:val="24"/>
                <w:lang w:val="en-US" w:eastAsia="zh-CN" w:bidi="ar-SA"/>
              </w:rPr>
              <w:t>t/a，则项目发酵工序NH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的产生量为</w:t>
            </w:r>
            <w:r>
              <w:rPr>
                <w:rFonts w:hint="eastAsia" w:cs="Times New Roman"/>
                <w:color w:val="auto"/>
                <w:kern w:val="2"/>
                <w:sz w:val="24"/>
                <w:szCs w:val="24"/>
                <w:lang w:val="en-US" w:eastAsia="zh-CN" w:bidi="ar-SA"/>
              </w:rPr>
              <w:t>0.0305</w:t>
            </w:r>
            <w:r>
              <w:rPr>
                <w:rFonts w:hint="default" w:ascii="Times New Roman" w:hAnsi="Times New Roman" w:cs="Times New Roman"/>
                <w:color w:val="auto"/>
                <w:kern w:val="2"/>
                <w:sz w:val="24"/>
                <w:szCs w:val="24"/>
                <w:lang w:val="en-US" w:eastAsia="zh-CN" w:bidi="ar-SA"/>
              </w:rPr>
              <w:t>t/a（0.0</w:t>
            </w:r>
            <w:r>
              <w:rPr>
                <w:rFonts w:hint="eastAsia" w:cs="Times New Roman"/>
                <w:color w:val="auto"/>
                <w:kern w:val="2"/>
                <w:sz w:val="24"/>
                <w:szCs w:val="24"/>
                <w:lang w:val="en-US" w:eastAsia="zh-CN" w:bidi="ar-SA"/>
              </w:rPr>
              <w:t>035</w:t>
            </w:r>
            <w:r>
              <w:rPr>
                <w:rFonts w:hint="default" w:ascii="Times New Roman" w:hAnsi="Times New Roman" w:cs="Times New Roman"/>
                <w:color w:val="auto"/>
                <w:kern w:val="2"/>
                <w:sz w:val="24"/>
                <w:szCs w:val="24"/>
                <w:lang w:val="en-US" w:eastAsia="zh-CN" w:bidi="ar-SA"/>
              </w:rPr>
              <w:t>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S的产生量为0.00</w:t>
            </w:r>
            <w:r>
              <w:rPr>
                <w:rFonts w:hint="eastAsia" w:cs="Times New Roman"/>
                <w:color w:val="auto"/>
                <w:kern w:val="2"/>
                <w:sz w:val="24"/>
                <w:szCs w:val="24"/>
                <w:lang w:val="en-US" w:eastAsia="zh-CN" w:bidi="ar-SA"/>
              </w:rPr>
              <w:t>12</w:t>
            </w:r>
            <w:r>
              <w:rPr>
                <w:rFonts w:hint="default" w:ascii="Times New Roman" w:hAnsi="Times New Roman" w:cs="Times New Roman"/>
                <w:color w:val="auto"/>
                <w:kern w:val="2"/>
                <w:sz w:val="24"/>
                <w:szCs w:val="24"/>
                <w:lang w:val="en-US" w:eastAsia="zh-CN" w:bidi="ar-SA"/>
              </w:rPr>
              <w:t>t/a（</w:t>
            </w:r>
            <w:r>
              <w:rPr>
                <w:rFonts w:hint="eastAsia" w:cs="Times New Roman"/>
                <w:color w:val="auto"/>
                <w:kern w:val="2"/>
                <w:sz w:val="24"/>
                <w:szCs w:val="24"/>
                <w:lang w:val="en-US" w:eastAsia="zh-CN" w:bidi="ar-SA"/>
              </w:rPr>
              <w:t>0.0001</w:t>
            </w:r>
            <w:r>
              <w:rPr>
                <w:rFonts w:hint="default" w:ascii="Times New Roman" w:hAnsi="Times New Roman" w:cs="Times New Roman"/>
                <w:color w:val="auto"/>
                <w:kern w:val="2"/>
                <w:sz w:val="24"/>
                <w:szCs w:val="24"/>
                <w:lang w:val="en-US" w:eastAsia="zh-CN" w:bidi="ar-SA"/>
              </w:rPr>
              <w:t>kg/h），废气经微负压收集（收集效率95%）引入生物除臭装置（生物滴滤法）处理由15m高排气筒排放。生物除臭装置（生物滴滤法）的处理效率一般为80%，则发酵废气经生物除臭装置（生物滴滤法）处理后NH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的排放量为</w:t>
            </w:r>
            <w:r>
              <w:rPr>
                <w:rFonts w:hint="eastAsia" w:cs="Times New Roman"/>
                <w:color w:val="auto"/>
                <w:kern w:val="2"/>
                <w:sz w:val="24"/>
                <w:szCs w:val="24"/>
                <w:lang w:val="en-US" w:eastAsia="zh-CN" w:bidi="ar-SA"/>
              </w:rPr>
              <w:t>0.0058</w:t>
            </w:r>
            <w:r>
              <w:rPr>
                <w:rFonts w:hint="default" w:ascii="Times New Roman" w:hAnsi="Times New Roman" w:cs="Times New Roman"/>
                <w:color w:val="auto"/>
                <w:kern w:val="2"/>
                <w:sz w:val="24"/>
                <w:szCs w:val="24"/>
                <w:lang w:val="en-US" w:eastAsia="zh-CN" w:bidi="ar-SA"/>
              </w:rPr>
              <w:t>t/a(</w:t>
            </w:r>
            <w:r>
              <w:rPr>
                <w:rFonts w:hint="eastAsia" w:cs="Times New Roman"/>
                <w:color w:val="auto"/>
                <w:kern w:val="2"/>
                <w:sz w:val="24"/>
                <w:szCs w:val="24"/>
                <w:lang w:val="en-US" w:eastAsia="zh-CN" w:bidi="ar-SA"/>
              </w:rPr>
              <w:t>0.0007</w:t>
            </w:r>
            <w:r>
              <w:rPr>
                <w:rFonts w:hint="default" w:ascii="Times New Roman" w:hAnsi="Times New Roman" w:cs="Times New Roman"/>
                <w:color w:val="auto"/>
                <w:kern w:val="2"/>
                <w:sz w:val="24"/>
                <w:szCs w:val="24"/>
                <w:lang w:val="en-US" w:eastAsia="zh-CN" w:bidi="ar-SA"/>
              </w:rPr>
              <w:t>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S的排放量为0.000</w:t>
            </w:r>
            <w:r>
              <w:rPr>
                <w:rFonts w:hint="eastAsia" w:cs="Times New Roman"/>
                <w:color w:val="auto"/>
                <w:kern w:val="2"/>
                <w:sz w:val="24"/>
                <w:szCs w:val="24"/>
                <w:lang w:val="en-US" w:eastAsia="zh-CN" w:bidi="ar-SA"/>
              </w:rPr>
              <w:t>2</w:t>
            </w:r>
            <w:r>
              <w:rPr>
                <w:rFonts w:hint="default" w:ascii="Times New Roman" w:hAnsi="Times New Roman" w:cs="Times New Roman"/>
                <w:color w:val="auto"/>
                <w:kern w:val="2"/>
                <w:sz w:val="24"/>
                <w:szCs w:val="24"/>
                <w:lang w:val="en-US" w:eastAsia="zh-CN" w:bidi="ar-SA"/>
              </w:rPr>
              <w:t>t/a(0.000</w:t>
            </w:r>
            <w:r>
              <w:rPr>
                <w:rFonts w:hint="eastAsia" w:cs="Times New Roman"/>
                <w:color w:val="auto"/>
                <w:kern w:val="2"/>
                <w:sz w:val="24"/>
                <w:szCs w:val="24"/>
                <w:lang w:val="en-US" w:eastAsia="zh-CN" w:bidi="ar-SA"/>
              </w:rPr>
              <w:t>03</w:t>
            </w:r>
            <w:r>
              <w:rPr>
                <w:rFonts w:hint="default" w:ascii="Times New Roman" w:hAnsi="Times New Roman" w:cs="Times New Roman"/>
                <w:color w:val="auto"/>
                <w:kern w:val="2"/>
                <w:sz w:val="24"/>
                <w:szCs w:val="24"/>
                <w:lang w:val="en-US" w:eastAsia="zh-CN" w:bidi="ar-SA"/>
              </w:rPr>
              <w:t>kg/h)。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2"/>
                <w:sz w:val="24"/>
                <w:szCs w:val="24"/>
                <w:lang w:val="en-US" w:eastAsia="zh-CN" w:bidi="ar-SA"/>
              </w:rPr>
              <w:t>（3）</w:t>
            </w:r>
            <w:r>
              <w:rPr>
                <w:rFonts w:hint="default" w:ascii="Times New Roman" w:hAnsi="Times New Roman" w:cs="Times New Roman"/>
                <w:color w:val="auto"/>
                <w:sz w:val="24"/>
                <w:szCs w:val="24"/>
                <w:lang w:val="en-US" w:eastAsia="zh-CN"/>
              </w:rPr>
              <w:t>陈化废气G</w:t>
            </w:r>
            <w:r>
              <w:rPr>
                <w:rFonts w:hint="default" w:ascii="Times New Roman" w:hAnsi="Times New Roman" w:cs="Times New Roman"/>
                <w:color w:val="auto"/>
                <w:sz w:val="24"/>
                <w:szCs w:val="24"/>
                <w:vertAlign w:val="subscript"/>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本项目陈化采用翻抛机翻抛，目的主要是调节水分。该过程会产生颗粒物及</w:t>
            </w:r>
            <w:r>
              <w:rPr>
                <w:rFonts w:hint="default" w:ascii="Times New Roman" w:hAnsi="Times New Roman" w:eastAsia="宋体" w:cs="Times New Roman"/>
                <w:color w:val="auto"/>
                <w:sz w:val="24"/>
                <w:szCs w:val="24"/>
                <w:lang w:val="en-US" w:eastAsia="zh-CN"/>
              </w:rPr>
              <w:t>恶臭气体</w:t>
            </w:r>
            <w:r>
              <w:rPr>
                <w:rFonts w:hint="default" w:ascii="Times New Roman" w:hAnsi="Times New Roman" w:cs="Times New Roman"/>
                <w:color w:val="auto"/>
                <w:sz w:val="24"/>
                <w:szCs w:val="24"/>
                <w:lang w:val="en-US" w:eastAsia="zh-CN"/>
              </w:rPr>
              <w:t>，其</w:t>
            </w:r>
            <w:r>
              <w:rPr>
                <w:rFonts w:hint="default" w:ascii="Times New Roman" w:hAnsi="Times New Roman" w:eastAsia="宋体" w:cs="Times New Roman"/>
                <w:color w:val="auto"/>
                <w:sz w:val="24"/>
                <w:szCs w:val="24"/>
                <w:lang w:val="en-US" w:eastAsia="zh-CN"/>
              </w:rPr>
              <w:t>产生量无相关文献及可参考的排污系数，</w:t>
            </w:r>
            <w:r>
              <w:rPr>
                <w:rFonts w:hint="default" w:ascii="Times New Roman" w:hAnsi="Times New Roman" w:cs="Times New Roman"/>
                <w:color w:val="auto"/>
                <w:sz w:val="24"/>
                <w:szCs w:val="24"/>
                <w:lang w:val="en-US" w:eastAsia="zh-CN"/>
              </w:rPr>
              <w:t>本次评价颗粒物参照发酵工序产生情况，即颗粒物产生量为</w:t>
            </w:r>
            <w:r>
              <w:rPr>
                <w:rFonts w:hint="eastAsia" w:cs="Times New Roman"/>
                <w:color w:val="auto"/>
                <w:sz w:val="24"/>
                <w:szCs w:val="24"/>
                <w:lang w:val="en-US" w:eastAsia="zh-CN"/>
              </w:rPr>
              <w:t>3.7</w:t>
            </w:r>
            <w:r>
              <w:rPr>
                <w:rFonts w:hint="default" w:ascii="Times New Roman" w:hAnsi="Times New Roman" w:cs="Times New Roman"/>
                <w:color w:val="auto"/>
                <w:sz w:val="24"/>
                <w:szCs w:val="24"/>
                <w:lang w:val="en-US" w:eastAsia="zh-CN"/>
              </w:rPr>
              <w:t>t/a，经密闭厂房降尘处理后，以无组织形式排放，则本项目陈化工序无组织排放量为</w:t>
            </w:r>
            <w:r>
              <w:rPr>
                <w:rFonts w:hint="eastAsia" w:cs="Times New Roman"/>
                <w:color w:val="auto"/>
                <w:sz w:val="24"/>
                <w:szCs w:val="24"/>
                <w:lang w:val="en-US" w:eastAsia="zh-CN"/>
              </w:rPr>
              <w:t>1.85</w:t>
            </w:r>
            <w:r>
              <w:rPr>
                <w:rFonts w:hint="default" w:ascii="Times New Roman" w:hAnsi="Times New Roman" w:cs="Times New Roman"/>
                <w:color w:val="auto"/>
                <w:sz w:val="24"/>
                <w:szCs w:val="24"/>
                <w:lang w:val="en-US" w:eastAsia="zh-CN"/>
              </w:rPr>
              <w:t>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另外，</w:t>
            </w:r>
            <w:r>
              <w:rPr>
                <w:rFonts w:hint="default" w:ascii="Times New Roman" w:hAnsi="Times New Roman" w:eastAsia="宋体" w:cs="Times New Roman"/>
                <w:color w:val="auto"/>
                <w:sz w:val="24"/>
                <w:szCs w:val="24"/>
                <w:lang w:val="en-US" w:eastAsia="zh-CN"/>
              </w:rPr>
              <w:t>根据同类项目经验</w:t>
            </w:r>
            <w:r>
              <w:rPr>
                <w:rFonts w:hint="default" w:ascii="Times New Roman" w:hAnsi="Times New Roman" w:cs="Times New Roman"/>
                <w:color w:val="auto"/>
                <w:sz w:val="24"/>
                <w:szCs w:val="24"/>
                <w:lang w:val="en-US" w:eastAsia="zh-CN"/>
              </w:rPr>
              <w:t>恶臭气体</w:t>
            </w:r>
            <w:r>
              <w:rPr>
                <w:rFonts w:hint="default" w:ascii="Times New Roman" w:hAnsi="Times New Roman" w:eastAsia="宋体" w:cs="Times New Roman"/>
                <w:color w:val="auto"/>
                <w:sz w:val="24"/>
                <w:szCs w:val="24"/>
                <w:lang w:val="en-US" w:eastAsia="zh-CN"/>
              </w:rPr>
              <w:t>产生量与陈化</w:t>
            </w:r>
            <w:r>
              <w:rPr>
                <w:rFonts w:hint="default" w:ascii="Times New Roman" w:hAnsi="Times New Roman" w:cs="Times New Roman"/>
                <w:color w:val="auto"/>
                <w:sz w:val="24"/>
                <w:szCs w:val="24"/>
                <w:lang w:val="en-US" w:eastAsia="zh-CN"/>
              </w:rPr>
              <w:t>工序</w:t>
            </w:r>
            <w:r>
              <w:rPr>
                <w:rFonts w:hint="default" w:ascii="Times New Roman" w:hAnsi="Times New Roman" w:eastAsia="宋体" w:cs="Times New Roman"/>
                <w:color w:val="auto"/>
                <w:sz w:val="24"/>
                <w:szCs w:val="24"/>
                <w:lang w:val="en-US" w:eastAsia="zh-CN"/>
              </w:rPr>
              <w:t>占地面积及发酵废气产生量相关，结合项目特征，本</w:t>
            </w:r>
            <w:r>
              <w:rPr>
                <w:rFonts w:hint="default" w:ascii="Times New Roman" w:hAnsi="Times New Roman" w:cs="Times New Roman"/>
                <w:color w:val="auto"/>
                <w:sz w:val="24"/>
                <w:szCs w:val="24"/>
                <w:lang w:val="en-US" w:eastAsia="zh-CN"/>
              </w:rPr>
              <w:t>次</w:t>
            </w:r>
            <w:r>
              <w:rPr>
                <w:rFonts w:hint="default" w:ascii="Times New Roman" w:hAnsi="Times New Roman" w:eastAsia="宋体" w:cs="Times New Roman"/>
                <w:color w:val="auto"/>
                <w:sz w:val="24"/>
                <w:szCs w:val="24"/>
                <w:lang w:val="en-US" w:eastAsia="zh-CN"/>
              </w:rPr>
              <w:t>陈化过程氨、硫化氢排放量按同样面积下发酵废气产生量的10%取值，</w:t>
            </w:r>
            <w:r>
              <w:rPr>
                <w:rFonts w:hint="default" w:ascii="Times New Roman" w:hAnsi="Times New Roman" w:cs="Times New Roman"/>
                <w:color w:val="auto"/>
                <w:sz w:val="24"/>
                <w:szCs w:val="24"/>
                <w:lang w:val="en-US" w:eastAsia="zh-CN"/>
              </w:rPr>
              <w:t>根据</w:t>
            </w:r>
            <w:r>
              <w:rPr>
                <w:rFonts w:hint="eastAsia" w:cs="Times New Roman"/>
                <w:color w:val="auto"/>
                <w:sz w:val="24"/>
                <w:szCs w:val="24"/>
                <w:lang w:val="en-US" w:eastAsia="zh-CN"/>
              </w:rPr>
              <w:t>发</w:t>
            </w:r>
            <w:r>
              <w:rPr>
                <w:rFonts w:hint="default" w:ascii="Times New Roman" w:hAnsi="Times New Roman" w:cs="Times New Roman"/>
                <w:color w:val="auto"/>
                <w:sz w:val="24"/>
                <w:szCs w:val="24"/>
                <w:lang w:val="en-US" w:eastAsia="zh-CN"/>
              </w:rPr>
              <w:t>建设单位提供的资料，</w:t>
            </w:r>
            <w:r>
              <w:rPr>
                <w:rFonts w:hint="default" w:ascii="Times New Roman" w:hAnsi="Times New Roman" w:eastAsia="宋体" w:cs="Times New Roman"/>
                <w:color w:val="auto"/>
                <w:sz w:val="24"/>
                <w:szCs w:val="24"/>
                <w:lang w:val="en-US" w:eastAsia="zh-CN"/>
              </w:rPr>
              <w:t>项目陈化</w:t>
            </w:r>
            <w:r>
              <w:rPr>
                <w:rFonts w:hint="default" w:ascii="Times New Roman" w:hAnsi="Times New Roman" w:cs="Times New Roman"/>
                <w:color w:val="auto"/>
                <w:sz w:val="24"/>
                <w:szCs w:val="24"/>
                <w:lang w:val="en-US" w:eastAsia="zh-CN"/>
              </w:rPr>
              <w:t>工序占地</w:t>
            </w:r>
            <w:r>
              <w:rPr>
                <w:rFonts w:hint="default" w:ascii="Times New Roman" w:hAnsi="Times New Roman" w:eastAsia="宋体" w:cs="Times New Roman"/>
                <w:color w:val="auto"/>
                <w:sz w:val="24"/>
                <w:szCs w:val="24"/>
                <w:lang w:val="en-US" w:eastAsia="zh-CN"/>
              </w:rPr>
              <w:t>面积</w:t>
            </w:r>
            <w:r>
              <w:rPr>
                <w:rFonts w:hint="default" w:ascii="Times New Roman" w:hAnsi="Times New Roman" w:cs="Times New Roman"/>
                <w:color w:val="auto"/>
                <w:sz w:val="24"/>
                <w:szCs w:val="24"/>
                <w:lang w:val="en-US" w:eastAsia="zh-CN"/>
              </w:rPr>
              <w:t>与</w:t>
            </w:r>
            <w:r>
              <w:rPr>
                <w:rFonts w:hint="default" w:ascii="Times New Roman" w:hAnsi="Times New Roman" w:eastAsia="宋体" w:cs="Times New Roman"/>
                <w:color w:val="auto"/>
                <w:sz w:val="24"/>
                <w:szCs w:val="24"/>
                <w:lang w:val="en-US" w:eastAsia="zh-CN"/>
              </w:rPr>
              <w:t>发酵</w:t>
            </w:r>
            <w:r>
              <w:rPr>
                <w:rFonts w:hint="default" w:ascii="Times New Roman" w:hAnsi="Times New Roman" w:cs="Times New Roman"/>
                <w:color w:val="auto"/>
                <w:sz w:val="24"/>
                <w:szCs w:val="24"/>
                <w:lang w:val="en-US" w:eastAsia="zh-CN"/>
              </w:rPr>
              <w:t>工序占地面积一样，经计算</w:t>
            </w:r>
            <w:r>
              <w:rPr>
                <w:rFonts w:hint="default" w:ascii="Times New Roman" w:hAnsi="Times New Roman" w:eastAsia="宋体" w:cs="Times New Roman"/>
                <w:color w:val="auto"/>
                <w:sz w:val="24"/>
                <w:szCs w:val="24"/>
                <w:lang w:val="en-US" w:eastAsia="zh-CN"/>
              </w:rPr>
              <w:t>，陈化过程氨</w:t>
            </w:r>
            <w:r>
              <w:rPr>
                <w:rFonts w:hint="default" w:ascii="Times New Roman" w:hAnsi="Times New Roman"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量为</w:t>
            </w:r>
            <w:r>
              <w:rPr>
                <w:rFonts w:hint="eastAsia" w:cs="Times New Roman"/>
                <w:color w:val="auto"/>
                <w:sz w:val="24"/>
                <w:szCs w:val="24"/>
                <w:lang w:val="en-US" w:eastAsia="zh-CN"/>
              </w:rPr>
              <w:t>0.00305</w:t>
            </w:r>
            <w:r>
              <w:rPr>
                <w:rFonts w:hint="default" w:ascii="Times New Roman" w:hAnsi="Times New Roman" w:eastAsia="宋体" w:cs="Times New Roman"/>
                <w:color w:val="auto"/>
                <w:sz w:val="24"/>
                <w:szCs w:val="24"/>
                <w:lang w:val="en-US" w:eastAsia="zh-CN"/>
              </w:rPr>
              <w:t>t/a，硫化氢产生量为</w:t>
            </w:r>
            <w:r>
              <w:rPr>
                <w:rFonts w:hint="eastAsia" w:cs="Times New Roman"/>
                <w:color w:val="auto"/>
                <w:sz w:val="24"/>
                <w:szCs w:val="24"/>
                <w:lang w:val="en-US" w:eastAsia="zh-CN"/>
              </w:rPr>
              <w:t>0.0001</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szCs w:val="24"/>
                <w:lang w:val="en-US" w:eastAsia="zh-CN"/>
              </w:rPr>
              <w:t>，以无组织形式排放</w:t>
            </w:r>
            <w:r>
              <w:rPr>
                <w:rFonts w:hint="default" w:ascii="Times New Roman" w:hAnsi="Times New Roman" w:eastAsia="宋体" w:cs="Times New Roman"/>
                <w:color w:val="auto"/>
                <w:sz w:val="24"/>
                <w:szCs w:val="24"/>
                <w:lang w:val="en-US" w:eastAsia="zh-CN"/>
              </w:rPr>
              <w:t>。</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（4）粉碎废气G</w:t>
            </w:r>
            <w:r>
              <w:rPr>
                <w:rFonts w:hint="default" w:ascii="Times New Roman" w:hAnsi="Times New Roman" w:eastAsia="宋体" w:cs="Times New Roman"/>
                <w:color w:val="auto"/>
                <w:sz w:val="24"/>
                <w:szCs w:val="24"/>
                <w:vertAlign w:val="subscript"/>
                <w:lang w:val="en-US" w:eastAsia="zh-CN"/>
              </w:rPr>
              <w:t>4</w:t>
            </w:r>
            <w:r>
              <w:rPr>
                <w:rFonts w:hint="default" w:ascii="Times New Roman" w:hAnsi="Times New Roman" w:eastAsia="宋体" w:cs="Times New Roman"/>
                <w:color w:val="auto"/>
                <w:sz w:val="24"/>
                <w:szCs w:val="24"/>
                <w:vertAlign w:val="baseline"/>
                <w:lang w:val="en-US" w:eastAsia="zh-CN"/>
              </w:rPr>
              <w:t>、筛分废气G</w:t>
            </w:r>
            <w:r>
              <w:rPr>
                <w:rFonts w:hint="default" w:ascii="Times New Roman" w:hAnsi="Times New Roman" w:eastAsia="宋体" w:cs="Times New Roman"/>
                <w:color w:val="auto"/>
                <w:sz w:val="24"/>
                <w:szCs w:val="24"/>
                <w:vertAlign w:val="subscript"/>
                <w:lang w:val="en-US" w:eastAsia="zh-CN"/>
              </w:rPr>
              <w:t>5</w:t>
            </w:r>
            <w:r>
              <w:rPr>
                <w:rFonts w:hint="default" w:ascii="Times New Roman" w:hAnsi="Times New Roman" w:eastAsia="宋体" w:cs="Times New Roman"/>
                <w:color w:val="auto"/>
                <w:sz w:val="24"/>
                <w:szCs w:val="24"/>
                <w:vertAlign w:val="baseline"/>
                <w:lang w:val="en-US" w:eastAsia="zh-CN"/>
              </w:rPr>
              <w:t>、上料废气G</w:t>
            </w:r>
            <w:r>
              <w:rPr>
                <w:rFonts w:hint="default" w:ascii="Times New Roman" w:hAnsi="Times New Roman" w:eastAsia="宋体" w:cs="Times New Roman"/>
                <w:color w:val="auto"/>
                <w:sz w:val="24"/>
                <w:szCs w:val="24"/>
                <w:vertAlign w:val="subscript"/>
                <w:lang w:val="en-US" w:eastAsia="zh-CN"/>
              </w:rPr>
              <w:t>6</w:t>
            </w:r>
            <w:r>
              <w:rPr>
                <w:rFonts w:hint="default" w:ascii="Times New Roman" w:hAnsi="Times New Roman" w:eastAsia="宋体" w:cs="Times New Roman"/>
                <w:color w:val="auto"/>
                <w:sz w:val="24"/>
                <w:szCs w:val="24"/>
                <w:vertAlign w:val="baseline"/>
                <w:lang w:val="en-US" w:eastAsia="zh-CN"/>
              </w:rPr>
              <w:t>、造粒废气G</w:t>
            </w:r>
            <w:r>
              <w:rPr>
                <w:rFonts w:hint="default" w:ascii="Times New Roman" w:hAnsi="Times New Roman" w:eastAsia="宋体" w:cs="Times New Roman"/>
                <w:color w:val="auto"/>
                <w:sz w:val="24"/>
                <w:szCs w:val="24"/>
                <w:vertAlign w:val="subscript"/>
                <w:lang w:val="en-US" w:eastAsia="zh-CN"/>
              </w:rPr>
              <w:t>7</w:t>
            </w:r>
            <w:r>
              <w:rPr>
                <w:rFonts w:hint="default" w:ascii="Times New Roman" w:hAnsi="Times New Roman" w:eastAsia="宋体" w:cs="Times New Roman"/>
                <w:color w:val="auto"/>
                <w:sz w:val="24"/>
                <w:szCs w:val="24"/>
                <w:vertAlign w:val="baseline"/>
                <w:lang w:val="en-US" w:eastAsia="zh-CN"/>
              </w:rPr>
              <w:t>、冷却废气G</w:t>
            </w:r>
            <w:r>
              <w:rPr>
                <w:rFonts w:hint="default" w:ascii="Times New Roman" w:hAnsi="Times New Roman" w:eastAsia="宋体" w:cs="Times New Roman"/>
                <w:color w:val="auto"/>
                <w:sz w:val="24"/>
                <w:szCs w:val="24"/>
                <w:vertAlign w:val="subscript"/>
                <w:lang w:val="en-US" w:eastAsia="zh-CN"/>
              </w:rPr>
              <w:t>8</w:t>
            </w:r>
            <w:r>
              <w:rPr>
                <w:rFonts w:hint="default" w:ascii="Times New Roman" w:hAnsi="Times New Roman" w:eastAsia="宋体" w:cs="Times New Roman"/>
                <w:color w:val="auto"/>
                <w:sz w:val="24"/>
                <w:szCs w:val="24"/>
                <w:vertAlign w:val="baseline"/>
                <w:lang w:val="en-US" w:eastAsia="zh-CN"/>
              </w:rPr>
              <w:t>、二次筛分废气G</w:t>
            </w:r>
            <w:r>
              <w:rPr>
                <w:rFonts w:hint="default" w:ascii="Times New Roman" w:hAnsi="Times New Roman" w:eastAsia="宋体" w:cs="Times New Roman"/>
                <w:color w:val="auto"/>
                <w:sz w:val="24"/>
                <w:szCs w:val="24"/>
                <w:vertAlign w:val="subscript"/>
                <w:lang w:val="en-US" w:eastAsia="zh-CN"/>
              </w:rPr>
              <w:t>9</w:t>
            </w:r>
            <w:r>
              <w:rPr>
                <w:rFonts w:hint="default" w:ascii="Times New Roman" w:hAnsi="Times New Roman" w:eastAsia="宋体" w:cs="Times New Roman"/>
                <w:color w:val="auto"/>
                <w:sz w:val="24"/>
                <w:szCs w:val="24"/>
                <w:vertAlign w:val="baseline"/>
                <w:lang w:val="en-US" w:eastAsia="zh-CN"/>
              </w:rPr>
              <w:t>、包装废气G</w:t>
            </w:r>
            <w:r>
              <w:rPr>
                <w:rFonts w:hint="default" w:ascii="Times New Roman" w:hAnsi="Times New Roman" w:eastAsia="宋体" w:cs="Times New Roman"/>
                <w:color w:val="auto"/>
                <w:sz w:val="24"/>
                <w:szCs w:val="24"/>
                <w:vertAlign w:val="subscript"/>
                <w:lang w:val="en-US" w:eastAsia="zh-CN"/>
              </w:rPr>
              <w:t>10-1</w:t>
            </w:r>
            <w:r>
              <w:rPr>
                <w:rFonts w:hint="default" w:ascii="Times New Roman" w:hAnsi="Times New Roman" w:eastAsia="宋体" w:cs="Times New Roman"/>
                <w:color w:val="auto"/>
                <w:sz w:val="24"/>
                <w:szCs w:val="24"/>
                <w:vertAlign w:val="baseline"/>
                <w:lang w:val="en-US" w:eastAsia="zh-CN"/>
              </w:rPr>
              <w:t>、G</w:t>
            </w:r>
            <w:r>
              <w:rPr>
                <w:rFonts w:hint="default" w:ascii="Times New Roman" w:hAnsi="Times New Roman" w:eastAsia="宋体" w:cs="Times New Roman"/>
                <w:color w:val="auto"/>
                <w:sz w:val="24"/>
                <w:szCs w:val="24"/>
                <w:vertAlign w:val="subscript"/>
                <w:lang w:val="en-US" w:eastAsia="zh-CN"/>
              </w:rPr>
              <w:t>10-2</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本项目粉碎、筛分、上料、造粒、冷却、二次筛分及包装，</w:t>
            </w:r>
            <w:r>
              <w:rPr>
                <w:rFonts w:hint="default" w:ascii="Times New Roman" w:hAnsi="Times New Roman" w:cs="Times New Roman"/>
                <w:color w:val="auto"/>
                <w:sz w:val="24"/>
                <w:szCs w:val="24"/>
                <w:lang w:val="en-US" w:eastAsia="zh-CN"/>
              </w:rPr>
              <w:t>属于有机肥前处理、后处理过程，均在成品加工车间内完成，且</w:t>
            </w:r>
            <w:r>
              <w:rPr>
                <w:rFonts w:hint="default" w:ascii="Times New Roman" w:hAnsi="Times New Roman" w:eastAsia="宋体" w:cs="Times New Roman"/>
                <w:color w:val="auto"/>
                <w:sz w:val="24"/>
                <w:szCs w:val="24"/>
                <w:lang w:val="en-US" w:eastAsia="zh-CN"/>
              </w:rPr>
              <w:t>各工序生产过程中均会产生粉尘，根据《排放源统计调查产排污核算方法和系数手册》-2625有机肥料及微生物肥料制造行业系数手册，颗粒物产污系数以0.370千克/吨-产品计。本次技改后产能为</w:t>
            </w:r>
            <w:r>
              <w:rPr>
                <w:rFonts w:hint="eastAsia" w:cs="Times New Roman"/>
                <w:color w:val="auto"/>
                <w:sz w:val="24"/>
                <w:szCs w:val="24"/>
                <w:lang w:val="en-US" w:eastAsia="zh-CN"/>
              </w:rPr>
              <w:t>10000</w:t>
            </w:r>
            <w:r>
              <w:rPr>
                <w:rFonts w:hint="default" w:ascii="Times New Roman" w:hAnsi="Times New Roman" w:eastAsia="宋体" w:cs="Times New Roman"/>
                <w:color w:val="auto"/>
                <w:sz w:val="24"/>
                <w:szCs w:val="24"/>
                <w:lang w:val="en-US" w:eastAsia="zh-CN"/>
              </w:rPr>
              <w:t>t，经计算，颗粒物产生量为</w:t>
            </w:r>
            <w:r>
              <w:rPr>
                <w:rFonts w:hint="eastAsia" w:cs="Times New Roman"/>
                <w:color w:val="auto"/>
                <w:sz w:val="24"/>
                <w:szCs w:val="24"/>
                <w:lang w:val="en-US" w:eastAsia="zh-CN"/>
              </w:rPr>
              <w:t>3.7</w:t>
            </w:r>
            <w:r>
              <w:rPr>
                <w:rFonts w:hint="default" w:ascii="Times New Roman" w:hAnsi="Times New Roman" w:eastAsia="宋体" w:cs="Times New Roman"/>
                <w:color w:val="auto"/>
                <w:sz w:val="24"/>
                <w:szCs w:val="24"/>
                <w:lang w:val="en-US" w:eastAsia="zh-CN"/>
              </w:rPr>
              <w:t>t/a，经集气罩收集（收集效率90%）后引至一套布袋除尘器（处理效率</w:t>
            </w:r>
            <w:r>
              <w:rPr>
                <w:rFonts w:hint="default" w:ascii="Times New Roman" w:hAnsi="Times New Roman" w:cs="Times New Roman"/>
                <w:color w:val="auto"/>
                <w:sz w:val="24"/>
                <w:szCs w:val="24"/>
                <w:lang w:val="en-US" w:eastAsia="zh-CN"/>
              </w:rPr>
              <w:t>98%</w:t>
            </w:r>
            <w:r>
              <w:rPr>
                <w:rFonts w:hint="default" w:ascii="Times New Roman" w:hAnsi="Times New Roman" w:eastAsia="宋体" w:cs="Times New Roman"/>
                <w:color w:val="auto"/>
                <w:sz w:val="24"/>
                <w:szCs w:val="24"/>
                <w:lang w:val="en-US" w:eastAsia="zh-CN"/>
              </w:rPr>
              <w:t>）处理后通过1根15m高排气筒排放。其中未被收集的废气在密闭厂房降尘（降尘效果50%）处理后以无组织形式排放，则集气罩收集颗粒物量为</w:t>
            </w:r>
            <w:r>
              <w:rPr>
                <w:rFonts w:hint="eastAsia" w:cs="Times New Roman"/>
                <w:color w:val="auto"/>
                <w:sz w:val="24"/>
                <w:szCs w:val="24"/>
                <w:lang w:val="en-US" w:eastAsia="zh-CN"/>
              </w:rPr>
              <w:t>3.33</w:t>
            </w:r>
            <w:r>
              <w:rPr>
                <w:rFonts w:hint="default" w:ascii="Times New Roman" w:hAnsi="Times New Roman" w:eastAsia="宋体" w:cs="Times New Roman"/>
                <w:color w:val="auto"/>
                <w:sz w:val="24"/>
                <w:szCs w:val="24"/>
                <w:lang w:val="en-US" w:eastAsia="zh-CN"/>
              </w:rPr>
              <w:t>t/a，经布袋除尘器处理后的排放量为</w:t>
            </w:r>
            <w:r>
              <w:rPr>
                <w:rFonts w:hint="eastAsia" w:cs="Times New Roman"/>
                <w:color w:val="auto"/>
                <w:sz w:val="24"/>
                <w:szCs w:val="24"/>
                <w:lang w:val="en-US" w:eastAsia="zh-CN"/>
              </w:rPr>
              <w:t>0.67</w:t>
            </w:r>
            <w:r>
              <w:rPr>
                <w:rFonts w:hint="default" w:ascii="Times New Roman" w:hAnsi="Times New Roman" w:eastAsia="宋体" w:cs="Times New Roman"/>
                <w:color w:val="auto"/>
                <w:sz w:val="24"/>
                <w:szCs w:val="24"/>
                <w:lang w:val="en-US" w:eastAsia="zh-CN"/>
              </w:rPr>
              <w:t>t/a；未收集的颗粒物量为</w:t>
            </w:r>
            <w:r>
              <w:rPr>
                <w:rFonts w:hint="eastAsia" w:cs="Times New Roman"/>
                <w:color w:val="auto"/>
                <w:sz w:val="24"/>
                <w:szCs w:val="24"/>
                <w:lang w:val="en-US" w:eastAsia="zh-CN"/>
              </w:rPr>
              <w:t>0.37</w:t>
            </w:r>
            <w:r>
              <w:rPr>
                <w:rFonts w:hint="default" w:ascii="Times New Roman" w:hAnsi="Times New Roman" w:eastAsia="宋体" w:cs="Times New Roman"/>
                <w:color w:val="auto"/>
                <w:sz w:val="24"/>
                <w:szCs w:val="24"/>
                <w:lang w:val="en-US" w:eastAsia="zh-CN"/>
              </w:rPr>
              <w:t>t/a，则无组织产生量为0.</w:t>
            </w:r>
            <w:r>
              <w:rPr>
                <w:rFonts w:hint="eastAsia" w:cs="Times New Roman"/>
                <w:color w:val="auto"/>
                <w:sz w:val="24"/>
                <w:szCs w:val="24"/>
                <w:lang w:val="en-US" w:eastAsia="zh-CN"/>
              </w:rPr>
              <w:t>37</w:t>
            </w:r>
            <w:r>
              <w:rPr>
                <w:rFonts w:hint="default" w:ascii="Times New Roman" w:hAnsi="Times New Roman" w:eastAsia="宋体" w:cs="Times New Roman"/>
                <w:color w:val="auto"/>
                <w:sz w:val="24"/>
                <w:szCs w:val="24"/>
                <w:lang w:val="en-US" w:eastAsia="zh-CN"/>
              </w:rPr>
              <w:t>t/a，经密闭厂房降尘处理后，</w:t>
            </w:r>
            <w:r>
              <w:rPr>
                <w:rFonts w:hint="default" w:ascii="Times New Roman" w:hAnsi="Times New Roman" w:cs="Times New Roman"/>
                <w:color w:val="auto"/>
                <w:sz w:val="24"/>
                <w:szCs w:val="24"/>
                <w:lang w:val="en-US" w:eastAsia="zh-CN"/>
              </w:rPr>
              <w:t>以无组织形式排放，</w:t>
            </w:r>
            <w:r>
              <w:rPr>
                <w:rFonts w:hint="default" w:ascii="Times New Roman" w:hAnsi="Times New Roman" w:eastAsia="宋体" w:cs="Times New Roman"/>
                <w:color w:val="auto"/>
                <w:sz w:val="24"/>
                <w:szCs w:val="24"/>
                <w:lang w:val="en-US" w:eastAsia="zh-CN"/>
              </w:rPr>
              <w:t>项目无组织排放量为</w:t>
            </w:r>
            <w:r>
              <w:rPr>
                <w:rFonts w:hint="eastAsia" w:cs="Times New Roman"/>
                <w:color w:val="auto"/>
                <w:sz w:val="24"/>
                <w:szCs w:val="24"/>
                <w:lang w:val="en-US" w:eastAsia="zh-CN"/>
              </w:rPr>
              <w:t>0.185</w:t>
            </w:r>
            <w:r>
              <w:rPr>
                <w:rFonts w:hint="default" w:ascii="Times New Roman" w:hAnsi="Times New Roman" w:eastAsia="宋体" w:cs="Times New Roman"/>
                <w:color w:val="auto"/>
                <w:sz w:val="24"/>
                <w:szCs w:val="24"/>
                <w:lang w:val="en-US" w:eastAsia="zh-CN"/>
              </w:rPr>
              <w:t>t/a。</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3、废气污染治理措施及其可行性分析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w:t>
            </w:r>
            <w:r>
              <w:rPr>
                <w:rFonts w:hint="default" w:ascii="Times New Roman" w:hAnsi="Times New Roman" w:cs="Times New Roman"/>
                <w:color w:val="auto"/>
                <w:sz w:val="24"/>
                <w:lang w:val="en-US" w:eastAsia="zh-CN"/>
              </w:rPr>
              <w:t>为</w:t>
            </w:r>
            <w:r>
              <w:rPr>
                <w:rFonts w:hint="default" w:ascii="Times New Roman" w:hAnsi="Times New Roman" w:eastAsia="宋体" w:cs="Times New Roman"/>
                <w:color w:val="auto"/>
                <w:sz w:val="24"/>
                <w:lang w:val="en-US" w:eastAsia="zh-CN"/>
              </w:rPr>
              <w:t>有机肥料</w:t>
            </w:r>
            <w:r>
              <w:rPr>
                <w:rFonts w:hint="default" w:ascii="Times New Roman" w:hAnsi="Times New Roman" w:cs="Times New Roman"/>
                <w:color w:val="auto"/>
                <w:sz w:val="24"/>
                <w:lang w:val="en-US" w:eastAsia="zh-CN"/>
              </w:rPr>
              <w:t>制造业</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根据</w:t>
            </w:r>
            <w:r>
              <w:rPr>
                <w:rFonts w:hint="default" w:ascii="Times New Roman" w:hAnsi="Times New Roman" w:eastAsia="宋体" w:cs="Times New Roman"/>
                <w:color w:val="auto"/>
                <w:sz w:val="24"/>
                <w:lang w:val="en-US" w:eastAsia="zh-CN"/>
              </w:rPr>
              <w:t>《排污许可证申请与核发技术规范</w:t>
            </w:r>
            <w:r>
              <w:rPr>
                <w:rFonts w:hint="default" w:ascii="Times New Roman" w:hAnsi="Times New Roman" w:cs="Times New Roman"/>
                <w:color w:val="auto"/>
                <w:sz w:val="24"/>
                <w:lang w:val="en-US" w:eastAsia="zh-CN"/>
              </w:rPr>
              <w:t xml:space="preserve"> </w:t>
            </w:r>
            <w:r>
              <w:rPr>
                <w:rFonts w:hint="default" w:ascii="Times New Roman" w:hAnsi="Times New Roman" w:eastAsia="宋体" w:cs="Times New Roman"/>
                <w:color w:val="auto"/>
                <w:sz w:val="24"/>
                <w:lang w:val="en-US" w:eastAsia="zh-CN"/>
              </w:rPr>
              <w:t>磷肥、钾肥、复混肥料、有机肥料及微生物肥料工业》（HJ</w:t>
            </w:r>
            <w:r>
              <w:rPr>
                <w:rFonts w:hint="default" w:ascii="Times New Roman" w:hAnsi="Times New Roman" w:cs="Times New Roman"/>
                <w:color w:val="auto"/>
                <w:sz w:val="24"/>
                <w:lang w:val="en-US" w:eastAsia="zh-CN"/>
              </w:rPr>
              <w:t>864.2</w:t>
            </w:r>
            <w:r>
              <w:rPr>
                <w:rFonts w:hint="default" w:ascii="Times New Roman" w:hAnsi="Times New Roman" w:eastAsia="宋体" w:cs="Times New Roman"/>
                <w:color w:val="auto"/>
                <w:sz w:val="24"/>
                <w:lang w:val="en-US" w:eastAsia="zh-CN"/>
              </w:rPr>
              <w:t>-2</w:t>
            </w:r>
            <w:r>
              <w:rPr>
                <w:rFonts w:hint="default" w:ascii="Times New Roman" w:hAnsi="Times New Roman" w:cs="Times New Roman"/>
                <w:color w:val="auto"/>
                <w:sz w:val="24"/>
                <w:lang w:val="en-US" w:eastAsia="zh-CN"/>
              </w:rPr>
              <w:t>018</w:t>
            </w:r>
            <w:r>
              <w:rPr>
                <w:rFonts w:hint="default" w:ascii="Times New Roman" w:hAnsi="Times New Roman" w:eastAsia="宋体" w:cs="Times New Roman"/>
                <w:color w:val="auto"/>
                <w:sz w:val="24"/>
                <w:lang w:val="en-US" w:eastAsia="zh-CN"/>
              </w:rPr>
              <w:t>）中的表</w:t>
            </w:r>
            <w:r>
              <w:rPr>
                <w:rFonts w:hint="default" w:ascii="Times New Roman" w:hAnsi="Times New Roman" w:cs="Times New Roman"/>
                <w:color w:val="auto"/>
                <w:sz w:val="24"/>
                <w:lang w:val="en-US" w:eastAsia="zh-CN"/>
              </w:rPr>
              <w:t>15有机肥料及微生物肥料工业排污单位生产单元或设施废气治理可行技术参照</w:t>
            </w:r>
            <w:r>
              <w:rPr>
                <w:rFonts w:hint="default" w:ascii="Times New Roman" w:hAnsi="Times New Roman" w:eastAsia="宋体" w:cs="Times New Roman"/>
                <w:color w:val="auto"/>
                <w:sz w:val="24"/>
                <w:lang w:val="en-US" w:eastAsia="zh-CN"/>
              </w:rPr>
              <w:t>，本项目措施可行性分析对照见下表4-</w:t>
            </w:r>
            <w:r>
              <w:rPr>
                <w:rFonts w:hint="default"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val="en-US" w:eastAsia="zh-CN"/>
              </w:rPr>
              <w:t>表4</w:t>
            </w:r>
            <w:r>
              <w:rPr>
                <w:rFonts w:hint="default" w:ascii="Times New Roman" w:hAnsi="Times New Roman" w:eastAsia="黑体" w:cs="Times New Roman"/>
                <w:color w:val="auto"/>
              </w:rPr>
              <w:t>-</w:t>
            </w:r>
            <w:r>
              <w:rPr>
                <w:rFonts w:hint="default" w:ascii="Times New Roman" w:hAnsi="Times New Roman" w:eastAsia="黑体" w:cs="Times New Roman"/>
                <w:color w:val="auto"/>
                <w:lang w:val="en-US" w:eastAsia="zh-CN"/>
              </w:rPr>
              <w:t xml:space="preserve">4 </w:t>
            </w:r>
            <w:r>
              <w:rPr>
                <w:rFonts w:hint="default" w:ascii="Times New Roman" w:hAnsi="Times New Roman" w:eastAsia="黑体" w:cs="Times New Roman"/>
                <w:color w:val="auto"/>
              </w:rPr>
              <w:t xml:space="preserve"> 污染防治措施可行性对照表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67"/>
              <w:gridCol w:w="2761"/>
              <w:gridCol w:w="26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产污环节</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污染物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可行技术</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本项目拟采取治理措施</w:t>
                  </w:r>
                </w:p>
              </w:tc>
              <w:tc>
                <w:tcPr>
                  <w:tcW w:w="594"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是否为可行技术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备料</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黑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continue"/>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cs="Times New Roman"/>
                      <w:color w:val="auto"/>
                    </w:rPr>
                  </w:pP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发酵</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bookmarkStart w:id="27" w:name="OLE_LINK1"/>
                  <w:bookmarkStart w:id="28" w:name="OLE_LINK2"/>
                  <w:r>
                    <w:rPr>
                      <w:rFonts w:hint="default" w:ascii="Times New Roman" w:hAnsi="Times New Roman" w:eastAsia="宋体" w:cs="Times New Roman"/>
                      <w:color w:val="auto"/>
                      <w:lang w:val="en-US" w:eastAsia="zh-CN"/>
                    </w:rPr>
                    <w:t>破碎</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造粒</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筛分</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冷却</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rPr>
              <w:t>由上表</w:t>
            </w:r>
            <w:r>
              <w:rPr>
                <w:rFonts w:hint="default" w:ascii="Times New Roman" w:hAnsi="Times New Roman" w:cs="Times New Roman"/>
                <w:color w:val="auto"/>
                <w:sz w:val="24"/>
                <w:szCs w:val="24"/>
                <w:lang w:eastAsia="zh-CN"/>
              </w:rPr>
              <w:t>分析</w:t>
            </w:r>
            <w:r>
              <w:rPr>
                <w:rFonts w:hint="default" w:ascii="Times New Roman" w:hAnsi="Times New Roman" w:eastAsia="宋体" w:cs="Times New Roman"/>
                <w:color w:val="auto"/>
                <w:sz w:val="24"/>
                <w:szCs w:val="24"/>
              </w:rPr>
              <w:t>可知，本项目废气治理措施为可行性技术。</w:t>
            </w:r>
            <w:bookmarkEnd w:id="27"/>
            <w:bookmarkEnd w:id="28"/>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4、监测要求及排放标准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根据《排污单位自行监测技术指南</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磷肥、钾肥、复混肥料、有机肥料和微生物肥料》（HJ</w:t>
            </w:r>
            <w:r>
              <w:rPr>
                <w:rFonts w:hint="default" w:ascii="Times New Roman" w:hAnsi="Times New Roman" w:cs="Times New Roman"/>
                <w:color w:val="auto"/>
                <w:sz w:val="24"/>
                <w:szCs w:val="24"/>
                <w:lang w:val="en-US" w:eastAsia="zh-CN"/>
              </w:rPr>
              <w:t>1088-2020</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eastAsia="zh-CN"/>
              </w:rPr>
              <w:t>本项目运营期废气污染源</w:t>
            </w:r>
            <w:r>
              <w:rPr>
                <w:rFonts w:hint="default" w:ascii="Times New Roman" w:hAnsi="Times New Roman" w:eastAsia="宋体" w:cs="Times New Roman"/>
                <w:color w:val="auto"/>
                <w:sz w:val="24"/>
                <w:szCs w:val="24"/>
              </w:rPr>
              <w:t>监测计划</w:t>
            </w:r>
            <w:r>
              <w:rPr>
                <w:rFonts w:hint="default" w:ascii="Times New Roman" w:hAnsi="Times New Roman" w:cs="Times New Roman"/>
                <w:color w:val="auto"/>
                <w:sz w:val="24"/>
                <w:szCs w:val="24"/>
                <w:lang w:eastAsia="zh-CN"/>
              </w:rPr>
              <w:t>见表</w:t>
            </w:r>
            <w:r>
              <w:rPr>
                <w:rFonts w:hint="default" w:ascii="Times New Roman" w:hAnsi="Times New Roman" w:cs="Times New Roman"/>
                <w:color w:val="auto"/>
                <w:sz w:val="24"/>
                <w:szCs w:val="24"/>
                <w:lang w:val="en-US" w:eastAsia="zh-CN"/>
              </w:rPr>
              <w:t>4-5。</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4-5</w:t>
            </w:r>
            <w:r>
              <w:rPr>
                <w:rFonts w:hint="default" w:ascii="Times New Roman" w:hAnsi="Times New Roman" w:eastAsia="黑体" w:cs="Times New Roman"/>
                <w:color w:val="auto"/>
              </w:rPr>
              <w:t xml:space="preserve">  本项目运营期</w:t>
            </w:r>
            <w:r>
              <w:rPr>
                <w:rFonts w:hint="default" w:ascii="Times New Roman" w:hAnsi="Times New Roman" w:eastAsia="黑体" w:cs="Times New Roman"/>
                <w:color w:val="auto"/>
                <w:lang w:val="en-US" w:eastAsia="zh-CN"/>
              </w:rPr>
              <w:t>废气污染源</w:t>
            </w:r>
            <w:r>
              <w:rPr>
                <w:rFonts w:hint="default" w:ascii="Times New Roman" w:hAnsi="Times New Roman" w:eastAsia="黑体" w:cs="Times New Roman"/>
                <w:color w:val="auto"/>
              </w:rPr>
              <w:t>监测计划一览表</w:t>
            </w:r>
          </w:p>
          <w:tbl>
            <w:tblPr>
              <w:tblStyle w:val="2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446"/>
              <w:gridCol w:w="835"/>
              <w:gridCol w:w="1080"/>
              <w:gridCol w:w="805"/>
              <w:gridCol w:w="1253"/>
              <w:gridCol w:w="1078"/>
              <w:gridCol w:w="23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污染因素</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监测点位</w:t>
                  </w:r>
                </w:p>
              </w:tc>
              <w:tc>
                <w:tcPr>
                  <w:tcW w:w="653"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监测项目</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监测频率</w:t>
                  </w:r>
                </w:p>
              </w:tc>
              <w:tc>
                <w:tcPr>
                  <w:tcW w:w="1410" w:type="pct"/>
                  <w:gridSpan w:val="2"/>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限值要求</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浓度</w:t>
                  </w:r>
                  <w:r>
                    <w:rPr>
                      <w:rFonts w:hint="default" w:ascii="Times New Roman" w:hAnsi="Times New Roman" w:cs="Times New Roman" w:eastAsiaTheme="minorEastAsia"/>
                      <w:b/>
                      <w:bCs/>
                      <w:snapToGrid w:val="0"/>
                      <w:color w:val="auto"/>
                      <w:kern w:val="0"/>
                      <w:sz w:val="21"/>
                      <w:szCs w:val="21"/>
                      <w:lang w:val="en-US" w:eastAsia="zh-CN" w:bidi="ar-SA"/>
                    </w:rPr>
                    <w:t>mg/m³</w:t>
                  </w:r>
                </w:p>
              </w:tc>
              <w:tc>
                <w:tcPr>
                  <w:tcW w:w="652"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速率</w:t>
                  </w:r>
                  <w:r>
                    <w:rPr>
                      <w:rFonts w:hint="default" w:ascii="Times New Roman" w:hAnsi="Times New Roman" w:cs="Times New Roman" w:eastAsiaTheme="minorEastAsia"/>
                      <w:b/>
                      <w:bCs/>
                      <w:color w:val="auto"/>
                      <w:sz w:val="21"/>
                      <w:szCs w:val="21"/>
                      <w:lang w:val="en-US" w:eastAsia="zh-CN"/>
                    </w:rPr>
                    <w:t>kg/h</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25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废气</w:t>
                  </w:r>
                </w:p>
              </w:tc>
              <w:tc>
                <w:tcPr>
                  <w:tcW w:w="269"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无组织</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厂界</w:t>
                  </w: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颗粒物</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1.0</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1.5</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0.06</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67"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臭气浓度</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color w:val="auto"/>
                      <w:kern w:val="0"/>
                      <w:sz w:val="21"/>
                      <w:szCs w:val="21"/>
                      <w:lang w:val="en-US" w:eastAsia="zh-CN" w:bidi="ar-SA"/>
                    </w:rPr>
                  </w:pPr>
                  <w:r>
                    <w:rPr>
                      <w:rFonts w:hint="default" w:ascii="Times New Roman" w:hAnsi="Times New Roman" w:cs="Times New Roman" w:eastAsiaTheme="minorEastAsia"/>
                      <w:snapToGrid/>
                      <w:color w:val="auto"/>
                      <w:kern w:val="0"/>
                      <w:sz w:val="21"/>
                      <w:szCs w:val="21"/>
                      <w:lang w:val="en-US" w:eastAsia="zh-CN" w:bidi="ar-SA"/>
                    </w:rPr>
                    <w:t>20（无量纲）</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DA001</w:t>
                  </w: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颗粒物</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120</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3.5</w:t>
                  </w:r>
                </w:p>
              </w:tc>
              <w:tc>
                <w:tcPr>
                  <w:tcW w:w="1415"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4.9kg/h</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0.33kg/h</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臭气浓度</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2000（无量纲）</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5、非正常工况</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本项目非正常工况排放主要分为两类：一类是在正常生产设备开停、</w:t>
            </w:r>
            <w:r>
              <w:rPr>
                <w:rFonts w:hint="default" w:ascii="Times New Roman" w:hAnsi="Times New Roman" w:cs="Times New Roman"/>
                <w:color w:val="auto"/>
                <w:sz w:val="24"/>
                <w:szCs w:val="24"/>
                <w:lang w:eastAsia="zh-CN"/>
              </w:rPr>
              <w:t>生产</w:t>
            </w:r>
            <w:r>
              <w:rPr>
                <w:rFonts w:hint="default" w:ascii="Times New Roman" w:hAnsi="Times New Roman" w:eastAsia="宋体" w:cs="Times New Roman"/>
                <w:color w:val="auto"/>
                <w:sz w:val="24"/>
                <w:szCs w:val="24"/>
              </w:rPr>
              <w:t>设备故障或部分设备检修时会有较大量的污染物排出，另一类是环保设施达不到设计规定的指标运行，而使正常排放的污染物经过不完全处理或不经过处理直接排放而导致的超标排放。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设备检修及开停车</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开车时，首先启动环保装置，然后再按照规程依次启动生产线上各个设备，一般不会出现超标排污的现象；停车时，则需先按照规程依次关闭生产线上的设备，然后关闭环保设备，保证污染物达标排放。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非正常工况废气污染源</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根据工程特点，项目非正常工况污染物的排放，主要为废气处理设施故障。因此本次评价主要考虑</w:t>
            </w:r>
            <w:r>
              <w:rPr>
                <w:rFonts w:hint="default" w:ascii="Times New Roman" w:hAnsi="Times New Roman" w:cs="Times New Roman"/>
                <w:color w:val="auto"/>
                <w:sz w:val="24"/>
                <w:szCs w:val="24"/>
                <w:lang w:eastAsia="zh-CN"/>
              </w:rPr>
              <w:t>生物除臭装置及</w:t>
            </w:r>
            <w:r>
              <w:rPr>
                <w:rFonts w:hint="default" w:ascii="Times New Roman" w:hAnsi="Times New Roman" w:cs="Times New Roman"/>
                <w:color w:val="auto"/>
                <w:sz w:val="24"/>
                <w:szCs w:val="24"/>
                <w:lang w:val="en-US" w:eastAsia="zh-CN"/>
              </w:rPr>
              <w:t>布袋除尘器处理器故障，对污染物去除效率为50%，</w:t>
            </w:r>
            <w:r>
              <w:rPr>
                <w:rFonts w:hint="default" w:ascii="Times New Roman" w:hAnsi="Times New Roman" w:eastAsia="宋体" w:cs="Times New Roman"/>
                <w:color w:val="auto"/>
                <w:sz w:val="24"/>
                <w:szCs w:val="24"/>
              </w:rPr>
              <w:t>大气污染物非正常工况排放。本次评价以废气处理系统处理效率</w:t>
            </w:r>
            <w:r>
              <w:rPr>
                <w:rFonts w:hint="default" w:ascii="Times New Roman" w:hAnsi="Times New Roman" w:cs="Times New Roman"/>
                <w:color w:val="auto"/>
                <w:sz w:val="24"/>
                <w:szCs w:val="24"/>
                <w:lang w:val="en-US" w:eastAsia="zh-CN"/>
              </w:rPr>
              <w:t>为50%</w:t>
            </w:r>
            <w:r>
              <w:rPr>
                <w:rFonts w:hint="default" w:ascii="Times New Roman" w:hAnsi="Times New Roman" w:eastAsia="宋体" w:cs="Times New Roman"/>
                <w:color w:val="auto"/>
                <w:sz w:val="24"/>
                <w:szCs w:val="24"/>
              </w:rPr>
              <w:t>，单次持续时间以1h计。</w:t>
            </w:r>
            <w:r>
              <w:rPr>
                <w:rFonts w:hint="default" w:ascii="Times New Roman" w:hAnsi="Times New Roman" w:eastAsia="宋体" w:cs="Times New Roman"/>
                <w:color w:val="auto"/>
                <w:sz w:val="24"/>
                <w:szCs w:val="24"/>
                <w:lang w:val="en-US" w:eastAsia="zh-CN"/>
              </w:rPr>
              <w:t>非正常工况下污染物产生及排放情况</w:t>
            </w:r>
            <w:r>
              <w:rPr>
                <w:rFonts w:hint="default" w:ascii="Times New Roman" w:hAnsi="Times New Roman" w:cs="Times New Roman"/>
                <w:color w:val="auto"/>
                <w:sz w:val="24"/>
                <w:szCs w:val="24"/>
                <w:lang w:val="en-US" w:eastAsia="zh-CN"/>
              </w:rPr>
              <w:t>见表4-6。</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表4-6  非正常工况下污染物产生及排放情况一览表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30"/>
              <w:gridCol w:w="577"/>
              <w:gridCol w:w="1603"/>
              <w:gridCol w:w="808"/>
              <w:gridCol w:w="882"/>
              <w:gridCol w:w="823"/>
              <w:gridCol w:w="770"/>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2" w:type="pct"/>
                  <w:gridSpan w:val="2"/>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w:t>
                  </w:r>
                </w:p>
              </w:tc>
              <w:tc>
                <w:tcPr>
                  <w:tcW w:w="349"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处理效率</w:t>
                  </w:r>
                </w:p>
              </w:tc>
              <w:tc>
                <w:tcPr>
                  <w:tcW w:w="970"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频次</w:t>
                  </w:r>
                </w:p>
              </w:tc>
              <w:tc>
                <w:tcPr>
                  <w:tcW w:w="1521" w:type="pct"/>
                  <w:gridSpan w:val="3"/>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1086" w:type="pct"/>
                  <w:gridSpan w:val="2"/>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产污环节</w:t>
                  </w:r>
                </w:p>
              </w:tc>
              <w:tc>
                <w:tcPr>
                  <w:tcW w:w="563"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34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970"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48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排放量kg</w:t>
                  </w:r>
                </w:p>
              </w:tc>
              <w:tc>
                <w:tcPr>
                  <w:tcW w:w="534"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497"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速率kg/h</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61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DA001</w:t>
                  </w: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颗粒物</w:t>
                  </w:r>
                </w:p>
              </w:tc>
              <w:tc>
                <w:tcPr>
                  <w:tcW w:w="577" w:type="dxa"/>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1.613 </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806.351 </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1.613 </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120</w:t>
                  </w:r>
                </w:p>
              </w:tc>
              <w:tc>
                <w:tcPr>
                  <w:tcW w:w="61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氨</w:t>
                  </w:r>
                </w:p>
              </w:tc>
              <w:tc>
                <w:tcPr>
                  <w:tcW w:w="577" w:type="dxa"/>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0.002 </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0.870 </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0.002 </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硫化氢</w:t>
                  </w:r>
                </w:p>
              </w:tc>
              <w:tc>
                <w:tcPr>
                  <w:tcW w:w="577" w:type="dxa"/>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 </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0.034 </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 </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0.33</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（3）非正常工况防范措施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环保设施均属常规设施，只要建设单位重视环保设施的正常检修，加强设备的运行管理，出现事故的概率较小，可避免非正常排放对环境的影响。由表4-6可知，废气处理装置故障后，颗粒物排放浓度不满足《大气污染物综合排放标准》（GB16297-1996）中排放限值要求，为尽量避免非正常排放发生，建设单位应采取如下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①对非正常状态下排放的危害加强认识，建立完善的环保设施检修体制；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②建设单位应做好生产设备和环保设施的管理、维修工作，选用质量好的设备；派专人对易发生非正常排放的设备进行管理，出现异常，及时维修处理，定期检查；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③出现事故情况，必要时应立即停产检修，待检修完毕后再进行生产。</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6、估算结果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本项目污染源有原料陈化堆放棚（陈化区）</w:t>
            </w:r>
            <w:r>
              <w:rPr>
                <w:rFonts w:hint="eastAsia" w:cs="Times New Roman"/>
                <w:color w:val="auto"/>
                <w:sz w:val="24"/>
                <w:szCs w:val="24"/>
                <w:lang w:val="en-US" w:eastAsia="zh-CN"/>
              </w:rPr>
              <w:t>、有机肥</w:t>
            </w:r>
            <w:r>
              <w:rPr>
                <w:rFonts w:hint="default" w:ascii="Times New Roman" w:hAnsi="Times New Roman" w:cs="Times New Roman"/>
                <w:color w:val="auto"/>
                <w:sz w:val="24"/>
                <w:szCs w:val="24"/>
                <w:lang w:val="en-US" w:eastAsia="zh-CN"/>
              </w:rPr>
              <w:t>成品加工车间、原料陈化堆放棚（发酵区）及DA001排气筒，各污染源对环境保护目标处的环境影响采用AERSCREEN模式进行计算，则离散点计算结果见表4-7。</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表4-7  离散点计算结果一览表</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67"/>
              <w:gridCol w:w="746"/>
              <w:gridCol w:w="560"/>
              <w:gridCol w:w="549"/>
              <w:gridCol w:w="716"/>
              <w:gridCol w:w="969"/>
              <w:gridCol w:w="898"/>
              <w:gridCol w:w="212"/>
              <w:gridCol w:w="686"/>
              <w:gridCol w:w="56"/>
              <w:gridCol w:w="405"/>
              <w:gridCol w:w="349"/>
              <w:gridCol w:w="8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939"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206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原料陈化堆放棚</w:t>
                  </w:r>
                  <w:r>
                    <w:rPr>
                      <w:rFonts w:hint="default" w:ascii="Times New Roman" w:hAnsi="Times New Roman" w:cs="Times New Roman"/>
                      <w:b/>
                      <w:bCs/>
                      <w:color w:val="auto"/>
                      <w:sz w:val="21"/>
                      <w:szCs w:val="21"/>
                      <w:lang w:eastAsia="zh-CN"/>
                    </w:rPr>
                    <w:t>（陈化区）</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1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离散点名称</w:t>
                  </w:r>
                </w:p>
              </w:tc>
              <w:tc>
                <w:tcPr>
                  <w:tcW w:w="733"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经度(度)</w:t>
                  </w:r>
                </w:p>
              </w:tc>
              <w:tc>
                <w:tcPr>
                  <w:tcW w:w="671"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纬度(度)</w:t>
                  </w:r>
                </w:p>
              </w:tc>
              <w:tc>
                <w:tcPr>
                  <w:tcW w:w="4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海拔(m)</w:t>
                  </w:r>
                </w:p>
              </w:tc>
              <w:tc>
                <w:tcPr>
                  <w:tcW w:w="58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下风向距离(m)</w:t>
                  </w:r>
                </w:p>
              </w:tc>
              <w:tc>
                <w:tcPr>
                  <w:tcW w:w="671"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694"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c>
                <w:tcPr>
                  <w:tcW w:w="69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下桥村</w:t>
                  </w:r>
                </w:p>
              </w:tc>
              <w:tc>
                <w:tcPr>
                  <w:tcW w:w="733"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106.339366</w:t>
                  </w:r>
                </w:p>
              </w:tc>
              <w:tc>
                <w:tcPr>
                  <w:tcW w:w="671"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35.482719</w:t>
                  </w:r>
                </w:p>
              </w:tc>
              <w:tc>
                <w:tcPr>
                  <w:tcW w:w="4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1893.0</w:t>
                  </w:r>
                </w:p>
              </w:tc>
              <w:tc>
                <w:tcPr>
                  <w:tcW w:w="58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377.76</w:t>
                  </w:r>
                </w:p>
              </w:tc>
              <w:tc>
                <w:tcPr>
                  <w:tcW w:w="671"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0.3464</w:t>
                  </w:r>
                </w:p>
              </w:tc>
              <w:tc>
                <w:tcPr>
                  <w:tcW w:w="694"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0.0133</w:t>
                  </w:r>
                </w:p>
              </w:tc>
              <w:tc>
                <w:tcPr>
                  <w:tcW w:w="69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200.2719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939"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206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有机肥加工车间</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9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离散点名称</w:t>
                  </w:r>
                </w:p>
              </w:tc>
              <w:tc>
                <w:tcPr>
                  <w:tcW w:w="790"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经度(度)</w:t>
                  </w:r>
                </w:p>
              </w:tc>
              <w:tc>
                <w:tcPr>
                  <w:tcW w:w="76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纬度(度)</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海拔(m)</w:t>
                  </w:r>
                </w:p>
              </w:tc>
              <w:tc>
                <w:tcPr>
                  <w:tcW w:w="1120"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下风向距离(m)</w:t>
                  </w:r>
                </w:p>
              </w:tc>
              <w:tc>
                <w:tcPr>
                  <w:tcW w:w="94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96"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下桥村</w:t>
                  </w:r>
                </w:p>
              </w:tc>
              <w:tc>
                <w:tcPr>
                  <w:tcW w:w="790"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106.339366</w:t>
                  </w:r>
                </w:p>
              </w:tc>
              <w:tc>
                <w:tcPr>
                  <w:tcW w:w="76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35.482719</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1893.0</w:t>
                  </w:r>
                </w:p>
              </w:tc>
              <w:tc>
                <w:tcPr>
                  <w:tcW w:w="1120"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533.64</w:t>
                  </w:r>
                </w:p>
              </w:tc>
              <w:tc>
                <w:tcPr>
                  <w:tcW w:w="94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56.3940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939"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206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DA001</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离散点名称</w:t>
                  </w:r>
                </w:p>
              </w:tc>
              <w:tc>
                <w:tcPr>
                  <w:tcW w:w="7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经度(度)</w:t>
                  </w:r>
                </w:p>
              </w:tc>
              <w:tc>
                <w:tcPr>
                  <w:tcW w:w="67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纬度(度)</w:t>
                  </w:r>
                </w:p>
              </w:tc>
              <w:tc>
                <w:tcPr>
                  <w:tcW w:w="4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海拔(m)</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下风向距离(m)</w:t>
                  </w:r>
                </w:p>
              </w:tc>
              <w:tc>
                <w:tcPr>
                  <w:tcW w:w="5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PM</w:t>
                  </w:r>
                  <w:r>
                    <w:rPr>
                      <w:rFonts w:hint="default" w:ascii="Times New Roman" w:hAnsi="Times New Roman" w:eastAsia="宋体" w:cs="Times New Roman"/>
                      <w:b w:val="0"/>
                      <w:color w:val="auto"/>
                      <w:sz w:val="21"/>
                      <w:szCs w:val="21"/>
                      <w:vertAlign w:val="subscript"/>
                    </w:rPr>
                    <w:t>10</w:t>
                  </w:r>
                </w:p>
              </w:tc>
              <w:tc>
                <w:tcPr>
                  <w:tcW w:w="54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PM</w:t>
                  </w:r>
                  <w:r>
                    <w:rPr>
                      <w:rFonts w:hint="default" w:ascii="Times New Roman" w:hAnsi="Times New Roman" w:eastAsia="宋体" w:cs="Times New Roman"/>
                      <w:b w:val="0"/>
                      <w:color w:val="auto"/>
                      <w:sz w:val="21"/>
                      <w:szCs w:val="21"/>
                      <w:vertAlign w:val="subscript"/>
                    </w:rPr>
                    <w:t>2.5</w:t>
                  </w:r>
                </w:p>
              </w:tc>
              <w:tc>
                <w:tcPr>
                  <w:tcW w:w="49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4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1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下桥村</w:t>
                  </w:r>
                </w:p>
              </w:tc>
              <w:tc>
                <w:tcPr>
                  <w:tcW w:w="73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106.339366</w:t>
                  </w:r>
                </w:p>
              </w:tc>
              <w:tc>
                <w:tcPr>
                  <w:tcW w:w="67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35.482719</w:t>
                  </w:r>
                </w:p>
              </w:tc>
              <w:tc>
                <w:tcPr>
                  <w:tcW w:w="4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1893.0</w:t>
                  </w:r>
                </w:p>
              </w:tc>
              <w:tc>
                <w:tcPr>
                  <w:tcW w:w="5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488.47</w:t>
                  </w:r>
                </w:p>
              </w:tc>
              <w:tc>
                <w:tcPr>
                  <w:tcW w:w="5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71.5890</w:t>
                  </w:r>
                </w:p>
              </w:tc>
              <w:tc>
                <w:tcPr>
                  <w:tcW w:w="543"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35.7945</w:t>
                  </w:r>
                </w:p>
              </w:tc>
              <w:tc>
                <w:tcPr>
                  <w:tcW w:w="49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0.7954</w:t>
                  </w:r>
                </w:p>
              </w:tc>
              <w:tc>
                <w:tcPr>
                  <w:tcW w:w="4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6.3635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939" w:type="pct"/>
                  <w:gridSpan w:val="7"/>
                  <w:tcBorders>
                    <w:tl2br w:val="nil"/>
                    <w:tr2bl w:val="nil"/>
                  </w:tcBorders>
                  <w:shd w:val="clear" w:color="auto" w:fill="auto"/>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2060" w:type="pct"/>
                  <w:gridSpan w:val="7"/>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原料陈化堆放棚</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发酵区</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4"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离散点名称</w:t>
                  </w:r>
                </w:p>
              </w:tc>
              <w:tc>
                <w:tcPr>
                  <w:tcW w:w="733"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经度(度)</w:t>
                  </w:r>
                </w:p>
              </w:tc>
              <w:tc>
                <w:tcPr>
                  <w:tcW w:w="671"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纬度(度)</w:t>
                  </w:r>
                </w:p>
              </w:tc>
              <w:tc>
                <w:tcPr>
                  <w:tcW w:w="433"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海拔(m)</w:t>
                  </w:r>
                </w:p>
              </w:tc>
              <w:tc>
                <w:tcPr>
                  <w:tcW w:w="586"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下风向距离(m)</w:t>
                  </w:r>
                </w:p>
              </w:tc>
              <w:tc>
                <w:tcPr>
                  <w:tcW w:w="671"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TSP</w:t>
                  </w:r>
                </w:p>
              </w:tc>
              <w:tc>
                <w:tcPr>
                  <w:tcW w:w="694" w:type="pct"/>
                  <w:gridSpan w:val="3"/>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695"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下桥村</w:t>
                  </w:r>
                </w:p>
              </w:tc>
              <w:tc>
                <w:tcPr>
                  <w:tcW w:w="733"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106.339366</w:t>
                  </w:r>
                </w:p>
              </w:tc>
              <w:tc>
                <w:tcPr>
                  <w:tcW w:w="671"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35.482719</w:t>
                  </w:r>
                </w:p>
              </w:tc>
              <w:tc>
                <w:tcPr>
                  <w:tcW w:w="43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1893.0</w:t>
                  </w:r>
                </w:p>
              </w:tc>
              <w:tc>
                <w:tcPr>
                  <w:tcW w:w="58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501.79</w:t>
                  </w:r>
                </w:p>
              </w:tc>
              <w:tc>
                <w:tcPr>
                  <w:tcW w:w="671"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8.7556</w:t>
                  </w:r>
                </w:p>
              </w:tc>
              <w:tc>
                <w:tcPr>
                  <w:tcW w:w="694"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0.1496</w:t>
                  </w:r>
                </w:p>
              </w:tc>
              <w:tc>
                <w:tcPr>
                  <w:tcW w:w="695"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58.1859</w:t>
                  </w:r>
                </w:p>
              </w:tc>
            </w:tr>
          </w:tbl>
          <w:p>
            <w:pPr>
              <w:pStyle w:val="56"/>
              <w:ind w:firstLine="48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由上表可知，本项目有机肥加工车间排放的污染物TSP在环境保护目标处的最大浓度为56.394μg/m³，远低于《环境空气质量标准》(GB3095-2012）及其2018年修改单标准</w:t>
            </w:r>
            <w:r>
              <w:rPr>
                <w:rFonts w:hint="default" w:ascii="Times New Roman" w:hAnsi="Times New Roman" w:cs="Times New Roman"/>
                <w:color w:val="auto"/>
                <w:sz w:val="24"/>
                <w:szCs w:val="24"/>
                <w:lang w:val="en-US" w:eastAsia="zh-CN"/>
              </w:rPr>
              <w:t>值</w:t>
            </w:r>
            <w:r>
              <w:rPr>
                <w:rFonts w:hint="default" w:ascii="Times New Roman" w:hAnsi="Times New Roman" w:eastAsia="宋体" w:cs="Times New Roman"/>
                <w:color w:val="auto"/>
                <w:sz w:val="24"/>
                <w:szCs w:val="24"/>
                <w:lang w:val="en-US" w:eastAsia="zh-CN"/>
              </w:rPr>
              <w:t>（TSP：900μg/m³</w:t>
            </w:r>
            <w:r>
              <w:rPr>
                <w:rFonts w:hint="default" w:ascii="Times New Roman" w:hAnsi="Times New Roman" w:cs="Times New Roman"/>
                <w:color w:val="auto"/>
                <w:lang w:val="en-US" w:eastAsia="zh-CN"/>
              </w:rPr>
              <w:t>&lt;</w:t>
            </w:r>
            <w:r>
              <w:rPr>
                <w:rFonts w:hint="eastAsia" w:ascii="Times New Roman" w:hAnsi="Times New Roman" w:cs="Times New Roman"/>
                <w:color w:val="auto"/>
                <w:lang w:val="en-US" w:eastAsia="zh-CN"/>
              </w:rPr>
              <w:t>为</w:t>
            </w:r>
            <w:r>
              <w:rPr>
                <w:rFonts w:hint="default" w:ascii="Times New Roman" w:hAnsi="Times New Roman" w:cs="Times New Roman"/>
                <w:color w:val="auto"/>
                <w:lang w:val="en-US" w:eastAsia="zh-CN"/>
              </w:rPr>
              <w:t>日均值三倍&gt;</w:t>
            </w:r>
            <w:r>
              <w:rPr>
                <w:rFonts w:hint="default" w:ascii="Times New Roman" w:hAnsi="Times New Roman" w:eastAsia="宋体" w:cs="Times New Roman"/>
                <w:color w:val="auto"/>
                <w:sz w:val="24"/>
                <w:szCs w:val="24"/>
                <w:lang w:val="en-US" w:eastAsia="zh-CN"/>
              </w:rPr>
              <w:t>），由此可见，本项目各污染源对环境保护目标处的环境影响较小，也不会对区域环境质量造成影响。</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7、废气排放环境影响结论</w:t>
            </w:r>
          </w:p>
          <w:p>
            <w:pPr>
              <w:pStyle w:val="56"/>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本项目所在区域</w:t>
            </w:r>
            <w:r>
              <w:rPr>
                <w:rFonts w:hint="default" w:ascii="Times New Roman" w:hAnsi="Times New Roman" w:cs="Times New Roman"/>
                <w:color w:val="auto"/>
                <w:lang w:eastAsia="zh-CN"/>
              </w:rPr>
              <w:t>固原市</w:t>
            </w:r>
            <w:r>
              <w:rPr>
                <w:rFonts w:hint="default" w:ascii="Times New Roman" w:hAnsi="Times New Roman" w:cs="Times New Roman"/>
                <w:color w:val="auto"/>
              </w:rPr>
              <w:t>202</w:t>
            </w:r>
            <w:r>
              <w:rPr>
                <w:rFonts w:hint="default" w:ascii="Times New Roman" w:hAnsi="Times New Roman" w:cs="Times New Roman"/>
                <w:color w:val="auto"/>
                <w:lang w:val="en-US" w:eastAsia="zh-CN"/>
              </w:rPr>
              <w:t>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日最大8h滑动平均值的第90百分位数浓度值均满足《环境空气质量标准》（GB3095-2012）中标准要求</w:t>
            </w:r>
            <w:r>
              <w:rPr>
                <w:rFonts w:hint="default" w:ascii="Times New Roman" w:hAnsi="Times New Roman" w:cs="Times New Roman"/>
                <w:color w:val="auto"/>
                <w:sz w:val="24"/>
                <w:szCs w:val="24"/>
                <w:lang w:val="en-US" w:eastAsia="zh-CN"/>
              </w:rPr>
              <w:t>，属于达标区。本项目发酵废气经</w:t>
            </w:r>
            <w:r>
              <w:rPr>
                <w:rFonts w:hint="eastAsia" w:cs="Times New Roman"/>
                <w:color w:val="auto"/>
                <w:sz w:val="24"/>
                <w:szCs w:val="24"/>
                <w:lang w:val="en-US" w:eastAsia="zh-CN"/>
              </w:rPr>
              <w:t>收集</w:t>
            </w:r>
            <w:r>
              <w:rPr>
                <w:rFonts w:hint="default" w:ascii="Times New Roman" w:hAnsi="Times New Roman" w:cs="Times New Roman"/>
                <w:color w:val="auto"/>
                <w:sz w:val="24"/>
                <w:szCs w:val="24"/>
                <w:lang w:val="en-US" w:eastAsia="zh-CN"/>
              </w:rPr>
              <w:t>后，由一套生物除臭装置进行处理，随后与粉碎、筛分、造粒、冷却</w:t>
            </w:r>
            <w:r>
              <w:rPr>
                <w:rFonts w:hint="eastAsia" w:cs="Times New Roman"/>
                <w:color w:val="auto"/>
                <w:sz w:val="24"/>
                <w:szCs w:val="24"/>
                <w:lang w:val="en-US" w:eastAsia="zh-CN"/>
              </w:rPr>
              <w:t>等</w:t>
            </w:r>
            <w:r>
              <w:rPr>
                <w:rFonts w:hint="default" w:ascii="Times New Roman" w:hAnsi="Times New Roman" w:cs="Times New Roman"/>
                <w:color w:val="auto"/>
                <w:sz w:val="24"/>
                <w:szCs w:val="24"/>
                <w:lang w:val="en-US" w:eastAsia="zh-CN"/>
              </w:rPr>
              <w:t>过程中产生的废气一同进入一套布袋除尘器处理</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最终，废气通过一根15米高的排气筒（DA001）排放。由表4-1可知，本项目DA001排气筒排放的污染物中</w:t>
            </w:r>
            <w:r>
              <w:rPr>
                <w:rFonts w:hint="default" w:ascii="Times New Roman" w:hAnsi="Times New Roman" w:cs="Times New Roman"/>
                <w:color w:val="auto"/>
                <w:sz w:val="24"/>
                <w:szCs w:val="24"/>
                <w:highlight w:val="none"/>
                <w:lang w:val="en-US" w:eastAsia="zh-CN"/>
              </w:rPr>
              <w:t>颗粒物排放浓度为</w:t>
            </w:r>
            <w:r>
              <w:rPr>
                <w:rFonts w:hint="eastAsia" w:cs="Times New Roman"/>
                <w:color w:val="auto"/>
                <w:sz w:val="24"/>
                <w:szCs w:val="24"/>
                <w:highlight w:val="none"/>
                <w:lang w:val="en-US" w:eastAsia="zh-CN"/>
              </w:rPr>
              <w:t>29.24</w:t>
            </w:r>
            <w:r>
              <w:rPr>
                <w:rFonts w:hint="default" w:ascii="Times New Roman" w:hAnsi="Times New Roman" w:cs="Times New Roman"/>
                <w:color w:val="auto"/>
                <w:sz w:val="24"/>
                <w:szCs w:val="24"/>
                <w:highlight w:val="none"/>
                <w:lang w:val="en-US" w:eastAsia="zh-CN"/>
              </w:rPr>
              <w:t>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、氨排放速率为0.00</w:t>
            </w: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kg/h</w:t>
            </w:r>
            <w:r>
              <w:rPr>
                <w:rFonts w:hint="default" w:ascii="Times New Roman" w:hAnsi="Times New Roman" w:cs="Times New Roman"/>
                <w:color w:val="auto"/>
                <w:sz w:val="24"/>
                <w:szCs w:val="24"/>
                <w:highlight w:val="none"/>
                <w:vertAlign w:val="baseline"/>
                <w:lang w:val="en-US" w:eastAsia="zh-CN"/>
              </w:rPr>
              <w:t>、硫化氢排放速率为0.000</w:t>
            </w:r>
            <w:r>
              <w:rPr>
                <w:rFonts w:hint="eastAsia" w:cs="Times New Roman"/>
                <w:color w:val="auto"/>
                <w:sz w:val="24"/>
                <w:szCs w:val="24"/>
                <w:highlight w:val="none"/>
                <w:vertAlign w:val="baseline"/>
                <w:lang w:val="en-US" w:eastAsia="zh-CN"/>
              </w:rPr>
              <w:t>03</w:t>
            </w:r>
            <w:r>
              <w:rPr>
                <w:rFonts w:hint="default" w:ascii="Times New Roman" w:hAnsi="Times New Roman" w:cs="Times New Roman"/>
                <w:color w:val="auto"/>
                <w:sz w:val="24"/>
                <w:szCs w:val="24"/>
                <w:highlight w:val="none"/>
                <w:vertAlign w:val="baseline"/>
                <w:lang w:val="en-US" w:eastAsia="zh-CN"/>
              </w:rPr>
              <w:t>kg/h，</w:t>
            </w:r>
            <w:r>
              <w:rPr>
                <w:rFonts w:hint="default" w:ascii="Times New Roman" w:hAnsi="Times New Roman" w:cs="Times New Roman"/>
                <w:color w:val="auto"/>
                <w:sz w:val="24"/>
                <w:szCs w:val="24"/>
                <w:lang w:val="en-US" w:eastAsia="zh-CN"/>
              </w:rPr>
              <w:t>废气经处理后颗粒物排放浓度满足《大气污染物综合排放标准》（GB16297-1996）中表2新污染源标准；氨、硫化氢排放速率满足《恶臭污染物排放标准》（GB14554-93）中表2恶臭污染物排放标准值</w:t>
            </w:r>
            <w:r>
              <w:rPr>
                <w:rFonts w:hint="default" w:ascii="Times New Roman" w:hAnsi="Times New Roman" w:cs="Times New Roman"/>
                <w:color w:val="auto"/>
                <w:sz w:val="24"/>
                <w:szCs w:val="24"/>
                <w:highlight w:val="none"/>
                <w:lang w:val="en-US" w:eastAsia="zh-CN"/>
              </w:rPr>
              <w:t>，同时，根据离散点估算结果可知，本项目各污染源对环境保护目标处的环境影响较小。</w:t>
            </w:r>
          </w:p>
          <w:p>
            <w:pPr>
              <w:pStyle w:val="56"/>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综上所述，本项目各环节产生的废气均设置污染物治理措施，经处理后的各大气污染物均可实现达标排放，对周边环境影响影响较小。</w:t>
            </w:r>
          </w:p>
          <w:p>
            <w:pPr>
              <w:pStyle w:val="3"/>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二、废水</w:t>
            </w:r>
          </w:p>
          <w:p>
            <w:pPr>
              <w:pStyle w:val="3"/>
              <w:pageBreakBefore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本项目废水主要为生活污水，厂区设置防渗旱厕，粪污经清掏后用于生产有机肥，盥洗废水用于厂区洒水抑尘，不外排。</w:t>
            </w:r>
          </w:p>
          <w:p>
            <w:pPr>
              <w:pStyle w:val="3"/>
              <w:numPr>
                <w:ilvl w:val="0"/>
                <w:numId w:val="0"/>
              </w:numPr>
              <w:bidi w:val="0"/>
              <w:spacing w:line="360" w:lineRule="auto"/>
              <w:ind w:firstLine="0" w:firstLineChars="0"/>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kern w:val="2"/>
                <w:sz w:val="24"/>
                <w:szCs w:val="24"/>
                <w:lang w:val="en-US" w:eastAsia="zh-CN" w:bidi="ar-SA"/>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32"/>
                <w:lang w:val="en-US" w:eastAsia="zh-CN"/>
              </w:rPr>
            </w:pPr>
            <w:r>
              <w:rPr>
                <w:rFonts w:hint="default" w:ascii="Times New Roman" w:hAnsi="Times New Roman" w:eastAsia="黑体" w:cs="Times New Roman"/>
                <w:b w:val="0"/>
                <w:bCs w:val="0"/>
                <w:color w:val="auto"/>
                <w:sz w:val="24"/>
                <w:szCs w:val="32"/>
                <w:lang w:val="en-US" w:eastAsia="zh-CN"/>
              </w:rPr>
              <w:t>1、噪声源强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本项目在运营过程主要噪声源为双级粉碎机、滚筒筛、颗粒机、翻抛机、铲车、打包机等生产设备，对产生噪声的设备采取置于厂房内隔音等措施，确保厂界噪声达标。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由于本项目噪声设备基本上位于室内，根据《环境影响评价技术导则</w:t>
            </w:r>
            <w:r>
              <w:rPr>
                <w:rFonts w:hint="eastAsia" w:cs="Times New Roman"/>
                <w:color w:val="auto"/>
                <w:sz w:val="24"/>
                <w:szCs w:val="32"/>
                <w:lang w:val="en-US" w:eastAsia="zh-CN"/>
              </w:rPr>
              <w:t xml:space="preserve"> </w:t>
            </w:r>
            <w:r>
              <w:rPr>
                <w:rFonts w:hint="default" w:ascii="Times New Roman" w:hAnsi="Times New Roman" w:cs="Times New Roman"/>
                <w:color w:val="auto"/>
                <w:sz w:val="24"/>
                <w:szCs w:val="32"/>
                <w:lang w:val="en-US" w:eastAsia="zh-CN"/>
              </w:rPr>
              <w:t>声环境》（HJ2.4-2021），采用将室内声源等效为室外声源声功率级，再按照点声源计算衰减后进行叠加的方法来进行预测。对于室外声源，直接按照点声源对待。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室内声源等效室外声源声功率级计算方法如下：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如图4-1所示，声源位于室内，室内声源可采用等效室外声源声功率级法进行计算。设靠近开口处（或窗户）室内、室外某倍频带的声压级或A声级分别为L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和L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。若声源所在室内声场为近似扩散声场，则室外的倍频带声压级可下式公式近似求出。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drawing>
                <wp:inline distT="0" distB="0" distL="0" distR="0">
                  <wp:extent cx="1629410" cy="304165"/>
                  <wp:effectExtent l="0" t="0" r="1270" b="635"/>
                  <wp:docPr id="3" name="image1.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true"/>
                          </pic:cNvPicPr>
                        </pic:nvPicPr>
                        <pic:blipFill>
                          <a:blip r:embed="rId16" cstate="print"/>
                          <a:stretch>
                            <a:fillRect/>
                          </a:stretch>
                        </pic:blipFill>
                        <pic:spPr>
                          <a:xfrm>
                            <a:off x="0" y="0"/>
                            <a:ext cx="1629410" cy="3041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式中：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—靠近开口处（或窗户）室内某倍频带的声压级或A声级，dB；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—靠近开口处（或窗户）室外某倍频带的声压级或A声级，dB；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TL—隔墙（或窗户）倍频带或A声级的隔声量，dB。</w:t>
            </w:r>
          </w:p>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0" distR="0">
                  <wp:extent cx="3436620" cy="1722120"/>
                  <wp:effectExtent l="0" t="0" r="11430" b="11430"/>
                  <wp:docPr id="4" name="image2.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true"/>
                          </pic:cNvPicPr>
                        </pic:nvPicPr>
                        <pic:blipFill>
                          <a:blip r:embed="rId17" cstate="print"/>
                          <a:stretch>
                            <a:fillRect/>
                          </a:stretch>
                        </pic:blipFill>
                        <pic:spPr>
                          <a:xfrm>
                            <a:off x="0" y="0"/>
                            <a:ext cx="3436620" cy="1722120"/>
                          </a:xfrm>
                          <a:prstGeom prst="rect">
                            <a:avLst/>
                          </a:prstGeom>
                        </pic:spPr>
                      </pic:pic>
                    </a:graphicData>
                  </a:graphic>
                </wp:inline>
              </w:drawing>
            </w:r>
          </w:p>
          <w:p>
            <w:pPr>
              <w:pStyle w:val="2"/>
              <w:keepNext w:val="0"/>
              <w:keepLines w:val="0"/>
              <w:pageBreakBefore w:val="0"/>
              <w:widowControl w:val="0"/>
              <w:tabs>
                <w:tab w:val="left" w:pos="988"/>
              </w:tabs>
              <w:kinsoku/>
              <w:wordWrap/>
              <w:overflowPunct/>
              <w:topLinePunct w:val="0"/>
              <w:autoSpaceDE/>
              <w:autoSpaceDN/>
              <w:bidi w:val="0"/>
              <w:adjustRightInd/>
              <w:snapToGrid w:val="0"/>
              <w:spacing w:before="0" w:line="240" w:lineRule="auto"/>
              <w:ind w:left="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图4-</w:t>
            </w:r>
            <w:r>
              <w:rPr>
                <w:rFonts w:hint="default" w:ascii="Times New Roman" w:hAnsi="Times New Roman" w:cs="Times New Roman"/>
                <w:b w:val="0"/>
                <w:bCs w:val="0"/>
                <w:color w:val="auto"/>
                <w:sz w:val="24"/>
                <w:szCs w:val="24"/>
                <w:lang w:val="en-US" w:eastAsia="zh-CN"/>
              </w:rPr>
              <w:t>1</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室内声源等效为室外声源图例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黑体" w:cs="Times New Roman"/>
                <w:color w:val="auto"/>
                <w:sz w:val="24"/>
                <w:szCs w:val="24"/>
              </w:rPr>
            </w:pPr>
            <w:r>
              <w:rPr>
                <w:rFonts w:hint="default" w:ascii="Times New Roman" w:hAnsi="Times New Roman" w:cs="Times New Roman"/>
                <w:color w:val="auto"/>
                <w:sz w:val="24"/>
                <w:szCs w:val="32"/>
                <w:lang w:val="en-US" w:eastAsia="zh-CN"/>
              </w:rPr>
              <w:t>企业噪声源强调查清单详见表4-8和表4-9。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表4-</w:t>
            </w:r>
            <w:r>
              <w:rPr>
                <w:rFonts w:hint="default" w:ascii="Times New Roman" w:hAnsi="Times New Roman" w:eastAsia="黑体" w:cs="Times New Roman"/>
                <w:color w:val="auto"/>
                <w:sz w:val="24"/>
                <w:szCs w:val="24"/>
                <w:lang w:val="en-US" w:eastAsia="zh-CN"/>
              </w:rPr>
              <w:t xml:space="preserve">8  </w:t>
            </w:r>
            <w:r>
              <w:rPr>
                <w:rFonts w:hint="default" w:ascii="Times New Roman" w:hAnsi="Times New Roman" w:eastAsia="黑体" w:cs="Times New Roman"/>
                <w:color w:val="auto"/>
                <w:sz w:val="24"/>
                <w:szCs w:val="24"/>
              </w:rPr>
              <w:t>主要噪声源强调查清单（室外声源）</w:t>
            </w:r>
          </w:p>
          <w:tbl>
            <w:tblPr>
              <w:tblStyle w:val="23"/>
              <w:tblW w:w="4996"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02"/>
              <w:gridCol w:w="1617"/>
              <w:gridCol w:w="949"/>
              <w:gridCol w:w="784"/>
              <w:gridCol w:w="669"/>
              <w:gridCol w:w="469"/>
              <w:gridCol w:w="944"/>
              <w:gridCol w:w="1324"/>
              <w:gridCol w:w="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7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声源名称</w:t>
                  </w:r>
                </w:p>
              </w:tc>
              <w:tc>
                <w:tcPr>
                  <w:tcW w:w="57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型号</w:t>
                  </w:r>
                </w:p>
              </w:tc>
              <w:tc>
                <w:tcPr>
                  <w:tcW w:w="11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空间相对位置</w:t>
                  </w:r>
                </w:p>
              </w:tc>
              <w:tc>
                <w:tcPr>
                  <w:tcW w:w="5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声功率级/dB（A）</w:t>
                  </w:r>
                </w:p>
              </w:tc>
              <w:tc>
                <w:tcPr>
                  <w:tcW w:w="8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声源控制措施</w:t>
                  </w:r>
                </w:p>
              </w:tc>
              <w:tc>
                <w:tcPr>
                  <w:tcW w:w="60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运行时段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3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97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57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X</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Y</w:t>
                  </w:r>
                </w:p>
              </w:tc>
              <w:tc>
                <w:tcPr>
                  <w:tcW w:w="2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Z</w:t>
                  </w:r>
                </w:p>
              </w:tc>
              <w:tc>
                <w:tcPr>
                  <w:tcW w:w="5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8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60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3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袋式除尘器风机</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c>
                <w:tcPr>
                  <w:tcW w:w="475" w:type="pct"/>
                  <w:tcBorders>
                    <w:tl2br w:val="nil"/>
                    <w:tr2bl w:val="nil"/>
                  </w:tcBorders>
                  <w:vAlign w:val="center"/>
                </w:tcPr>
                <w:p>
                  <w:pPr>
                    <w:pStyle w:val="56"/>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w w:val="100"/>
                      <w:sz w:val="21"/>
                      <w:szCs w:val="21"/>
                      <w:lang w:val="en-US" w:eastAsia="zh-CN"/>
                    </w:rPr>
                    <w:t>191.68</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kern w:val="2"/>
                      <w:sz w:val="21"/>
                      <w:szCs w:val="21"/>
                      <w:lang w:val="en-US" w:eastAsia="zh-CN"/>
                    </w:rPr>
                    <w:t>-140.88</w:t>
                  </w:r>
                </w:p>
              </w:tc>
              <w:tc>
                <w:tcPr>
                  <w:tcW w:w="283" w:type="pct"/>
                  <w:tcBorders>
                    <w:tl2br w:val="nil"/>
                    <w:tr2bl w:val="nil"/>
                  </w:tcBorders>
                  <w:vAlign w:val="center"/>
                </w:tcPr>
                <w:p>
                  <w:pPr>
                    <w:pStyle w:val="56"/>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1</w:t>
                  </w:r>
                </w:p>
              </w:tc>
              <w:tc>
                <w:tcPr>
                  <w:tcW w:w="5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0</w:t>
                  </w:r>
                </w:p>
              </w:tc>
              <w:tc>
                <w:tcPr>
                  <w:tcW w:w="8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减震、隔声</w:t>
                  </w:r>
                </w:p>
              </w:tc>
              <w:tc>
                <w:tcPr>
                  <w:tcW w:w="6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白天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5000" w:type="pct"/>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b w:val="0"/>
                      <w:bCs w:val="0"/>
                      <w:color w:val="auto"/>
                      <w:sz w:val="21"/>
                      <w:szCs w:val="21"/>
                    </w:rPr>
                    <w:t>备注：以厂区</w:t>
                  </w:r>
                  <w:r>
                    <w:rPr>
                      <w:rFonts w:hint="eastAsia" w:cs="Times New Roman"/>
                      <w:b w:val="0"/>
                      <w:bCs w:val="0"/>
                      <w:color w:val="auto"/>
                      <w:sz w:val="21"/>
                      <w:szCs w:val="21"/>
                      <w:lang w:val="en-US" w:eastAsia="zh-CN"/>
                    </w:rPr>
                    <w:t>西南</w:t>
                  </w:r>
                  <w:r>
                    <w:rPr>
                      <w:rFonts w:hint="default" w:ascii="Times New Roman" w:hAnsi="Times New Roman" w:eastAsia="宋体" w:cs="Times New Roman"/>
                      <w:b w:val="0"/>
                      <w:bCs w:val="0"/>
                      <w:color w:val="auto"/>
                      <w:sz w:val="21"/>
                      <w:szCs w:val="21"/>
                    </w:rPr>
                    <w:t>角</w:t>
                  </w:r>
                  <w:r>
                    <w:rPr>
                      <w:rFonts w:hint="default" w:ascii="Times New Roman" w:hAnsi="Times New Roman" w:cs="Times New Roman"/>
                      <w:b w:val="0"/>
                      <w:bCs w:val="0"/>
                      <w:color w:val="auto"/>
                      <w:sz w:val="21"/>
                      <w:szCs w:val="21"/>
                      <w:lang w:val="en-US" w:eastAsia="zh-CN"/>
                    </w:rPr>
                    <w:t>为原点（0,0,0</w:t>
                  </w:r>
                  <w:r>
                    <w:rPr>
                      <w:rFonts w:hint="default" w:ascii="Times New Roman" w:hAnsi="Times New Roman" w:eastAsia="宋体" w:cs="Times New Roman"/>
                      <w:b w:val="0"/>
                      <w:bCs w:val="0"/>
                      <w:color w:val="auto"/>
                      <w:sz w:val="21"/>
                      <w:szCs w:val="21"/>
                    </w:rPr>
                    <w:t>）</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E:</w:t>
                  </w:r>
                  <w:r>
                    <w:rPr>
                      <w:rFonts w:hint="default" w:ascii="Times New Roman" w:hAnsi="Times New Roman" w:cs="Times New Roman"/>
                      <w:b w:val="0"/>
                      <w:bCs w:val="0"/>
                      <w:color w:val="auto"/>
                      <w:sz w:val="21"/>
                      <w:szCs w:val="21"/>
                      <w:lang w:eastAsia="zh-CN"/>
                    </w:rPr>
                    <w:t>106.333710,</w:t>
                  </w:r>
                  <w:r>
                    <w:rPr>
                      <w:rFonts w:hint="default" w:ascii="Times New Roman" w:hAnsi="Times New Roman" w:cs="Times New Roman"/>
                      <w:b w:val="0"/>
                      <w:bCs w:val="0"/>
                      <w:color w:val="auto"/>
                      <w:sz w:val="21"/>
                      <w:szCs w:val="21"/>
                      <w:lang w:val="en-US" w:eastAsia="zh-CN"/>
                    </w:rPr>
                    <w:t>N:</w:t>
                  </w:r>
                  <w:r>
                    <w:rPr>
                      <w:rFonts w:hint="default" w:ascii="Times New Roman" w:hAnsi="Times New Roman" w:cs="Times New Roman"/>
                      <w:b w:val="0"/>
                      <w:bCs w:val="0"/>
                      <w:color w:val="auto"/>
                      <w:sz w:val="21"/>
                      <w:szCs w:val="21"/>
                      <w:lang w:eastAsia="zh-CN"/>
                    </w:rPr>
                    <w:t>35.480672）</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3"/>
        <w:tblW w:w="140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3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tcBorders>
              <w:tl2br w:val="nil"/>
              <w:tr2bl w:val="nil"/>
            </w:tcBorders>
            <w:noWrap w:val="0"/>
            <w:tcMar>
              <w:left w:w="28" w:type="dxa"/>
              <w:right w:w="28" w:type="dxa"/>
            </w:tcMar>
            <w:vAlign w:val="center"/>
          </w:tcPr>
          <w:p>
            <w:pPr>
              <w:pStyle w:val="19"/>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运营期环境影响和保护措施</w:t>
            </w:r>
          </w:p>
        </w:tc>
        <w:tc>
          <w:tcPr>
            <w:tcW w:w="13586" w:type="dxa"/>
            <w:tcBorders>
              <w:tl2br w:val="nil"/>
              <w:tr2bl w:val="nil"/>
            </w:tcBorders>
            <w:noWrap w:val="0"/>
            <w:vAlign w:val="center"/>
          </w:tcPr>
          <w:p>
            <w:pPr>
              <w:pStyle w:val="2"/>
              <w:keepNext w:val="0"/>
              <w:keepLines w:val="0"/>
              <w:pageBreakBefore w:val="0"/>
              <w:widowControl w:val="0"/>
              <w:tabs>
                <w:tab w:val="left" w:pos="3088"/>
              </w:tabs>
              <w:kinsoku/>
              <w:wordWrap/>
              <w:overflowPunct/>
              <w:topLinePunct w:val="0"/>
              <w:autoSpaceDE/>
              <w:autoSpaceDN/>
              <w:bidi w:val="0"/>
              <w:adjustRightInd/>
              <w:snapToGrid/>
              <w:spacing w:before="0" w:after="20" w:line="240" w:lineRule="auto"/>
              <w:ind w:left="0"/>
              <w:jc w:val="center"/>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b w:val="0"/>
                <w:bCs/>
                <w:color w:val="auto"/>
                <w:kern w:val="2"/>
                <w:sz w:val="24"/>
                <w:szCs w:val="24"/>
                <w:highlight w:val="none"/>
                <w:lang w:val="en-US" w:eastAsia="zh-CN" w:bidi="ar-SA"/>
              </w:rPr>
              <w:t>表4-</w:t>
            </w:r>
            <w:r>
              <w:rPr>
                <w:rFonts w:hint="default" w:ascii="Times New Roman" w:hAnsi="Times New Roman" w:cs="Times New Roman"/>
                <w:b w:val="0"/>
                <w:bCs/>
                <w:color w:val="auto"/>
                <w:kern w:val="2"/>
                <w:sz w:val="24"/>
                <w:szCs w:val="24"/>
                <w:highlight w:val="none"/>
                <w:lang w:val="en-US" w:eastAsia="zh-CN" w:bidi="ar-SA"/>
              </w:rPr>
              <w:t>9</w:t>
            </w:r>
            <w:r>
              <w:rPr>
                <w:rFonts w:hint="default" w:ascii="Times New Roman" w:hAnsi="Times New Roman" w:eastAsia="黑体" w:cs="Times New Roman"/>
                <w:b w:val="0"/>
                <w:bCs/>
                <w:color w:val="auto"/>
                <w:kern w:val="2"/>
                <w:sz w:val="24"/>
                <w:szCs w:val="24"/>
                <w:highlight w:val="none"/>
                <w:lang w:val="en-US" w:eastAsia="zh-CN" w:bidi="ar-SA"/>
              </w:rPr>
              <w:t xml:space="preserve">  全厂主要噪声源强调查清单（室内声源）</w:t>
            </w:r>
          </w:p>
          <w:tbl>
            <w:tblPr>
              <w:tblStyle w:val="23"/>
              <w:tblW w:w="2593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14"/>
              <w:gridCol w:w="1026"/>
              <w:gridCol w:w="1265"/>
              <w:gridCol w:w="1612"/>
              <w:gridCol w:w="829"/>
              <w:gridCol w:w="777"/>
              <w:gridCol w:w="783"/>
              <w:gridCol w:w="814"/>
              <w:gridCol w:w="363"/>
              <w:gridCol w:w="5"/>
              <w:gridCol w:w="736"/>
              <w:gridCol w:w="5"/>
              <w:gridCol w:w="1021"/>
              <w:gridCol w:w="5"/>
              <w:gridCol w:w="669"/>
              <w:gridCol w:w="5"/>
              <w:gridCol w:w="1037"/>
              <w:gridCol w:w="5"/>
              <w:gridCol w:w="887"/>
              <w:gridCol w:w="964"/>
              <w:gridCol w:w="16"/>
              <w:gridCol w:w="94"/>
              <w:gridCol w:w="900"/>
              <w:gridCol w:w="900"/>
              <w:gridCol w:w="900"/>
              <w:gridCol w:w="900"/>
              <w:gridCol w:w="900"/>
              <w:gridCol w:w="900"/>
              <w:gridCol w:w="900"/>
              <w:gridCol w:w="900"/>
              <w:gridCol w:w="900"/>
              <w:gridCol w:w="900"/>
              <w:gridCol w:w="900"/>
              <w:gridCol w:w="900"/>
              <w:gridCol w:w="900"/>
              <w:gridCol w:w="9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5"/>
                <w:wAfter w:w="2436" w:type="pct"/>
                <w:trHeight w:val="23" w:hRule="atLeast"/>
              </w:trPr>
              <w:tc>
                <w:tcPr>
                  <w:tcW w:w="8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序号</w:t>
                  </w:r>
                </w:p>
              </w:tc>
              <w:tc>
                <w:tcPr>
                  <w:tcW w:w="198"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建筑物名称</w:t>
                  </w:r>
                </w:p>
              </w:tc>
              <w:tc>
                <w:tcPr>
                  <w:tcW w:w="244"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lang w:eastAsia="zh-CN"/>
                    </w:rPr>
                    <w:t>声源</w:t>
                  </w:r>
                  <w:r>
                    <w:rPr>
                      <w:rFonts w:hint="default" w:ascii="Times New Roman" w:hAnsi="Times New Roman" w:cs="Times New Roman"/>
                      <w:b/>
                      <w:color w:val="auto"/>
                      <w:kern w:val="2"/>
                      <w:sz w:val="21"/>
                      <w:szCs w:val="21"/>
                    </w:rPr>
                    <w:t>名称</w:t>
                  </w:r>
                </w:p>
              </w:tc>
              <w:tc>
                <w:tcPr>
                  <w:tcW w:w="311"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eastAsia="zh-CN"/>
                    </w:rPr>
                    <w:t>型号</w:t>
                  </w:r>
                </w:p>
              </w:tc>
              <w:tc>
                <w:tcPr>
                  <w:tcW w:w="16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声功率级dB（A）</w:t>
                  </w:r>
                </w:p>
              </w:tc>
              <w:tc>
                <w:tcPr>
                  <w:tcW w:w="15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声源控制措施</w:t>
                  </w:r>
                </w:p>
              </w:tc>
              <w:tc>
                <w:tcPr>
                  <w:tcW w:w="379" w:type="pct"/>
                  <w:gridSpan w:val="4"/>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空间相对位置</w:t>
                  </w:r>
                  <w:r>
                    <w:rPr>
                      <w:rFonts w:hint="default" w:ascii="Times New Roman" w:hAnsi="Times New Roman" w:cs="Times New Roman"/>
                      <w:b/>
                      <w:color w:val="auto"/>
                      <w:kern w:val="2"/>
                      <w:sz w:val="21"/>
                      <w:szCs w:val="21"/>
                      <w:lang w:val="en-US" w:eastAsia="zh-CN"/>
                    </w:rPr>
                    <w:t>/m</w:t>
                  </w:r>
                </w:p>
              </w:tc>
              <w:tc>
                <w:tcPr>
                  <w:tcW w:w="143"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距室内边界距离/m</w:t>
                  </w:r>
                </w:p>
              </w:tc>
              <w:tc>
                <w:tcPr>
                  <w:tcW w:w="198"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室内边界声级/dB（A）</w:t>
                  </w:r>
                </w:p>
              </w:tc>
              <w:tc>
                <w:tcPr>
                  <w:tcW w:w="130"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运行时段</w:t>
                  </w:r>
                </w:p>
              </w:tc>
              <w:tc>
                <w:tcPr>
                  <w:tcW w:w="20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建筑物插入损失/dB（A）</w:t>
                  </w:r>
                </w:p>
              </w:tc>
              <w:tc>
                <w:tcPr>
                  <w:tcW w:w="360" w:type="pct"/>
                  <w:gridSpan w:val="3"/>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519" w:hRule="atLeast"/>
              </w:trPr>
              <w:tc>
                <w:tcPr>
                  <w:tcW w:w="8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98"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44"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311"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6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5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51"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X</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Y</w:t>
                  </w:r>
                </w:p>
              </w:tc>
              <w:tc>
                <w:tcPr>
                  <w:tcW w:w="7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Z</w:t>
                  </w:r>
                </w:p>
              </w:tc>
              <w:tc>
                <w:tcPr>
                  <w:tcW w:w="14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p>
              </w:tc>
              <w:tc>
                <w:tcPr>
                  <w:tcW w:w="198"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72"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声压级/dB（A）</w:t>
                  </w:r>
                </w:p>
              </w:tc>
              <w:tc>
                <w:tcPr>
                  <w:tcW w:w="186"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198" w:type="pct"/>
                  <w:vMerge w:val="restar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有机肥生产车间</w:t>
                  </w: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铲车喂料机</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XGLC-3520</w:t>
                  </w:r>
                </w:p>
              </w:tc>
              <w:tc>
                <w:tcPr>
                  <w:tcW w:w="16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w w:val="100"/>
                      <w:sz w:val="21"/>
                      <w:szCs w:val="21"/>
                      <w:lang w:val="en-US" w:eastAsia="zh-CN"/>
                    </w:rPr>
                    <w:t>75</w:t>
                  </w:r>
                </w:p>
              </w:tc>
              <w:tc>
                <w:tcPr>
                  <w:tcW w:w="150" w:type="pct"/>
                  <w:vMerge w:val="restar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sz w:val="21"/>
                      <w:szCs w:val="21"/>
                      <w:lang w:val="en-US" w:eastAsia="zh-CN"/>
                    </w:rPr>
                    <w:t>基础减震、建筑隔音，</w:t>
                  </w:r>
                  <w:r>
                    <w:rPr>
                      <w:rFonts w:hint="default" w:ascii="Times New Roman" w:hAnsi="Times New Roman" w:eastAsia="宋体" w:cs="Times New Roman"/>
                      <w:color w:val="auto"/>
                      <w:sz w:val="21"/>
                      <w:szCs w:val="21"/>
                    </w:rPr>
                    <w:t>合理布局，增加生产车间的密闭性</w:t>
                  </w:r>
                </w:p>
              </w:tc>
              <w:tc>
                <w:tcPr>
                  <w:tcW w:w="151"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181.42</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-127.80</w:t>
                  </w:r>
                </w:p>
              </w:tc>
              <w:tc>
                <w:tcPr>
                  <w:tcW w:w="7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60</w:t>
                  </w:r>
                </w:p>
              </w:tc>
              <w:tc>
                <w:tcPr>
                  <w:tcW w:w="130"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白天</w:t>
                  </w:r>
                </w:p>
              </w:tc>
              <w:tc>
                <w:tcPr>
                  <w:tcW w:w="20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15</w:t>
                  </w:r>
                </w:p>
              </w:tc>
              <w:tc>
                <w:tcPr>
                  <w:tcW w:w="172"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45</w:t>
                  </w:r>
                </w:p>
              </w:tc>
              <w:tc>
                <w:tcPr>
                  <w:tcW w:w="186" w:type="pct"/>
                  <w:vMerge w:val="restar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w:t>
                  </w:r>
                </w:p>
              </w:tc>
              <w:tc>
                <w:tcPr>
                  <w:tcW w:w="198"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立式粉碎机</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XGFS-1000-LS</w:t>
                  </w:r>
                </w:p>
              </w:tc>
              <w:tc>
                <w:tcPr>
                  <w:tcW w:w="16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51"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169.71</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kern w:val="2"/>
                      <w:sz w:val="21"/>
                      <w:szCs w:val="21"/>
                      <w:lang w:val="en-US" w:eastAsia="zh-CN" w:bidi="ar-SA"/>
                    </w:rPr>
                    <w:t>-122.34</w:t>
                  </w:r>
                </w:p>
              </w:tc>
              <w:tc>
                <w:tcPr>
                  <w:tcW w:w="7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1</w:t>
                  </w:r>
                </w:p>
              </w:tc>
              <w:tc>
                <w:tcPr>
                  <w:tcW w:w="143"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3</w:t>
                  </w:r>
                </w:p>
              </w:tc>
              <w:tc>
                <w:tcPr>
                  <w:tcW w:w="198"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滚筒筛分机</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XGSF-5015</w:t>
                  </w:r>
                </w:p>
              </w:tc>
              <w:tc>
                <w:tcPr>
                  <w:tcW w:w="16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51"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156.43</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-112.96</w:t>
                  </w:r>
                </w:p>
              </w:tc>
              <w:tc>
                <w:tcPr>
                  <w:tcW w:w="7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4</w:t>
                  </w:r>
                </w:p>
              </w:tc>
              <w:tc>
                <w:tcPr>
                  <w:tcW w:w="198"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双轴搅拌机</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XGJB-5010</w:t>
                  </w:r>
                </w:p>
              </w:tc>
              <w:tc>
                <w:tcPr>
                  <w:tcW w:w="16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51"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143.94</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-105.15</w:t>
                  </w:r>
                </w:p>
              </w:tc>
              <w:tc>
                <w:tcPr>
                  <w:tcW w:w="7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5</w:t>
                  </w:r>
                </w:p>
              </w:tc>
              <w:tc>
                <w:tcPr>
                  <w:tcW w:w="198"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分料器</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XGFL-2</w:t>
                  </w:r>
                </w:p>
              </w:tc>
              <w:tc>
                <w:tcPr>
                  <w:tcW w:w="16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80</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51"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135.35</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-97.35</w:t>
                  </w:r>
                </w:p>
              </w:tc>
              <w:tc>
                <w:tcPr>
                  <w:tcW w:w="7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55</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6</w:t>
                  </w:r>
                </w:p>
              </w:tc>
              <w:tc>
                <w:tcPr>
                  <w:tcW w:w="198"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粉状包装机</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XGBZ-100</w:t>
                  </w:r>
                </w:p>
              </w:tc>
              <w:tc>
                <w:tcPr>
                  <w:tcW w:w="16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80</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51"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122.07</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-88.75</w:t>
                  </w:r>
                </w:p>
              </w:tc>
              <w:tc>
                <w:tcPr>
                  <w:tcW w:w="7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65</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7</w:t>
                  </w:r>
                </w:p>
              </w:tc>
              <w:tc>
                <w:tcPr>
                  <w:tcW w:w="198"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挤压造粒机</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XGZL-55-DM</w:t>
                  </w:r>
                </w:p>
              </w:tc>
              <w:tc>
                <w:tcPr>
                  <w:tcW w:w="16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51"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110.35</w:t>
                  </w:r>
                </w:p>
              </w:tc>
              <w:tc>
                <w:tcPr>
                  <w:tcW w:w="15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-81.73</w:t>
                  </w:r>
                </w:p>
              </w:tc>
              <w:tc>
                <w:tcPr>
                  <w:tcW w:w="7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8</w:t>
                  </w:r>
                </w:p>
              </w:tc>
              <w:tc>
                <w:tcPr>
                  <w:tcW w:w="198"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颗粒包装机</w:t>
                  </w:r>
                </w:p>
              </w:tc>
              <w:tc>
                <w:tcPr>
                  <w:tcW w:w="31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XGBZ-100</w:t>
                  </w:r>
                </w:p>
              </w:tc>
              <w:tc>
                <w:tcPr>
                  <w:tcW w:w="160"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51"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89.27</w:t>
                  </w:r>
                </w:p>
              </w:tc>
              <w:tc>
                <w:tcPr>
                  <w:tcW w:w="15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-68.45</w:t>
                  </w:r>
                </w:p>
              </w:tc>
              <w:tc>
                <w:tcPr>
                  <w:tcW w:w="7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9</w:t>
                  </w:r>
                </w:p>
              </w:tc>
              <w:tc>
                <w:tcPr>
                  <w:tcW w:w="198"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原料陈化堆放棚</w:t>
                  </w: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菌种扩培机</w:t>
                  </w:r>
                </w:p>
              </w:tc>
              <w:tc>
                <w:tcPr>
                  <w:tcW w:w="311"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w:t>
                  </w:r>
                </w:p>
              </w:tc>
              <w:tc>
                <w:tcPr>
                  <w:tcW w:w="160"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70</w:t>
                  </w:r>
                </w:p>
              </w:tc>
              <w:tc>
                <w:tcPr>
                  <w:tcW w:w="150" w:type="pct"/>
                  <w:vMerge w:val="continue"/>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p>
              </w:tc>
              <w:tc>
                <w:tcPr>
                  <w:tcW w:w="151"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313.41</w:t>
                  </w:r>
                </w:p>
              </w:tc>
              <w:tc>
                <w:tcPr>
                  <w:tcW w:w="15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4.18</w:t>
                  </w:r>
                </w:p>
              </w:tc>
              <w:tc>
                <w:tcPr>
                  <w:tcW w:w="7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5</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55</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15</w:t>
                  </w:r>
                </w:p>
              </w:tc>
              <w:tc>
                <w:tcPr>
                  <w:tcW w:w="172"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kern w:val="2"/>
                      <w:sz w:val="21"/>
                      <w:szCs w:val="21"/>
                      <w:lang w:val="en-US" w:eastAsia="zh-CN" w:bidi="ar-SA"/>
                    </w:rPr>
                    <w:t>40</w:t>
                  </w:r>
                </w:p>
              </w:tc>
              <w:tc>
                <w:tcPr>
                  <w:tcW w:w="186"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10</w:t>
                  </w:r>
                </w:p>
              </w:tc>
              <w:tc>
                <w:tcPr>
                  <w:tcW w:w="198"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24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铲车</w:t>
                  </w:r>
                </w:p>
              </w:tc>
              <w:tc>
                <w:tcPr>
                  <w:tcW w:w="311"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30型</w:t>
                  </w:r>
                </w:p>
              </w:tc>
              <w:tc>
                <w:tcPr>
                  <w:tcW w:w="160"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70</w:t>
                  </w:r>
                </w:p>
              </w:tc>
              <w:tc>
                <w:tcPr>
                  <w:tcW w:w="150"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51"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281.39</w:t>
                  </w:r>
                </w:p>
              </w:tc>
              <w:tc>
                <w:tcPr>
                  <w:tcW w:w="15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-19.25</w:t>
                  </w:r>
                </w:p>
              </w:tc>
              <w:tc>
                <w:tcPr>
                  <w:tcW w:w="7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w:t>
                  </w:r>
                </w:p>
              </w:tc>
              <w:tc>
                <w:tcPr>
                  <w:tcW w:w="172"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86"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70" w:type="pct"/>
                  <w:gridSpan w:val="2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注：①以厂区西南角为原点（0,0,0）（E:106.333710,N:35.480672）；②铲车为移动声源，以其移动轨迹中心定点。</w:t>
                  </w: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3"/>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8"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2、噪声达标情况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依据建设项目环境影响报告表编制技术指南（污染影响类）（试行）中“运营期噪声环境影响评价”要求分析厂界和环境保护目标达标情况，本项目50m范围内无环境保护目标，</w:t>
            </w:r>
            <w:r>
              <w:rPr>
                <w:rFonts w:hint="default" w:ascii="Times New Roman" w:hAnsi="Times New Roman" w:cs="Times New Roman"/>
                <w:b/>
                <w:bCs/>
                <w:color w:val="auto"/>
                <w:sz w:val="24"/>
                <w:szCs w:val="24"/>
                <w:lang w:val="en-US" w:eastAsia="zh-CN"/>
              </w:rPr>
              <w:t>因此，仅对厂界达标情况进行分析</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根据《环境影响评价技术导则</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声环境》（HJ2.4-2021）8.5.2规定：本项目预测厂界噪声贡献值，评价其超标和达标情况。</w:t>
            </w:r>
            <w:r>
              <w:rPr>
                <w:rFonts w:hint="default" w:ascii="Times New Roman" w:hAnsi="Times New Roman" w:cs="Times New Roman"/>
                <w:color w:val="auto"/>
                <w:sz w:val="24"/>
                <w:szCs w:val="24"/>
                <w:lang w:eastAsia="zh-CN"/>
              </w:rPr>
              <w:t>另外，</w:t>
            </w:r>
            <w:r>
              <w:rPr>
                <w:rFonts w:hint="default" w:ascii="Times New Roman" w:hAnsi="Times New Roman" w:eastAsia="宋体" w:cs="Times New Roman"/>
                <w:color w:val="auto"/>
                <w:sz w:val="24"/>
                <w:szCs w:val="24"/>
                <w:lang w:val="en-US" w:eastAsia="zh-CN"/>
              </w:rPr>
              <w:t>本项目夜间不生产，昼间各预测点的噪声</w:t>
            </w:r>
            <w:r>
              <w:rPr>
                <w:rFonts w:hint="default" w:ascii="Times New Roman" w:hAnsi="Times New Roman" w:cs="Times New Roman"/>
                <w:color w:val="auto"/>
                <w:sz w:val="24"/>
                <w:szCs w:val="24"/>
                <w:lang w:val="en-US" w:eastAsia="zh-CN"/>
              </w:rPr>
              <w:t>贡献</w:t>
            </w:r>
            <w:r>
              <w:rPr>
                <w:rFonts w:hint="default" w:ascii="Times New Roman" w:hAnsi="Times New Roman" w:eastAsia="宋体" w:cs="Times New Roman"/>
                <w:color w:val="auto"/>
                <w:sz w:val="24"/>
                <w:szCs w:val="24"/>
                <w:lang w:val="en-US" w:eastAsia="zh-CN"/>
              </w:rPr>
              <w:t>值见下表</w:t>
            </w:r>
            <w:r>
              <w:rPr>
                <w:rFonts w:hint="default" w:ascii="Times New Roman" w:hAnsi="Times New Roman" w:cs="Times New Roman"/>
                <w:color w:val="auto"/>
                <w:sz w:val="24"/>
                <w:szCs w:val="24"/>
                <w:lang w:val="en-US" w:eastAsia="zh-CN"/>
              </w:rPr>
              <w:t>4-10。</w:t>
            </w:r>
          </w:p>
          <w:p>
            <w:pPr>
              <w:pStyle w:val="2"/>
              <w:keepNext w:val="0"/>
              <w:keepLines w:val="0"/>
              <w:pageBreakBefore w:val="0"/>
              <w:widowControl w:val="0"/>
              <w:tabs>
                <w:tab w:val="left" w:pos="3088"/>
              </w:tabs>
              <w:kinsoku/>
              <w:wordWrap/>
              <w:overflowPunct/>
              <w:topLinePunct w:val="0"/>
              <w:autoSpaceDE/>
              <w:autoSpaceDN/>
              <w:bidi w:val="0"/>
              <w:adjustRightInd/>
              <w:snapToGrid w:val="0"/>
              <w:spacing w:before="0" w:after="20" w:line="240" w:lineRule="auto"/>
              <w:ind w:left="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w:t>
            </w:r>
            <w:r>
              <w:rPr>
                <w:rFonts w:hint="default" w:ascii="Times New Roman" w:hAnsi="Times New Roman" w:cs="Times New Roman"/>
                <w:b w:val="0"/>
                <w:bCs w:val="0"/>
                <w:color w:val="auto"/>
                <w:sz w:val="24"/>
                <w:szCs w:val="24"/>
                <w:lang w:val="en-US" w:eastAsia="zh-CN"/>
              </w:rPr>
              <w:t>10</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全厂噪声预测结果与达标分析表</w:t>
            </w:r>
          </w:p>
          <w:tbl>
            <w:tblPr>
              <w:tblStyle w:val="23"/>
              <w:tblW w:w="4995" w:type="pct"/>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934"/>
              <w:gridCol w:w="1375"/>
              <w:gridCol w:w="1375"/>
              <w:gridCol w:w="1375"/>
              <w:gridCol w:w="1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预测点</w:t>
                  </w:r>
                </w:p>
              </w:tc>
              <w:tc>
                <w:tcPr>
                  <w:tcW w:w="566"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时间段</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东厂界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南厂界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西厂界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北厂界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贡献值</w:t>
                  </w:r>
                </w:p>
              </w:tc>
              <w:tc>
                <w:tcPr>
                  <w:tcW w:w="566" w:type="pct"/>
                  <w:vMerge w:val="restar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45</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yellow"/>
                      <w:lang w:val="en-US"/>
                    </w:rPr>
                  </w:pPr>
                  <w:r>
                    <w:rPr>
                      <w:rFonts w:hint="eastAsia" w:cs="Times New Roman"/>
                      <w:color w:val="auto"/>
                      <w:sz w:val="21"/>
                      <w:szCs w:val="21"/>
                      <w:lang w:val="en-US" w:eastAsia="zh-CN"/>
                    </w:rPr>
                    <w:t>50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yellow"/>
                      <w:lang w:val="en-US"/>
                    </w:rPr>
                  </w:pPr>
                  <w:r>
                    <w:rPr>
                      <w:rFonts w:hint="eastAsia" w:cs="Times New Roman"/>
                      <w:color w:val="auto"/>
                      <w:sz w:val="21"/>
                      <w:szCs w:val="21"/>
                      <w:lang w:val="en-US" w:eastAsia="zh-CN"/>
                    </w:rPr>
                    <w:t>46</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yellow"/>
                      <w:lang w:val="en-US"/>
                    </w:rPr>
                  </w:pPr>
                  <w:r>
                    <w:rPr>
                      <w:rFonts w:hint="eastAsia" w:cs="Times New Roman"/>
                      <w:color w:val="auto"/>
                      <w:sz w:val="21"/>
                      <w:szCs w:val="21"/>
                      <w:lang w:val="en-US" w:eastAsia="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评价标准</w:t>
                  </w:r>
                </w:p>
              </w:tc>
              <w:tc>
                <w:tcPr>
                  <w:tcW w:w="566" w:type="pct"/>
                  <w:vMerge w:val="continue"/>
                  <w:tcBorders>
                    <w:tl2br w:val="nil"/>
                    <w:tr2bl w:val="nil"/>
                  </w:tcBorders>
                  <w:vAlign w:val="center"/>
                </w:tcPr>
                <w:p>
                  <w:pPr>
                    <w:jc w:val="center"/>
                    <w:rPr>
                      <w:rFonts w:hint="default" w:ascii="Times New Roman" w:hAnsi="Times New Roman" w:eastAsia="宋体" w:cs="Times New Roman"/>
                      <w:color w:val="auto"/>
                      <w:sz w:val="21"/>
                      <w:szCs w:val="21"/>
                    </w:rPr>
                  </w:pP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评价结果</w:t>
                  </w:r>
                </w:p>
              </w:tc>
              <w:tc>
                <w:tcPr>
                  <w:tcW w:w="566" w:type="pct"/>
                  <w:vMerge w:val="continue"/>
                  <w:tcBorders>
                    <w:tl2br w:val="nil"/>
                    <w:tr2bl w:val="nil"/>
                  </w:tcBorders>
                  <w:vAlign w:val="center"/>
                </w:tcPr>
                <w:p>
                  <w:pPr>
                    <w:jc w:val="center"/>
                    <w:rPr>
                      <w:rFonts w:hint="default" w:ascii="Times New Roman" w:hAnsi="Times New Roman" w:eastAsia="宋体" w:cs="Times New Roman"/>
                      <w:color w:val="auto"/>
                      <w:sz w:val="21"/>
                      <w:szCs w:val="21"/>
                    </w:rPr>
                  </w:pP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000" w:type="pct"/>
                  <w:gridSpan w:val="6"/>
                  <w:tcBorders>
                    <w:tl2br w:val="nil"/>
                    <w:tr2bl w:val="nil"/>
                  </w:tcBorders>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注：本项目夜间不生产。</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本项目昼间生产设备产生的噪声经厂房隔声、距离衰减等降噪措施后，厂界噪声贡献值满足《工业企业厂界环境噪声排放标准》（GB12348-2008）2类标准要求。因此，本项目对周围声环境影响较小。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3、噪声防治措施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为了避免本项目产生的噪声对周围环境造成不利影响，对该项目的噪声源采取以下减振、隔音、降噪等噪声防治措施：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①从声源方面进行控制，选用低噪声的设备，对个别噪声较高的设备，在机座上设减震垫，减少振动源，以降低噪声。</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②合理布局生产设备，高噪声设备的安装位置尽量远离厂界。</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③加强生产管理，定期维护设备，使其处于正常运行状态。</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④建设厂区围墙，使其对噪声有一定阻隔作用。</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⑤加强厂区绿化，可沿靠近</w:t>
            </w:r>
            <w:r>
              <w:rPr>
                <w:rFonts w:hint="default" w:ascii="Times New Roman" w:hAnsi="Times New Roman" w:cs="Times New Roman"/>
                <w:color w:val="auto"/>
                <w:sz w:val="24"/>
                <w:szCs w:val="24"/>
                <w:lang w:val="en-US" w:eastAsia="zh-CN"/>
              </w:rPr>
              <w:t>环境保护目标处一侧</w:t>
            </w:r>
            <w:r>
              <w:rPr>
                <w:rFonts w:hint="default" w:ascii="Times New Roman" w:hAnsi="Times New Roman" w:eastAsia="宋体" w:cs="Times New Roman"/>
                <w:color w:val="auto"/>
                <w:sz w:val="24"/>
                <w:szCs w:val="24"/>
                <w:lang w:val="en-US" w:eastAsia="zh-CN"/>
              </w:rPr>
              <w:t>围墙种植高大树木，形成防护林带，利用树木</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屏蔽作用降噪。</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经采取上述综合措施后，项目噪声再通过距离衰减，本项目厂界噪声值均能达到《工业企业厂界环境噪声排放标准》（GB12348-2008）中的</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类噪声标准。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4、运营期噪声监测要求</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w:t>
            </w:r>
            <w:r>
              <w:rPr>
                <w:rFonts w:hint="default" w:ascii="Times New Roman" w:hAnsi="Times New Roman" w:eastAsia="宋体" w:cs="Times New Roman"/>
                <w:color w:val="auto"/>
                <w:sz w:val="24"/>
                <w:szCs w:val="24"/>
              </w:rPr>
              <w:t xml:space="preserve">《排污单位自行监测技术指南 </w:t>
            </w:r>
            <w:r>
              <w:rPr>
                <w:rFonts w:hint="default" w:ascii="Times New Roman" w:hAnsi="Times New Roman" w:eastAsia="宋体" w:cs="Times New Roman"/>
                <w:color w:val="auto"/>
                <w:sz w:val="24"/>
                <w:szCs w:val="24"/>
                <w:lang w:val="en-US" w:eastAsia="zh-CN"/>
              </w:rPr>
              <w:t>总则</w:t>
            </w:r>
            <w:r>
              <w:rPr>
                <w:rFonts w:hint="default" w:ascii="Times New Roman" w:hAnsi="Times New Roman" w:eastAsia="宋体" w:cs="Times New Roman"/>
                <w:color w:val="auto"/>
                <w:sz w:val="24"/>
                <w:szCs w:val="24"/>
              </w:rPr>
              <w:t>》（HJ</w:t>
            </w:r>
            <w:r>
              <w:rPr>
                <w:rFonts w:hint="default" w:ascii="Times New Roman" w:hAnsi="Times New Roman" w:eastAsia="宋体" w:cs="Times New Roman"/>
                <w:color w:val="auto"/>
                <w:sz w:val="24"/>
                <w:szCs w:val="24"/>
                <w:lang w:val="en-US" w:eastAsia="zh-CN"/>
              </w:rPr>
              <w:t>819</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，本项目运营期噪声监测要求见下表4-1</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88" w:lineRule="auto"/>
              <w:textAlignment w:val="baseline"/>
              <w:rPr>
                <w:rFonts w:hint="default" w:ascii="Times New Roman" w:hAnsi="Times New Roman" w:eastAsia="黑体" w:cs="Times New Roman"/>
                <w:color w:val="auto"/>
                <w:sz w:val="24"/>
                <w:szCs w:val="24"/>
                <w:lang w:val="en-US" w:eastAsia="zh-CN"/>
              </w:rPr>
            </w:pPr>
          </w:p>
          <w:p>
            <w:pPr>
              <w:pStyle w:val="48"/>
              <w:keepNext w:val="0"/>
              <w:keepLines w:val="0"/>
              <w:pageBreakBefore w:val="0"/>
              <w:widowControl w:val="0"/>
              <w:kinsoku/>
              <w:wordWrap/>
              <w:overflowPunct/>
              <w:topLinePunct w:val="0"/>
              <w:autoSpaceDE/>
              <w:autoSpaceDN/>
              <w:bidi w:val="0"/>
              <w:adjustRightInd w:val="0"/>
              <w:snapToGrid/>
              <w:spacing w:before="0" w:after="0" w:line="288" w:lineRule="auto"/>
              <w:textAlignment w:val="baseline"/>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表4-11</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运营期</w:t>
            </w:r>
            <w:r>
              <w:rPr>
                <w:rFonts w:hint="default" w:ascii="Times New Roman" w:hAnsi="Times New Roman" w:eastAsia="黑体" w:cs="Times New Roman"/>
                <w:color w:val="auto"/>
                <w:sz w:val="24"/>
                <w:szCs w:val="24"/>
              </w:rPr>
              <w:t>噪声自行监测计划</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76"/>
              <w:gridCol w:w="1173"/>
              <w:gridCol w:w="2116"/>
              <w:gridCol w:w="3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类别</w:t>
                  </w:r>
                </w:p>
              </w:tc>
              <w:tc>
                <w:tcPr>
                  <w:tcW w:w="1276"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监测点位置</w:t>
                  </w:r>
                </w:p>
              </w:tc>
              <w:tc>
                <w:tcPr>
                  <w:tcW w:w="1173"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监测项目</w:t>
                  </w:r>
                </w:p>
              </w:tc>
              <w:tc>
                <w:tcPr>
                  <w:tcW w:w="2116"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监测频率</w:t>
                  </w:r>
                </w:p>
              </w:tc>
              <w:tc>
                <w:tcPr>
                  <w:tcW w:w="3004"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1276"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厂界四周外</w:t>
                  </w: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m处</w:t>
                  </w:r>
                </w:p>
              </w:tc>
              <w:tc>
                <w:tcPr>
                  <w:tcW w:w="1173" w:type="dxa"/>
                  <w:tcBorders>
                    <w:tl2br w:val="nil"/>
                    <w:tr2bl w:val="nil"/>
                  </w:tcBorders>
                  <w:noWrap w:val="0"/>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等效连续</w:t>
                  </w:r>
                  <w:r>
                    <w:rPr>
                      <w:rFonts w:hint="default" w:ascii="Times New Roman" w:hAnsi="Times New Roman" w:eastAsia="宋体" w:cs="Times New Roman"/>
                      <w:color w:val="auto"/>
                      <w:lang w:val="en-US" w:eastAsia="zh-CN"/>
                    </w:rPr>
                    <w:t>A声级</w:t>
                  </w:r>
                </w:p>
              </w:tc>
              <w:tc>
                <w:tcPr>
                  <w:tcW w:w="2116"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次/季度</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昼间1个时段，连续监测2天</w:t>
                  </w:r>
                </w:p>
              </w:tc>
              <w:tc>
                <w:tcPr>
                  <w:tcW w:w="3004"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《工业企业厂界环境噪声排放标准》（GB</w:t>
                  </w:r>
                  <w:r>
                    <w:rPr>
                      <w:rFonts w:hint="default" w:ascii="Times New Roman" w:hAnsi="Times New Roman" w:eastAsia="宋体" w:cs="Times New Roman"/>
                      <w:color w:val="auto"/>
                      <w:lang w:eastAsia="zh-CN"/>
                    </w:rPr>
                    <w:t>12348</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2008</w:t>
                  </w:r>
                  <w:r>
                    <w:rPr>
                      <w:rFonts w:hint="default" w:ascii="Times New Roman" w:hAnsi="Times New Roman" w:eastAsia="宋体" w:cs="Times New Roman"/>
                      <w:color w:val="auto"/>
                    </w:rPr>
                    <w:t>）中的</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类标准</w:t>
                  </w:r>
                </w:p>
              </w:tc>
            </w:tr>
          </w:tbl>
          <w:p>
            <w:pPr>
              <w:pStyle w:val="3"/>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四、固体废物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2"/>
                <w:sz w:val="24"/>
                <w:szCs w:val="24"/>
                <w:lang w:val="en-US" w:eastAsia="zh-CN" w:bidi="ar-SA"/>
              </w:rPr>
              <w:t>1、</w:t>
            </w:r>
            <w:r>
              <w:rPr>
                <w:rFonts w:hint="default" w:ascii="Times New Roman" w:hAnsi="Times New Roman" w:eastAsia="黑体" w:cs="Times New Roman"/>
                <w:b w:val="0"/>
                <w:bCs w:val="0"/>
                <w:color w:val="auto"/>
                <w:sz w:val="24"/>
                <w:szCs w:val="24"/>
                <w:lang w:val="en-US" w:eastAsia="zh-CN"/>
              </w:rPr>
              <w:t>固体废物产排情况</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本项目运营期固体废物包括一般工业固体废物、生活垃圾</w:t>
            </w:r>
            <w:r>
              <w:rPr>
                <w:rFonts w:hint="default" w:ascii="Times New Roman" w:hAnsi="Times New Roman" w:cs="Times New Roman"/>
                <w:b w:val="0"/>
                <w:bCs w:val="0"/>
                <w:color w:val="auto"/>
                <w:sz w:val="24"/>
                <w:szCs w:val="24"/>
                <w:lang w:val="en-US" w:eastAsia="zh-CN"/>
              </w:rPr>
              <w:t>及危险废物</w:t>
            </w:r>
            <w:r>
              <w:rPr>
                <w:rFonts w:hint="default" w:ascii="Times New Roman" w:hAnsi="Times New Roman" w:eastAsia="宋体" w:cs="Times New Roman"/>
                <w:b w:val="0"/>
                <w:bCs w:val="0"/>
                <w:color w:val="auto"/>
                <w:sz w:val="24"/>
                <w:szCs w:val="24"/>
                <w:lang w:val="en-US" w:eastAsia="zh-CN"/>
              </w:rPr>
              <w:t>。一般工业固体废物中废包装材料收集后外售综合利用，除尘灰经收集回用于生产线；生活垃圾交环卫部门处置</w:t>
            </w:r>
            <w:r>
              <w:rPr>
                <w:rFonts w:hint="default" w:ascii="Times New Roman" w:hAnsi="Times New Roman" w:cs="Times New Roman"/>
                <w:b w:val="0"/>
                <w:bCs w:val="0"/>
                <w:color w:val="auto"/>
                <w:sz w:val="24"/>
                <w:szCs w:val="24"/>
                <w:lang w:val="en-US" w:eastAsia="zh-CN"/>
              </w:rPr>
              <w:t>；危险废物为废机油及废机油桶，经收集后暂存至危废贮存点，定期交由有资质的单位处置</w:t>
            </w:r>
            <w:r>
              <w:rPr>
                <w:rFonts w:hint="default" w:ascii="Times New Roman" w:hAnsi="Times New Roman" w:eastAsia="宋体" w:cs="Times New Roman"/>
                <w:b w:val="0"/>
                <w:bCs w:val="0"/>
                <w:color w:val="auto"/>
                <w:sz w:val="24"/>
                <w:szCs w:val="24"/>
                <w:lang w:val="en-US" w:eastAsia="zh-CN"/>
              </w:rPr>
              <w:t>。项目固废产排情况见表4-1</w:t>
            </w:r>
            <w:r>
              <w:rPr>
                <w:rFonts w:hint="default" w:ascii="Times New Roman" w:hAnsi="Times New Roman"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val="en-US" w:eastAsia="zh-CN"/>
              </w:rPr>
              <w:t>表4-12</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项目固废产排情况一览表</w:t>
            </w:r>
          </w:p>
          <w:tbl>
            <w:tblPr>
              <w:tblStyle w:val="23"/>
              <w:tblW w:w="84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2"/>
              <w:gridCol w:w="602"/>
              <w:gridCol w:w="961"/>
              <w:gridCol w:w="737"/>
              <w:gridCol w:w="874"/>
              <w:gridCol w:w="1023"/>
              <w:gridCol w:w="550"/>
              <w:gridCol w:w="575"/>
              <w:gridCol w:w="487"/>
              <w:gridCol w:w="620"/>
              <w:gridCol w:w="1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pct"/>
                  <w:gridSpan w:val="2"/>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rPr>
                    <w:t>名称</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产生环节</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主要有毒有害物质名称</w:t>
                  </w:r>
                </w:p>
              </w:tc>
              <w:tc>
                <w:tcPr>
                  <w:tcW w:w="51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lang w:val="en-US" w:eastAsia="zh-CN"/>
                    </w:rPr>
                    <w:t>废物类别/</w:t>
                  </w:r>
                  <w:r>
                    <w:rPr>
                      <w:rFonts w:hint="default" w:ascii="Times New Roman" w:hAnsi="Times New Roman" w:cs="Times New Roman"/>
                      <w:b/>
                      <w:bCs/>
                      <w:color w:val="auto"/>
                      <w:sz w:val="21"/>
                      <w:szCs w:val="21"/>
                      <w:highlight w:val="none"/>
                    </w:rPr>
                    <w:t>危险废物类别</w:t>
                  </w:r>
                </w:p>
              </w:tc>
              <w:tc>
                <w:tcPr>
                  <w:tcW w:w="60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固体废物/</w:t>
                  </w:r>
                  <w:r>
                    <w:rPr>
                      <w:rFonts w:hint="default" w:ascii="Times New Roman" w:hAnsi="Times New Roman" w:cs="Times New Roman"/>
                      <w:b/>
                      <w:bCs/>
                      <w:color w:val="auto"/>
                      <w:sz w:val="21"/>
                      <w:szCs w:val="21"/>
                      <w:highlight w:val="none"/>
                    </w:rPr>
                    <w:t>危险废物代码</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环境危险特性</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lang w:val="en-US"/>
                    </w:rPr>
                  </w:pPr>
                  <w:r>
                    <w:rPr>
                      <w:rFonts w:hint="default" w:ascii="Times New Roman" w:hAnsi="Times New Roman" w:cs="Times New Roman"/>
                      <w:b/>
                      <w:bCs/>
                      <w:color w:val="auto"/>
                      <w:sz w:val="21"/>
                      <w:szCs w:val="21"/>
                      <w:highlight w:val="none"/>
                      <w:shd w:val="clear"/>
                      <w:lang w:val="en-US" w:eastAsia="zh-CN"/>
                    </w:rPr>
                    <w:t>年产生量t/a</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物理性状</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贮存方式</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利用处置方式和去向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3"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一般工业固体废物</w:t>
                  </w:r>
                </w:p>
              </w:tc>
              <w:tc>
                <w:tcPr>
                  <w:tcW w:w="357"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废包装材料</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原辅料包装物拆除、包装</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51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SW</w:t>
                  </w:r>
                  <w:r>
                    <w:rPr>
                      <w:rFonts w:hint="default" w:ascii="Times New Roman" w:hAnsi="Times New Roman" w:cs="Times New Roman"/>
                      <w:color w:val="auto"/>
                      <w:sz w:val="21"/>
                      <w:szCs w:val="21"/>
                      <w:highlight w:val="none"/>
                      <w:lang w:val="en-US" w:eastAsia="zh-CN"/>
                    </w:rPr>
                    <w:t>17</w:t>
                  </w:r>
                </w:p>
              </w:tc>
              <w:tc>
                <w:tcPr>
                  <w:tcW w:w="60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900-003-S17</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eastAsia="宋体" w:cs="Times New Roman"/>
                      <w:snapToGrid w:val="0"/>
                      <w:color w:val="auto"/>
                      <w:kern w:val="0"/>
                      <w:sz w:val="21"/>
                      <w:szCs w:val="21"/>
                      <w:highlight w:val="none"/>
                      <w:lang w:val="en-US" w:eastAsia="zh-CN" w:bidi="ar-SA"/>
                    </w:rPr>
                    <w:t>0.094</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外售</w:t>
                  </w:r>
                  <w:r>
                    <w:rPr>
                      <w:rFonts w:hint="default" w:ascii="Times New Roman" w:hAnsi="Times New Roman" w:cs="Times New Roman"/>
                      <w:color w:val="auto"/>
                      <w:sz w:val="21"/>
                      <w:szCs w:val="21"/>
                      <w:highlight w:val="none"/>
                      <w:lang w:val="en-US" w:eastAsia="zh-CN"/>
                    </w:rPr>
                    <w:t>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3"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357"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除尘器收尘灰</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废气处理</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51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SW59</w:t>
                  </w:r>
                </w:p>
              </w:tc>
              <w:tc>
                <w:tcPr>
                  <w:tcW w:w="60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900-099-S59</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eastAsia="宋体" w:cs="Times New Roman"/>
                      <w:snapToGrid w:val="0"/>
                      <w:color w:val="auto"/>
                      <w:kern w:val="2"/>
                      <w:sz w:val="21"/>
                      <w:szCs w:val="21"/>
                      <w:highlight w:val="none"/>
                      <w:lang w:val="en-US" w:eastAsia="zh-CN" w:bidi="ar-SA"/>
                    </w:rPr>
                    <w:t>15.310</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收集后回用于生产线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3"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危险废</w:t>
                  </w:r>
                </w:p>
              </w:tc>
              <w:tc>
                <w:tcPr>
                  <w:tcW w:w="35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w:t>
                  </w:r>
                </w:p>
              </w:tc>
              <w:tc>
                <w:tcPr>
                  <w:tcW w:w="570"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设备维护</w:t>
                  </w:r>
                </w:p>
              </w:tc>
              <w:tc>
                <w:tcPr>
                  <w:tcW w:w="437"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油类物质</w:t>
                  </w:r>
                </w:p>
              </w:tc>
              <w:tc>
                <w:tcPr>
                  <w:tcW w:w="51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60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900-214-08</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0.0</w:t>
                  </w:r>
                  <w:r>
                    <w:rPr>
                      <w:rFonts w:hint="eastAsia" w:eastAsia="宋体" w:cs="Times New Roman"/>
                      <w:snapToGrid w:val="0"/>
                      <w:color w:val="auto"/>
                      <w:kern w:val="2"/>
                      <w:sz w:val="21"/>
                      <w:szCs w:val="21"/>
                      <w:highlight w:val="none"/>
                      <w:lang w:val="en-US" w:eastAsia="zh-CN" w:bidi="ar-SA"/>
                    </w:rPr>
                    <w:t>5</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液态</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收集桶</w:t>
                  </w:r>
                </w:p>
              </w:tc>
              <w:tc>
                <w:tcPr>
                  <w:tcW w:w="849"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收集后暂存至危废贮存点，定期交由有资质的单位处置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33"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35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废机油桶</w:t>
                  </w:r>
                </w:p>
              </w:tc>
              <w:tc>
                <w:tcPr>
                  <w:tcW w:w="570"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437"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p>
              </w:tc>
              <w:tc>
                <w:tcPr>
                  <w:tcW w:w="51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60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900-249-08</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0.00</w:t>
                  </w:r>
                  <w:r>
                    <w:rPr>
                      <w:rFonts w:hint="eastAsia" w:eastAsia="宋体" w:cs="Times New Roman"/>
                      <w:snapToGrid w:val="0"/>
                      <w:color w:val="auto"/>
                      <w:kern w:val="2"/>
                      <w:sz w:val="21"/>
                      <w:szCs w:val="21"/>
                      <w:highlight w:val="none"/>
                      <w:lang w:val="en-US" w:eastAsia="zh-CN" w:bidi="ar-SA"/>
                    </w:rPr>
                    <w:t>4</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9"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pct"/>
                  <w:gridSpan w:val="2"/>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生活垃圾</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职工生活</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果皮、纸屑等</w:t>
                  </w:r>
                </w:p>
              </w:tc>
              <w:tc>
                <w:tcPr>
                  <w:tcW w:w="51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SW</w:t>
                  </w:r>
                  <w:r>
                    <w:rPr>
                      <w:rFonts w:hint="default" w:ascii="Times New Roman" w:hAnsi="Times New Roman" w:cs="Times New Roman"/>
                      <w:color w:val="auto"/>
                      <w:sz w:val="21"/>
                      <w:szCs w:val="21"/>
                      <w:lang w:val="en-US" w:eastAsia="zh-CN"/>
                    </w:rPr>
                    <w:t>60</w:t>
                  </w:r>
                </w:p>
              </w:tc>
              <w:tc>
                <w:tcPr>
                  <w:tcW w:w="607" w:type="pct"/>
                  <w:tcBorders>
                    <w:tl2br w:val="nil"/>
                    <w:tr2bl w:val="nil"/>
                  </w:tcBorders>
                  <w:shd w:val="clear" w:color="auto" w:fill="auto"/>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900-001-S60</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1.65</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垃圾桶</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集中收集后交环卫部门统一处理</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一般工业固体废物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w:t>①</w:t>
            </w:r>
            <w:r>
              <w:rPr>
                <w:rFonts w:hint="default" w:ascii="Times New Roman" w:hAnsi="Times New Roman" w:cs="Times New Roman"/>
                <w:color w:val="auto"/>
                <w:sz w:val="24"/>
                <w:lang w:eastAsia="zh-CN"/>
              </w:rPr>
              <w:t>废包装材料</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本项目在备料、包装等工序因拆除原辅料包装会产生废包装材料，根据建设单位提供资料，每年产生量约</w:t>
            </w:r>
            <w:r>
              <w:rPr>
                <w:rFonts w:hint="eastAsia" w:cs="Times New Roman"/>
                <w:color w:val="auto"/>
                <w:sz w:val="24"/>
                <w:szCs w:val="24"/>
                <w:lang w:val="en-US" w:eastAsia="zh-CN"/>
              </w:rPr>
              <w:t>0.094</w:t>
            </w:r>
            <w:r>
              <w:rPr>
                <w:rFonts w:hint="default" w:ascii="Times New Roman" w:hAnsi="Times New Roman" w:cs="Times New Roman"/>
                <w:color w:val="auto"/>
                <w:sz w:val="24"/>
                <w:szCs w:val="24"/>
                <w:lang w:val="en-US" w:eastAsia="zh-CN"/>
              </w:rPr>
              <w:t>t/a，经集中收集后外售综合利用。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②除尘灰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本项目除尘灰主要来源于混配、发酵、陈化、粉碎、筛分、上料、造粒、冷却、二次筛分及包装工序。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根据本章第1节计算可知：各工序收尘灰产生总量为</w:t>
            </w:r>
            <w:r>
              <w:rPr>
                <w:rFonts w:hint="eastAsia" w:cs="Times New Roman"/>
                <w:color w:val="auto"/>
                <w:sz w:val="24"/>
                <w:szCs w:val="24"/>
                <w:lang w:val="en-US" w:eastAsia="zh-CN"/>
              </w:rPr>
              <w:t>10.205</w:t>
            </w:r>
            <w:r>
              <w:rPr>
                <w:rFonts w:hint="default" w:ascii="Times New Roman" w:hAnsi="Times New Roman" w:cs="Times New Roman"/>
                <w:color w:val="auto"/>
                <w:sz w:val="24"/>
                <w:szCs w:val="24"/>
                <w:lang w:val="en-US" w:eastAsia="zh-CN"/>
              </w:rPr>
              <w:t>t/a，属于一般工业固体废物，固废代码：SW59其他工业固体废物 900-099-S59，集中收集后回用于生产线。</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（2）危险废物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本项目运营期生产设施较少，项目各类机械设备在维修保养过程中会产生一定量的废机油，采用规格为25kg/桶的桶装包装后暂存于危废贮存点，定期交由有资质的单位处置，其中废机油产生量约0.0</w:t>
            </w:r>
            <w:r>
              <w:rPr>
                <w:rFonts w:hint="eastAsia" w:cs="Times New Roman"/>
                <w:b w:val="0"/>
                <w:bCs w:val="0"/>
                <w:color w:val="auto"/>
                <w:sz w:val="24"/>
                <w:szCs w:val="24"/>
                <w:lang w:val="en-US" w:eastAsia="zh-CN"/>
              </w:rPr>
              <w:t>5</w:t>
            </w:r>
            <w:r>
              <w:rPr>
                <w:rFonts w:hint="default" w:ascii="Times New Roman" w:hAnsi="Times New Roman" w:cs="Times New Roman"/>
                <w:b w:val="0"/>
                <w:bCs w:val="0"/>
                <w:color w:val="auto"/>
                <w:sz w:val="24"/>
                <w:szCs w:val="24"/>
                <w:lang w:val="en-US" w:eastAsia="zh-CN"/>
              </w:rPr>
              <w:t>t/a，废机油桶产生量约为0.00</w:t>
            </w:r>
            <w:r>
              <w:rPr>
                <w:rFonts w:hint="eastAsia" w:cs="Times New Roman"/>
                <w:b w:val="0"/>
                <w:bCs w:val="0"/>
                <w:color w:val="auto"/>
                <w:sz w:val="24"/>
                <w:szCs w:val="24"/>
                <w:lang w:val="en-US" w:eastAsia="zh-CN"/>
              </w:rPr>
              <w:t>4</w:t>
            </w:r>
            <w:r>
              <w:rPr>
                <w:rFonts w:hint="default" w:ascii="Times New Roman" w:hAnsi="Times New Roman" w:cs="Times New Roman"/>
                <w:b w:val="0"/>
                <w:bCs w:val="0"/>
                <w:color w:val="auto"/>
                <w:sz w:val="24"/>
                <w:szCs w:val="24"/>
                <w:lang w:val="en-US" w:eastAsia="zh-CN"/>
              </w:rPr>
              <w:t>t/a。根据《国家危险废物名录（2025年版）》，废机油、废机油桶均属于HW08类废矿物油与含矿物油废物，废物代码分别为900-214-08、900-249-08，其中废机油为“车辆、轮船及其它机械维修过程中产生的废发动机油、制动器油、自动变速器油、齿轮油等废润滑油”类废物；废机油桶为“其他生产、销售、使用过程中产生的废矿物油及沾染矿物油的废弃包装物”类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生活垃圾</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cs="Times New Roman"/>
                <w:color w:val="auto"/>
                <w:sz w:val="24"/>
              </w:rPr>
              <w:t>劳动</w:t>
            </w:r>
            <w:r>
              <w:rPr>
                <w:rFonts w:hint="default" w:ascii="Times New Roman" w:hAnsi="Times New Roman" w:cs="Times New Roman"/>
                <w:color w:val="auto"/>
                <w:sz w:val="24"/>
                <w:szCs w:val="24"/>
                <w:lang w:val="en-US" w:eastAsia="zh-CN"/>
              </w:rPr>
              <w:t>定员10</w:t>
            </w:r>
            <w:r>
              <w:rPr>
                <w:rFonts w:hint="default" w:ascii="Times New Roman" w:hAnsi="Times New Roman" w:eastAsia="宋体" w:cs="Times New Roman"/>
                <w:color w:val="auto"/>
                <w:sz w:val="24"/>
                <w:szCs w:val="24"/>
                <w:lang w:val="en-US" w:eastAsia="zh-CN"/>
              </w:rPr>
              <w:t>人，生活垃圾产生量按0.5kg/人·d计，</w:t>
            </w:r>
            <w:r>
              <w:rPr>
                <w:rFonts w:hint="default" w:ascii="Times New Roman" w:hAnsi="Times New Roman" w:cs="Times New Roman"/>
                <w:color w:val="auto"/>
                <w:sz w:val="24"/>
              </w:rPr>
              <w:t>年工作天数为330天，</w:t>
            </w:r>
            <w:r>
              <w:rPr>
                <w:rFonts w:hint="default" w:ascii="Times New Roman" w:hAnsi="Times New Roman" w:eastAsia="宋体" w:cs="Times New Roman"/>
                <w:color w:val="auto"/>
                <w:sz w:val="24"/>
                <w:szCs w:val="24"/>
                <w:lang w:val="en-US" w:eastAsia="zh-CN"/>
              </w:rPr>
              <w:t>则生活垃圾产生量为</w:t>
            </w:r>
            <w:r>
              <w:rPr>
                <w:rFonts w:hint="default" w:ascii="Times New Roman" w:hAnsi="Times New Roman" w:cs="Times New Roman"/>
                <w:color w:val="auto"/>
                <w:sz w:val="24"/>
                <w:szCs w:val="24"/>
                <w:lang w:val="en-US" w:eastAsia="zh-CN"/>
              </w:rPr>
              <w:t>1.65</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rPr>
              <w:t>固废代码：SW6</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其他垃圾</w:t>
            </w:r>
            <w:r>
              <w:rPr>
                <w:rFonts w:hint="default" w:ascii="Times New Roman" w:hAnsi="Times New Roman" w:cs="Times New Roman"/>
                <w:color w:val="auto"/>
                <w:sz w:val="24"/>
                <w:lang w:val="en-US" w:eastAsia="zh-CN"/>
              </w:rPr>
              <w:t>900-001-S60</w:t>
            </w:r>
            <w:r>
              <w:rPr>
                <w:rFonts w:hint="default" w:ascii="Times New Roman" w:hAnsi="Times New Roman" w:cs="Times New Roman"/>
                <w:color w:val="auto"/>
                <w:sz w:val="24"/>
                <w:lang w:eastAsia="zh-CN"/>
              </w:rPr>
              <w:t>，经</w:t>
            </w:r>
            <w:r>
              <w:rPr>
                <w:rFonts w:hint="default" w:ascii="Times New Roman" w:hAnsi="Times New Roman" w:eastAsia="宋体" w:cs="Times New Roman"/>
                <w:color w:val="auto"/>
                <w:sz w:val="24"/>
                <w:szCs w:val="24"/>
                <w:lang w:val="en-US" w:eastAsia="zh-CN"/>
              </w:rPr>
              <w:t>收集后交由环卫部门清运处置。</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2、固废环境管理要求</w:t>
            </w:r>
          </w:p>
          <w:p>
            <w:pPr>
              <w:pStyle w:val="74"/>
              <w:ind w:firstLine="480"/>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default" w:ascii="Times New Roman" w:hAnsi="Times New Roman" w:cs="Times New Roman"/>
                <w:color w:val="auto"/>
              </w:rPr>
              <w:t>一般工业固体废物及生活垃圾</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①对一般固体废物、生活垃圾从产生、运输直至最终处理实行全过程管理，加强固体废物运输过程的事故风险防范，按照《</w:t>
            </w:r>
            <w:r>
              <w:rPr>
                <w:rFonts w:hint="default" w:cs="Times New Roman"/>
                <w:color w:val="auto"/>
                <w:lang w:val="en"/>
              </w:rPr>
              <w:t>中华人民共和国固体废物污染环境防治法</w:t>
            </w:r>
            <w:r>
              <w:rPr>
                <w:rFonts w:hint="default" w:ascii="Times New Roman" w:hAnsi="Times New Roman" w:eastAsia="宋体" w:cs="Times New Roman"/>
                <w:color w:val="auto"/>
              </w:rPr>
              <w:t>》的要求，对固体废弃物全过程管理应报当地环保行政主管部门等批准。</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②建设单位需设置一定数量垃圾箱，确保生活垃圾不随意丢弃，污染周边环境。生活垃圾及时清运，避免长期堆存产生二次污染。</w:t>
            </w:r>
          </w:p>
          <w:p>
            <w:pPr>
              <w:pStyle w:val="74"/>
              <w:ind w:firstLine="480"/>
              <w:rPr>
                <w:rFonts w:hint="default" w:ascii="Times New Roman" w:hAnsi="Times New Roman" w:cs="Times New Roman"/>
                <w:color w:val="auto"/>
              </w:rPr>
            </w:pPr>
            <w:r>
              <w:rPr>
                <w:rFonts w:hint="default" w:ascii="Times New Roman" w:hAnsi="Times New Roman" w:eastAsia="宋体" w:cs="Times New Roman"/>
                <w:color w:val="auto"/>
              </w:rPr>
              <w:t>③本</w:t>
            </w:r>
            <w:r>
              <w:rPr>
                <w:rFonts w:hint="default" w:ascii="Times New Roman" w:hAnsi="Times New Roman" w:cs="Times New Roman"/>
                <w:color w:val="auto"/>
              </w:rPr>
              <w:t>项目运营期应按照《排污单位自行监测技术指南</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总则》（HJ819-2017）要求记录一般工业</w:t>
            </w:r>
            <w:r>
              <w:rPr>
                <w:rFonts w:hint="default" w:ascii="Times New Roman" w:hAnsi="Times New Roman" w:cs="Times New Roman"/>
                <w:color w:val="auto"/>
                <w:lang w:eastAsia="zh-CN"/>
              </w:rPr>
              <w:t>固体废物</w:t>
            </w:r>
            <w:r>
              <w:rPr>
                <w:rFonts w:hint="default" w:ascii="Times New Roman" w:hAnsi="Times New Roman" w:cs="Times New Roman"/>
                <w:color w:val="auto"/>
              </w:rPr>
              <w:t>的产生量、综合利用量、处置量、贮存量。应详细记录其去向。</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危险废物</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项目产生的</w:t>
            </w:r>
            <w:r>
              <w:rPr>
                <w:rFonts w:hint="default" w:ascii="Times New Roman" w:hAnsi="Times New Roman" w:eastAsia="宋体" w:cs="Times New Roman"/>
                <w:color w:val="auto"/>
                <w:lang w:eastAsia="zh-CN"/>
              </w:rPr>
              <w:t>废机油</w:t>
            </w:r>
            <w:r>
              <w:rPr>
                <w:rFonts w:hint="default" w:ascii="Times New Roman" w:hAnsi="Times New Roman" w:eastAsia="宋体" w:cs="Times New Roman"/>
                <w:color w:val="auto"/>
              </w:rPr>
              <w:t>属于危险废物，应严格按照《危险废物贮存污染控制标准》</w:t>
            </w:r>
            <w:r>
              <w:rPr>
                <w:rFonts w:hint="default" w:ascii="Times New Roman" w:hAnsi="Times New Roman" w:eastAsia="宋体" w:cs="Times New Roman"/>
                <w:color w:val="auto"/>
                <w:lang w:eastAsia="zh-CN"/>
              </w:rPr>
              <w:t>(GB18597-20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中的有关规定，使用符合标准的专用容器盛装，设危险废物收集桶，收集桶要求表面无裂隙，危险废物的暂存要做到防风、防雨、防晒；不相容的危险废物分开存放，同时记录废物的名称、来源、数量、入库日期、存放库位、废物出库日期等。评价要求</w:t>
            </w:r>
            <w:r>
              <w:rPr>
                <w:rFonts w:hint="default" w:ascii="Times New Roman" w:hAnsi="Times New Roman" w:cs="Times New Roman"/>
                <w:color w:val="auto"/>
                <w:lang w:eastAsia="zh-CN"/>
              </w:rPr>
              <w:t>厂内</w:t>
            </w:r>
            <w:r>
              <w:rPr>
                <w:rFonts w:hint="default" w:ascii="Times New Roman" w:hAnsi="Times New Roman" w:eastAsia="宋体" w:cs="Times New Roman"/>
                <w:color w:val="auto"/>
              </w:rPr>
              <w:t>设置</w:t>
            </w:r>
            <w:r>
              <w:rPr>
                <w:rFonts w:hint="default" w:ascii="Times New Roman" w:hAnsi="Times New Roman" w:cs="Times New Roman"/>
                <w:color w:val="auto"/>
                <w:lang w:val="en-US" w:eastAsia="zh-CN"/>
              </w:rPr>
              <w:t>危废贮存点</w:t>
            </w:r>
            <w:r>
              <w:rPr>
                <w:rFonts w:hint="default" w:ascii="Times New Roman" w:hAnsi="Times New Roman" w:eastAsia="宋体" w:cs="Times New Roman"/>
                <w:color w:val="auto"/>
              </w:rPr>
              <w:t>，</w:t>
            </w:r>
            <w:r>
              <w:rPr>
                <w:rFonts w:hint="default" w:ascii="Times New Roman" w:hAnsi="Times New Roman" w:cs="Times New Roman"/>
                <w:color w:val="auto"/>
                <w:lang w:eastAsia="zh-CN"/>
              </w:rPr>
              <w:t>且贮存点</w:t>
            </w:r>
            <w:r>
              <w:rPr>
                <w:rFonts w:hint="default" w:ascii="Times New Roman" w:hAnsi="Times New Roman" w:eastAsia="宋体" w:cs="Times New Roman"/>
                <w:color w:val="auto"/>
              </w:rPr>
              <w:t>要设防渗和隔离设施及明显的警示标志，最后建立危险废物转移联单制度，定期送有资质的单位安全处理。项目危险废物贮存场所情况见表4-1</w:t>
            </w:r>
            <w:r>
              <w:rPr>
                <w:rFonts w:hint="default" w:ascii="Times New Roman" w:hAnsi="Times New Roman" w:cs="Times New Roman"/>
                <w:color w:val="auto"/>
                <w:lang w:val="en-US" w:eastAsia="zh-CN"/>
              </w:rPr>
              <w:t>3</w:t>
            </w:r>
            <w:r>
              <w:rPr>
                <w:rFonts w:hint="default" w:ascii="Times New Roman" w:hAnsi="Times New Roman" w:eastAsia="宋体" w:cs="Times New Roman"/>
                <w:color w:val="auto"/>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表4-13  建设项目危险废物贮存场所（设施）基本情况表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050"/>
              <w:gridCol w:w="1064"/>
              <w:gridCol w:w="1214"/>
              <w:gridCol w:w="1691"/>
              <w:gridCol w:w="995"/>
              <w:gridCol w:w="7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贮存场所名称</w:t>
                  </w:r>
                </w:p>
              </w:tc>
              <w:tc>
                <w:tcPr>
                  <w:tcW w:w="63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危险废物名称</w:t>
                  </w:r>
                </w:p>
              </w:tc>
              <w:tc>
                <w:tcPr>
                  <w:tcW w:w="643"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危险废物类别</w:t>
                  </w:r>
                </w:p>
              </w:tc>
              <w:tc>
                <w:tcPr>
                  <w:tcW w:w="73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危险废物代码</w:t>
                  </w:r>
                </w:p>
              </w:tc>
              <w:tc>
                <w:tcPr>
                  <w:tcW w:w="1023"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位置</w:t>
                  </w:r>
                </w:p>
              </w:tc>
              <w:tc>
                <w:tcPr>
                  <w:tcW w:w="602"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占地面积</w:t>
                  </w:r>
                </w:p>
              </w:tc>
              <w:tc>
                <w:tcPr>
                  <w:tcW w:w="46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危废贮存点</w:t>
                  </w:r>
                </w:p>
              </w:tc>
              <w:tc>
                <w:tcPr>
                  <w:tcW w:w="635"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废机油</w:t>
                  </w:r>
                </w:p>
              </w:tc>
              <w:tc>
                <w:tcPr>
                  <w:tcW w:w="643"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HW08</w:t>
                  </w:r>
                </w:p>
              </w:tc>
              <w:tc>
                <w:tcPr>
                  <w:tcW w:w="734"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900-214-08</w:t>
                  </w:r>
                </w:p>
              </w:tc>
              <w:tc>
                <w:tcPr>
                  <w:tcW w:w="1023"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有机肥加工车间</w:t>
                  </w:r>
                </w:p>
              </w:tc>
              <w:tc>
                <w:tcPr>
                  <w:tcW w:w="602"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466"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桶装</w:t>
                  </w:r>
                </w:p>
              </w:tc>
            </w:tr>
          </w:tbl>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危险废物</w:t>
            </w:r>
          </w:p>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本项目产生的危废</w:t>
            </w:r>
            <w:r>
              <w:rPr>
                <w:rFonts w:hint="default" w:ascii="Times New Roman" w:hAnsi="Times New Roman" w:cs="Times New Roman"/>
                <w:color w:val="auto"/>
                <w:lang w:eastAsia="zh-CN"/>
              </w:rPr>
              <w:t>经收集桶收集</w:t>
            </w:r>
            <w:r>
              <w:rPr>
                <w:rFonts w:hint="default" w:ascii="Times New Roman" w:hAnsi="Times New Roman" w:eastAsia="宋体" w:cs="Times New Roman"/>
                <w:color w:val="auto"/>
                <w:lang w:eastAsia="zh-CN"/>
              </w:rPr>
              <w:t>后，由专门人员送至</w:t>
            </w:r>
            <w:r>
              <w:rPr>
                <w:rFonts w:hint="default" w:ascii="Times New Roman" w:hAnsi="Times New Roman" w:cs="Times New Roman"/>
                <w:color w:val="auto"/>
                <w:lang w:eastAsia="zh-CN"/>
              </w:rPr>
              <w:t>危废贮存点</w:t>
            </w:r>
            <w:r>
              <w:rPr>
                <w:rFonts w:hint="default" w:ascii="Times New Roman" w:hAnsi="Times New Roman" w:eastAsia="宋体" w:cs="Times New Roman"/>
                <w:color w:val="auto"/>
                <w:lang w:eastAsia="zh-CN"/>
              </w:rPr>
              <w:t>。厂内运输危废过程中可能发生泄漏或散落的情况，应启动应急预案，将危废及时收集，以减轻对周围环境的影响。厂区内运输路线地面均已进行硬化处理，泄漏物得到及时收集后，对土壤及地下水影响较小。</w:t>
            </w:r>
          </w:p>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本项目对生产过程中产生危险废物的收集、运输、贮存、管理以及转运应严格按照《危险废物污染防治技术政策》（环发</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eastAsia="zh-CN"/>
              </w:rPr>
              <w:t>2001</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199号）、《危险废物转移管理办法》（生态环境部、公安部、交通运输部令第</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号）和《危险废物贮存污染控制标准》(GB18597-20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)实行。</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根据《危险废物贮存污染控制标准》(GB18597-20</w:t>
            </w:r>
            <w:r>
              <w:rPr>
                <w:rFonts w:hint="default" w:ascii="Times New Roman" w:hAnsi="Times New Roman" w:cs="Times New Roman"/>
                <w:color w:val="auto"/>
                <w:lang w:val="en-US" w:eastAsia="zh-CN"/>
              </w:rPr>
              <w:t>23</w:t>
            </w:r>
            <w:r>
              <w:rPr>
                <w:rFonts w:hint="default" w:ascii="Times New Roman" w:hAnsi="Times New Roman" w:cs="Times New Roman"/>
                <w:color w:val="auto"/>
                <w:lang w:eastAsia="zh-CN"/>
              </w:rPr>
              <w:t>)，危废</w:t>
            </w:r>
            <w:r>
              <w:rPr>
                <w:rFonts w:hint="default" w:ascii="Times New Roman" w:hAnsi="Times New Roman" w:eastAsia="宋体" w:cs="Times New Roman"/>
                <w:color w:val="auto"/>
                <w:lang w:val="en-US" w:eastAsia="zh-CN"/>
              </w:rPr>
              <w:t>贮存点环境管理要求</w:t>
            </w:r>
            <w:r>
              <w:rPr>
                <w:rFonts w:hint="default" w:ascii="Times New Roman" w:hAnsi="Times New Roman" w:cs="Times New Roman"/>
                <w:color w:val="auto"/>
                <w:lang w:val="en-US" w:eastAsia="zh-CN"/>
              </w:rPr>
              <w:t>如下：</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①</w:t>
            </w:r>
            <w:r>
              <w:rPr>
                <w:rFonts w:hint="default" w:ascii="Times New Roman" w:hAnsi="Times New Roman" w:eastAsia="宋体" w:cs="Times New Roman"/>
                <w:color w:val="auto"/>
                <w:lang w:eastAsia="zh-CN"/>
              </w:rPr>
              <w:t>贮存点应具有固定的区域边界，并应采取与其他区域进行隔离的措施。</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②</w:t>
            </w:r>
            <w:r>
              <w:rPr>
                <w:rFonts w:hint="default" w:ascii="Times New Roman" w:hAnsi="Times New Roman" w:eastAsia="宋体" w:cs="Times New Roman"/>
                <w:color w:val="auto"/>
                <w:lang w:eastAsia="zh-CN"/>
              </w:rPr>
              <w:t>贮存点应采取防风、防雨、防晒和防止危险废物流失、扬散等措施。</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③</w:t>
            </w:r>
            <w:r>
              <w:rPr>
                <w:rFonts w:hint="default" w:ascii="Times New Roman" w:hAnsi="Times New Roman" w:eastAsia="宋体" w:cs="Times New Roman"/>
                <w:color w:val="auto"/>
                <w:lang w:eastAsia="zh-CN"/>
              </w:rPr>
              <w:t>贮存点贮存的危险废物应置于容器或包装物中，不应直接散堆。</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④</w:t>
            </w:r>
            <w:r>
              <w:rPr>
                <w:rFonts w:hint="default" w:ascii="Times New Roman" w:hAnsi="Times New Roman" w:eastAsia="宋体" w:cs="Times New Roman"/>
                <w:color w:val="auto"/>
                <w:lang w:eastAsia="zh-CN"/>
              </w:rPr>
              <w:t>贮存点应根据危险废物的形态、物理化学性质、包装形式等，采取防渗、防漏等污染防治措施</w:t>
            </w:r>
            <w:r>
              <w:rPr>
                <w:rFonts w:hint="default" w:ascii="Times New Roman" w:hAnsi="Times New Roman" w:eastAsia="宋体" w:cs="Times New Roman"/>
                <w:color w:val="auto"/>
                <w:lang w:val="en-US" w:eastAsia="zh-CN"/>
              </w:rPr>
              <w:t>或采用具有相应功能的装置。</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⑤</w:t>
            </w:r>
            <w:r>
              <w:rPr>
                <w:rFonts w:hint="default" w:ascii="Times New Roman" w:hAnsi="Times New Roman" w:eastAsia="宋体" w:cs="Times New Roman"/>
                <w:color w:val="auto"/>
                <w:lang w:val="en-US" w:eastAsia="zh-CN"/>
              </w:rPr>
              <w:t>贮存点应及时清运贮存的危险废物，实时贮存量不应超过3吨。</w:t>
            </w:r>
          </w:p>
          <w:p>
            <w:pPr>
              <w:pStyle w:val="3"/>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五、地下水</w:t>
            </w:r>
            <w:r>
              <w:rPr>
                <w:rFonts w:hint="default" w:ascii="Times New Roman" w:hAnsi="Times New Roman" w:cs="Times New Roman"/>
                <w:color w:val="auto"/>
                <w:sz w:val="24"/>
                <w:szCs w:val="24"/>
                <w:lang w:val="en-US" w:eastAsia="zh-CN"/>
              </w:rPr>
              <w:t>、土壤环境影响分析</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根据本项目生产工艺特点、原辅材料使用等，本项目可能对地下环境造成影响的环节主要为</w:t>
            </w:r>
            <w:r>
              <w:rPr>
                <w:rFonts w:hint="default" w:ascii="Times New Roman" w:hAnsi="Times New Roman" w:cs="Times New Roman"/>
                <w:color w:val="auto"/>
                <w:sz w:val="24"/>
                <w:lang w:val="en-US" w:eastAsia="zh-CN"/>
              </w:rPr>
              <w:t>3#预处理棚（粪污堆存区）、2#预处理棚及危废贮存点</w:t>
            </w:r>
            <w:r>
              <w:rPr>
                <w:rFonts w:hint="default" w:ascii="Times New Roman" w:hAnsi="Times New Roman" w:cs="Times New Roman"/>
                <w:color w:val="auto"/>
                <w:sz w:val="24"/>
              </w:rPr>
              <w:t>等</w:t>
            </w:r>
            <w:r>
              <w:rPr>
                <w:rFonts w:hint="default" w:ascii="Times New Roman" w:hAnsi="Times New Roman" w:cs="Times New Roman"/>
                <w:color w:val="auto"/>
                <w:sz w:val="24"/>
                <w:lang w:eastAsia="zh-CN"/>
              </w:rPr>
              <w:t>防渗设施</w:t>
            </w:r>
            <w:r>
              <w:rPr>
                <w:rFonts w:hint="default" w:ascii="Times New Roman" w:hAnsi="Times New Roman" w:cs="Times New Roman"/>
                <w:color w:val="auto"/>
                <w:sz w:val="24"/>
              </w:rPr>
              <w:t>发生破损泄漏，污染物进入地下水环境造成区域地下水环境污染。为防止项目发生地下水污染，将场地划分为重点污染防治区和简单防治区：</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①一般污染防治区：对地下水环境有污染的物料或污染物泄漏后，可及时发现和处理的区域或部位。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②重点污染防治区：对地下水环境有污染的物料或污染物泄漏后，不能及时发现和处理的区域或部位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③非污染防治区：一般和重点污染防治区以外的区域或部位。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分区防渗要求见表4-1</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w:t>
            </w:r>
          </w:p>
          <w:p>
            <w:pPr>
              <w:pStyle w:val="48"/>
              <w:spacing w:before="0" w:after="0" w:line="288" w:lineRule="auto"/>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表4-1</w:t>
            </w:r>
            <w:r>
              <w:rPr>
                <w:rFonts w:hint="default" w:ascii="Times New Roman" w:hAnsi="Times New Roman" w:eastAsia="黑体" w:cs="Times New Roman"/>
                <w:color w:val="auto"/>
                <w:szCs w:val="24"/>
                <w:lang w:val="en-US" w:eastAsia="zh-CN"/>
              </w:rPr>
              <w:t>4</w:t>
            </w:r>
            <w:r>
              <w:rPr>
                <w:rFonts w:hint="default" w:ascii="Times New Roman" w:hAnsi="Times New Roman" w:eastAsia="黑体" w:cs="Times New Roman"/>
                <w:color w:val="auto"/>
                <w:szCs w:val="24"/>
              </w:rPr>
              <w:t xml:space="preserve">  主要场地分区防渗一览表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159"/>
              <w:gridCol w:w="3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防渗级别</w:t>
                  </w:r>
                </w:p>
              </w:tc>
              <w:tc>
                <w:tcPr>
                  <w:tcW w:w="3159"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设施名称</w:t>
                  </w:r>
                </w:p>
              </w:tc>
              <w:tc>
                <w:tcPr>
                  <w:tcW w:w="3306"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防渗要求的一般规定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98"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重点污染防治区</w:t>
                  </w:r>
                </w:p>
              </w:tc>
              <w:tc>
                <w:tcPr>
                  <w:tcW w:w="3159" w:type="dxa"/>
                  <w:tcBorders>
                    <w:tl2br w:val="nil"/>
                    <w:tr2bl w:val="nil"/>
                  </w:tcBorders>
                  <w:vAlign w:val="center"/>
                </w:tcPr>
                <w:p>
                  <w:pPr>
                    <w:pStyle w:val="59"/>
                    <w:jc w:val="center"/>
                    <w:rPr>
                      <w:rFonts w:hint="eastAsia" w:ascii="Times New Roman" w:hAnsi="Times New Roman" w:eastAsia="宋体" w:cs="Times New Roman"/>
                      <w:color w:val="auto"/>
                      <w:lang w:eastAsia="zh-CN"/>
                    </w:rPr>
                  </w:pPr>
                  <w:r>
                    <w:rPr>
                      <w:rFonts w:hint="eastAsia" w:eastAsia="宋体" w:cs="Times New Roman"/>
                      <w:color w:val="auto"/>
                      <w:lang w:eastAsia="zh-CN"/>
                    </w:rPr>
                    <w:t>原料陈化堆放棚（发酵区）</w:t>
                  </w:r>
                </w:p>
              </w:tc>
              <w:tc>
                <w:tcPr>
                  <w:tcW w:w="3306"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等效黏土防渗层Mb≥6.0m，K≤1x10</w:t>
                  </w:r>
                  <w:r>
                    <w:rPr>
                      <w:rFonts w:hint="default" w:ascii="Times New Roman" w:hAnsi="Times New Roman" w:eastAsia="宋体" w:cs="Times New Roman"/>
                      <w:color w:val="auto"/>
                      <w:vertAlign w:val="superscript"/>
                      <w:lang w:val="en-US" w:eastAsia="zh-CN"/>
                    </w:rPr>
                    <w:t>-7</w:t>
                  </w:r>
                  <w:r>
                    <w:rPr>
                      <w:rFonts w:hint="default" w:ascii="Times New Roman" w:hAnsi="Times New Roman" w:eastAsia="宋体" w:cs="Times New Roman"/>
                      <w:color w:val="auto"/>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798" w:type="dxa"/>
                  <w:tcBorders>
                    <w:tl2br w:val="nil"/>
                    <w:tr2bl w:val="nil"/>
                  </w:tcBorders>
                  <w:vAlign w:val="center"/>
                </w:tcPr>
                <w:p>
                  <w:pPr>
                    <w:pStyle w:val="59"/>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一般污染防治区</w:t>
                  </w:r>
                </w:p>
              </w:tc>
              <w:tc>
                <w:tcPr>
                  <w:tcW w:w="3159" w:type="dxa"/>
                  <w:tcBorders>
                    <w:tl2br w:val="nil"/>
                    <w:tr2bl w:val="nil"/>
                  </w:tcBorders>
                  <w:vAlign w:val="center"/>
                </w:tcPr>
                <w:p>
                  <w:pPr>
                    <w:pStyle w:val="59"/>
                    <w:jc w:val="center"/>
                    <w:rPr>
                      <w:rFonts w:hint="default" w:ascii="Times New Roman" w:hAnsi="Times New Roman" w:eastAsia="宋体" w:cs="Times New Roman"/>
                      <w:color w:val="auto"/>
                      <w:lang w:val="en-US" w:eastAsia="zh-CN"/>
                    </w:rPr>
                  </w:pPr>
                  <w:r>
                    <w:rPr>
                      <w:rFonts w:hint="eastAsia" w:eastAsia="宋体" w:cs="Times New Roman"/>
                      <w:color w:val="auto"/>
                      <w:lang w:val="en-US" w:eastAsia="zh-CN"/>
                    </w:rPr>
                    <w:t>有机肥生产车间（</w:t>
                  </w:r>
                  <w:r>
                    <w:rPr>
                      <w:rFonts w:hint="default" w:ascii="Times New Roman" w:hAnsi="Times New Roman" w:eastAsia="宋体" w:cs="Times New Roman"/>
                      <w:color w:val="auto"/>
                      <w:lang w:val="en-US" w:eastAsia="zh-CN"/>
                    </w:rPr>
                    <w:t>危废贮存点</w:t>
                  </w:r>
                  <w:r>
                    <w:rPr>
                      <w:rFonts w:hint="eastAsia" w:eastAsia="宋体" w:cs="Times New Roman"/>
                      <w:color w:val="auto"/>
                      <w:lang w:val="en-US" w:eastAsia="zh-CN"/>
                    </w:rPr>
                    <w:t>）</w:t>
                  </w:r>
                </w:p>
              </w:tc>
              <w:tc>
                <w:tcPr>
                  <w:tcW w:w="3306" w:type="dxa"/>
                  <w:tcBorders>
                    <w:tl2br w:val="nil"/>
                    <w:tr2bl w:val="nil"/>
                  </w:tcBorders>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地面一般防渗处理，等效黏土防渗层Mb≥1.5m，K≤1×10-7cm/s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非污染防治区</w:t>
                  </w:r>
                </w:p>
              </w:tc>
              <w:tc>
                <w:tcPr>
                  <w:tcW w:w="3159"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厂区道路</w:t>
                  </w:r>
                </w:p>
              </w:tc>
              <w:tc>
                <w:tcPr>
                  <w:tcW w:w="3306"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地面硬化</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项目</w:t>
            </w:r>
            <w:r>
              <w:rPr>
                <w:rFonts w:hint="default" w:ascii="Times New Roman" w:hAnsi="Times New Roman" w:cs="Times New Roman"/>
                <w:color w:val="auto"/>
                <w:sz w:val="24"/>
              </w:rPr>
              <w:t>采取以上分区防渗措施后，正常工况下可隔绝地下水、土壤污染途径，对周边地下水环境、土壤环境影响较小。</w:t>
            </w:r>
          </w:p>
          <w:p>
            <w:pPr>
              <w:spacing w:before="120" w:after="60" w:line="360" w:lineRule="auto"/>
              <w:outlineLvl w:val="2"/>
              <w:rPr>
                <w:rFonts w:hint="default" w:ascii="Times New Roman" w:hAnsi="Times New Roman" w:eastAsia="黑体" w:cs="Times New Roman"/>
                <w:color w:val="auto"/>
                <w:spacing w:val="4"/>
                <w:sz w:val="24"/>
              </w:rPr>
            </w:pPr>
            <w:r>
              <w:rPr>
                <w:rFonts w:hint="default" w:ascii="Times New Roman" w:hAnsi="Times New Roman" w:eastAsia="黑体" w:cs="Times New Roman"/>
                <w:color w:val="auto"/>
                <w:spacing w:val="4"/>
                <w:sz w:val="24"/>
              </w:rPr>
              <w:t>六、生态环境影响</w:t>
            </w:r>
          </w:p>
          <w:p>
            <w:pPr>
              <w:pStyle w:val="83"/>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w:t>
            </w:r>
            <w:r>
              <w:rPr>
                <w:rFonts w:hint="eastAsia" w:cs="Times New Roman"/>
                <w:color w:val="auto"/>
                <w:lang w:val="en-US" w:eastAsia="zh-CN"/>
              </w:rPr>
              <w:t>香水镇城关村八组宁夏泾源县六盘山牧业有限责任公司</w:t>
            </w:r>
            <w:r>
              <w:rPr>
                <w:rFonts w:hint="default" w:ascii="Times New Roman" w:hAnsi="Times New Roman" w:cs="Times New Roman"/>
                <w:color w:val="auto"/>
                <w:lang w:val="en-US" w:eastAsia="zh-CN"/>
              </w:rPr>
              <w:t>现有厂区内</w:t>
            </w:r>
            <w:r>
              <w:rPr>
                <w:rFonts w:hint="default" w:ascii="Times New Roman" w:hAnsi="Times New Roman" w:cs="Times New Roman"/>
                <w:color w:val="auto"/>
              </w:rPr>
              <w:t>，</w:t>
            </w:r>
            <w:r>
              <w:rPr>
                <w:rFonts w:hint="default" w:ascii="Times New Roman" w:hAnsi="Times New Roman" w:cs="Times New Roman"/>
                <w:color w:val="auto"/>
                <w:lang w:eastAsia="zh-CN"/>
              </w:rPr>
              <w:t>不新增占地</w:t>
            </w:r>
            <w:r>
              <w:rPr>
                <w:rFonts w:hint="default" w:ascii="Times New Roman" w:hAnsi="Times New Roman" w:cs="Times New Roman"/>
                <w:color w:val="auto"/>
              </w:rPr>
              <w:t>，</w:t>
            </w:r>
            <w:r>
              <w:rPr>
                <w:rFonts w:hint="default" w:ascii="Times New Roman" w:hAnsi="Times New Roman" w:cs="Times New Roman"/>
                <w:color w:val="auto"/>
                <w:lang w:eastAsia="zh-CN"/>
              </w:rPr>
              <w:t>且</w:t>
            </w:r>
            <w:r>
              <w:rPr>
                <w:rFonts w:hint="default" w:ascii="Times New Roman" w:hAnsi="Times New Roman" w:cs="Times New Roman"/>
                <w:color w:val="auto"/>
              </w:rPr>
              <w:t>项目占地范围内不含生态敏感目标，因此本项目不进行生态环境影响评价。</w:t>
            </w:r>
          </w:p>
          <w:p>
            <w:pPr>
              <w:keepNext w:val="0"/>
              <w:keepLines w:val="0"/>
              <w:pageBreakBefore w:val="0"/>
              <w:widowControl w:val="0"/>
              <w:kinsoku/>
              <w:wordWrap/>
              <w:overflowPunct/>
              <w:topLinePunct w:val="0"/>
              <w:autoSpaceDE/>
              <w:autoSpaceDN/>
              <w:bidi w:val="0"/>
              <w:adjustRightInd/>
              <w:snapToGrid/>
              <w:spacing w:before="120" w:after="60" w:line="360" w:lineRule="auto"/>
              <w:jc w:val="both"/>
              <w:textAlignment w:val="auto"/>
              <w:outlineLvl w:val="2"/>
              <w:rPr>
                <w:rFonts w:hint="default" w:ascii="Times New Roman" w:hAnsi="Times New Roman" w:eastAsia="黑体" w:cs="Times New Roman"/>
                <w:color w:val="auto"/>
                <w:spacing w:val="4"/>
                <w:kern w:val="2"/>
                <w:sz w:val="24"/>
                <w:szCs w:val="24"/>
                <w:highlight w:val="none"/>
                <w:lang w:val="en-US" w:eastAsia="zh-CN"/>
              </w:rPr>
            </w:pPr>
            <w:r>
              <w:rPr>
                <w:rFonts w:hint="default" w:ascii="Times New Roman" w:hAnsi="Times New Roman" w:eastAsia="黑体" w:cs="Times New Roman"/>
                <w:color w:val="auto"/>
                <w:spacing w:val="4"/>
                <w:kern w:val="2"/>
                <w:sz w:val="24"/>
                <w:szCs w:val="24"/>
                <w:highlight w:val="none"/>
                <w:lang w:val="en-US" w:eastAsia="zh-CN"/>
              </w:rPr>
              <w:t>七、环境风险影响分析</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1、危险物质</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根据《建设项目环境风险评价技术导则》（HJ169-2018），项目运营中所涉及的环境风险物质主要是</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根据《建设项目环境风险评价技术导则》（HJ169-2018）中附录C中Q值公式：</w:t>
            </w:r>
          </w:p>
          <w:p>
            <w:pPr>
              <w:pStyle w:val="83"/>
              <w:ind w:firstLine="480"/>
              <w:jc w:val="center"/>
              <w:rPr>
                <w:rFonts w:hint="default" w:ascii="Times New Roman" w:hAnsi="Times New Roman" w:cs="Times New Roman"/>
                <w:color w:val="auto"/>
                <w:lang w:val="zh-CN"/>
              </w:rPr>
            </w:pPr>
            <w:r>
              <w:rPr>
                <w:rFonts w:hint="default" w:ascii="Times New Roman" w:hAnsi="Times New Roman" w:cs="Times New Roman"/>
                <w:color w:val="auto"/>
                <w:lang w:val="zh-CN"/>
              </w:rPr>
              <w:object>
                <v:shape id="_x0000_i1028" o:spt="75" type="#_x0000_t75" style="height:36pt;width:106.4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式中：</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—每种危险物质的最大存在总量，t；</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—各种危险物质的临界量，t</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当Q&lt;1时，该项目环境风险潜势为I。</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当Q≥1时，将Q值划分为：（1）1≤Q&lt;10；（2）10≤Q&lt;100；（3）Q≥100。</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eastAsia="zh-CN"/>
              </w:rPr>
              <w:t>本项目</w:t>
            </w:r>
            <w:r>
              <w:rPr>
                <w:rFonts w:hint="default" w:ascii="Times New Roman" w:hAnsi="Times New Roman" w:cs="Times New Roman"/>
                <w:color w:val="auto"/>
                <w:lang w:val="zh-CN"/>
              </w:rPr>
              <w:t>重点关注危险物质Q值计算结果见表</w:t>
            </w:r>
            <w:r>
              <w:rPr>
                <w:rFonts w:hint="default" w:ascii="Times New Roman" w:hAnsi="Times New Roman" w:cs="Times New Roman"/>
                <w:color w:val="auto"/>
                <w:lang w:val="zh-CN" w:eastAsia="zh-CN"/>
              </w:rPr>
              <w:t>4-1</w:t>
            </w:r>
            <w:r>
              <w:rPr>
                <w:rFonts w:hint="default" w:ascii="Times New Roman" w:hAnsi="Times New Roman" w:cs="Times New Roman"/>
                <w:color w:val="auto"/>
                <w:lang w:val="en-US" w:eastAsia="zh-CN"/>
              </w:rPr>
              <w:t>5</w:t>
            </w:r>
            <w:r>
              <w:rPr>
                <w:rFonts w:hint="default" w:ascii="Times New Roman" w:hAnsi="Times New Roman" w:cs="Times New Roman"/>
                <w:color w:val="auto"/>
                <w:lang w:val="zh-CN"/>
              </w:rPr>
              <w:t>。</w:t>
            </w:r>
          </w:p>
          <w:p>
            <w:pPr>
              <w:pStyle w:val="48"/>
              <w:spacing w:before="0" w:after="0" w:line="288" w:lineRule="auto"/>
              <w:rPr>
                <w:rFonts w:hint="default" w:ascii="Times New Roman" w:hAnsi="Times New Roman" w:eastAsia="黑体" w:cs="Times New Roman"/>
                <w:color w:val="auto"/>
                <w:szCs w:val="24"/>
                <w:lang w:val="zh-CN"/>
              </w:rPr>
            </w:pPr>
          </w:p>
          <w:p>
            <w:pPr>
              <w:pStyle w:val="48"/>
              <w:spacing w:before="0" w:after="0" w:line="288" w:lineRule="auto"/>
              <w:rPr>
                <w:rFonts w:hint="default" w:ascii="Times New Roman" w:hAnsi="Times New Roman" w:eastAsia="黑体" w:cs="Times New Roman"/>
                <w:color w:val="auto"/>
                <w:szCs w:val="24"/>
                <w:lang w:val="zh-CN"/>
              </w:rPr>
            </w:pP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w:t>
            </w:r>
            <w:r>
              <w:rPr>
                <w:rFonts w:hint="default" w:ascii="Times New Roman" w:hAnsi="Times New Roman" w:eastAsia="黑体" w:cs="Times New Roman"/>
                <w:color w:val="auto"/>
                <w:szCs w:val="24"/>
                <w:lang w:val="zh-CN" w:eastAsia="zh-CN"/>
              </w:rPr>
              <w:t>4-1</w:t>
            </w:r>
            <w:r>
              <w:rPr>
                <w:rFonts w:hint="default" w:ascii="Times New Roman" w:hAnsi="Times New Roman" w:eastAsia="黑体" w:cs="Times New Roman"/>
                <w:color w:val="auto"/>
                <w:szCs w:val="24"/>
                <w:lang w:val="en-US" w:eastAsia="zh-CN"/>
              </w:rPr>
              <w:t>5</w:t>
            </w:r>
            <w:r>
              <w:rPr>
                <w:rFonts w:hint="default" w:ascii="Times New Roman" w:hAnsi="Times New Roman" w:eastAsia="黑体" w:cs="Times New Roman"/>
                <w:color w:val="auto"/>
                <w:szCs w:val="24"/>
                <w:lang w:val="zh-CN"/>
              </w:rPr>
              <w:t xml:space="preserve">  本项目</w:t>
            </w:r>
            <w:r>
              <w:rPr>
                <w:rFonts w:hint="default" w:ascii="Times New Roman" w:hAnsi="Times New Roman" w:eastAsia="黑体" w:cs="Times New Roman"/>
                <w:color w:val="auto"/>
                <w:szCs w:val="24"/>
                <w:lang w:val="zh-CN" w:eastAsia="zh-CN"/>
              </w:rPr>
              <w:t>危险</w:t>
            </w:r>
            <w:r>
              <w:rPr>
                <w:rFonts w:hint="default" w:ascii="Times New Roman" w:hAnsi="Times New Roman" w:eastAsia="黑体" w:cs="Times New Roman"/>
                <w:color w:val="auto"/>
                <w:szCs w:val="24"/>
                <w:lang w:val="zh-CN"/>
              </w:rPr>
              <w:t>物质Q值计算结果一览表</w:t>
            </w:r>
          </w:p>
          <w:tbl>
            <w:tblPr>
              <w:tblStyle w:val="23"/>
              <w:tblW w:w="83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82"/>
              <w:gridCol w:w="1132"/>
              <w:gridCol w:w="1950"/>
              <w:gridCol w:w="1323"/>
              <w:gridCol w:w="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9"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危险物质名称</w:t>
                  </w:r>
                </w:p>
              </w:tc>
              <w:tc>
                <w:tcPr>
                  <w:tcW w:w="1582"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主要风险物质</w:t>
                  </w:r>
                </w:p>
              </w:tc>
              <w:tc>
                <w:tcPr>
                  <w:tcW w:w="1132"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rPr>
                    <w:t>CAS号</w:t>
                  </w:r>
                </w:p>
              </w:tc>
              <w:tc>
                <w:tcPr>
                  <w:tcW w:w="1950"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最大存在总量q/t</w:t>
                  </w:r>
                </w:p>
              </w:tc>
              <w:tc>
                <w:tcPr>
                  <w:tcW w:w="1323"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临界量Q/t</w:t>
                  </w:r>
                </w:p>
              </w:tc>
              <w:tc>
                <w:tcPr>
                  <w:tcW w:w="830"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q/Q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tcBorders>
                    <w:tl2br w:val="nil"/>
                    <w:tr2bl w:val="nil"/>
                  </w:tcBorders>
                  <w:noWrap w:val="0"/>
                  <w:vAlign w:val="center"/>
                </w:tcPr>
                <w:p>
                  <w:pPr>
                    <w:pStyle w:val="59"/>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eastAsia="zh-CN"/>
                    </w:rPr>
                    <w:t>废机油</w:t>
                  </w:r>
                </w:p>
              </w:tc>
              <w:tc>
                <w:tcPr>
                  <w:tcW w:w="1582"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矿物油</w:t>
                  </w:r>
                </w:p>
              </w:tc>
              <w:tc>
                <w:tcPr>
                  <w:tcW w:w="1132"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p>
              </w:tc>
              <w:tc>
                <w:tcPr>
                  <w:tcW w:w="1950" w:type="dxa"/>
                  <w:tcBorders>
                    <w:tl2br w:val="nil"/>
                    <w:tr2bl w:val="nil"/>
                  </w:tcBorders>
                  <w:noWrap w:val="0"/>
                  <w:vAlign w:val="center"/>
                </w:tcPr>
                <w:p>
                  <w:pPr>
                    <w:pStyle w:val="59"/>
                    <w:jc w:val="center"/>
                    <w:rPr>
                      <w:rFonts w:hint="default" w:ascii="Times New Roman" w:hAnsi="Times New Roman" w:eastAsia="宋体" w:cs="Times New Roman"/>
                      <w:color w:val="auto"/>
                      <w:lang w:val="en-US" w:eastAsia="zh-CN"/>
                    </w:rPr>
                  </w:pPr>
                  <w:r>
                    <w:rPr>
                      <w:rFonts w:hint="eastAsia" w:eastAsia="宋体" w:cs="Times New Roman"/>
                      <w:color w:val="auto"/>
                      <w:lang w:val="en-US" w:eastAsia="zh-CN"/>
                    </w:rPr>
                    <w:t>0.05</w:t>
                  </w:r>
                </w:p>
              </w:tc>
              <w:tc>
                <w:tcPr>
                  <w:tcW w:w="1323"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2500</w:t>
                  </w:r>
                </w:p>
              </w:tc>
              <w:tc>
                <w:tcPr>
                  <w:tcW w:w="830" w:type="dxa"/>
                  <w:tcBorders>
                    <w:tl2br w:val="nil"/>
                    <w:tr2bl w:val="nil"/>
                  </w:tcBorders>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6" w:type="dxa"/>
                  <w:gridSpan w:val="5"/>
                  <w:tcBorders>
                    <w:tl2br w:val="nil"/>
                    <w:tr2bl w:val="nil"/>
                  </w:tcBorders>
                  <w:vAlign w:val="center"/>
                </w:tcPr>
                <w:p>
                  <w:pPr>
                    <w:pStyle w:val="59"/>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本项目Q值Σ</w:t>
                  </w:r>
                </w:p>
              </w:tc>
              <w:tc>
                <w:tcPr>
                  <w:tcW w:w="830"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0.0000</w:t>
                  </w:r>
                  <w:r>
                    <w:rPr>
                      <w:rFonts w:hint="eastAsia" w:eastAsia="宋体" w:cs="Times New Roman"/>
                      <w:color w:val="auto"/>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6" w:type="dxa"/>
                  <w:gridSpan w:val="6"/>
                  <w:tcBorders>
                    <w:tl2br w:val="nil"/>
                    <w:tr2bl w:val="nil"/>
                  </w:tcBorders>
                  <w:vAlign w:val="center"/>
                </w:tcPr>
                <w:p>
                  <w:pPr>
                    <w:pStyle w:val="59"/>
                    <w:jc w:val="left"/>
                    <w:rPr>
                      <w:rFonts w:hint="default" w:ascii="Times New Roman" w:hAnsi="Times New Roman" w:cs="Times New Roman"/>
                      <w:bCs/>
                      <w:color w:val="auto"/>
                      <w:kern w:val="24"/>
                      <w:szCs w:val="24"/>
                      <w:lang w:val="zh-CN"/>
                    </w:rPr>
                  </w:pPr>
                  <w:r>
                    <w:rPr>
                      <w:rFonts w:hint="default" w:ascii="Times New Roman" w:hAnsi="Times New Roman" w:eastAsia="宋体" w:cs="Times New Roman"/>
                      <w:color w:val="auto"/>
                      <w:lang w:val="zh-CN"/>
                    </w:rPr>
                    <w:t>注：①本项目涉及危险物质临界量取值依据《建设项目环境风险评价技术导则》(HJ169-2018)中附录B表B.1中相关数据；</w:t>
                  </w:r>
                </w:p>
              </w:tc>
            </w:tr>
          </w:tbl>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由上可知，项目Q=</w:t>
            </w:r>
            <w:r>
              <w:rPr>
                <w:rFonts w:hint="default" w:ascii="Times New Roman" w:hAnsi="Times New Roman" w:cs="Times New Roman"/>
                <w:color w:val="auto"/>
                <w:lang w:val="zh-CN" w:eastAsia="zh-CN"/>
              </w:rPr>
              <w:t>0.00002</w:t>
            </w:r>
            <w:r>
              <w:rPr>
                <w:rFonts w:hint="default" w:ascii="Times New Roman" w:hAnsi="Times New Roman" w:cs="Times New Roman"/>
                <w:color w:val="auto"/>
                <w:lang w:val="zh-CN"/>
              </w:rPr>
              <w:t>，Q&lt;1。</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根据上表，本项目风险物质最大储存量</w:t>
            </w:r>
            <w:r>
              <w:rPr>
                <w:rFonts w:hint="eastAsia" w:cs="Times New Roman"/>
                <w:color w:val="auto"/>
                <w:lang w:val="zh-CN"/>
              </w:rPr>
              <w:t>未</w:t>
            </w:r>
            <w:r>
              <w:rPr>
                <w:rFonts w:hint="default" w:ascii="Times New Roman" w:hAnsi="Times New Roman" w:cs="Times New Roman"/>
                <w:color w:val="auto"/>
                <w:lang w:val="zh-CN"/>
              </w:rPr>
              <w:t>超过临界量，根据《建设项目环境影响报告表编制技术指南（污染影响类）（试行）》</w:t>
            </w:r>
            <w:r>
              <w:rPr>
                <w:rFonts w:hint="eastAsia" w:cs="Times New Roman"/>
                <w:color w:val="auto"/>
                <w:lang w:val="zh-CN"/>
              </w:rPr>
              <w:t>无需</w:t>
            </w:r>
            <w:r>
              <w:rPr>
                <w:rFonts w:hint="default" w:ascii="Times New Roman" w:hAnsi="Times New Roman" w:cs="Times New Roman"/>
                <w:color w:val="auto"/>
                <w:lang w:val="zh-CN"/>
              </w:rPr>
              <w:t>设置环境风险专项评价，只需进行简单分析。</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2、理化性质</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本项目涉及的危险物质为</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，其性质及危险特性详见</w:t>
            </w:r>
            <w:r>
              <w:rPr>
                <w:rFonts w:hint="default" w:ascii="Times New Roman" w:hAnsi="Times New Roman" w:cs="Times New Roman"/>
                <w:color w:val="auto"/>
                <w:lang w:val="zh-CN" w:eastAsia="zh-CN"/>
              </w:rPr>
              <w:t>下</w:t>
            </w:r>
            <w:r>
              <w:rPr>
                <w:rFonts w:hint="default" w:ascii="Times New Roman" w:hAnsi="Times New Roman" w:cs="Times New Roman"/>
                <w:color w:val="auto"/>
                <w:lang w:val="zh-CN"/>
              </w:rPr>
              <w:t>表。</w:t>
            </w: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16</w:t>
            </w:r>
            <w:r>
              <w:rPr>
                <w:rFonts w:hint="default" w:ascii="Times New Roman" w:hAnsi="Times New Roman" w:eastAsia="黑体" w:cs="Times New Roman"/>
                <w:color w:val="auto"/>
                <w:szCs w:val="24"/>
                <w:lang w:val="zh-CN" w:eastAsia="zh-CN"/>
              </w:rPr>
              <w:t xml:space="preserve"> </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zh-CN" w:eastAsia="zh-CN"/>
              </w:rPr>
              <w:t>润滑油（机油）理化性质一览表</w:t>
            </w:r>
          </w:p>
          <w:tbl>
            <w:tblPr>
              <w:tblStyle w:val="2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37"/>
              <w:gridCol w:w="1044"/>
              <w:gridCol w:w="1122"/>
              <w:gridCol w:w="963"/>
              <w:gridCol w:w="2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标识</w:t>
                  </w: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中文名：润滑油</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英文名：lubricating  oil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分子式：/</w:t>
                  </w:r>
                </w:p>
              </w:tc>
              <w:tc>
                <w:tcPr>
                  <w:tcW w:w="1262"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分子量：230-500</w:t>
                  </w:r>
                </w:p>
              </w:tc>
              <w:tc>
                <w:tcPr>
                  <w:tcW w:w="1478"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危规号：/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理化性质</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性状：油状液体，淡黄色至褐色，无气味或略带异味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溶解性：可混溶与醇类、乙醚等多数有机溶剂。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172"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熔点（℃）：/</w:t>
                  </w:r>
                </w:p>
              </w:tc>
              <w:tc>
                <w:tcPr>
                  <w:tcW w:w="1310"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沸点（℃）：/</w:t>
                  </w:r>
                </w:p>
              </w:tc>
              <w:tc>
                <w:tcPr>
                  <w:tcW w:w="2062"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相对密度（水＝1）：﹤1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2483"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燃烧热（KJ/mol）：-723</w:t>
                  </w:r>
                </w:p>
              </w:tc>
              <w:tc>
                <w:tcPr>
                  <w:tcW w:w="2062"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饱和蒸汽压（KPa）：12.3（20℃）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燃烧爆炸危险性</w:t>
                  </w: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燃烧性：易燃</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燃烧分解产物：一氧化碳、二氧化碳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闪点（℃）：140</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自然温度（℃）：248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引燃温度（℃）：464</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禁忌物：强氧化剂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危险特性：易燃。遇明火、高热能引起燃烧爆炸。与氧化剂接触发生化学反应或引起燃烧。在火场中，受热的容器有爆炸危险。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灭火方法：泡沫、二氧化碳、1211灭火剂、砂土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毒性</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毒性低微，对皮肤黏膜有刺激作用，某些防锈剂可引起接触性过敏性皮炎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对人体危害</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侵入途径：吸入、食入</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急性吸入可出现乏力、头晕、头痛、恶心，严重者可引起油脂性肺炎。慢接触者暴露部位可发生油性痤疮和接触性皮炎。可引起神经衰弱综合征，呼吸道和眼刺激症状及慢性油脂性肺炎。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急救</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皮肤接触：脱去污染的衣物，用大量流动清水冲洗，就医</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眼睛接触：提起眼睑，用流动清水或生理盐水冲洗。就医。</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吸入：迅速脱离现场至空气新鲜处。保持呼吸道通畅。如呼吸困难，给输氧。如呼吸停止，立即进行人工呼吸。就医。</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食入：饮足量温水，催吐。就医。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防护</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呼吸系统防护：可能接触其蒸气时，应该佩戴过滤式防毒面罩(半面罩)。紧急事态抢救或撤离时，建议佩戴空气呼吸器。 眼睛防护：戴化学安全防护眼镜。 身体防护：穿防静电工作服。 手防护：戴橡胶手套。 其它：工作现场禁止吸烟、进食和饮水。工作毕，淋浴更衣。实行就业前和定期的体检。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泄漏处理</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迅速撤离泄漏污染区人员至安全区，并进行隔离，严格限制出入。切断火源。建议应急处理人员戴自给正压式呼吸器，穿防毒服。不要直接接触泄漏物。尽可能切断泄漏源，防止进入下水道、排洪沟等限制性空间。小量泄漏：用砂土或其它不燃材料吸附或吸收。也可以用大量水冲洗，洗液稀释后放入废水系统。大量泄漏：构筑围堤或挖坑收容；用泡沫覆盖，降低蒸气灾害。用防爆泵转移至槽车或专用收集器内。回收或运至废物处理场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贮运</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危险类别：3</w:t>
                  </w:r>
                  <w:r>
                    <w:rPr>
                      <w:rFonts w:hint="eastAsia" w:eastAsia="宋体" w:cs="Times New Roman"/>
                      <w:color w:val="auto"/>
                      <w:lang w:val="zh-CN" w:eastAsia="zh-CN"/>
                    </w:rPr>
                    <w:t>；</w:t>
                  </w:r>
                  <w:r>
                    <w:rPr>
                      <w:rFonts w:hint="default" w:ascii="Times New Roman" w:hAnsi="Times New Roman" w:eastAsia="宋体" w:cs="Times New Roman"/>
                      <w:color w:val="auto"/>
                      <w:lang w:val="zh-CN" w:eastAsia="zh-CN"/>
                    </w:rPr>
                    <w:t>UN编号：1230</w:t>
                  </w:r>
                  <w:r>
                    <w:rPr>
                      <w:rFonts w:hint="eastAsia" w:eastAsia="宋体" w:cs="Times New Roman"/>
                      <w:color w:val="auto"/>
                      <w:lang w:val="zh-CN" w:eastAsia="zh-CN"/>
                    </w:rPr>
                    <w:t>；</w:t>
                  </w:r>
                  <w:r>
                    <w:rPr>
                      <w:rFonts w:hint="default" w:ascii="Times New Roman" w:hAnsi="Times New Roman" w:eastAsia="宋体" w:cs="Times New Roman"/>
                      <w:color w:val="auto"/>
                      <w:lang w:val="zh-CN" w:eastAsia="zh-CN"/>
                    </w:rPr>
                    <w:t>包装等级：Ⅱ</w:t>
                  </w:r>
                  <w:r>
                    <w:rPr>
                      <w:rFonts w:hint="eastAsia" w:eastAsia="宋体" w:cs="Times New Roman"/>
                      <w:color w:val="auto"/>
                      <w:lang w:val="zh-CN" w:eastAsia="zh-CN"/>
                    </w:rPr>
                    <w:t>；</w:t>
                  </w:r>
                  <w:r>
                    <w:rPr>
                      <w:rFonts w:hint="default" w:ascii="Times New Roman" w:hAnsi="Times New Roman" w:eastAsia="宋体" w:cs="Times New Roman"/>
                      <w:color w:val="auto"/>
                      <w:lang w:val="zh-CN" w:eastAsia="zh-CN"/>
                    </w:rPr>
                    <w:t>包装方法：钢质气瓶</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储运条件：储存于阴凉、通风良好的专用库房内，远离火种、热源。库温不宜超过37℃，保持容器密封。应与氧化剂、酸类、碱金属等分开存放，切忌混储。采用防爆型照明、通风设施。禁止使用易产生火花的机械设备和工具。储区应备有泄漏应急处理设备和合适的收容材料。</w:t>
                  </w:r>
                </w:p>
              </w:tc>
            </w:tr>
          </w:tbl>
          <w:p>
            <w:pPr>
              <w:pStyle w:val="69"/>
              <w:spacing w:line="360" w:lineRule="auto"/>
              <w:ind w:firstLine="480"/>
              <w:rPr>
                <w:rFonts w:hint="default" w:ascii="Times New Roman" w:hAnsi="Times New Roman" w:cs="Times New Roman"/>
                <w:b/>
                <w:bCs w:val="0"/>
                <w:color w:val="auto"/>
                <w:kern w:val="24"/>
                <w:szCs w:val="24"/>
                <w:lang w:val="zh-CN" w:eastAsia="zh-CN"/>
              </w:rPr>
            </w:pPr>
            <w:r>
              <w:rPr>
                <w:rFonts w:hint="default" w:ascii="Times New Roman" w:hAnsi="Times New Roman" w:cs="Times New Roman"/>
                <w:b/>
                <w:bCs w:val="0"/>
                <w:color w:val="auto"/>
                <w:kern w:val="24"/>
                <w:szCs w:val="24"/>
                <w:lang w:val="zh-CN" w:eastAsia="zh-CN"/>
              </w:rPr>
              <w:t>3、风险源分布及危险性识别</w:t>
            </w:r>
          </w:p>
          <w:p>
            <w:pPr>
              <w:pStyle w:val="69"/>
              <w:spacing w:line="360" w:lineRule="auto"/>
              <w:ind w:firstLine="480"/>
              <w:rPr>
                <w:rFonts w:hint="default" w:ascii="Times New Roman" w:hAnsi="Times New Roman" w:cs="Times New Roman"/>
                <w:bCs/>
                <w:color w:val="auto"/>
                <w:kern w:val="24"/>
                <w:szCs w:val="24"/>
                <w:lang w:val="zh-CN"/>
              </w:rPr>
            </w:pPr>
            <w:r>
              <w:rPr>
                <w:rFonts w:hint="default" w:ascii="Times New Roman" w:hAnsi="Times New Roman" w:cs="Times New Roman"/>
                <w:bCs/>
                <w:color w:val="auto"/>
                <w:kern w:val="24"/>
                <w:szCs w:val="24"/>
                <w:lang w:val="zh-CN"/>
              </w:rPr>
              <w:t>本项目</w:t>
            </w:r>
            <w:r>
              <w:rPr>
                <w:rFonts w:hint="default" w:ascii="Times New Roman" w:hAnsi="Times New Roman" w:cs="Times New Roman"/>
                <w:bCs/>
                <w:color w:val="auto"/>
                <w:kern w:val="24"/>
                <w:szCs w:val="24"/>
                <w:lang w:val="zh-CN" w:eastAsia="zh-CN"/>
              </w:rPr>
              <w:t>风险源分布及危险识别</w:t>
            </w:r>
            <w:r>
              <w:rPr>
                <w:rFonts w:hint="default" w:ascii="Times New Roman" w:hAnsi="Times New Roman" w:cs="Times New Roman"/>
                <w:bCs/>
                <w:color w:val="auto"/>
                <w:kern w:val="24"/>
                <w:szCs w:val="24"/>
                <w:lang w:val="zh-CN"/>
              </w:rPr>
              <w:t>详见表4-</w:t>
            </w:r>
            <w:r>
              <w:rPr>
                <w:rFonts w:hint="default" w:ascii="Times New Roman" w:hAnsi="Times New Roman" w:cs="Times New Roman"/>
                <w:bCs/>
                <w:color w:val="auto"/>
                <w:kern w:val="24"/>
                <w:szCs w:val="24"/>
                <w:lang w:val="en-US" w:eastAsia="zh-CN"/>
              </w:rPr>
              <w:t>17</w:t>
            </w:r>
            <w:r>
              <w:rPr>
                <w:rFonts w:hint="default" w:ascii="Times New Roman" w:hAnsi="Times New Roman" w:cs="Times New Roman"/>
                <w:bCs/>
                <w:color w:val="auto"/>
                <w:kern w:val="24"/>
                <w:szCs w:val="24"/>
                <w:lang w:val="zh-CN"/>
              </w:rPr>
              <w:t>。</w:t>
            </w: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17</w:t>
            </w:r>
            <w:r>
              <w:rPr>
                <w:rFonts w:hint="default" w:ascii="Times New Roman" w:hAnsi="Times New Roman" w:eastAsia="黑体" w:cs="Times New Roman"/>
                <w:color w:val="auto"/>
                <w:szCs w:val="24"/>
                <w:lang w:val="zh-CN"/>
              </w:rPr>
              <w:t xml:space="preserve">  项目</w:t>
            </w:r>
            <w:r>
              <w:rPr>
                <w:rFonts w:hint="default" w:ascii="Times New Roman" w:hAnsi="Times New Roman" w:eastAsia="黑体" w:cs="Times New Roman"/>
                <w:color w:val="auto"/>
                <w:szCs w:val="24"/>
                <w:lang w:val="zh-CN" w:eastAsia="zh-CN"/>
              </w:rPr>
              <w:t>风险源分布及</w:t>
            </w:r>
            <w:r>
              <w:rPr>
                <w:rFonts w:hint="default" w:ascii="Times New Roman" w:hAnsi="Times New Roman" w:eastAsia="黑体" w:cs="Times New Roman"/>
                <w:color w:val="auto"/>
                <w:szCs w:val="24"/>
                <w:lang w:val="zh-CN"/>
              </w:rPr>
              <w:t>危险因素识别表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009"/>
              <w:gridCol w:w="1377"/>
              <w:gridCol w:w="2237"/>
              <w:gridCol w:w="2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物质</w:t>
                  </w:r>
                </w:p>
              </w:tc>
              <w:tc>
                <w:tcPr>
                  <w:tcW w:w="1009"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方式</w:t>
                  </w:r>
                </w:p>
              </w:tc>
              <w:tc>
                <w:tcPr>
                  <w:tcW w:w="1377"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分布情况</w:t>
                  </w:r>
                </w:p>
              </w:tc>
              <w:tc>
                <w:tcPr>
                  <w:tcW w:w="2237"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原因及危险因素</w:t>
                  </w:r>
                </w:p>
              </w:tc>
              <w:tc>
                <w:tcPr>
                  <w:tcW w:w="2439"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危害性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废机油</w:t>
                  </w:r>
                </w:p>
              </w:tc>
              <w:tc>
                <w:tcPr>
                  <w:tcW w:w="1009"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桶装</w:t>
                  </w:r>
                </w:p>
              </w:tc>
              <w:tc>
                <w:tcPr>
                  <w:tcW w:w="1377"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危废贮存点</w:t>
                  </w:r>
                </w:p>
              </w:tc>
              <w:tc>
                <w:tcPr>
                  <w:tcW w:w="2237"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桶体破裂泄漏或接近热源发生火灾</w:t>
                  </w:r>
                </w:p>
              </w:tc>
              <w:tc>
                <w:tcPr>
                  <w:tcW w:w="2439"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造成人员伤亡、环境污染及经济损失</w:t>
                  </w:r>
                </w:p>
              </w:tc>
            </w:tr>
          </w:tbl>
          <w:p>
            <w:pPr>
              <w:pStyle w:val="83"/>
              <w:ind w:firstLine="480"/>
              <w:rPr>
                <w:rFonts w:hint="default" w:ascii="Times New Roman" w:hAnsi="Times New Roman" w:cs="Times New Roman"/>
                <w:b/>
                <w:bCs/>
                <w:color w:val="auto"/>
                <w:lang w:val="zh-CN"/>
              </w:rPr>
            </w:pPr>
            <w:bookmarkStart w:id="29" w:name="_Toc8421"/>
            <w:r>
              <w:rPr>
                <w:rFonts w:hint="default" w:ascii="Times New Roman" w:hAnsi="Times New Roman" w:cs="Times New Roman"/>
                <w:b/>
                <w:bCs/>
                <w:color w:val="auto"/>
                <w:lang w:val="zh-CN" w:eastAsia="zh-CN"/>
              </w:rPr>
              <w:t>4、</w:t>
            </w:r>
            <w:r>
              <w:rPr>
                <w:rFonts w:hint="default" w:ascii="Times New Roman" w:hAnsi="Times New Roman" w:cs="Times New Roman"/>
                <w:b/>
                <w:bCs/>
                <w:color w:val="auto"/>
                <w:lang w:val="zh-CN"/>
              </w:rPr>
              <w:t>危险物质</w:t>
            </w:r>
            <w:bookmarkEnd w:id="29"/>
            <w:r>
              <w:rPr>
                <w:rFonts w:hint="default" w:ascii="Times New Roman" w:hAnsi="Times New Roman" w:cs="Times New Roman"/>
                <w:b/>
                <w:bCs/>
                <w:color w:val="auto"/>
                <w:lang w:val="zh-CN"/>
              </w:rPr>
              <w:t>污染影响途径</w:t>
            </w:r>
          </w:p>
          <w:p>
            <w:pPr>
              <w:pStyle w:val="83"/>
              <w:ind w:firstLine="480"/>
              <w:rPr>
                <w:rFonts w:hint="default" w:ascii="Times New Roman" w:hAnsi="Times New Roman" w:cs="Times New Roman"/>
                <w:color w:val="auto"/>
                <w:lang w:val="zh-CN" w:eastAsia="zh-CN"/>
              </w:rPr>
            </w:pPr>
            <w:r>
              <w:rPr>
                <w:rFonts w:hint="default" w:ascii="Times New Roman" w:hAnsi="Times New Roman" w:cs="Times New Roman"/>
                <w:color w:val="auto"/>
                <w:lang w:val="zh-CN" w:eastAsia="zh-CN"/>
              </w:rPr>
              <w:t>本</w:t>
            </w:r>
            <w:r>
              <w:rPr>
                <w:rFonts w:hint="default" w:ascii="Times New Roman" w:hAnsi="Times New Roman" w:cs="Times New Roman"/>
                <w:color w:val="auto"/>
                <w:lang w:val="zh-CN"/>
              </w:rPr>
              <w:t>项目</w:t>
            </w:r>
            <w:r>
              <w:rPr>
                <w:rFonts w:hint="default" w:ascii="Times New Roman" w:hAnsi="Times New Roman" w:cs="Times New Roman"/>
                <w:color w:val="auto"/>
                <w:lang w:val="zh-CN" w:eastAsia="zh-CN"/>
              </w:rPr>
              <w:t>废机油发生泄漏会导致挥发性物质进行大气环境对其产生污染影响，同时由于泄漏或操作不当可能引发火灾或爆炸，</w:t>
            </w:r>
            <w:r>
              <w:rPr>
                <w:rFonts w:hint="default" w:ascii="Times New Roman" w:hAnsi="Times New Roman" w:cs="Times New Roman"/>
                <w:color w:val="auto"/>
                <w:lang w:val="zh-CN"/>
              </w:rPr>
              <w:t>发生火灾</w:t>
            </w:r>
            <w:r>
              <w:rPr>
                <w:rFonts w:hint="default" w:ascii="Times New Roman" w:hAnsi="Times New Roman" w:cs="Times New Roman"/>
                <w:color w:val="auto"/>
                <w:lang w:val="zh-CN" w:eastAsia="zh-CN"/>
              </w:rPr>
              <w:t>或爆炸</w:t>
            </w:r>
            <w:r>
              <w:rPr>
                <w:rFonts w:hint="default" w:ascii="Times New Roman" w:hAnsi="Times New Roman" w:cs="Times New Roman"/>
                <w:color w:val="auto"/>
                <w:lang w:val="zh-CN"/>
              </w:rPr>
              <w:t>时伴生的CO、SO</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等废气污染物直接排放大气环境中造成大气污染。</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厂区内除了绿化用地以外，其它全部都是混凝土路面，基本没有直接裸露的土壤存在，因此，本项目发生物料泄漏时对厂界内的土壤影响有限，事故发生后及时控制并有效处置泄露物料，基本不会对厂界内的土壤造成严重污染。同时事故泄漏物料对厂区外部的土壤污染更低，其对土壤的污染主要由泄漏到大气环境中的事故污染物沉降到土壤中引起的。但是一般事故泄漏污染物总量相对较少，并且多为短期事故，通过大气沉降对厂界外土壤造成污染的可能性很小。</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5、环境风险防范措施及应急要求</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项目废机油贮存于</w:t>
            </w:r>
            <w:r>
              <w:rPr>
                <w:rFonts w:hint="eastAsia" w:cs="Times New Roman"/>
                <w:color w:val="auto"/>
                <w:highlight w:val="none"/>
                <w:lang w:val="en-US" w:eastAsia="zh-CN"/>
              </w:rPr>
              <w:t>有机肥加工车间</w:t>
            </w:r>
            <w:r>
              <w:rPr>
                <w:rFonts w:hint="default" w:ascii="Times New Roman" w:hAnsi="Times New Roman" w:cs="Times New Roman"/>
                <w:color w:val="auto"/>
                <w:lang w:val="en-US" w:eastAsia="zh-CN"/>
              </w:rPr>
              <w:t>内</w:t>
            </w:r>
            <w:r>
              <w:rPr>
                <w:rFonts w:hint="default" w:ascii="Times New Roman" w:hAnsi="Times New Roman" w:cs="Times New Roman"/>
                <w:color w:val="auto"/>
                <w:lang w:val="zh-CN" w:eastAsia="zh-CN"/>
              </w:rPr>
              <w:t>危废贮存点</w:t>
            </w:r>
            <w:r>
              <w:rPr>
                <w:rFonts w:hint="default" w:ascii="Times New Roman" w:hAnsi="Times New Roman" w:cs="Times New Roman"/>
                <w:color w:val="auto"/>
                <w:lang w:val="zh-CN"/>
              </w:rPr>
              <w:t>，</w:t>
            </w:r>
            <w:r>
              <w:rPr>
                <w:rFonts w:hint="default" w:ascii="Times New Roman" w:hAnsi="Times New Roman" w:cs="Times New Roman"/>
                <w:color w:val="auto"/>
                <w:lang w:val="zh-CN" w:eastAsia="zh-CN"/>
              </w:rPr>
              <w:t>对</w:t>
            </w:r>
            <w:r>
              <w:rPr>
                <w:rFonts w:hint="default" w:ascii="Times New Roman" w:hAnsi="Times New Roman" w:cs="Times New Roman"/>
                <w:color w:val="auto"/>
                <w:highlight w:val="none"/>
                <w:lang w:val="zh-CN" w:eastAsia="zh-CN"/>
              </w:rPr>
              <w:t>有机肥加工车间</w:t>
            </w:r>
            <w:r>
              <w:rPr>
                <w:rFonts w:hint="default" w:ascii="Times New Roman" w:hAnsi="Times New Roman" w:cs="Times New Roman"/>
                <w:color w:val="auto"/>
                <w:lang w:val="zh-CN"/>
              </w:rPr>
              <w:t>进行一般防渗，同时危废贮存点设置防渗托盘，危废废物经密闭桶收集后置于该防渗托盘上。另外</w:t>
            </w:r>
            <w:r>
              <w:rPr>
                <w:rFonts w:hint="eastAsia" w:cs="Times New Roman"/>
                <w:color w:val="auto"/>
                <w:lang w:val="zh-CN" w:eastAsia="zh-CN"/>
              </w:rPr>
              <w:t>有机肥加工车间</w:t>
            </w:r>
            <w:r>
              <w:rPr>
                <w:rFonts w:hint="default" w:ascii="Times New Roman" w:hAnsi="Times New Roman" w:cs="Times New Roman"/>
                <w:color w:val="auto"/>
                <w:lang w:val="zh-CN"/>
              </w:rPr>
              <w:t>避光照和热源，同时加强运营管理，发现泄露现象及时收集、处置。在采取有效的风险防范措施前提下，项目的环境风险在可控范围内。</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6、环境风险评价结论</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建设单位应按照本环评报告的要求落实风险防范措施，并纳入“三同时”验收管理，将项目可能产生的环境风险降到最低。在具体落实本环评报告提出的事故应急防范措施后，可以使风险事故对环境的危害得到有效控制，环境风险程度一般，事故风险可以控制在可接受的范围内。因此本建设项目符合风险防范措施的相关要求。</w:t>
            </w:r>
          </w:p>
          <w:p>
            <w:pPr>
              <w:pStyle w:val="83"/>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综上所述，项目在采取环评提出可行的环境风险防范措施前提下，风险水平可以接受，对周围环境影响可防可控。项目环境风险简单分析内容见表4-1</w:t>
            </w:r>
            <w:r>
              <w:rPr>
                <w:rFonts w:hint="default" w:ascii="Times New Roman" w:hAnsi="Times New Roman" w:cs="Times New Roman"/>
                <w:color w:val="auto"/>
                <w:lang w:val="en-US" w:eastAsia="zh-CN"/>
              </w:rPr>
              <w:t>8</w:t>
            </w:r>
            <w:r>
              <w:rPr>
                <w:rFonts w:hint="default" w:ascii="Times New Roman" w:hAnsi="Times New Roman" w:eastAsia="宋体" w:cs="Times New Roman"/>
                <w:color w:val="auto"/>
                <w:lang w:val="en-US" w:eastAsia="zh-CN"/>
              </w:rPr>
              <w:t>。</w:t>
            </w:r>
          </w:p>
          <w:p>
            <w:pPr>
              <w:pStyle w:val="48"/>
              <w:spacing w:before="0" w:after="0" w:line="288" w:lineRule="auto"/>
              <w:rPr>
                <w:rFonts w:hint="default" w:ascii="Times New Roman" w:hAnsi="Times New Roman" w:eastAsia="黑体" w:cs="Times New Roman"/>
                <w:color w:val="auto"/>
                <w:szCs w:val="24"/>
                <w:lang w:val="en-US" w:eastAsia="zh-CN"/>
              </w:rPr>
            </w:pPr>
            <w:r>
              <w:rPr>
                <w:rFonts w:hint="default" w:ascii="Times New Roman" w:hAnsi="Times New Roman" w:eastAsia="黑体" w:cs="Times New Roman"/>
                <w:color w:val="auto"/>
                <w:szCs w:val="24"/>
                <w:lang w:val="zh-CN"/>
              </w:rPr>
              <w:t>表4-1</w:t>
            </w:r>
            <w:r>
              <w:rPr>
                <w:rFonts w:hint="default" w:ascii="Times New Roman" w:hAnsi="Times New Roman" w:eastAsia="黑体" w:cs="Times New Roman"/>
                <w:color w:val="auto"/>
                <w:szCs w:val="24"/>
                <w:lang w:val="en-US" w:eastAsia="zh-CN"/>
              </w:rPr>
              <w:t>8</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en-US" w:eastAsia="zh-CN"/>
              </w:rPr>
              <w:t>环境风险简单分析一览表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66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建设项目名称</w:t>
                  </w:r>
                </w:p>
              </w:tc>
              <w:tc>
                <w:tcPr>
                  <w:tcW w:w="4026" w:type="pct"/>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宁夏回族自治区泾源县黄河流域农业面源污染综合治理项目（</w:t>
                  </w:r>
                  <w:r>
                    <w:rPr>
                      <w:rFonts w:hint="eastAsia" w:eastAsia="宋体" w:cs="Times New Roman"/>
                      <w:color w:val="auto"/>
                      <w:lang w:val="zh-CN" w:eastAsia="zh-CN"/>
                    </w:rPr>
                    <w:t>宁夏泾源县六盘山牧业有限责任公司有机肥加工厂项目</w:t>
                  </w:r>
                  <w:r>
                    <w:rPr>
                      <w:rFonts w:hint="default" w:ascii="Times New Roman" w:hAnsi="Times New Roman" w:eastAsia="宋体" w:cs="Times New Roman"/>
                      <w:color w:val="auto"/>
                      <w:lang w:val="zh-CN"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建设地点</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宁夏回族自治区固原市泾源县</w:t>
                  </w:r>
                  <w:r>
                    <w:rPr>
                      <w:rFonts w:hint="eastAsia" w:eastAsia="宋体" w:cs="Times New Roman"/>
                      <w:color w:val="auto"/>
                      <w:lang w:val="en-US" w:eastAsia="zh-CN"/>
                    </w:rPr>
                    <w:t>香水镇城关村八组宁夏泾源县六盘山牧业有限责任公司</w:t>
                  </w:r>
                  <w:r>
                    <w:rPr>
                      <w:rFonts w:hint="default" w:ascii="Times New Roman" w:hAnsi="Times New Roman" w:eastAsia="宋体" w:cs="Times New Roman"/>
                      <w:color w:val="auto"/>
                      <w:lang w:val="en-US" w:eastAsia="zh-CN"/>
                    </w:rPr>
                    <w:t>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地理坐标</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106度20分12.340秒，35度28分49.603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主要危险物质及分布</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主要危险物质为废机油，主要分布于危废贮存点。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环境影响途径及危害后果</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废机油发生泄露后发生漫流或渗漏对地表水、地下水及土壤环境造成污染。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风险防范措施要求</w:t>
                  </w:r>
                </w:p>
              </w:tc>
              <w:tc>
                <w:tcPr>
                  <w:tcW w:w="4026" w:type="pct"/>
                  <w:noWrap w:val="0"/>
                  <w:vAlign w:val="center"/>
                </w:tcPr>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大气环境防范措施：在发生事故时，应及时组织附近人群转移，以减少对人群的伤害；</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防渗措施：设置危废贮存点，地面防渗处理，增加防渗托盘等；</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防火防爆措施：从总平面布置、建/构筑物防火、电气防火、消防系统等方面采取防火、防爆控制措施；</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安全管理措施：建立安全管理制度，加强人员培训，预防安全事故发生。</w:t>
                  </w:r>
                </w:p>
              </w:tc>
            </w:tr>
          </w:tbl>
          <w:p>
            <w:pPr>
              <w:pStyle w:val="83"/>
              <w:ind w:firstLine="480"/>
              <w:rPr>
                <w:rFonts w:hint="default" w:ascii="Times New Roman" w:hAnsi="Times New Roman" w:cs="Times New Roman"/>
                <w:b/>
                <w:bCs/>
                <w:color w:val="auto"/>
                <w:spacing w:val="-10"/>
                <w:sz w:val="24"/>
                <w:szCs w:val="24"/>
              </w:rPr>
            </w:pPr>
          </w:p>
        </w:tc>
      </w:tr>
    </w:tbl>
    <w:p>
      <w:pPr>
        <w:adjustRightInd w:val="0"/>
        <w:snapToGrid w:val="0"/>
        <w:spacing w:line="360" w:lineRule="auto"/>
        <w:rPr>
          <w:rFonts w:hint="default" w:ascii="Times New Roman" w:hAnsi="Times New Roman" w:cs="Times New Roman"/>
          <w:b/>
          <w:color w:val="auto"/>
          <w:kern w:val="0"/>
          <w:sz w:val="28"/>
          <w:szCs w:val="28"/>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30" w:name="_Hlk54167917"/>
      <w:r>
        <w:rPr>
          <w:rFonts w:hint="default" w:ascii="Times New Roman" w:hAnsi="Times New Roman" w:eastAsia="黑体" w:cs="Times New Roman"/>
          <w:snapToGrid w:val="0"/>
          <w:color w:val="auto"/>
          <w:sz w:val="30"/>
          <w:szCs w:val="30"/>
        </w:rPr>
        <w:t>环境保护措施监督检查清单</w:t>
      </w:r>
      <w:bookmarkEnd w:id="30"/>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185"/>
        <w:gridCol w:w="1569"/>
        <w:gridCol w:w="2928"/>
        <w:gridCol w:w="25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86" w:type="pct"/>
            <w:tcBorders>
              <w:tl2br w:val="single" w:color="auto" w:sz="4" w:space="0"/>
            </w:tcBorders>
            <w:noWrap w:val="0"/>
            <w:vAlign w:val="center"/>
          </w:tcPr>
          <w:p>
            <w:pPr>
              <w:adjustRightInd w:val="0"/>
              <w:snapToGrid w:val="0"/>
              <w:ind w:leftChars="20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w:t>
            </w:r>
          </w:p>
          <w:p>
            <w:pPr>
              <w:adjustRightInd w:val="0"/>
              <w:snapToGrid w:val="0"/>
              <w:jc w:val="both"/>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要素</w:t>
            </w:r>
          </w:p>
        </w:tc>
        <w:tc>
          <w:tcPr>
            <w:tcW w:w="638"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排放口(编号、名称)/污染源</w:t>
            </w:r>
          </w:p>
        </w:tc>
        <w:tc>
          <w:tcPr>
            <w:tcW w:w="845"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污染物项目</w:t>
            </w:r>
          </w:p>
        </w:tc>
        <w:tc>
          <w:tcPr>
            <w:tcW w:w="1577"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环境保护措施</w:t>
            </w:r>
          </w:p>
        </w:tc>
        <w:tc>
          <w:tcPr>
            <w:tcW w:w="135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大气环境</w:t>
            </w:r>
          </w:p>
        </w:tc>
        <w:tc>
          <w:tcPr>
            <w:tcW w:w="638"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DA001</w:t>
            </w: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颗粒物</w:t>
            </w:r>
          </w:p>
        </w:tc>
        <w:tc>
          <w:tcPr>
            <w:tcW w:w="1577"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集气罩收集/微负压收集+生物除臭装置（生物滴滤）+布袋除尘器+15m高排气筒</w:t>
            </w:r>
          </w:p>
        </w:tc>
        <w:tc>
          <w:tcPr>
            <w:tcW w:w="1353"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cs="Times New Roman"/>
                <w:color w:val="auto"/>
                <w:sz w:val="21"/>
                <w:szCs w:val="21"/>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cs="Times New Roman"/>
                <w:color w:val="auto"/>
                <w:sz w:val="21"/>
                <w:szCs w:val="21"/>
              </w:rPr>
            </w:pPr>
          </w:p>
        </w:tc>
        <w:tc>
          <w:tcPr>
            <w:tcW w:w="845"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氨</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1353" w:type="pct"/>
            <w:vMerge w:val="restar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845"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硫化氢</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135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845"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臭气浓度</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135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vMerge w:val="continue"/>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p>
        </w:tc>
        <w:tc>
          <w:tcPr>
            <w:tcW w:w="638"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w:t>
            </w: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颗粒物</w:t>
            </w:r>
          </w:p>
        </w:tc>
        <w:tc>
          <w:tcPr>
            <w:tcW w:w="1577"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密闭厂房+喷洒除臭剂</w:t>
            </w:r>
          </w:p>
        </w:tc>
        <w:tc>
          <w:tcPr>
            <w:tcW w:w="1353"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cs="Times New Roman"/>
                <w:color w:val="auto"/>
                <w:sz w:val="21"/>
                <w:szCs w:val="21"/>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cs="Times New Roman"/>
                <w:color w:val="auto"/>
                <w:sz w:val="21"/>
                <w:szCs w:val="21"/>
              </w:rPr>
            </w:pP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氨</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1353" w:type="pct"/>
            <w:vMerge w:val="restar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硫化氢</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135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臭气浓度</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c>
          <w:tcPr>
            <w:tcW w:w="135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地表水环境</w:t>
            </w:r>
          </w:p>
        </w:tc>
        <w:tc>
          <w:tcPr>
            <w:tcW w:w="638"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t>
            </w:r>
          </w:p>
        </w:tc>
        <w:tc>
          <w:tcPr>
            <w:tcW w:w="845"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0"/>
                <w:sz w:val="21"/>
                <w:szCs w:val="21"/>
                <w:vertAlign w:val="baseline"/>
                <w:lang w:val="en-US" w:eastAsia="zh-CN" w:bidi="ar-SA"/>
              </w:rPr>
            </w:pPr>
            <w:r>
              <w:rPr>
                <w:rFonts w:hint="default" w:ascii="Times New Roman" w:hAnsi="Times New Roman" w:eastAsia="宋体" w:cs="Times New Roman"/>
                <w:color w:val="auto"/>
                <w:sz w:val="21"/>
                <w:szCs w:val="21"/>
                <w:lang w:val="en-US" w:eastAsia="zh-CN"/>
              </w:rPr>
              <w:t>COD、BOD</w:t>
            </w:r>
            <w:r>
              <w:rPr>
                <w:rFonts w:hint="default" w:ascii="Times New Roman" w:hAnsi="Times New Roman" w:eastAsia="宋体" w:cs="Times New Roman"/>
                <w:color w:val="auto"/>
                <w:sz w:val="21"/>
                <w:szCs w:val="21"/>
                <w:vertAlign w:val="subscript"/>
                <w:lang w:val="en-US" w:eastAsia="zh-CN"/>
              </w:rPr>
              <w:t>5</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-N、SS</w:t>
            </w:r>
          </w:p>
        </w:tc>
        <w:tc>
          <w:tcPr>
            <w:tcW w:w="157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rPr>
              <w:t>厂区</w:t>
            </w:r>
            <w:r>
              <w:rPr>
                <w:rFonts w:hint="default" w:ascii="Times New Roman" w:hAnsi="Times New Roman" w:cs="Times New Roman"/>
                <w:color w:val="auto"/>
                <w:kern w:val="0"/>
                <w:sz w:val="21"/>
                <w:szCs w:val="21"/>
                <w:highlight w:val="none"/>
                <w:lang w:eastAsia="zh-CN"/>
              </w:rPr>
              <w:t>设置防渗旱厕</w:t>
            </w:r>
            <w:r>
              <w:rPr>
                <w:rFonts w:hint="default" w:ascii="Times New Roman" w:hAnsi="Times New Roman" w:cs="Times New Roman"/>
                <w:color w:val="auto"/>
                <w:kern w:val="0"/>
                <w:sz w:val="21"/>
                <w:szCs w:val="21"/>
                <w:highlight w:val="none"/>
              </w:rPr>
              <w:t>，粪污经清掏后用于</w:t>
            </w:r>
            <w:r>
              <w:rPr>
                <w:rFonts w:hint="default" w:ascii="Times New Roman" w:hAnsi="Times New Roman" w:cs="Times New Roman"/>
                <w:color w:val="auto"/>
                <w:kern w:val="0"/>
                <w:sz w:val="21"/>
                <w:szCs w:val="21"/>
                <w:highlight w:val="none"/>
                <w:lang w:val="en-US" w:eastAsia="zh-CN"/>
              </w:rPr>
              <w:t>生产有机肥</w:t>
            </w:r>
            <w:r>
              <w:rPr>
                <w:rFonts w:hint="default" w:ascii="Times New Roman" w:hAnsi="Times New Roman" w:cs="Times New Roman"/>
                <w:color w:val="auto"/>
                <w:kern w:val="0"/>
                <w:sz w:val="21"/>
                <w:szCs w:val="21"/>
                <w:highlight w:val="none"/>
              </w:rPr>
              <w:t>，盥洗废水用于厂区洒水抑尘</w:t>
            </w:r>
          </w:p>
        </w:tc>
        <w:tc>
          <w:tcPr>
            <w:tcW w:w="1353"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声环境</w:t>
            </w:r>
          </w:p>
        </w:tc>
        <w:tc>
          <w:tcPr>
            <w:tcW w:w="638"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snapToGrid w:val="0"/>
                <w:color w:val="auto"/>
                <w:kern w:val="0"/>
                <w:sz w:val="21"/>
                <w:szCs w:val="21"/>
                <w:lang w:eastAsia="zh-CN"/>
              </w:rPr>
              <w:t>主要产噪</w:t>
            </w:r>
            <w:r>
              <w:rPr>
                <w:rFonts w:hint="default" w:ascii="Times New Roman" w:hAnsi="Times New Roman" w:eastAsia="宋体" w:cs="Times New Roman"/>
                <w:snapToGrid w:val="0"/>
                <w:color w:val="auto"/>
                <w:kern w:val="0"/>
                <w:sz w:val="21"/>
                <w:szCs w:val="21"/>
                <w:lang w:eastAsia="zh-CN"/>
              </w:rPr>
              <w:t>设备</w:t>
            </w:r>
          </w:p>
        </w:tc>
        <w:tc>
          <w:tcPr>
            <w:tcW w:w="845"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噪声</w:t>
            </w:r>
          </w:p>
        </w:tc>
        <w:tc>
          <w:tcPr>
            <w:tcW w:w="1577"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生产设备位于</w:t>
            </w:r>
            <w:r>
              <w:rPr>
                <w:rFonts w:hint="default" w:ascii="Times New Roman" w:hAnsi="Times New Roman" w:cs="Times New Roman"/>
                <w:color w:val="auto"/>
                <w:sz w:val="21"/>
                <w:szCs w:val="21"/>
                <w:lang w:eastAsia="zh-CN"/>
              </w:rPr>
              <w:t>密闭</w:t>
            </w:r>
            <w:r>
              <w:rPr>
                <w:rFonts w:hint="default" w:ascii="Times New Roman" w:hAnsi="Times New Roman" w:eastAsia="宋体" w:cs="Times New Roman"/>
                <w:color w:val="auto"/>
                <w:sz w:val="21"/>
                <w:szCs w:val="21"/>
              </w:rPr>
              <w:t>厂房内，采用减震隔声措施</w:t>
            </w:r>
            <w:r>
              <w:rPr>
                <w:rFonts w:hint="default" w:ascii="Times New Roman" w:hAnsi="Times New Roman" w:cs="Times New Roman"/>
                <w:color w:val="auto"/>
                <w:sz w:val="21"/>
                <w:szCs w:val="21"/>
                <w:lang w:eastAsia="zh-CN"/>
              </w:rPr>
              <w:t>、距离衰减等</w:t>
            </w:r>
            <w:r>
              <w:rPr>
                <w:rFonts w:hint="default" w:ascii="Times New Roman" w:hAnsi="Times New Roman" w:eastAsia="宋体" w:cs="Times New Roman"/>
                <w:color w:val="auto"/>
                <w:sz w:val="21"/>
                <w:szCs w:val="21"/>
              </w:rPr>
              <w:t>降噪等措施</w:t>
            </w:r>
          </w:p>
        </w:tc>
        <w:tc>
          <w:tcPr>
            <w:tcW w:w="1353" w:type="pct"/>
            <w:tcBorders>
              <w:tl2br w:val="nil"/>
              <w:tr2bl w:val="nil"/>
            </w:tcBorders>
            <w:noWrap w:val="0"/>
            <w:vAlign w:val="center"/>
          </w:tcPr>
          <w:p>
            <w:pPr>
              <w:pStyle w:val="66"/>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eastAsia="宋体" w:cs="Times New Roman"/>
                <w:snapToGrid w:val="0"/>
                <w:color w:val="auto"/>
                <w:kern w:val="0"/>
                <w:sz w:val="21"/>
                <w:szCs w:val="21"/>
              </w:rPr>
              <w:t>《工业企业厂界环境噪声排放标准》（GB12348-2008）中</w:t>
            </w: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类区标准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电磁辐射</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固体废物</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生活垃圾由垃圾箱收集后交由环卫部门统一清运处理</w:t>
            </w:r>
            <w:r>
              <w:rPr>
                <w:rFonts w:hint="default" w:ascii="Times New Roman" w:hAnsi="Times New Roman" w:cs="Times New Roman"/>
                <w:color w:val="auto"/>
                <w:sz w:val="21"/>
                <w:szCs w:val="21"/>
                <w:lang w:val="en-US" w:eastAsia="zh-CN"/>
              </w:rPr>
              <w:t>；收尘灰</w:t>
            </w:r>
            <w:r>
              <w:rPr>
                <w:rFonts w:hint="default" w:ascii="Times New Roman" w:hAnsi="Times New Roman" w:eastAsia="宋体" w:cs="Times New Roman"/>
                <w:color w:val="auto"/>
                <w:sz w:val="21"/>
                <w:szCs w:val="21"/>
                <w:lang w:val="en-US" w:eastAsia="zh-CN"/>
              </w:rPr>
              <w:t>收集后</w:t>
            </w:r>
            <w:r>
              <w:rPr>
                <w:rFonts w:hint="default" w:ascii="Times New Roman" w:hAnsi="Times New Roman" w:cs="Times New Roman"/>
                <w:color w:val="auto"/>
                <w:sz w:val="21"/>
                <w:szCs w:val="21"/>
                <w:lang w:val="en-US" w:eastAsia="zh-CN"/>
              </w:rPr>
              <w:t>回用于生产线</w:t>
            </w: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土壤及地下水污染防治措施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本厂区采取分区防渗：①原料陈化堆放棚（发酵区）为重点防渗区，等效黏土防渗层Mb≥6.0m，K≤1x10</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en-US" w:eastAsia="zh-CN"/>
              </w:rPr>
              <w:t>cm/s；②厂区道路为简单防渗区，地面采用混凝土硬化；③有机肥加工车间新建危废贮存点采取“地面一般防渗处理+防渗托盘+密闭油桶”方式，防止危险废物泄露污染地下水。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生态保护措施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 w:val="21"/>
                <w:szCs w:val="21"/>
              </w:rPr>
            </w:pPr>
            <w:r>
              <w:rPr>
                <w:rFonts w:hint="default" w:ascii="Times New Roman" w:hAnsi="Times New Roman" w:cs="Times New Roman"/>
                <w:b/>
                <w:bCs/>
                <w:color w:val="auto"/>
                <w:spacing w:val="-8"/>
                <w:sz w:val="21"/>
                <w:szCs w:val="21"/>
              </w:rPr>
              <w:t>环境风险</w:t>
            </w:r>
          </w:p>
          <w:p>
            <w:pPr>
              <w:adjustRightInd w:val="0"/>
              <w:snapToGrid w:val="0"/>
              <w:jc w:val="center"/>
              <w:rPr>
                <w:rFonts w:hint="default" w:ascii="Times New Roman" w:hAnsi="Times New Roman" w:cs="Times New Roman"/>
                <w:b/>
                <w:bCs/>
                <w:color w:val="auto"/>
                <w:spacing w:val="-8"/>
                <w:sz w:val="21"/>
                <w:szCs w:val="21"/>
              </w:rPr>
            </w:pPr>
            <w:r>
              <w:rPr>
                <w:rFonts w:hint="default" w:ascii="Times New Roman" w:hAnsi="Times New Roman" w:cs="Times New Roman"/>
                <w:b/>
                <w:bCs/>
                <w:color w:val="auto"/>
                <w:spacing w:val="-8"/>
                <w:sz w:val="21"/>
                <w:szCs w:val="21"/>
              </w:rPr>
              <w:t>防范措施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①加大安全、环保设施的投入；在强化安全、环保教育，提高安全、环保意识的同时，企业保证预警、监控设施到位。配备救护设备；危险作业增设监护人员并为其配备通讯、救援等设备；②建立健全突发环境事件应急预案；企业根据实际情况，不断充实和完善应急预案的各项措施，并定期组织演练。编制《突发环境事件应急预案》并取得生态环境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 w:val="21"/>
                <w:szCs w:val="21"/>
              </w:rPr>
            </w:pPr>
            <w:r>
              <w:rPr>
                <w:rFonts w:hint="default" w:ascii="Times New Roman" w:hAnsi="Times New Roman" w:cs="Times New Roman"/>
                <w:b/>
                <w:bCs/>
                <w:color w:val="auto"/>
                <w:spacing w:val="-8"/>
                <w:sz w:val="21"/>
                <w:szCs w:val="21"/>
              </w:rPr>
              <w:t>其他环境</w:t>
            </w:r>
          </w:p>
          <w:p>
            <w:pPr>
              <w:adjustRightInd w:val="0"/>
              <w:snapToGrid w:val="0"/>
              <w:jc w:val="center"/>
              <w:rPr>
                <w:rFonts w:hint="default" w:ascii="Times New Roman" w:hAnsi="Times New Roman" w:cs="Times New Roman"/>
                <w:b/>
                <w:bCs/>
                <w:color w:val="auto"/>
                <w:spacing w:val="-8"/>
                <w:sz w:val="21"/>
                <w:szCs w:val="21"/>
              </w:rPr>
            </w:pPr>
            <w:r>
              <w:rPr>
                <w:rFonts w:hint="default" w:ascii="Times New Roman" w:hAnsi="Times New Roman" w:cs="Times New Roman"/>
                <w:b/>
                <w:bCs/>
                <w:color w:val="auto"/>
                <w:spacing w:val="-8"/>
                <w:sz w:val="21"/>
                <w:szCs w:val="21"/>
              </w:rPr>
              <w:t>管理要求</w:t>
            </w:r>
          </w:p>
        </w:tc>
        <w:tc>
          <w:tcPr>
            <w:tcW w:w="4413" w:type="pct"/>
            <w:gridSpan w:val="4"/>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依据《固定污染源排污许可分类管理名录（2019年）》落实相关排污许可手续；规范环境管理制度等。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86" w:type="pct"/>
            <w:vMerge w:val="continue"/>
          </w:tcPr>
          <w:p>
            <w:pPr>
              <w:adjustRightInd w:val="0"/>
              <w:snapToGrid w:val="0"/>
              <w:jc w:val="center"/>
              <w:rPr>
                <w:rFonts w:hint="default" w:ascii="Times New Roman" w:hAnsi="Times New Roman" w:cs="Times New Roman"/>
                <w:b/>
                <w:bCs/>
                <w:color w:val="auto"/>
                <w:spacing w:val="-8"/>
                <w:sz w:val="21"/>
                <w:szCs w:val="21"/>
              </w:rPr>
            </w:pPr>
          </w:p>
        </w:tc>
        <w:tc>
          <w:tcPr>
            <w:tcW w:w="4413" w:type="pct"/>
            <w:gridSpan w:val="4"/>
            <w:shd w:val="clear" w:color="auto" w:fill="auto"/>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制定环境监测计划，并严格按照监测计划定期开展废气、噪声等污染源监测。</w:t>
            </w:r>
          </w:p>
        </w:tc>
      </w:tr>
    </w:tbl>
    <w:p>
      <w:pPr>
        <w:pStyle w:val="19"/>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0"/>
            <w:vAlign w:val="center"/>
          </w:tcPr>
          <w:p>
            <w:pPr>
              <w:spacing w:line="360" w:lineRule="auto"/>
              <w:ind w:firstLine="480" w:firstLineChars="20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综上所述，从环境保护角度</w:t>
            </w:r>
            <w:r>
              <w:rPr>
                <w:rFonts w:hint="default" w:ascii="Times New Roman" w:hAnsi="Times New Roman" w:eastAsia="宋体" w:cs="Times New Roman"/>
                <w:color w:val="auto"/>
                <w:sz w:val="24"/>
                <w:lang w:val="en-US" w:eastAsia="zh-CN"/>
              </w:rPr>
              <w:t>出发</w:t>
            </w:r>
            <w:r>
              <w:rPr>
                <w:rFonts w:hint="default" w:ascii="Times New Roman" w:hAnsi="Times New Roman" w:eastAsia="宋体" w:cs="Times New Roman"/>
                <w:color w:val="auto"/>
                <w:sz w:val="24"/>
                <w:lang w:eastAsia="zh-CN"/>
              </w:rPr>
              <w:t>，本项目环境影响可行。</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3"/>
        <w:tblW w:w="13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126"/>
        <w:gridCol w:w="1126"/>
        <w:gridCol w:w="1627"/>
        <w:gridCol w:w="1413"/>
        <w:gridCol w:w="1574"/>
        <w:gridCol w:w="1440"/>
        <w:gridCol w:w="1600"/>
        <w:gridCol w:w="1408"/>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single" w:color="auto" w:sz="4" w:space="0"/>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leftChars="300"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pPr>
              <w:pStyle w:val="31"/>
              <w:keepNext w:val="0"/>
              <w:keepLines w:val="0"/>
              <w:pageBreakBefore w:val="0"/>
              <w:widowControl w:val="0"/>
              <w:kinsoku/>
              <w:wordWrap/>
              <w:overflowPunct/>
              <w:topLinePunct w:val="0"/>
              <w:autoSpaceDE/>
              <w:autoSpaceDN/>
              <w:bidi w:val="0"/>
              <w:spacing w:beforeLines="0" w:afterLines="0" w:line="240" w:lineRule="auto"/>
              <w:ind w:firstLine="198" w:firstLineChars="100"/>
              <w:jc w:val="both"/>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2252" w:type="dxa"/>
            <w:gridSpan w:val="2"/>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1627" w:type="dxa"/>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1413" w:type="dxa"/>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pPr>
              <w:pStyle w:val="31"/>
              <w:keepNext w:val="0"/>
              <w:keepLines w:val="0"/>
              <w:pageBreakBefore w:val="0"/>
              <w:widowControl w:val="0"/>
              <w:kinsoku/>
              <w:wordWrap/>
              <w:overflowPunct/>
              <w:topLinePunct w:val="0"/>
              <w:autoSpaceDE/>
              <w:autoSpaceDN/>
              <w:bidi w:val="0"/>
              <w:spacing w:beforeLines="0" w:afterLines="0"/>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1574" w:type="dxa"/>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1440" w:type="dxa"/>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1600" w:type="dxa"/>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1408" w:type="dxa"/>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1299" w:type="dxa"/>
            <w:tcBorders>
              <w:tl2br w:val="nil"/>
              <w:tr2bl w:val="nil"/>
            </w:tcBorders>
            <w:noWrap w:val="0"/>
            <w:tcMar>
              <w:left w:w="28" w:type="dxa"/>
              <w:right w:w="28" w:type="dxa"/>
            </w:tcMar>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1126"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有组织</w:t>
            </w:r>
          </w:p>
        </w:tc>
        <w:tc>
          <w:tcPr>
            <w:tcW w:w="1126"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0.204t/a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 w:val="0"/>
                <w:bCs w:val="0"/>
                <w:snapToGrid w:val="0"/>
                <w:color w:val="auto"/>
                <w:kern w:val="21"/>
                <w:sz w:val="21"/>
                <w:szCs w:val="21"/>
              </w:rPr>
            </w:pPr>
            <w:r>
              <w:rPr>
                <w:rFonts w:hint="default" w:ascii="Times New Roman" w:hAnsi="Times New Roman" w:cs="Times New Roman"/>
                <w:b w:val="0"/>
                <w:bCs w:val="0"/>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1"/>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0.204t/a</w:t>
            </w:r>
          </w:p>
        </w:tc>
        <w:tc>
          <w:tcPr>
            <w:tcW w:w="129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0.204t/a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0.006t/a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1"/>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0.006t/a</w:t>
            </w:r>
          </w:p>
        </w:tc>
        <w:tc>
          <w:tcPr>
            <w:tcW w:w="129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0.0002t/a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0.0002t/a </w:t>
            </w:r>
          </w:p>
        </w:tc>
        <w:tc>
          <w:tcPr>
            <w:tcW w:w="129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7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无组织</w:t>
            </w:r>
          </w:p>
        </w:tc>
        <w:tc>
          <w:tcPr>
            <w:tcW w:w="1126"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2.775</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2.313t/a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5.088t/a</w:t>
            </w:r>
          </w:p>
        </w:tc>
        <w:tc>
          <w:tcPr>
            <w:tcW w:w="129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1"/>
                <w:sz w:val="21"/>
                <w:szCs w:val="21"/>
                <w:lang w:val="en-US" w:eastAsia="zh-CN" w:bidi="ar-SA"/>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2.313t/a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0.5475</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0.5525t/a</w:t>
            </w:r>
          </w:p>
        </w:tc>
        <w:tc>
          <w:tcPr>
            <w:tcW w:w="129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1"/>
                <w:sz w:val="21"/>
                <w:szCs w:val="21"/>
                <w:lang w:val="en-US" w:eastAsia="zh-CN" w:bidi="ar-SA"/>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0.0306</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0.0002t/a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0.0308t/a</w:t>
            </w:r>
          </w:p>
        </w:tc>
        <w:tc>
          <w:tcPr>
            <w:tcW w:w="129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1"/>
                <w:sz w:val="21"/>
                <w:szCs w:val="21"/>
                <w:lang w:val="en-US" w:eastAsia="zh-CN" w:bidi="ar-SA"/>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7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废水</w:t>
            </w:r>
          </w:p>
        </w:tc>
        <w:tc>
          <w:tcPr>
            <w:tcW w:w="2252" w:type="dxa"/>
            <w:gridSpan w:val="2"/>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生活污水</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snapToGrid w:val="0"/>
                <w:color w:val="auto"/>
                <w:kern w:val="21"/>
                <w:sz w:val="21"/>
                <w:szCs w:val="21"/>
                <w:lang w:val="en-US" w:eastAsia="zh-CN"/>
              </w:rPr>
              <w:t>594m³/a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158m³/a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752m³/a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+158m³/a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一般工业固体废物</w:t>
            </w:r>
          </w:p>
        </w:tc>
        <w:tc>
          <w:tcPr>
            <w:tcW w:w="2252" w:type="dxa"/>
            <w:gridSpan w:val="2"/>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收尘灰</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rPr>
            </w:pPr>
            <w:r>
              <w:rPr>
                <w:rFonts w:hint="eastAsia" w:cs="Times New Roman"/>
                <w:color w:val="auto"/>
                <w:sz w:val="21"/>
                <w:szCs w:val="21"/>
                <w:lang w:val="en-US" w:eastAsia="zh-CN"/>
              </w:rPr>
              <w:t>10.205</w:t>
            </w:r>
            <w:r>
              <w:rPr>
                <w:rFonts w:hint="default" w:ascii="Times New Roman" w:hAnsi="Times New Roman" w:eastAsia="宋体" w:cs="Times New Roman"/>
                <w:color w:val="auto"/>
                <w:sz w:val="21"/>
                <w:szCs w:val="21"/>
                <w:lang w:val="en-US" w:eastAsia="zh-CN"/>
              </w:rPr>
              <w:t>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eastAsia="宋体" w:cs="Times New Roman"/>
                <w:color w:val="auto"/>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sz w:val="21"/>
                <w:szCs w:val="21"/>
                <w:lang w:val="en-US" w:eastAsia="zh-CN"/>
              </w:rPr>
              <w:t>10.205</w:t>
            </w:r>
            <w:r>
              <w:rPr>
                <w:rFonts w:hint="default" w:ascii="Times New Roman" w:hAnsi="Times New Roman" w:eastAsia="宋体" w:cs="Times New Roman"/>
                <w:color w:val="auto"/>
                <w:sz w:val="21"/>
                <w:szCs w:val="21"/>
                <w:lang w:val="en-US" w:eastAsia="zh-CN"/>
              </w:rPr>
              <w:t>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10.205</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rPr>
            </w:pPr>
          </w:p>
        </w:tc>
        <w:tc>
          <w:tcPr>
            <w:tcW w:w="22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0.094t/a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0.094t/a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0.094t/a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rPr>
            </w:pPr>
          </w:p>
        </w:tc>
        <w:tc>
          <w:tcPr>
            <w:tcW w:w="22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牛粪</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3574.08t/a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3574.08t/a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危险废物</w:t>
            </w:r>
          </w:p>
        </w:tc>
        <w:tc>
          <w:tcPr>
            <w:tcW w:w="2252" w:type="dxa"/>
            <w:gridSpan w:val="2"/>
            <w:tcBorders>
              <w:tl2br w:val="nil"/>
              <w:tr2bl w:val="nil"/>
            </w:tcBorders>
            <w:noWrap w:val="0"/>
            <w:vAlign w:val="center"/>
          </w:tcPr>
          <w:p>
            <w:pPr>
              <w:pStyle w:val="59"/>
              <w:bidi w:val="0"/>
              <w:ind w:firstLine="0" w:firstLineChars="0"/>
              <w:jc w:val="center"/>
              <w:rPr>
                <w:rFonts w:hint="default" w:ascii="Times New Roman" w:hAnsi="Times New Roman"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废机油</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21"/>
                <w:sz w:val="21"/>
                <w:szCs w:val="21"/>
                <w:lang w:val="en-US" w:eastAsia="zh-CN"/>
              </w:rPr>
              <w:t>0.05t/a</w:t>
            </w:r>
          </w:p>
        </w:tc>
        <w:tc>
          <w:tcPr>
            <w:tcW w:w="1299"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21"/>
                <w:sz w:val="21"/>
                <w:szCs w:val="21"/>
                <w:lang w:val="en-US" w:eastAsia="zh-CN"/>
              </w:rPr>
              <w:t>+0.05t/a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2252" w:type="dxa"/>
            <w:gridSpan w:val="2"/>
            <w:tcBorders>
              <w:tl2br w:val="nil"/>
              <w:tr2bl w:val="nil"/>
            </w:tcBorders>
            <w:noWrap w:val="0"/>
            <w:vAlign w:val="center"/>
          </w:tcPr>
          <w:p>
            <w:pPr>
              <w:pStyle w:val="59"/>
              <w:bidi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废机油桶</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0.004t/a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0.004t/a</w:t>
            </w:r>
          </w:p>
        </w:tc>
        <w:tc>
          <w:tcPr>
            <w:tcW w:w="1299" w:type="dxa"/>
            <w:tcBorders>
              <w:tl2br w:val="nil"/>
              <w:tr2bl w:val="nil"/>
            </w:tcBorders>
            <w:shd w:val="clear" w:color="auto" w:fill="auto"/>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eastAsia="zh-CN"/>
              </w:rPr>
              <w:t>生活垃圾</w:t>
            </w:r>
          </w:p>
        </w:tc>
        <w:tc>
          <w:tcPr>
            <w:tcW w:w="2252" w:type="dxa"/>
            <w:gridSpan w:val="2"/>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生活垃圾</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4.95</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1.65t/a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6.6t/a</w:t>
            </w:r>
          </w:p>
        </w:tc>
        <w:tc>
          <w:tcPr>
            <w:tcW w:w="1299"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+1.65t/a</w:t>
            </w:r>
          </w:p>
        </w:tc>
      </w:tr>
    </w:tbl>
    <w:p>
      <w:pPr>
        <w:pStyle w:val="31"/>
        <w:spacing w:before="192" w:beforeLines="80" w:after="24"/>
        <w:jc w:val="left"/>
        <w:rPr>
          <w:rFonts w:hint="default" w:ascii="Times New Roman" w:hAnsi="Times New Roman" w:eastAsia="黑体" w:cs="Times New Roman"/>
          <w:color w:val="auto"/>
        </w:rPr>
      </w:pPr>
      <w:r>
        <w:rPr>
          <w:rFonts w:hint="default" w:ascii="Times New Roman" w:hAnsi="Times New Roman" w:cs="Times New Roman"/>
          <w:snapToGrid w:val="0"/>
          <w:color w:val="auto"/>
          <w:kern w:val="21"/>
          <w:sz w:val="24"/>
          <w:szCs w:val="24"/>
        </w:rPr>
        <w:t>注：</w:t>
      </w:r>
      <w:r>
        <w:rPr>
          <w:rFonts w:hint="default" w:ascii="Times New Roman" w:hAnsi="Times New Roman" w:cs="Times New Roman"/>
          <w:snapToGrid w:val="0"/>
          <w:color w:val="auto"/>
          <w:kern w:val="21"/>
          <w:sz w:val="24"/>
          <w:szCs w:val="24"/>
          <w:lang w:val="en-US" w:eastAsia="zh-CN"/>
        </w:rPr>
        <w:t>1.</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3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4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④</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5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⑤</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7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⑦</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lang w:eastAsia="zh-CN"/>
        </w:rPr>
        <w:t>；</w:t>
      </w:r>
    </w:p>
    <w:sectPr>
      <w:footerReference r:id="rId7" w:type="default"/>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18030">
    <w:altName w:val="DejaVu Math TeX Gyre"/>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rPr>
      <w:t xml:space="preserve">  </w:t>
    </w:r>
    <w:r>
      <w:rPr>
        <w:rStyle w:val="27"/>
        <w:rFonts w:hint="default" w:ascii="Times New Roman" w:hAnsi="Times New Roman" w:cs="Times New Roman"/>
        <w:sz w:val="26"/>
        <w:szCs w:val="26"/>
      </w:rPr>
      <w:fldChar w:fldCharType="begin"/>
    </w:r>
    <w:r>
      <w:rPr>
        <w:rStyle w:val="27"/>
        <w:rFonts w:hint="default" w:ascii="Times New Roman" w:hAnsi="Times New Roman" w:cs="Times New Roman"/>
        <w:sz w:val="26"/>
        <w:szCs w:val="26"/>
      </w:rPr>
      <w:instrText xml:space="preserve">PAGE  </w:instrText>
    </w:r>
    <w:r>
      <w:rPr>
        <w:rStyle w:val="27"/>
        <w:rFonts w:hint="default" w:ascii="Times New Roman" w:hAnsi="Times New Roman" w:cs="Times New Roman"/>
        <w:sz w:val="26"/>
        <w:szCs w:val="26"/>
      </w:rPr>
      <w:fldChar w:fldCharType="separate"/>
    </w:r>
    <w:r>
      <w:rPr>
        <w:rStyle w:val="27"/>
        <w:rFonts w:hint="default" w:ascii="Times New Roman" w:hAnsi="Times New Roman" w:cs="Times New Roman"/>
        <w:sz w:val="26"/>
        <w:szCs w:val="26"/>
      </w:rPr>
      <w:t>9</w:t>
    </w:r>
    <w:r>
      <w:rPr>
        <w:rStyle w:val="27"/>
        <w:rFonts w:hint="default" w:ascii="Times New Roman" w:hAnsi="Times New Roman" w:cs="Times New Roman"/>
        <w:sz w:val="26"/>
        <w:szCs w:val="26"/>
      </w:rPr>
      <w:fldChar w:fldCharType="end"/>
    </w:r>
    <w:r>
      <w:rPr>
        <w:rStyle w:val="27"/>
        <w:rFonts w:hint="eastAsia" w:ascii="宋体" w:hAnsi="宋体"/>
        <w:sz w:val="20"/>
      </w:rPr>
      <w:t xml:space="preserve">  </w:t>
    </w:r>
    <w:r>
      <w:rPr>
        <w:rStyle w:val="27"/>
        <w:rFonts w:hint="eastAsia" w:ascii="宋体" w:hAnsi="宋体"/>
        <w:sz w:val="28"/>
        <w:szCs w:val="28"/>
      </w:rPr>
      <w:t>—</w:t>
    </w:r>
  </w:p>
  <w:p>
    <w:pPr>
      <w:pStyle w:val="1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6957B"/>
    <w:multiLevelType w:val="singleLevel"/>
    <w:tmpl w:val="839695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ZTY5NjM1YzkyMmY0ZmQ3MzE1ZGY3ZGM0YzZmMj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B73EA"/>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8FC"/>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0A36"/>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0155"/>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C7395B"/>
    <w:rsid w:val="01E3068F"/>
    <w:rsid w:val="01E65B11"/>
    <w:rsid w:val="021E7E32"/>
    <w:rsid w:val="02697903"/>
    <w:rsid w:val="028E3199"/>
    <w:rsid w:val="02F96569"/>
    <w:rsid w:val="02FE79AC"/>
    <w:rsid w:val="03092820"/>
    <w:rsid w:val="03653650"/>
    <w:rsid w:val="0374413D"/>
    <w:rsid w:val="03C2759E"/>
    <w:rsid w:val="03D270B5"/>
    <w:rsid w:val="03EA6727"/>
    <w:rsid w:val="03EA7B21"/>
    <w:rsid w:val="046643CE"/>
    <w:rsid w:val="04BD775D"/>
    <w:rsid w:val="05123C0E"/>
    <w:rsid w:val="05557901"/>
    <w:rsid w:val="05AD264D"/>
    <w:rsid w:val="05D73FAE"/>
    <w:rsid w:val="05F83EAE"/>
    <w:rsid w:val="06033FB7"/>
    <w:rsid w:val="060D20A3"/>
    <w:rsid w:val="06335530"/>
    <w:rsid w:val="063E7D85"/>
    <w:rsid w:val="065E2322"/>
    <w:rsid w:val="06A411DD"/>
    <w:rsid w:val="06AE7966"/>
    <w:rsid w:val="06BC38D9"/>
    <w:rsid w:val="07293586"/>
    <w:rsid w:val="07295285"/>
    <w:rsid w:val="07636392"/>
    <w:rsid w:val="07770C56"/>
    <w:rsid w:val="07A61CBF"/>
    <w:rsid w:val="07D478A0"/>
    <w:rsid w:val="07D9342B"/>
    <w:rsid w:val="07DD46FE"/>
    <w:rsid w:val="08297BEC"/>
    <w:rsid w:val="086726B4"/>
    <w:rsid w:val="09091170"/>
    <w:rsid w:val="092217DD"/>
    <w:rsid w:val="093A7294"/>
    <w:rsid w:val="0951052A"/>
    <w:rsid w:val="09566309"/>
    <w:rsid w:val="09687829"/>
    <w:rsid w:val="097B739A"/>
    <w:rsid w:val="09DC47EA"/>
    <w:rsid w:val="09FD6311"/>
    <w:rsid w:val="0A263993"/>
    <w:rsid w:val="0A2D3AC2"/>
    <w:rsid w:val="0A5225D2"/>
    <w:rsid w:val="0A6273E5"/>
    <w:rsid w:val="0AA755DF"/>
    <w:rsid w:val="0AF83D68"/>
    <w:rsid w:val="0B0D6D73"/>
    <w:rsid w:val="0B120D44"/>
    <w:rsid w:val="0B790461"/>
    <w:rsid w:val="0B8735CE"/>
    <w:rsid w:val="0BD27BF6"/>
    <w:rsid w:val="0BF43AE2"/>
    <w:rsid w:val="0BFC1173"/>
    <w:rsid w:val="0C2A7A8F"/>
    <w:rsid w:val="0C346B5F"/>
    <w:rsid w:val="0C3B3C7D"/>
    <w:rsid w:val="0C3F0B31"/>
    <w:rsid w:val="0C6E3A9F"/>
    <w:rsid w:val="0CAB2EAE"/>
    <w:rsid w:val="0CC865FD"/>
    <w:rsid w:val="0CCA1272"/>
    <w:rsid w:val="0CDD71F7"/>
    <w:rsid w:val="0D0F2F38"/>
    <w:rsid w:val="0D621C7D"/>
    <w:rsid w:val="0D74129E"/>
    <w:rsid w:val="0E484B44"/>
    <w:rsid w:val="0E5A5AED"/>
    <w:rsid w:val="0E686F94"/>
    <w:rsid w:val="0E73034D"/>
    <w:rsid w:val="0E7F3589"/>
    <w:rsid w:val="0E955296"/>
    <w:rsid w:val="0ED1175A"/>
    <w:rsid w:val="0EE24651"/>
    <w:rsid w:val="0F13775A"/>
    <w:rsid w:val="0F5F45FE"/>
    <w:rsid w:val="0F957915"/>
    <w:rsid w:val="0F9A112B"/>
    <w:rsid w:val="0F9C5147"/>
    <w:rsid w:val="1034712E"/>
    <w:rsid w:val="106D2F64"/>
    <w:rsid w:val="10840E9A"/>
    <w:rsid w:val="108F26EB"/>
    <w:rsid w:val="10925FEB"/>
    <w:rsid w:val="10B63710"/>
    <w:rsid w:val="10BD4A77"/>
    <w:rsid w:val="10F10820"/>
    <w:rsid w:val="111927C8"/>
    <w:rsid w:val="111C2F7A"/>
    <w:rsid w:val="113B0B25"/>
    <w:rsid w:val="11665CA1"/>
    <w:rsid w:val="118539B9"/>
    <w:rsid w:val="11CA2859"/>
    <w:rsid w:val="11EE5A02"/>
    <w:rsid w:val="1245488B"/>
    <w:rsid w:val="12833A99"/>
    <w:rsid w:val="1283614B"/>
    <w:rsid w:val="12B4185D"/>
    <w:rsid w:val="12CE31C0"/>
    <w:rsid w:val="1318532B"/>
    <w:rsid w:val="131E5E73"/>
    <w:rsid w:val="134E704B"/>
    <w:rsid w:val="1352386D"/>
    <w:rsid w:val="13665E1A"/>
    <w:rsid w:val="137B31FF"/>
    <w:rsid w:val="13936861"/>
    <w:rsid w:val="13951726"/>
    <w:rsid w:val="140C0E43"/>
    <w:rsid w:val="14396509"/>
    <w:rsid w:val="146D2C0E"/>
    <w:rsid w:val="14DD2C3C"/>
    <w:rsid w:val="15192D96"/>
    <w:rsid w:val="151E72AA"/>
    <w:rsid w:val="152139F9"/>
    <w:rsid w:val="1546190A"/>
    <w:rsid w:val="159863B1"/>
    <w:rsid w:val="15B348B4"/>
    <w:rsid w:val="15D41E84"/>
    <w:rsid w:val="15E44B65"/>
    <w:rsid w:val="15F56025"/>
    <w:rsid w:val="16087E1D"/>
    <w:rsid w:val="1609657E"/>
    <w:rsid w:val="164002A0"/>
    <w:rsid w:val="16481B85"/>
    <w:rsid w:val="164B47E7"/>
    <w:rsid w:val="164D08F6"/>
    <w:rsid w:val="16571DC8"/>
    <w:rsid w:val="165757BC"/>
    <w:rsid w:val="16756754"/>
    <w:rsid w:val="16DF591A"/>
    <w:rsid w:val="17011D34"/>
    <w:rsid w:val="172E5E61"/>
    <w:rsid w:val="17393D38"/>
    <w:rsid w:val="17485BB5"/>
    <w:rsid w:val="17701D14"/>
    <w:rsid w:val="17735226"/>
    <w:rsid w:val="17A43A3F"/>
    <w:rsid w:val="17B117AC"/>
    <w:rsid w:val="189F624C"/>
    <w:rsid w:val="18E66114"/>
    <w:rsid w:val="19580834"/>
    <w:rsid w:val="199565B0"/>
    <w:rsid w:val="19975756"/>
    <w:rsid w:val="19D04808"/>
    <w:rsid w:val="19EF40C6"/>
    <w:rsid w:val="1A013972"/>
    <w:rsid w:val="1A1C2B24"/>
    <w:rsid w:val="1A1C66C0"/>
    <w:rsid w:val="1A2F0966"/>
    <w:rsid w:val="1A42393B"/>
    <w:rsid w:val="1A494B95"/>
    <w:rsid w:val="1A6665E6"/>
    <w:rsid w:val="1A6E08DD"/>
    <w:rsid w:val="1AAD45DE"/>
    <w:rsid w:val="1AF84D8D"/>
    <w:rsid w:val="1B046F80"/>
    <w:rsid w:val="1B16252D"/>
    <w:rsid w:val="1B3267B5"/>
    <w:rsid w:val="1B40161D"/>
    <w:rsid w:val="1B441859"/>
    <w:rsid w:val="1B6606B1"/>
    <w:rsid w:val="1B854CE1"/>
    <w:rsid w:val="1B910A48"/>
    <w:rsid w:val="1B9E5DA3"/>
    <w:rsid w:val="1BEE6D2B"/>
    <w:rsid w:val="1C185676"/>
    <w:rsid w:val="1C1F2DB2"/>
    <w:rsid w:val="1C3A7456"/>
    <w:rsid w:val="1C5E7925"/>
    <w:rsid w:val="1C603EB9"/>
    <w:rsid w:val="1C9D4496"/>
    <w:rsid w:val="1CFD070F"/>
    <w:rsid w:val="1D586315"/>
    <w:rsid w:val="1D5F6196"/>
    <w:rsid w:val="1D6132A5"/>
    <w:rsid w:val="1D8E56D5"/>
    <w:rsid w:val="1DA84CB7"/>
    <w:rsid w:val="1DCF493A"/>
    <w:rsid w:val="1E1C69F5"/>
    <w:rsid w:val="1E3B330E"/>
    <w:rsid w:val="1E5935A6"/>
    <w:rsid w:val="1E7A43DA"/>
    <w:rsid w:val="1EB055BF"/>
    <w:rsid w:val="1EDC07EA"/>
    <w:rsid w:val="1F2B48C1"/>
    <w:rsid w:val="1F340F1F"/>
    <w:rsid w:val="1F346C3B"/>
    <w:rsid w:val="1FBF453A"/>
    <w:rsid w:val="1FE7539E"/>
    <w:rsid w:val="200D34F7"/>
    <w:rsid w:val="20176124"/>
    <w:rsid w:val="20653333"/>
    <w:rsid w:val="20671BE0"/>
    <w:rsid w:val="20963CB8"/>
    <w:rsid w:val="20A81A1B"/>
    <w:rsid w:val="20B07FB6"/>
    <w:rsid w:val="20B646FB"/>
    <w:rsid w:val="20D33571"/>
    <w:rsid w:val="21114623"/>
    <w:rsid w:val="211F1734"/>
    <w:rsid w:val="213B74B1"/>
    <w:rsid w:val="215A2310"/>
    <w:rsid w:val="21746937"/>
    <w:rsid w:val="219263AA"/>
    <w:rsid w:val="219F54FC"/>
    <w:rsid w:val="21B94263"/>
    <w:rsid w:val="21BA0C34"/>
    <w:rsid w:val="21C14E9F"/>
    <w:rsid w:val="21DE318A"/>
    <w:rsid w:val="21EF5B80"/>
    <w:rsid w:val="2223117B"/>
    <w:rsid w:val="22525B39"/>
    <w:rsid w:val="22576990"/>
    <w:rsid w:val="22827390"/>
    <w:rsid w:val="22A710BA"/>
    <w:rsid w:val="22AD4512"/>
    <w:rsid w:val="22C52798"/>
    <w:rsid w:val="22E04EF3"/>
    <w:rsid w:val="22F15563"/>
    <w:rsid w:val="22F32E79"/>
    <w:rsid w:val="22F47480"/>
    <w:rsid w:val="230B6414"/>
    <w:rsid w:val="23190067"/>
    <w:rsid w:val="232B1851"/>
    <w:rsid w:val="236E2B89"/>
    <w:rsid w:val="23C06DB8"/>
    <w:rsid w:val="23CB06AF"/>
    <w:rsid w:val="23DE1C48"/>
    <w:rsid w:val="240210CD"/>
    <w:rsid w:val="242F7EE0"/>
    <w:rsid w:val="246C1C9B"/>
    <w:rsid w:val="249E64CF"/>
    <w:rsid w:val="24BF09F7"/>
    <w:rsid w:val="24D07BBE"/>
    <w:rsid w:val="24ED08E0"/>
    <w:rsid w:val="24FB4266"/>
    <w:rsid w:val="252D53FE"/>
    <w:rsid w:val="25937029"/>
    <w:rsid w:val="25EC2D81"/>
    <w:rsid w:val="26156AEF"/>
    <w:rsid w:val="262C6D85"/>
    <w:rsid w:val="26426B14"/>
    <w:rsid w:val="26673AFF"/>
    <w:rsid w:val="26855609"/>
    <w:rsid w:val="26C24016"/>
    <w:rsid w:val="26C64400"/>
    <w:rsid w:val="26EB6016"/>
    <w:rsid w:val="277057A2"/>
    <w:rsid w:val="27820945"/>
    <w:rsid w:val="27995F16"/>
    <w:rsid w:val="28717ADA"/>
    <w:rsid w:val="2878768E"/>
    <w:rsid w:val="28867884"/>
    <w:rsid w:val="289538E0"/>
    <w:rsid w:val="28C3101F"/>
    <w:rsid w:val="28DE3C83"/>
    <w:rsid w:val="28EA6ACC"/>
    <w:rsid w:val="29002295"/>
    <w:rsid w:val="29206EB8"/>
    <w:rsid w:val="29595666"/>
    <w:rsid w:val="2964425D"/>
    <w:rsid w:val="2976232D"/>
    <w:rsid w:val="29874881"/>
    <w:rsid w:val="29B87B9E"/>
    <w:rsid w:val="29E325E0"/>
    <w:rsid w:val="2A452503"/>
    <w:rsid w:val="2A5B583F"/>
    <w:rsid w:val="2ACB0237"/>
    <w:rsid w:val="2AE5579D"/>
    <w:rsid w:val="2B0064CA"/>
    <w:rsid w:val="2B9C0B5D"/>
    <w:rsid w:val="2BA936A8"/>
    <w:rsid w:val="2BBE254F"/>
    <w:rsid w:val="2C1A6CB6"/>
    <w:rsid w:val="2C315A5A"/>
    <w:rsid w:val="2C4B1C25"/>
    <w:rsid w:val="2C4B5AD3"/>
    <w:rsid w:val="2CF241A1"/>
    <w:rsid w:val="2CFF16E5"/>
    <w:rsid w:val="2D145EC5"/>
    <w:rsid w:val="2D776454"/>
    <w:rsid w:val="2D9E56F5"/>
    <w:rsid w:val="2DDB7CBC"/>
    <w:rsid w:val="2DF67CC1"/>
    <w:rsid w:val="2E290396"/>
    <w:rsid w:val="2E667F96"/>
    <w:rsid w:val="2E8226AB"/>
    <w:rsid w:val="2ECD27D0"/>
    <w:rsid w:val="2F30484A"/>
    <w:rsid w:val="2F4A4E56"/>
    <w:rsid w:val="2F4B1946"/>
    <w:rsid w:val="2FA2056A"/>
    <w:rsid w:val="2FAC2B80"/>
    <w:rsid w:val="2FAF583F"/>
    <w:rsid w:val="2FC260AC"/>
    <w:rsid w:val="2FCF2953"/>
    <w:rsid w:val="2FD065E6"/>
    <w:rsid w:val="2FD96870"/>
    <w:rsid w:val="30087837"/>
    <w:rsid w:val="302C1778"/>
    <w:rsid w:val="30580BC9"/>
    <w:rsid w:val="30BF4724"/>
    <w:rsid w:val="30D97FEE"/>
    <w:rsid w:val="30DD6D5E"/>
    <w:rsid w:val="30E01814"/>
    <w:rsid w:val="30E91417"/>
    <w:rsid w:val="3103194F"/>
    <w:rsid w:val="311E2ED7"/>
    <w:rsid w:val="315619EE"/>
    <w:rsid w:val="315C449C"/>
    <w:rsid w:val="316D232D"/>
    <w:rsid w:val="318373D6"/>
    <w:rsid w:val="31B82709"/>
    <w:rsid w:val="31CE550A"/>
    <w:rsid w:val="31D05482"/>
    <w:rsid w:val="31E340B8"/>
    <w:rsid w:val="31EC7411"/>
    <w:rsid w:val="32313FA5"/>
    <w:rsid w:val="32400B34"/>
    <w:rsid w:val="3255145A"/>
    <w:rsid w:val="325D030E"/>
    <w:rsid w:val="329E6876"/>
    <w:rsid w:val="32FF4F59"/>
    <w:rsid w:val="333015F2"/>
    <w:rsid w:val="33305A33"/>
    <w:rsid w:val="333837C9"/>
    <w:rsid w:val="334B0167"/>
    <w:rsid w:val="334B6320"/>
    <w:rsid w:val="33D934D4"/>
    <w:rsid w:val="33E53A31"/>
    <w:rsid w:val="33FE2F6A"/>
    <w:rsid w:val="340E07E5"/>
    <w:rsid w:val="34235BF7"/>
    <w:rsid w:val="344C0532"/>
    <w:rsid w:val="34E402F2"/>
    <w:rsid w:val="35321C38"/>
    <w:rsid w:val="353B58EE"/>
    <w:rsid w:val="35645510"/>
    <w:rsid w:val="358C5FA8"/>
    <w:rsid w:val="359202CF"/>
    <w:rsid w:val="35977A46"/>
    <w:rsid w:val="35C15DF1"/>
    <w:rsid w:val="36074A7F"/>
    <w:rsid w:val="36182170"/>
    <w:rsid w:val="368C11C2"/>
    <w:rsid w:val="36923549"/>
    <w:rsid w:val="36B75FBF"/>
    <w:rsid w:val="36BD0C45"/>
    <w:rsid w:val="36CC15BF"/>
    <w:rsid w:val="370C2303"/>
    <w:rsid w:val="378B147A"/>
    <w:rsid w:val="37E00298"/>
    <w:rsid w:val="37E15CAC"/>
    <w:rsid w:val="383E64EC"/>
    <w:rsid w:val="388F4F9A"/>
    <w:rsid w:val="38B302F9"/>
    <w:rsid w:val="38F12CD3"/>
    <w:rsid w:val="38F94775"/>
    <w:rsid w:val="392971ED"/>
    <w:rsid w:val="39325651"/>
    <w:rsid w:val="395C2388"/>
    <w:rsid w:val="397321C6"/>
    <w:rsid w:val="39A71B78"/>
    <w:rsid w:val="39AF48B4"/>
    <w:rsid w:val="39DE4F41"/>
    <w:rsid w:val="39E47C63"/>
    <w:rsid w:val="3A831807"/>
    <w:rsid w:val="3A872856"/>
    <w:rsid w:val="3A9F250F"/>
    <w:rsid w:val="3AAF3166"/>
    <w:rsid w:val="3AB26CCA"/>
    <w:rsid w:val="3AD2116E"/>
    <w:rsid w:val="3ADD2E5F"/>
    <w:rsid w:val="3AF068F8"/>
    <w:rsid w:val="3B3763D1"/>
    <w:rsid w:val="3B3D75CD"/>
    <w:rsid w:val="3BDB32BC"/>
    <w:rsid w:val="3C2F6E1E"/>
    <w:rsid w:val="3C460065"/>
    <w:rsid w:val="3C487928"/>
    <w:rsid w:val="3C4F64BA"/>
    <w:rsid w:val="3C541977"/>
    <w:rsid w:val="3C7217FA"/>
    <w:rsid w:val="3C8A7F52"/>
    <w:rsid w:val="3CD4751C"/>
    <w:rsid w:val="3CDA245A"/>
    <w:rsid w:val="3D087A3F"/>
    <w:rsid w:val="3D105C11"/>
    <w:rsid w:val="3D124D2D"/>
    <w:rsid w:val="3D1E06B7"/>
    <w:rsid w:val="3D5F5D29"/>
    <w:rsid w:val="3DA12D0C"/>
    <w:rsid w:val="3DA26829"/>
    <w:rsid w:val="3E6F6AE4"/>
    <w:rsid w:val="3E733501"/>
    <w:rsid w:val="3E793B5F"/>
    <w:rsid w:val="3EDA0523"/>
    <w:rsid w:val="3F0D6C18"/>
    <w:rsid w:val="3F39128D"/>
    <w:rsid w:val="3F4B0A14"/>
    <w:rsid w:val="3F7E7BDE"/>
    <w:rsid w:val="3FA23805"/>
    <w:rsid w:val="3FDA2F9E"/>
    <w:rsid w:val="3FEF58F9"/>
    <w:rsid w:val="3FEF631E"/>
    <w:rsid w:val="40572BBE"/>
    <w:rsid w:val="406A0C9D"/>
    <w:rsid w:val="407A6407"/>
    <w:rsid w:val="40BA4B7E"/>
    <w:rsid w:val="416C17AD"/>
    <w:rsid w:val="41A22C75"/>
    <w:rsid w:val="4200449D"/>
    <w:rsid w:val="423A3BCC"/>
    <w:rsid w:val="424E57D2"/>
    <w:rsid w:val="425B7B1B"/>
    <w:rsid w:val="42B26C49"/>
    <w:rsid w:val="42B45912"/>
    <w:rsid w:val="42E96C1F"/>
    <w:rsid w:val="430640AA"/>
    <w:rsid w:val="431C567C"/>
    <w:rsid w:val="431F5DA0"/>
    <w:rsid w:val="433A6FE6"/>
    <w:rsid w:val="43480868"/>
    <w:rsid w:val="4350713C"/>
    <w:rsid w:val="436653E0"/>
    <w:rsid w:val="437F7AF8"/>
    <w:rsid w:val="438C4CBE"/>
    <w:rsid w:val="4394077A"/>
    <w:rsid w:val="439C056B"/>
    <w:rsid w:val="43A51B15"/>
    <w:rsid w:val="43C4431A"/>
    <w:rsid w:val="43E05076"/>
    <w:rsid w:val="4401409D"/>
    <w:rsid w:val="44223166"/>
    <w:rsid w:val="443C5153"/>
    <w:rsid w:val="447A4D50"/>
    <w:rsid w:val="44AB4F09"/>
    <w:rsid w:val="44B951CC"/>
    <w:rsid w:val="44BC7116"/>
    <w:rsid w:val="44CD14E0"/>
    <w:rsid w:val="44D77AAC"/>
    <w:rsid w:val="44F20B0B"/>
    <w:rsid w:val="44FE685B"/>
    <w:rsid w:val="452E5F4C"/>
    <w:rsid w:val="45612018"/>
    <w:rsid w:val="458946E9"/>
    <w:rsid w:val="45A47C0E"/>
    <w:rsid w:val="45C37002"/>
    <w:rsid w:val="45E9378A"/>
    <w:rsid w:val="463A2A01"/>
    <w:rsid w:val="46577392"/>
    <w:rsid w:val="46577FD6"/>
    <w:rsid w:val="467E7FB4"/>
    <w:rsid w:val="46D955A7"/>
    <w:rsid w:val="46FB7DC6"/>
    <w:rsid w:val="47133957"/>
    <w:rsid w:val="47473075"/>
    <w:rsid w:val="47A07E0C"/>
    <w:rsid w:val="47BF2425"/>
    <w:rsid w:val="47C14F45"/>
    <w:rsid w:val="47C54D69"/>
    <w:rsid w:val="47DB57AF"/>
    <w:rsid w:val="47EE6640"/>
    <w:rsid w:val="48436C28"/>
    <w:rsid w:val="4870272E"/>
    <w:rsid w:val="487970CD"/>
    <w:rsid w:val="48EB758F"/>
    <w:rsid w:val="491868E5"/>
    <w:rsid w:val="4942482A"/>
    <w:rsid w:val="495B713C"/>
    <w:rsid w:val="495E4B1E"/>
    <w:rsid w:val="497C50C6"/>
    <w:rsid w:val="49C8030C"/>
    <w:rsid w:val="49DC7715"/>
    <w:rsid w:val="4A023139"/>
    <w:rsid w:val="4A200056"/>
    <w:rsid w:val="4A7B576F"/>
    <w:rsid w:val="4A82239A"/>
    <w:rsid w:val="4AAB50DC"/>
    <w:rsid w:val="4AF561A9"/>
    <w:rsid w:val="4B0954F7"/>
    <w:rsid w:val="4B0D5586"/>
    <w:rsid w:val="4B0E134B"/>
    <w:rsid w:val="4B20130B"/>
    <w:rsid w:val="4B236654"/>
    <w:rsid w:val="4B3B15C7"/>
    <w:rsid w:val="4BE52CFA"/>
    <w:rsid w:val="4C2016A3"/>
    <w:rsid w:val="4C4A0649"/>
    <w:rsid w:val="4C762E67"/>
    <w:rsid w:val="4C7E5ECA"/>
    <w:rsid w:val="4C876AA5"/>
    <w:rsid w:val="4CBD4107"/>
    <w:rsid w:val="4CE5161E"/>
    <w:rsid w:val="4D0E00FB"/>
    <w:rsid w:val="4D176606"/>
    <w:rsid w:val="4D1F4318"/>
    <w:rsid w:val="4D223028"/>
    <w:rsid w:val="4D275349"/>
    <w:rsid w:val="4D4A7E00"/>
    <w:rsid w:val="4D5F3D23"/>
    <w:rsid w:val="4D7367E0"/>
    <w:rsid w:val="4DB7352B"/>
    <w:rsid w:val="4DEC4FB0"/>
    <w:rsid w:val="4E075D8A"/>
    <w:rsid w:val="4E402B66"/>
    <w:rsid w:val="4E4F3B34"/>
    <w:rsid w:val="4E7E368F"/>
    <w:rsid w:val="4E8D0C9A"/>
    <w:rsid w:val="4EC00FAD"/>
    <w:rsid w:val="4ECF7A46"/>
    <w:rsid w:val="4F7B48BD"/>
    <w:rsid w:val="4F82686E"/>
    <w:rsid w:val="4F9843DC"/>
    <w:rsid w:val="4FA42C81"/>
    <w:rsid w:val="4FC62A8C"/>
    <w:rsid w:val="4FD21660"/>
    <w:rsid w:val="4FDC1050"/>
    <w:rsid w:val="4FE20F0D"/>
    <w:rsid w:val="4FE51552"/>
    <w:rsid w:val="4FEB6B02"/>
    <w:rsid w:val="4FFC2ABD"/>
    <w:rsid w:val="50504C4B"/>
    <w:rsid w:val="50903205"/>
    <w:rsid w:val="509C6E7C"/>
    <w:rsid w:val="50DD677A"/>
    <w:rsid w:val="50E62A0E"/>
    <w:rsid w:val="50FB3A77"/>
    <w:rsid w:val="510C7E1F"/>
    <w:rsid w:val="5145344C"/>
    <w:rsid w:val="5162104E"/>
    <w:rsid w:val="51E5607B"/>
    <w:rsid w:val="520600F2"/>
    <w:rsid w:val="5257655F"/>
    <w:rsid w:val="52614E59"/>
    <w:rsid w:val="532A4C17"/>
    <w:rsid w:val="53352145"/>
    <w:rsid w:val="534F55FA"/>
    <w:rsid w:val="538E6122"/>
    <w:rsid w:val="53A039CC"/>
    <w:rsid w:val="53A1505A"/>
    <w:rsid w:val="53DB172D"/>
    <w:rsid w:val="53E6284E"/>
    <w:rsid w:val="54063E08"/>
    <w:rsid w:val="540C7047"/>
    <w:rsid w:val="54260108"/>
    <w:rsid w:val="543437E8"/>
    <w:rsid w:val="5472334E"/>
    <w:rsid w:val="54F73313"/>
    <w:rsid w:val="54F80955"/>
    <w:rsid w:val="55055F70"/>
    <w:rsid w:val="55257D91"/>
    <w:rsid w:val="555170A7"/>
    <w:rsid w:val="5587536D"/>
    <w:rsid w:val="558A504A"/>
    <w:rsid w:val="55970663"/>
    <w:rsid w:val="559B174B"/>
    <w:rsid w:val="559D6963"/>
    <w:rsid w:val="55CE0CF4"/>
    <w:rsid w:val="56350AD7"/>
    <w:rsid w:val="5650430D"/>
    <w:rsid w:val="56664CEE"/>
    <w:rsid w:val="56A664F1"/>
    <w:rsid w:val="56AB2B47"/>
    <w:rsid w:val="56B22A9C"/>
    <w:rsid w:val="56BD287A"/>
    <w:rsid w:val="56E64DE2"/>
    <w:rsid w:val="57B72A76"/>
    <w:rsid w:val="57C3426C"/>
    <w:rsid w:val="57CC79AB"/>
    <w:rsid w:val="57CE1F93"/>
    <w:rsid w:val="58155EB5"/>
    <w:rsid w:val="58443253"/>
    <w:rsid w:val="58800901"/>
    <w:rsid w:val="588743D1"/>
    <w:rsid w:val="5887701A"/>
    <w:rsid w:val="589046EA"/>
    <w:rsid w:val="58B14761"/>
    <w:rsid w:val="58D36385"/>
    <w:rsid w:val="58DE7204"/>
    <w:rsid w:val="59B52598"/>
    <w:rsid w:val="59C0439F"/>
    <w:rsid w:val="59E74C9B"/>
    <w:rsid w:val="59EC032B"/>
    <w:rsid w:val="5A280D19"/>
    <w:rsid w:val="5A2E6D2B"/>
    <w:rsid w:val="5A4C63EF"/>
    <w:rsid w:val="5A6C4CE3"/>
    <w:rsid w:val="5ABE2233"/>
    <w:rsid w:val="5AC727D6"/>
    <w:rsid w:val="5AEA5DC4"/>
    <w:rsid w:val="5AEF69A9"/>
    <w:rsid w:val="5B94004E"/>
    <w:rsid w:val="5B9B1FEF"/>
    <w:rsid w:val="5BA5225B"/>
    <w:rsid w:val="5BDF5D95"/>
    <w:rsid w:val="5BE06819"/>
    <w:rsid w:val="5BF37F1F"/>
    <w:rsid w:val="5BFE7528"/>
    <w:rsid w:val="5C1F50B0"/>
    <w:rsid w:val="5C237A35"/>
    <w:rsid w:val="5C793BE9"/>
    <w:rsid w:val="5D00091E"/>
    <w:rsid w:val="5D0435CC"/>
    <w:rsid w:val="5D6E35BE"/>
    <w:rsid w:val="5D752454"/>
    <w:rsid w:val="5DE4583C"/>
    <w:rsid w:val="5E2467F1"/>
    <w:rsid w:val="5E443FAD"/>
    <w:rsid w:val="5E7A241D"/>
    <w:rsid w:val="5ECA763F"/>
    <w:rsid w:val="5F1A2B43"/>
    <w:rsid w:val="5F742718"/>
    <w:rsid w:val="5FA56CCD"/>
    <w:rsid w:val="5FB837BB"/>
    <w:rsid w:val="5FED5F7E"/>
    <w:rsid w:val="5FF127B1"/>
    <w:rsid w:val="60140678"/>
    <w:rsid w:val="6062696C"/>
    <w:rsid w:val="60743AFD"/>
    <w:rsid w:val="607448F1"/>
    <w:rsid w:val="608A1A1F"/>
    <w:rsid w:val="608B78E2"/>
    <w:rsid w:val="60B7767B"/>
    <w:rsid w:val="60CC0B32"/>
    <w:rsid w:val="60CC405A"/>
    <w:rsid w:val="60D6798D"/>
    <w:rsid w:val="611F6668"/>
    <w:rsid w:val="613B1527"/>
    <w:rsid w:val="615E2D65"/>
    <w:rsid w:val="61987FD6"/>
    <w:rsid w:val="61B25108"/>
    <w:rsid w:val="61E215D8"/>
    <w:rsid w:val="621B3775"/>
    <w:rsid w:val="62364782"/>
    <w:rsid w:val="623C31ED"/>
    <w:rsid w:val="62530E31"/>
    <w:rsid w:val="62EE2B61"/>
    <w:rsid w:val="63544033"/>
    <w:rsid w:val="6394356A"/>
    <w:rsid w:val="63A63014"/>
    <w:rsid w:val="63C61B2C"/>
    <w:rsid w:val="63D40BE9"/>
    <w:rsid w:val="63F14E81"/>
    <w:rsid w:val="64000357"/>
    <w:rsid w:val="64102431"/>
    <w:rsid w:val="645B7A5E"/>
    <w:rsid w:val="64A5243A"/>
    <w:rsid w:val="64E572DF"/>
    <w:rsid w:val="64F531DE"/>
    <w:rsid w:val="651D625A"/>
    <w:rsid w:val="65373578"/>
    <w:rsid w:val="65850E7C"/>
    <w:rsid w:val="65B66F46"/>
    <w:rsid w:val="66AB0941"/>
    <w:rsid w:val="66B07D06"/>
    <w:rsid w:val="66D44C5F"/>
    <w:rsid w:val="66FB3677"/>
    <w:rsid w:val="671F124A"/>
    <w:rsid w:val="677A33C6"/>
    <w:rsid w:val="679766E8"/>
    <w:rsid w:val="679B1D79"/>
    <w:rsid w:val="67B93D66"/>
    <w:rsid w:val="681F6961"/>
    <w:rsid w:val="68351F58"/>
    <w:rsid w:val="68610A2F"/>
    <w:rsid w:val="68662E2F"/>
    <w:rsid w:val="687065DC"/>
    <w:rsid w:val="68805514"/>
    <w:rsid w:val="68D979E8"/>
    <w:rsid w:val="68E36170"/>
    <w:rsid w:val="69316E2F"/>
    <w:rsid w:val="694E2071"/>
    <w:rsid w:val="69766163"/>
    <w:rsid w:val="697A3B33"/>
    <w:rsid w:val="69BD4C13"/>
    <w:rsid w:val="69CA0626"/>
    <w:rsid w:val="69D44760"/>
    <w:rsid w:val="6A520EC7"/>
    <w:rsid w:val="6A6A4BA1"/>
    <w:rsid w:val="6AA06A0F"/>
    <w:rsid w:val="6AE939CD"/>
    <w:rsid w:val="6AF87E20"/>
    <w:rsid w:val="6B185026"/>
    <w:rsid w:val="6B322639"/>
    <w:rsid w:val="6BD0334A"/>
    <w:rsid w:val="6BD44E58"/>
    <w:rsid w:val="6C1369DD"/>
    <w:rsid w:val="6C1F3963"/>
    <w:rsid w:val="6C636C38"/>
    <w:rsid w:val="6CA2B7B6"/>
    <w:rsid w:val="6D411B6C"/>
    <w:rsid w:val="6D4F2026"/>
    <w:rsid w:val="6D4F4BB6"/>
    <w:rsid w:val="6D710C6E"/>
    <w:rsid w:val="6DAC1227"/>
    <w:rsid w:val="6DB34098"/>
    <w:rsid w:val="6DB545B6"/>
    <w:rsid w:val="6DE02FB4"/>
    <w:rsid w:val="6DF826BE"/>
    <w:rsid w:val="6E151103"/>
    <w:rsid w:val="6E514CED"/>
    <w:rsid w:val="6E533687"/>
    <w:rsid w:val="6E7B34DD"/>
    <w:rsid w:val="6E8A7499"/>
    <w:rsid w:val="6E923646"/>
    <w:rsid w:val="6EA168B2"/>
    <w:rsid w:val="6EB1286D"/>
    <w:rsid w:val="6EB563D5"/>
    <w:rsid w:val="6ED92677"/>
    <w:rsid w:val="6EFB40C5"/>
    <w:rsid w:val="6F1C10EB"/>
    <w:rsid w:val="6F225983"/>
    <w:rsid w:val="6F394169"/>
    <w:rsid w:val="6F5376EC"/>
    <w:rsid w:val="6F697E58"/>
    <w:rsid w:val="6FFC5590"/>
    <w:rsid w:val="70291255"/>
    <w:rsid w:val="70297111"/>
    <w:rsid w:val="706D1DD0"/>
    <w:rsid w:val="70856B87"/>
    <w:rsid w:val="70A55C96"/>
    <w:rsid w:val="70BA1EAD"/>
    <w:rsid w:val="70D527EE"/>
    <w:rsid w:val="70F3716D"/>
    <w:rsid w:val="713316EB"/>
    <w:rsid w:val="715A1F5B"/>
    <w:rsid w:val="715B5300"/>
    <w:rsid w:val="716602F4"/>
    <w:rsid w:val="71991324"/>
    <w:rsid w:val="71A031CF"/>
    <w:rsid w:val="71C35371"/>
    <w:rsid w:val="71D27F8A"/>
    <w:rsid w:val="71E67ADA"/>
    <w:rsid w:val="72240627"/>
    <w:rsid w:val="72553024"/>
    <w:rsid w:val="725E4905"/>
    <w:rsid w:val="72606A84"/>
    <w:rsid w:val="727E23B0"/>
    <w:rsid w:val="72A91AC3"/>
    <w:rsid w:val="72B24254"/>
    <w:rsid w:val="72B90194"/>
    <w:rsid w:val="72C75577"/>
    <w:rsid w:val="72E053CB"/>
    <w:rsid w:val="73085DE8"/>
    <w:rsid w:val="73122968"/>
    <w:rsid w:val="731903A4"/>
    <w:rsid w:val="731F5D5E"/>
    <w:rsid w:val="735A34D3"/>
    <w:rsid w:val="737138B7"/>
    <w:rsid w:val="73AD5785"/>
    <w:rsid w:val="73BA21C4"/>
    <w:rsid w:val="73C51AD5"/>
    <w:rsid w:val="73CD639B"/>
    <w:rsid w:val="741E793C"/>
    <w:rsid w:val="745102B2"/>
    <w:rsid w:val="7452064E"/>
    <w:rsid w:val="7459534C"/>
    <w:rsid w:val="745E3944"/>
    <w:rsid w:val="74A4534E"/>
    <w:rsid w:val="74E10D62"/>
    <w:rsid w:val="751D479F"/>
    <w:rsid w:val="753E0190"/>
    <w:rsid w:val="75471B82"/>
    <w:rsid w:val="7577036C"/>
    <w:rsid w:val="75917CED"/>
    <w:rsid w:val="75C97041"/>
    <w:rsid w:val="7635099D"/>
    <w:rsid w:val="7641097A"/>
    <w:rsid w:val="7739488C"/>
    <w:rsid w:val="77762421"/>
    <w:rsid w:val="77770AF7"/>
    <w:rsid w:val="779C40BA"/>
    <w:rsid w:val="77AD33E7"/>
    <w:rsid w:val="77B56B1F"/>
    <w:rsid w:val="77C11D73"/>
    <w:rsid w:val="77D835D3"/>
    <w:rsid w:val="780305DD"/>
    <w:rsid w:val="780F09F4"/>
    <w:rsid w:val="784C3948"/>
    <w:rsid w:val="787723BE"/>
    <w:rsid w:val="789B25C4"/>
    <w:rsid w:val="78A90480"/>
    <w:rsid w:val="78AB3568"/>
    <w:rsid w:val="78BE4192"/>
    <w:rsid w:val="78DA7590"/>
    <w:rsid w:val="795B1D53"/>
    <w:rsid w:val="797177C8"/>
    <w:rsid w:val="79945B30"/>
    <w:rsid w:val="7A0F7031"/>
    <w:rsid w:val="7A110059"/>
    <w:rsid w:val="7A2C317E"/>
    <w:rsid w:val="7A364017"/>
    <w:rsid w:val="7A644B7F"/>
    <w:rsid w:val="7A8265E1"/>
    <w:rsid w:val="7B205562"/>
    <w:rsid w:val="7B263147"/>
    <w:rsid w:val="7B42644C"/>
    <w:rsid w:val="7B686D42"/>
    <w:rsid w:val="7B6B0973"/>
    <w:rsid w:val="7B841746"/>
    <w:rsid w:val="7B8C08E9"/>
    <w:rsid w:val="7BC876BC"/>
    <w:rsid w:val="7BE42F85"/>
    <w:rsid w:val="7C0274A7"/>
    <w:rsid w:val="7C3B79EC"/>
    <w:rsid w:val="7C6C5AC7"/>
    <w:rsid w:val="7C853395"/>
    <w:rsid w:val="7CB579CC"/>
    <w:rsid w:val="7CBE2D25"/>
    <w:rsid w:val="7CC6544B"/>
    <w:rsid w:val="7CE04A49"/>
    <w:rsid w:val="7D0239FF"/>
    <w:rsid w:val="7D2E7EAA"/>
    <w:rsid w:val="7D4C0330"/>
    <w:rsid w:val="7D5E40CD"/>
    <w:rsid w:val="7D6E02A7"/>
    <w:rsid w:val="7DCD56F2"/>
    <w:rsid w:val="7DE71E07"/>
    <w:rsid w:val="7DF2712A"/>
    <w:rsid w:val="7E174113"/>
    <w:rsid w:val="7E6330B5"/>
    <w:rsid w:val="7E6672C6"/>
    <w:rsid w:val="7E6F258B"/>
    <w:rsid w:val="7F001CE7"/>
    <w:rsid w:val="7F525CD2"/>
    <w:rsid w:val="7F5359CF"/>
    <w:rsid w:val="7F5A23E7"/>
    <w:rsid w:val="7F67011C"/>
    <w:rsid w:val="7F6F0306"/>
    <w:rsid w:val="7FD60385"/>
    <w:rsid w:val="7FE47E50"/>
    <w:rsid w:val="7FFD59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adjustRightInd/>
      <w:snapToGrid/>
      <w:spacing w:line="360" w:lineRule="auto"/>
      <w:ind w:firstLine="0" w:firstLineChars="0"/>
      <w:jc w:val="left"/>
      <w:outlineLvl w:val="1"/>
    </w:pPr>
    <w:rPr>
      <w:rFonts w:ascii="Times New Roman" w:hAnsi="Times New Roman" w:eastAsia="黑体"/>
    </w:rPr>
  </w:style>
  <w:style w:type="paragraph" w:styleId="4">
    <w:name w:val="heading 3"/>
    <w:basedOn w:val="1"/>
    <w:next w:val="1"/>
    <w:qFormat/>
    <w:locked/>
    <w:uiPriority w:val="0"/>
    <w:pPr>
      <w:keepNext/>
      <w:keepLines/>
      <w:spacing w:before="260" w:after="260" w:line="416" w:lineRule="atLeast"/>
      <w:outlineLvl w:val="2"/>
    </w:pPr>
    <w:rPr>
      <w:b/>
      <w:bCs/>
      <w:sz w:val="32"/>
      <w:szCs w:val="32"/>
    </w:rPr>
  </w:style>
  <w:style w:type="paragraph" w:styleId="5">
    <w:name w:val="heading 4"/>
    <w:basedOn w:val="1"/>
    <w:next w:val="1"/>
    <w:qFormat/>
    <w:locked/>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locked/>
    <w:uiPriority w:val="0"/>
    <w:pPr>
      <w:ind w:firstLine="420"/>
    </w:pPr>
    <w:rPr>
      <w:szCs w:val="20"/>
    </w:rPr>
  </w:style>
  <w:style w:type="paragraph" w:styleId="7">
    <w:name w:val="annotation text"/>
    <w:basedOn w:val="1"/>
    <w:link w:val="39"/>
    <w:semiHidden/>
    <w:qFormat/>
    <w:uiPriority w:val="0"/>
    <w:pPr>
      <w:jc w:val="left"/>
    </w:pPr>
    <w:rPr>
      <w:kern w:val="0"/>
      <w:sz w:val="24"/>
      <w:szCs w:val="20"/>
    </w:rPr>
  </w:style>
  <w:style w:type="paragraph" w:styleId="8">
    <w:name w:val="Body Text"/>
    <w:basedOn w:val="1"/>
    <w:next w:val="9"/>
    <w:link w:val="40"/>
    <w:qFormat/>
    <w:uiPriority w:val="0"/>
    <w:pPr>
      <w:widowControl/>
      <w:snapToGrid w:val="0"/>
      <w:spacing w:before="60" w:after="160" w:line="259" w:lineRule="auto"/>
      <w:ind w:right="113"/>
    </w:pPr>
    <w:rPr>
      <w:kern w:val="0"/>
      <w:sz w:val="18"/>
      <w:szCs w:val="20"/>
    </w:rPr>
  </w:style>
  <w:style w:type="paragraph" w:customStyle="1" w:styleId="9">
    <w:name w:val="Date1"/>
    <w:basedOn w:val="1"/>
    <w:next w:val="1"/>
    <w:qFormat/>
    <w:uiPriority w:val="0"/>
    <w:pPr>
      <w:adjustRightInd w:val="0"/>
      <w:jc w:val="left"/>
      <w:textAlignment w:val="baseline"/>
    </w:pPr>
    <w:rPr>
      <w:rFonts w:ascii="宋体" w:hAnsi="宋体"/>
      <w:sz w:val="28"/>
    </w:rPr>
  </w:style>
  <w:style w:type="paragraph" w:styleId="10">
    <w:name w:val="Body Text Indent"/>
    <w:basedOn w:val="1"/>
    <w:next w:val="1"/>
    <w:link w:val="41"/>
    <w:qFormat/>
    <w:uiPriority w:val="0"/>
    <w:pPr>
      <w:spacing w:after="120"/>
      <w:ind w:left="420" w:leftChars="200"/>
    </w:pPr>
    <w:rPr>
      <w:kern w:val="0"/>
      <w:sz w:val="24"/>
      <w:szCs w:val="20"/>
    </w:rPr>
  </w:style>
  <w:style w:type="paragraph" w:styleId="11">
    <w:name w:val="Date"/>
    <w:basedOn w:val="1"/>
    <w:next w:val="1"/>
    <w:link w:val="42"/>
    <w:qFormat/>
    <w:uiPriority w:val="0"/>
    <w:pPr>
      <w:ind w:left="100" w:leftChars="2500"/>
    </w:pPr>
    <w:rPr>
      <w:kern w:val="0"/>
      <w:sz w:val="24"/>
      <w:szCs w:val="20"/>
    </w:rPr>
  </w:style>
  <w:style w:type="paragraph" w:styleId="12">
    <w:name w:val="Balloon Text"/>
    <w:basedOn w:val="1"/>
    <w:link w:val="43"/>
    <w:semiHidden/>
    <w:qFormat/>
    <w:uiPriority w:val="0"/>
    <w:rPr>
      <w:kern w:val="0"/>
      <w:sz w:val="18"/>
      <w:szCs w:val="20"/>
    </w:rPr>
  </w:style>
  <w:style w:type="paragraph" w:styleId="13">
    <w:name w:val="footer"/>
    <w:basedOn w:val="1"/>
    <w:next w:val="1"/>
    <w:link w:val="44"/>
    <w:qFormat/>
    <w:uiPriority w:val="99"/>
    <w:pPr>
      <w:tabs>
        <w:tab w:val="center" w:pos="4153"/>
        <w:tab w:val="right" w:pos="8306"/>
      </w:tabs>
      <w:snapToGrid w:val="0"/>
      <w:jc w:val="left"/>
    </w:pPr>
    <w:rPr>
      <w:kern w:val="0"/>
      <w:sz w:val="18"/>
      <w:szCs w:val="20"/>
    </w:rPr>
  </w:style>
  <w:style w:type="paragraph" w:styleId="14">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15">
    <w:name w:val="Subtitle"/>
    <w:basedOn w:val="1"/>
    <w:next w:val="1"/>
    <w:qFormat/>
    <w:locked/>
    <w:uiPriority w:val="0"/>
    <w:pPr>
      <w:adjustRightInd w:val="0"/>
      <w:snapToGrid w:val="0"/>
      <w:jc w:val="center"/>
    </w:pPr>
    <w:rPr>
      <w:rFonts w:eastAsia="黑体"/>
      <w:bCs/>
      <w:snapToGrid w:val="0"/>
      <w:kern w:val="0"/>
      <w:sz w:val="24"/>
      <w:szCs w:val="32"/>
    </w:rPr>
  </w:style>
  <w:style w:type="paragraph" w:styleId="16">
    <w:name w:val="List"/>
    <w:basedOn w:val="1"/>
    <w:qFormat/>
    <w:locked/>
    <w:uiPriority w:val="0"/>
    <w:pPr>
      <w:spacing w:line="320" w:lineRule="exact"/>
      <w:ind w:firstLine="0" w:firstLineChars="0"/>
      <w:jc w:val="center"/>
    </w:pPr>
    <w:rPr>
      <w:sz w:val="22"/>
    </w:rPr>
  </w:style>
  <w:style w:type="paragraph" w:styleId="17">
    <w:name w:val="Body Text 2"/>
    <w:basedOn w:val="1"/>
    <w:next w:val="1"/>
    <w:qFormat/>
    <w:locked/>
    <w:uiPriority w:val="0"/>
    <w:pPr>
      <w:snapToGrid w:val="0"/>
      <w:jc w:val="center"/>
    </w:pPr>
    <w:rPr>
      <w:sz w:val="28"/>
      <w:szCs w:val="20"/>
    </w:rPr>
  </w:style>
  <w:style w:type="paragraph" w:styleId="18">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7"/>
    <w:next w:val="7"/>
    <w:link w:val="47"/>
    <w:semiHidden/>
    <w:qFormat/>
    <w:uiPriority w:val="0"/>
    <w:rPr>
      <w:b/>
      <w:sz w:val="24"/>
      <w:szCs w:val="20"/>
    </w:rPr>
  </w:style>
  <w:style w:type="paragraph" w:styleId="21">
    <w:name w:val="Body Text First Indent"/>
    <w:basedOn w:val="8"/>
    <w:next w:val="1"/>
    <w:qFormat/>
    <w:locked/>
    <w:uiPriority w:val="0"/>
    <w:pPr>
      <w:ind w:firstLine="420"/>
    </w:pPr>
  </w:style>
  <w:style w:type="paragraph" w:styleId="22">
    <w:name w:val="Body Text First Indent 2"/>
    <w:basedOn w:val="10"/>
    <w:next w:val="1"/>
    <w:qFormat/>
    <w:locked/>
    <w:uiPriority w:val="0"/>
    <w:pPr>
      <w:ind w:firstLine="420" w:firstLineChars="200"/>
    </w:pPr>
    <w:rPr>
      <w:kern w:val="2"/>
      <w:sz w:val="21"/>
      <w:lang w:val="en-US" w:eastAsia="zh-CN"/>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page number"/>
    <w:basedOn w:val="25"/>
    <w:qFormat/>
    <w:locked/>
    <w:uiPriority w:val="0"/>
  </w:style>
  <w:style w:type="character" w:styleId="28">
    <w:name w:val="Emphasis"/>
    <w:basedOn w:val="25"/>
    <w:qFormat/>
    <w:locked/>
    <w:uiPriority w:val="0"/>
    <w:rPr>
      <w:i/>
    </w:rPr>
  </w:style>
  <w:style w:type="character" w:styleId="29">
    <w:name w:val="Hyperlink"/>
    <w:basedOn w:val="25"/>
    <w:qFormat/>
    <w:locked/>
    <w:uiPriority w:val="0"/>
    <w:rPr>
      <w:color w:val="0000FF"/>
      <w:u w:val="single"/>
    </w:rPr>
  </w:style>
  <w:style w:type="character" w:styleId="30">
    <w:name w:val="annotation reference"/>
    <w:semiHidden/>
    <w:qFormat/>
    <w:uiPriority w:val="0"/>
    <w:rPr>
      <w:sz w:val="21"/>
    </w:rPr>
  </w:style>
  <w:style w:type="paragraph" w:customStyle="1" w:styleId="31">
    <w:name w:val="表格"/>
    <w:basedOn w:val="32"/>
    <w:next w:val="1"/>
    <w:link w:val="51"/>
    <w:qFormat/>
    <w:uiPriority w:val="0"/>
    <w:pPr>
      <w:adjustRightInd w:val="0"/>
      <w:snapToGrid w:val="0"/>
      <w:spacing w:beforeLines="10" w:afterLines="10" w:line="259" w:lineRule="auto"/>
      <w:jc w:val="center"/>
    </w:pPr>
    <w:rPr>
      <w:rFonts w:ascii="宋体"/>
      <w:kern w:val="0"/>
      <w:szCs w:val="20"/>
    </w:rPr>
  </w:style>
  <w:style w:type="paragraph" w:customStyle="1" w:styleId="32">
    <w:name w:val="Normal Indent1"/>
    <w:basedOn w:val="1"/>
    <w:qFormat/>
    <w:uiPriority w:val="0"/>
    <w:pPr>
      <w:spacing w:line="600" w:lineRule="exact"/>
      <w:ind w:firstLine="420"/>
    </w:pPr>
    <w:rPr>
      <w:rFonts w:ascii="宋体" w:cs="Times New Roman"/>
      <w:sz w:val="32"/>
      <w:szCs w:val="20"/>
    </w:rPr>
  </w:style>
  <w:style w:type="paragraph" w:customStyle="1" w:styleId="33">
    <w:name w:val="Plain Text1"/>
    <w:basedOn w:val="1"/>
    <w:qFormat/>
    <w:uiPriority w:val="0"/>
    <w:rPr>
      <w:rFonts w:ascii="宋体" w:hAnsi="Courier New" w:cs="Courier New"/>
      <w:szCs w:val="21"/>
    </w:rPr>
  </w:style>
  <w:style w:type="paragraph" w:customStyle="1" w:styleId="34">
    <w:name w:val="Plain Text"/>
    <w:basedOn w:val="1"/>
    <w:qFormat/>
    <w:uiPriority w:val="0"/>
    <w:rPr>
      <w:rFonts w:ascii="宋体" w:hAnsi="Courier New" w:cs="Courier New"/>
      <w:szCs w:val="21"/>
    </w:rPr>
  </w:style>
  <w:style w:type="paragraph" w:customStyle="1" w:styleId="35">
    <w:name w:val="正文首行缩进2个字 Char"/>
    <w:basedOn w:val="1"/>
    <w:qFormat/>
    <w:uiPriority w:val="0"/>
    <w:pPr>
      <w:ind w:firstLine="480" w:firstLineChars="200"/>
    </w:pPr>
    <w:rPr>
      <w:rFonts w:eastAsia="楷体"/>
      <w:sz w:val="24"/>
    </w:rPr>
  </w:style>
  <w:style w:type="paragraph" w:customStyle="1" w:styleId="36">
    <w:name w:val="正文（缩进）"/>
    <w:basedOn w:val="37"/>
    <w:next w:val="1"/>
    <w:qFormat/>
    <w:uiPriority w:val="99"/>
    <w:pPr>
      <w:spacing w:line="360" w:lineRule="auto"/>
      <w:ind w:firstLine="480"/>
    </w:pPr>
  </w:style>
  <w:style w:type="paragraph" w:customStyle="1" w:styleId="37">
    <w:name w:val="正文(首行缩进)"/>
    <w:basedOn w:val="1"/>
    <w:next w:val="1"/>
    <w:qFormat/>
    <w:uiPriority w:val="0"/>
    <w:pPr>
      <w:spacing w:line="460" w:lineRule="exact"/>
      <w:ind w:firstLine="560" w:firstLineChars="200"/>
    </w:pPr>
    <w:rPr>
      <w:rFonts w:ascii="宋体" w:hAnsi="宋体"/>
      <w:snapToGrid w:val="0"/>
      <w:color w:val="000000"/>
      <w:kern w:val="0"/>
      <w:sz w:val="24"/>
    </w:rPr>
  </w:style>
  <w:style w:type="paragraph" w:customStyle="1" w:styleId="38">
    <w:name w:val="Body Text First Indent1"/>
    <w:basedOn w:val="8"/>
    <w:qFormat/>
    <w:uiPriority w:val="0"/>
    <w:pPr>
      <w:ind w:firstLine="420" w:firstLineChars="100"/>
    </w:pPr>
  </w:style>
  <w:style w:type="character" w:customStyle="1" w:styleId="39">
    <w:name w:val="批注文字 Char"/>
    <w:link w:val="7"/>
    <w:qFormat/>
    <w:locked/>
    <w:uiPriority w:val="0"/>
    <w:rPr>
      <w:rFonts w:ascii="Times New Roman" w:hAnsi="Times New Roman" w:eastAsia="宋体"/>
      <w:sz w:val="24"/>
    </w:rPr>
  </w:style>
  <w:style w:type="character" w:customStyle="1" w:styleId="40">
    <w:name w:val="正文文本 Char"/>
    <w:link w:val="8"/>
    <w:qFormat/>
    <w:locked/>
    <w:uiPriority w:val="0"/>
    <w:rPr>
      <w:sz w:val="18"/>
    </w:rPr>
  </w:style>
  <w:style w:type="character" w:customStyle="1" w:styleId="41">
    <w:name w:val="正文文本缩进 Char"/>
    <w:link w:val="10"/>
    <w:semiHidden/>
    <w:qFormat/>
    <w:locked/>
    <w:uiPriority w:val="0"/>
    <w:rPr>
      <w:rFonts w:ascii="Times New Roman" w:hAnsi="Times New Roman" w:eastAsia="宋体"/>
      <w:sz w:val="24"/>
    </w:rPr>
  </w:style>
  <w:style w:type="character" w:customStyle="1" w:styleId="42">
    <w:name w:val="日期 Char"/>
    <w:link w:val="11"/>
    <w:qFormat/>
    <w:locked/>
    <w:uiPriority w:val="0"/>
    <w:rPr>
      <w:rFonts w:ascii="Times New Roman" w:hAnsi="Times New Roman" w:eastAsia="宋体"/>
      <w:sz w:val="24"/>
    </w:rPr>
  </w:style>
  <w:style w:type="character" w:customStyle="1" w:styleId="43">
    <w:name w:val="批注框文本 Char"/>
    <w:link w:val="12"/>
    <w:semiHidden/>
    <w:qFormat/>
    <w:locked/>
    <w:uiPriority w:val="0"/>
    <w:rPr>
      <w:rFonts w:ascii="Times New Roman" w:hAnsi="Times New Roman" w:eastAsia="宋体"/>
      <w:sz w:val="18"/>
    </w:rPr>
  </w:style>
  <w:style w:type="character" w:customStyle="1" w:styleId="44">
    <w:name w:val="页脚 Char"/>
    <w:link w:val="13"/>
    <w:qFormat/>
    <w:locked/>
    <w:uiPriority w:val="99"/>
    <w:rPr>
      <w:sz w:val="18"/>
    </w:rPr>
  </w:style>
  <w:style w:type="character" w:customStyle="1" w:styleId="45">
    <w:name w:val="页眉 Char"/>
    <w:link w:val="14"/>
    <w:qFormat/>
    <w:locked/>
    <w:uiPriority w:val="0"/>
    <w:rPr>
      <w:sz w:val="18"/>
    </w:rPr>
  </w:style>
  <w:style w:type="character" w:customStyle="1" w:styleId="46">
    <w:name w:val="普通(网站) Char"/>
    <w:link w:val="19"/>
    <w:qFormat/>
    <w:locked/>
    <w:uiPriority w:val="0"/>
    <w:rPr>
      <w:rFonts w:ascii="宋体" w:hAnsi="宋体" w:eastAsia="宋体"/>
      <w:sz w:val="24"/>
    </w:rPr>
  </w:style>
  <w:style w:type="character" w:customStyle="1" w:styleId="47">
    <w:name w:val="批注主题 Char"/>
    <w:link w:val="20"/>
    <w:semiHidden/>
    <w:qFormat/>
    <w:locked/>
    <w:uiPriority w:val="0"/>
    <w:rPr>
      <w:rFonts w:ascii="Times New Roman" w:hAnsi="Times New Roman" w:eastAsia="宋体"/>
      <w:b/>
      <w:kern w:val="2"/>
      <w:sz w:val="24"/>
    </w:rPr>
  </w:style>
  <w:style w:type="paragraph" w:customStyle="1" w:styleId="48">
    <w:name w:val="表头"/>
    <w:basedOn w:val="16"/>
    <w:next w:val="1"/>
    <w:qFormat/>
    <w:uiPriority w:val="0"/>
    <w:pPr>
      <w:adjustRightInd w:val="0"/>
      <w:spacing w:before="80" w:after="80"/>
      <w:jc w:val="center"/>
      <w:textAlignment w:val="baseline"/>
    </w:pPr>
    <w:rPr>
      <w:rFonts w:ascii="仿宋_GB2312" w:eastAsia="仿宋_GB2312"/>
      <w:kern w:val="0"/>
      <w:sz w:val="24"/>
      <w:szCs w:val="20"/>
    </w:rPr>
  </w:style>
  <w:style w:type="character" w:customStyle="1" w:styleId="49">
    <w:name w:val="页脚 字符"/>
    <w:basedOn w:val="25"/>
    <w:qFormat/>
    <w:uiPriority w:val="99"/>
  </w:style>
  <w:style w:type="character" w:customStyle="1" w:styleId="50">
    <w:name w:val="正文文本 字符1"/>
    <w:semiHidden/>
    <w:qFormat/>
    <w:uiPriority w:val="0"/>
    <w:rPr>
      <w:rFonts w:ascii="Times New Roman" w:hAnsi="Times New Roman" w:eastAsia="宋体"/>
      <w:sz w:val="24"/>
    </w:rPr>
  </w:style>
  <w:style w:type="character" w:customStyle="1" w:styleId="51">
    <w:name w:val="表格 Char"/>
    <w:link w:val="31"/>
    <w:qFormat/>
    <w:locked/>
    <w:uiPriority w:val="0"/>
    <w:rPr>
      <w:rFonts w:ascii="宋体"/>
      <w:sz w:val="21"/>
    </w:rPr>
  </w:style>
  <w:style w:type="character" w:customStyle="1" w:styleId="52">
    <w:name w:val="日期 字符"/>
    <w:semiHidden/>
    <w:qFormat/>
    <w:uiPriority w:val="0"/>
    <w:rPr>
      <w:rFonts w:ascii="Times New Roman" w:hAnsi="Times New Roman" w:eastAsia="宋体"/>
      <w:sz w:val="24"/>
    </w:rPr>
  </w:style>
  <w:style w:type="character" w:customStyle="1" w:styleId="53">
    <w:name w:val="批注文字 字符1"/>
    <w:semiHidden/>
    <w:qFormat/>
    <w:uiPriority w:val="0"/>
    <w:rPr>
      <w:rFonts w:ascii="Times New Roman" w:hAnsi="Times New Roman" w:eastAsia="宋体"/>
      <w:sz w:val="24"/>
    </w:rPr>
  </w:style>
  <w:style w:type="paragraph" w:customStyle="1" w:styleId="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paragraph" w:styleId="56">
    <w:name w:val="No Spacing"/>
    <w:basedOn w:val="1"/>
    <w:next w:val="1"/>
    <w:qFormat/>
    <w:uiPriority w:val="1"/>
    <w:pPr>
      <w:adjustRightInd w:val="0"/>
      <w:snapToGrid w:val="0"/>
      <w:spacing w:line="360" w:lineRule="auto"/>
      <w:ind w:firstLine="200" w:firstLineChars="200"/>
      <w:jc w:val="left"/>
    </w:pPr>
    <w:rPr>
      <w:snapToGrid w:val="0"/>
      <w:kern w:val="0"/>
      <w:sz w:val="24"/>
      <w:szCs w:val="22"/>
    </w:rPr>
  </w:style>
  <w:style w:type="paragraph" w:customStyle="1" w:styleId="57">
    <w:name w:val="小标题"/>
    <w:basedOn w:val="1"/>
    <w:next w:val="8"/>
    <w:qFormat/>
    <w:uiPriority w:val="0"/>
    <w:pPr>
      <w:adjustRightInd w:val="0"/>
      <w:snapToGrid w:val="0"/>
      <w:spacing w:line="360" w:lineRule="auto"/>
    </w:pPr>
    <w:rPr>
      <w:rFonts w:eastAsia="黑体"/>
      <w:snapToGrid w:val="0"/>
      <w:kern w:val="0"/>
      <w:sz w:val="24"/>
    </w:rPr>
  </w:style>
  <w:style w:type="paragraph" w:customStyle="1" w:styleId="58">
    <w:name w:val="标准正文"/>
    <w:basedOn w:val="1"/>
    <w:qFormat/>
    <w:uiPriority w:val="0"/>
    <w:pPr>
      <w:spacing w:line="360" w:lineRule="auto"/>
      <w:ind w:firstLine="480" w:firstLineChars="200"/>
      <w:jc w:val="left"/>
    </w:pPr>
    <w:rPr>
      <w:rFonts w:ascii="Times New Roman" w:hAnsi="Times New Roman"/>
      <w:sz w:val="24"/>
    </w:rPr>
  </w:style>
  <w:style w:type="paragraph" w:customStyle="1" w:styleId="59">
    <w:name w:val="表内文字"/>
    <w:basedOn w:val="60"/>
    <w:next w:val="1"/>
    <w:qFormat/>
    <w:uiPriority w:val="0"/>
    <w:pPr>
      <w:adjustRightInd w:val="0"/>
      <w:snapToGrid w:val="0"/>
    </w:pPr>
    <w:rPr>
      <w:rFonts w:cs="宋体"/>
      <w:snapToGrid w:val="0"/>
      <w:color w:val="000000"/>
      <w:kern w:val="0"/>
      <w:szCs w:val="20"/>
    </w:rPr>
  </w:style>
  <w:style w:type="paragraph" w:customStyle="1" w:styleId="60">
    <w:name w:val="表头11"/>
    <w:basedOn w:val="1"/>
    <w:next w:val="1"/>
    <w:qFormat/>
    <w:uiPriority w:val="0"/>
    <w:pPr>
      <w:adjustRightInd w:val="0"/>
      <w:snapToGrid w:val="0"/>
    </w:pPr>
    <w:rPr>
      <w:rFonts w:eastAsia="黑体"/>
    </w:rPr>
  </w:style>
  <w:style w:type="paragraph" w:customStyle="1" w:styleId="61">
    <w:name w:val="环评正文"/>
    <w:basedOn w:val="1"/>
    <w:qFormat/>
    <w:uiPriority w:val="0"/>
    <w:pPr>
      <w:spacing w:line="360" w:lineRule="auto"/>
      <w:ind w:firstLine="200" w:firstLineChars="200"/>
    </w:pPr>
    <w:rPr>
      <w:sz w:val="24"/>
    </w:rPr>
  </w:style>
  <w:style w:type="paragraph" w:customStyle="1" w:styleId="62">
    <w:name w:val="表格内容"/>
    <w:basedOn w:val="6"/>
    <w:qFormat/>
    <w:uiPriority w:val="0"/>
    <w:pPr>
      <w:adjustRightInd w:val="0"/>
      <w:snapToGrid w:val="0"/>
      <w:spacing w:line="240" w:lineRule="atLeast"/>
      <w:ind w:firstLine="0" w:firstLineChars="0"/>
      <w:jc w:val="center"/>
    </w:pPr>
    <w:rPr>
      <w:snapToGrid w:val="0"/>
      <w:sz w:val="21"/>
    </w:rPr>
  </w:style>
  <w:style w:type="paragraph" w:customStyle="1" w:styleId="63">
    <w:name w:val="正文（首行缩进两字）"/>
    <w:basedOn w:val="1"/>
    <w:qFormat/>
    <w:uiPriority w:val="0"/>
    <w:pPr>
      <w:spacing w:line="360" w:lineRule="auto"/>
      <w:ind w:firstLine="420"/>
    </w:pPr>
    <w:rPr>
      <w:sz w:val="28"/>
      <w:szCs w:val="21"/>
    </w:rPr>
  </w:style>
  <w:style w:type="paragraph" w:customStyle="1" w:styleId="64">
    <w:name w:val="【正文】"/>
    <w:basedOn w:val="1"/>
    <w:next w:val="1"/>
    <w:qFormat/>
    <w:uiPriority w:val="0"/>
    <w:pPr>
      <w:widowControl/>
      <w:suppressAutoHyphens/>
      <w:overflowPunct w:val="0"/>
      <w:autoSpaceDN w:val="0"/>
      <w:ind w:firstLine="200" w:firstLineChars="200"/>
      <w:jc w:val="both"/>
    </w:pPr>
    <w:rPr>
      <w:rFonts w:cs="宋体"/>
      <w:color w:val="auto"/>
      <w:sz w:val="24"/>
      <w:szCs w:val="20"/>
    </w:rPr>
  </w:style>
  <w:style w:type="paragraph" w:customStyle="1" w:styleId="65">
    <w:name w:val="预测表格"/>
    <w:basedOn w:val="1"/>
    <w:qFormat/>
    <w:uiPriority w:val="0"/>
    <w:pPr>
      <w:ind w:left="-15" w:leftChars="-15" w:right="-15" w:rightChars="-15"/>
      <w:jc w:val="center"/>
    </w:pPr>
    <w:rPr>
      <w:rFonts w:ascii="宋体" w:hAnsi="宋体"/>
      <w:spacing w:val="-5"/>
      <w:sz w:val="18"/>
      <w:szCs w:val="18"/>
    </w:rPr>
  </w:style>
  <w:style w:type="paragraph" w:customStyle="1" w:styleId="66">
    <w:name w:val="报告表正文"/>
    <w:basedOn w:val="1"/>
    <w:qFormat/>
    <w:uiPriority w:val="0"/>
    <w:pPr>
      <w:overflowPunct w:val="0"/>
      <w:adjustRightInd w:val="0"/>
      <w:snapToGrid w:val="0"/>
      <w:spacing w:line="360" w:lineRule="auto"/>
      <w:ind w:firstLine="200" w:firstLineChars="200"/>
    </w:pPr>
    <w:rPr>
      <w:rFonts w:eastAsia="仿宋_GB2312"/>
      <w:color w:val="000000"/>
      <w:kern w:val="16"/>
      <w:sz w:val="24"/>
    </w:rPr>
  </w:style>
  <w:style w:type="paragraph" w:customStyle="1" w:styleId="67">
    <w:name w:val="cucd-0"/>
    <w:qFormat/>
    <w:uiPriority w:val="0"/>
    <w:pPr>
      <w:spacing w:line="360" w:lineRule="auto"/>
      <w:ind w:firstLine="480" w:firstLineChars="200"/>
    </w:pPr>
    <w:rPr>
      <w:rFonts w:ascii="Times New Roman" w:hAnsi="Times New Roman" w:eastAsia="仿宋_GB2312" w:cs="Times New Roman"/>
      <w:sz w:val="24"/>
      <w:szCs w:val="24"/>
      <w:lang w:val="en-US" w:eastAsia="zh-CN" w:bidi="ar-SA"/>
    </w:rPr>
  </w:style>
  <w:style w:type="paragraph" w:customStyle="1" w:styleId="68">
    <w:name w:val="xl27"/>
    <w:basedOn w:val="1"/>
    <w:next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69">
    <w:name w:val="样式 样式 样式 小四 首行缩进:  2.25 字符 + 首行缩进:  2.25 字符 + 首行缩进:  2 字符"/>
    <w:basedOn w:val="70"/>
    <w:qFormat/>
    <w:uiPriority w:val="0"/>
  </w:style>
  <w:style w:type="paragraph" w:customStyle="1" w:styleId="70">
    <w:name w:val="样式 样式 小四 首行缩进:  2.25 字符 + 首行缩进:  2.25 字符"/>
    <w:basedOn w:val="71"/>
    <w:qFormat/>
    <w:uiPriority w:val="0"/>
  </w:style>
  <w:style w:type="paragraph" w:customStyle="1" w:styleId="71">
    <w:name w:val="样式 小四 首行缩进:  2.25 字符"/>
    <w:basedOn w:val="1"/>
    <w:qFormat/>
    <w:uiPriority w:val="0"/>
    <w:pPr>
      <w:spacing w:line="440" w:lineRule="exact"/>
      <w:ind w:firstLine="200" w:firstLineChars="200"/>
    </w:pPr>
    <w:rPr>
      <w:rFonts w:ascii="Times New Roman" w:hAnsi="Times New Roman" w:eastAsia="宋体"/>
      <w:sz w:val="24"/>
      <w:szCs w:val="20"/>
    </w:rPr>
  </w:style>
  <w:style w:type="paragraph" w:customStyle="1" w:styleId="72">
    <w:name w:val="表题注"/>
    <w:basedOn w:val="73"/>
    <w:qFormat/>
    <w:uiPriority w:val="0"/>
    <w:pPr>
      <w:spacing w:line="240" w:lineRule="auto"/>
    </w:pPr>
    <w:rPr>
      <w:b/>
      <w:sz w:val="24"/>
    </w:rPr>
  </w:style>
  <w:style w:type="paragraph" w:customStyle="1" w:styleId="73">
    <w:name w:val="表格样式"/>
    <w:basedOn w:val="1"/>
    <w:qFormat/>
    <w:uiPriority w:val="0"/>
    <w:pPr>
      <w:adjustRightInd w:val="0"/>
      <w:snapToGrid w:val="0"/>
      <w:spacing w:line="320" w:lineRule="exact"/>
      <w:ind w:firstLine="0" w:firstLineChars="0"/>
      <w:jc w:val="center"/>
    </w:pPr>
    <w:rPr>
      <w:sz w:val="21"/>
      <w:szCs w:val="21"/>
    </w:rPr>
  </w:style>
  <w:style w:type="paragraph" w:customStyle="1" w:styleId="74">
    <w:name w:val="文本"/>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75">
    <w:name w:val="正文001"/>
    <w:basedOn w:val="1"/>
    <w:qFormat/>
    <w:uiPriority w:val="0"/>
    <w:pPr>
      <w:adjustRightInd w:val="0"/>
      <w:snapToGrid w:val="0"/>
      <w:spacing w:line="360" w:lineRule="auto"/>
      <w:ind w:firstLine="720" w:firstLineChars="200"/>
      <w:jc w:val="both"/>
      <w:outlineLvl w:val="0"/>
    </w:pPr>
    <w:rPr>
      <w:rFonts w:ascii="Times New Roman" w:hAnsi="Times New Roman" w:eastAsia="宋体"/>
      <w:sz w:val="24"/>
    </w:rPr>
  </w:style>
  <w:style w:type="paragraph" w:customStyle="1" w:styleId="76">
    <w:name w:val="表格001"/>
    <w:basedOn w:val="1"/>
    <w:next w:val="75"/>
    <w:qFormat/>
    <w:uiPriority w:val="0"/>
    <w:pPr>
      <w:adjustRightInd w:val="0"/>
      <w:snapToGrid w:val="0"/>
      <w:spacing w:line="240" w:lineRule="auto"/>
      <w:jc w:val="center"/>
    </w:pPr>
    <w:rPr>
      <w:szCs w:val="21"/>
    </w:rPr>
  </w:style>
  <w:style w:type="paragraph" w:customStyle="1" w:styleId="77">
    <w:name w:val="Table Paragraph"/>
    <w:basedOn w:val="1"/>
    <w:qFormat/>
    <w:uiPriority w:val="0"/>
    <w:pPr>
      <w:jc w:val="left"/>
    </w:pPr>
    <w:rPr>
      <w:rFonts w:ascii="Calibri" w:hAnsi="Calibri"/>
      <w:kern w:val="0"/>
      <w:sz w:val="22"/>
      <w:szCs w:val="22"/>
    </w:rPr>
  </w:style>
  <w:style w:type="paragraph" w:customStyle="1" w:styleId="78">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Body Text First Indent"/>
    <w:basedOn w:val="8"/>
    <w:qFormat/>
    <w:uiPriority w:val="0"/>
    <w:pPr>
      <w:ind w:firstLine="420" w:firstLineChars="100"/>
    </w:pPr>
  </w:style>
  <w:style w:type="paragraph" w:styleId="81">
    <w:name w:val="Quote"/>
    <w:basedOn w:val="1"/>
    <w:next w:val="1"/>
    <w:qFormat/>
    <w:uiPriority w:val="29"/>
    <w:pPr>
      <w:spacing w:line="240" w:lineRule="auto"/>
      <w:ind w:firstLine="0" w:firstLineChars="0"/>
      <w:jc w:val="center"/>
    </w:pPr>
    <w:rPr>
      <w:iCs/>
      <w:color w:val="000000" w:themeColor="text1"/>
      <w:sz w:val="21"/>
      <w14:textFill>
        <w14:solidFill>
          <w14:schemeClr w14:val="tx1"/>
        </w14:solidFill>
      </w14:textFill>
    </w:rPr>
  </w:style>
  <w:style w:type="paragraph" w:customStyle="1" w:styleId="82">
    <w:name w:val="正文12"/>
    <w:basedOn w:val="1"/>
    <w:qFormat/>
    <w:uiPriority w:val="0"/>
    <w:pPr>
      <w:adjustRightInd w:val="0"/>
      <w:snapToGrid w:val="0"/>
      <w:spacing w:line="360" w:lineRule="auto"/>
      <w:ind w:firstLine="200" w:firstLineChars="200"/>
      <w:jc w:val="left"/>
    </w:pPr>
    <w:rPr>
      <w:kern w:val="0"/>
      <w:szCs w:val="21"/>
    </w:rPr>
  </w:style>
  <w:style w:type="paragraph" w:customStyle="1" w:styleId="83">
    <w:name w:val="001"/>
    <w:basedOn w:val="1"/>
    <w:qFormat/>
    <w:uiPriority w:val="0"/>
    <w:pPr>
      <w:adjustRightInd w:val="0"/>
      <w:snapToGrid w:val="0"/>
      <w:spacing w:line="360" w:lineRule="auto"/>
      <w:ind w:firstLine="720" w:firstLineChars="200"/>
    </w:pPr>
    <w:rPr>
      <w:rFonts w:hint="eastAsia"/>
      <w:sz w:val="24"/>
    </w:rPr>
  </w:style>
  <w:style w:type="paragraph" w:customStyle="1" w:styleId="84">
    <w:name w:val="【表头】"/>
    <w:basedOn w:val="1"/>
    <w:next w:val="1"/>
    <w:qFormat/>
    <w:uiPriority w:val="0"/>
    <w:pPr>
      <w:widowControl/>
      <w:spacing w:line="460" w:lineRule="exact"/>
      <w:jc w:val="center"/>
    </w:pPr>
    <w:rPr>
      <w:rFonts w:eastAsia="黑体" w:cs="Times New Roman"/>
      <w:snapToGrid w:val="0"/>
      <w:szCs w:val="24"/>
    </w:rPr>
  </w:style>
  <w:style w:type="paragraph" w:customStyle="1" w:styleId="85">
    <w:name w:val="正文样式"/>
    <w:basedOn w:val="1"/>
    <w:qFormat/>
    <w:uiPriority w:val="0"/>
    <w:pPr>
      <w:adjustRightInd w:val="0"/>
      <w:snapToGrid w:val="0"/>
      <w:spacing w:line="360" w:lineRule="auto"/>
      <w:ind w:firstLine="542" w:firstLineChars="225"/>
      <w:jc w:val="center"/>
    </w:pPr>
    <w:rPr>
      <w:rFonts w:ascii="Times New Roman" w:hAnsi="Times New Roman" w:eastAsia="宋体"/>
      <w:b/>
      <w:color w:val="FF0000"/>
    </w:rPr>
  </w:style>
  <w:style w:type="table" w:customStyle="1" w:styleId="86">
    <w:name w:val="Table Normal"/>
    <w:semiHidden/>
    <w:unhideWhenUsed/>
    <w:qFormat/>
    <w:uiPriority w:val="0"/>
    <w:tblPr>
      <w:tblCellMar>
        <w:top w:w="0" w:type="dxa"/>
        <w:left w:w="0" w:type="dxa"/>
        <w:bottom w:w="0" w:type="dxa"/>
        <w:right w:w="0" w:type="dxa"/>
      </w:tblCellMar>
    </w:tblPr>
  </w:style>
  <w:style w:type="character" w:customStyle="1" w:styleId="87">
    <w:name w:val="样式 小四 Char Char"/>
    <w:link w:val="88"/>
    <w:qFormat/>
    <w:uiPriority w:val="0"/>
    <w:rPr>
      <w:rFonts w:ascii="Times New Roman"/>
      <w:kern w:val="2"/>
      <w:szCs w:val="24"/>
    </w:rPr>
  </w:style>
  <w:style w:type="paragraph" w:customStyle="1" w:styleId="88">
    <w:name w:val="样式 小四 Char"/>
    <w:basedOn w:val="1"/>
    <w:link w:val="87"/>
    <w:qFormat/>
    <w:uiPriority w:val="0"/>
    <w:pPr>
      <w:spacing w:line="360" w:lineRule="auto"/>
      <w:ind w:firstLine="480" w:firstLineChars="200"/>
    </w:pPr>
    <w:rPr>
      <w:rFonts w:ascii="Times New Roman"/>
      <w:kern w:val="2"/>
      <w:szCs w:val="24"/>
    </w:rPr>
  </w:style>
  <w:style w:type="paragraph" w:styleId="89">
    <w:name w:val="List Paragraph"/>
    <w:basedOn w:val="1"/>
    <w:qFormat/>
    <w:uiPriority w:val="99"/>
    <w:pPr>
      <w:spacing w:line="520" w:lineRule="exact"/>
      <w:ind w:firstLine="420" w:firstLineChars="200"/>
    </w:pPr>
    <w:rPr>
      <w:sz w:val="24"/>
    </w:rPr>
  </w:style>
  <w:style w:type="character" w:customStyle="1" w:styleId="90">
    <w:name w:val="font31"/>
    <w:basedOn w:val="25"/>
    <w:qFormat/>
    <w:uiPriority w:val="0"/>
    <w:rPr>
      <w:rFonts w:hint="eastAsia" w:ascii="宋体" w:hAnsi="宋体" w:eastAsia="宋体" w:cs="宋体"/>
      <w:color w:val="000000"/>
      <w:sz w:val="21"/>
      <w:szCs w:val="21"/>
      <w:u w:val="none"/>
    </w:rPr>
  </w:style>
  <w:style w:type="paragraph" w:customStyle="1" w:styleId="91">
    <w:name w:val="666【正文】"/>
    <w:basedOn w:val="1"/>
    <w:qFormat/>
    <w:uiPriority w:val="0"/>
    <w:pPr>
      <w:adjustRightInd/>
      <w:snapToGrid/>
      <w:spacing w:line="240" w:lineRule="auto"/>
    </w:pPr>
    <w:rPr>
      <w:rFonts w:cs="宋体"/>
      <w:snapToGrid/>
      <w:kern w:val="2"/>
      <w:szCs w:val="20"/>
    </w:rPr>
  </w:style>
  <w:style w:type="character" w:customStyle="1" w:styleId="92">
    <w:name w:val="font21"/>
    <w:basedOn w:val="25"/>
    <w:qFormat/>
    <w:uiPriority w:val="0"/>
    <w:rPr>
      <w:rFonts w:hint="default" w:ascii="Times New Roman" w:hAnsi="Times New Roman" w:cs="Times New Roman"/>
      <w:color w:val="000000"/>
      <w:sz w:val="21"/>
      <w:szCs w:val="21"/>
      <w:u w:val="none"/>
    </w:rPr>
  </w:style>
  <w:style w:type="character" w:customStyle="1" w:styleId="93">
    <w:name w:val="font1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yuan/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51</Pages>
  <Words>6644</Words>
  <Characters>6969</Characters>
  <Lines>13</Lines>
  <Paragraphs>3</Paragraphs>
  <TotalTime>0</TotalTime>
  <ScaleCrop>false</ScaleCrop>
  <LinksUpToDate>false</LinksUpToDate>
  <CharactersWithSpaces>7034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guyuan</cp:lastModifiedBy>
  <cp:lastPrinted>2020-12-29T10:43:00Z</cp:lastPrinted>
  <dcterms:modified xsi:type="dcterms:W3CDTF">2025-09-09T15:48:58Z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C1BEEBE5CACE4B31BD1C4B10FD7B2E59_13</vt:lpwstr>
  </property>
  <property fmtid="{D5CDD505-2E9C-101B-9397-08002B2CF9AE}" pid="4" name="KSOTemplateDocerSaveRecord">
    <vt:lpwstr>eyJoZGlkIjoiMzljNGEzMmM3NjRiYjMzMjJmY2JhY2E2Y2I1OTNmM2QiLCJ1c2VySWQiOiIyMzcyMzkzODUifQ==</vt:lpwstr>
  </property>
</Properties>
</file>