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before="192" w:beforeLines="80"/>
        <w:jc w:val="center"/>
        <w:rPr>
          <w:rFonts w:hint="default" w:ascii="Times New Roman" w:hAnsi="Times New Roman" w:eastAsia="楷体" w:cs="Times New Roman"/>
          <w:bCs/>
          <w:color w:val="auto"/>
          <w:sz w:val="44"/>
          <w:szCs w:val="44"/>
          <w:lang w:eastAsia="zh-CN"/>
        </w:rPr>
      </w:pPr>
      <w:r>
        <w:rPr>
          <w:rFonts w:hint="default" w:ascii="Times New Roman" w:hAnsi="Times New Roman" w:eastAsia="楷体" w:cs="Times New Roman"/>
          <w:bCs/>
          <w:color w:val="auto"/>
          <w:sz w:val="44"/>
          <w:szCs w:val="44"/>
          <w:lang w:eastAsia="zh-CN"/>
        </w:rPr>
        <w:t>（送审稿）</w:t>
      </w:r>
    </w:p>
    <w:p>
      <w:pPr>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30" w:leftChars="300" w:hanging="1800" w:hangingChars="5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 w:cs="Times New Roman"/>
          <w:color w:val="auto"/>
          <w:sz w:val="36"/>
          <w:szCs w:val="36"/>
          <w:u w:val="single"/>
          <w:lang w:val="en-US" w:eastAsia="zh-CN"/>
        </w:rPr>
        <w:t>宁夏回族自治区泾源县黄河流域农业面源污染综合治理项目（宁夏延龄生态农业开发有限公司有机肥加工厂项目）</w:t>
      </w:r>
      <w:r>
        <w:rPr>
          <w:rFonts w:hint="default" w:ascii="Times New Roman" w:hAnsi="Times New Roman" w:eastAsia="仿宋_GB2312" w:cs="Times New Roman"/>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Chars="3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 w:cs="Times New Roman"/>
          <w:color w:val="auto"/>
          <w:sz w:val="36"/>
          <w:szCs w:val="36"/>
          <w:u w:val="single"/>
          <w:lang w:val="en-US" w:eastAsia="zh-CN"/>
        </w:rPr>
        <w:t xml:space="preserve">     泾源县农业农村局        </w:t>
      </w:r>
    </w:p>
    <w:p>
      <w:pPr>
        <w:keepNext w:val="0"/>
        <w:keepLines w:val="0"/>
        <w:pageBreakBefore w:val="0"/>
        <w:widowControl w:val="0"/>
        <w:tabs>
          <w:tab w:val="left" w:pos="8610"/>
        </w:tabs>
        <w:kinsoku/>
        <w:wordWrap/>
        <w:overflowPunct/>
        <w:topLinePunct w:val="0"/>
        <w:autoSpaceDE/>
        <w:autoSpaceDN/>
        <w:bidi w:val="0"/>
        <w:adjustRightInd w:val="0"/>
        <w:snapToGrid w:val="0"/>
        <w:spacing w:line="288" w:lineRule="auto"/>
        <w:ind w:leftChars="3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 w:cs="Times New Roman"/>
          <w:color w:val="auto"/>
          <w:sz w:val="36"/>
          <w:szCs w:val="36"/>
          <w:u w:val="single"/>
          <w:lang w:val="en-US" w:eastAsia="zh-CN"/>
        </w:rPr>
        <w:t>2025年8月</w:t>
      </w:r>
      <w:r>
        <w:rPr>
          <w:rFonts w:hint="default" w:ascii="Times New Roman" w:hAnsi="Times New Roman" w:eastAsia="仿宋" w:cs="Times New Roman"/>
          <w:color w:val="auto"/>
          <w:sz w:val="36"/>
          <w:szCs w:val="36"/>
          <w:u w:val="single"/>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5" w:h="16838"/>
          <w:pgMar w:top="1417" w:right="1417" w:bottom="1417" w:left="1417"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sectPr>
          <w:footerReference r:id="rId5"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3"/>
        <w:gridCol w:w="838"/>
        <w:gridCol w:w="2146"/>
        <w:gridCol w:w="1987"/>
        <w:gridCol w:w="3078"/>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建设项目名称</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宁夏回族自治区泾源县黄河流域农业面源污染综合治理项目（</w:t>
            </w:r>
            <w:r>
              <w:rPr>
                <w:rFonts w:hint="default" w:ascii="Times New Roman" w:hAnsi="Times New Roman" w:cs="Times New Roman"/>
                <w:color w:val="auto"/>
                <w:sz w:val="24"/>
                <w:szCs w:val="24"/>
                <w:lang w:val="en-US" w:eastAsia="zh-CN"/>
              </w:rPr>
              <w:t>宁夏延龄生态农业开发有限公司</w:t>
            </w:r>
            <w:r>
              <w:rPr>
                <w:rFonts w:hint="default" w:ascii="Times New Roman" w:hAnsi="Times New Roman" w:cs="Times New Roman"/>
                <w:color w:val="auto"/>
                <w:sz w:val="24"/>
                <w:szCs w:val="24"/>
                <w:lang w:eastAsia="zh-CN"/>
              </w:rPr>
              <w:t>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项目代码</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highlight w:val="none"/>
                <w:lang w:val="en-US" w:eastAsia="zh-CN"/>
              </w:rPr>
              <w:t>2502-640424-20-01-446396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建设单位联系人</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兰恩慈</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联系方式</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建设地点</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宁夏回族自治区固原市泾源县新民乡杨堡村宁夏延龄生态农业开发有限公司现有厂区内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地理坐标</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建设地点中心坐标（</w:t>
            </w:r>
            <w:r>
              <w:rPr>
                <w:rFonts w:hint="default" w:ascii="Times New Roman" w:hAnsi="Times New Roman" w:cs="Times New Roman"/>
                <w:color w:val="auto"/>
                <w:sz w:val="24"/>
                <w:szCs w:val="24"/>
                <w:u w:val="single"/>
                <w:lang w:val="en-US" w:eastAsia="zh-CN"/>
              </w:rPr>
              <w:t>106</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26</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40.310</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35</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19</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19.595</w:t>
            </w:r>
            <w:r>
              <w:rPr>
                <w:rFonts w:hint="default" w:ascii="Times New Roman" w:hAnsi="Times New Roman" w:cs="Times New Roman"/>
                <w:color w:val="auto"/>
                <w:sz w:val="24"/>
                <w:szCs w:val="24"/>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国民经济</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C2625有机肥料及微生物肥料制造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bookmarkStart w:id="1" w:name="_Hlk49843745"/>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bookmarkEnd w:id="1"/>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numPr>
                <w:ilvl w:val="0"/>
                <w:numId w:val="0"/>
              </w:numPr>
              <w:kinsoku/>
              <w:wordWrap/>
              <w:overflowPunct/>
              <w:topLinePunct w:val="0"/>
              <w:bidi w:val="0"/>
              <w:adjustRightInd w:val="0"/>
              <w:snapToGrid w:val="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二十三、化学原料和化学制品制造业45肥料制造中“其他”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建设性质</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改建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扩建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技术改造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申报情形</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项目审批（核准/备案）部门（选填）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泾源县审批服务管理局</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项目审批（核准/备案）文号（选填）</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总投资（万元）</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580</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环保投资（万元）</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环保投资占比（%）</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13.68</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施工工期</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是否开工建设</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否</w:t>
            </w:r>
          </w:p>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pacing w:val="-6"/>
                <w:sz w:val="24"/>
                <w:szCs w:val="24"/>
              </w:rPr>
            </w:pPr>
            <w:r>
              <w:rPr>
                <w:rFonts w:hint="default" w:ascii="Times New Roman" w:hAnsi="Times New Roman" w:cs="Times New Roman"/>
                <w:b/>
                <w:bCs/>
                <w:color w:val="auto"/>
                <w:spacing w:val="-6"/>
                <w:sz w:val="24"/>
                <w:szCs w:val="24"/>
              </w:rPr>
              <w:t>用地（用海）</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pacing w:val="-6"/>
                <w:sz w:val="24"/>
                <w:szCs w:val="24"/>
              </w:rPr>
              <w:t>面积（m</w:t>
            </w:r>
            <w:r>
              <w:rPr>
                <w:rFonts w:hint="default" w:ascii="Times New Roman" w:hAnsi="Times New Roman" w:cs="Times New Roman"/>
                <w:b/>
                <w:bCs/>
                <w:color w:val="auto"/>
                <w:spacing w:val="-6"/>
                <w:sz w:val="24"/>
                <w:szCs w:val="24"/>
                <w:vertAlign w:val="superscript"/>
              </w:rPr>
              <w:t>2</w:t>
            </w:r>
            <w:r>
              <w:rPr>
                <w:rFonts w:hint="default" w:ascii="Times New Roman" w:hAnsi="Times New Roman" w:cs="Times New Roman"/>
                <w:b/>
                <w:bCs/>
                <w:color w:val="auto"/>
                <w:spacing w:val="-6"/>
                <w:sz w:val="24"/>
                <w:szCs w:val="24"/>
              </w:rPr>
              <w:t>）</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b w:val="0"/>
                <w:bCs w:val="0"/>
                <w:color w:val="auto"/>
                <w:sz w:val="24"/>
                <w:szCs w:val="24"/>
                <w:lang w:val="en-US" w:eastAsia="zh-CN"/>
              </w:rPr>
              <w:t>现有厂区内建设，不新增用地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专项评价设置情况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83" w:type="pct"/>
            <w:tcBorders>
              <w:tl2br w:val="nil"/>
              <w:tr2bl w:val="nil"/>
            </w:tcBorders>
            <w:noWrap w:val="0"/>
            <w:tcMar>
              <w:left w:w="23" w:type="dxa"/>
              <w:right w:w="23"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规划环境影响评价情况</w:t>
            </w:r>
          </w:p>
        </w:tc>
        <w:tc>
          <w:tcPr>
            <w:tcW w:w="4416" w:type="pct"/>
            <w:gridSpan w:val="5"/>
            <w:tcBorders>
              <w:tl2br w:val="nil"/>
              <w:tr2bl w:val="nil"/>
            </w:tcBorders>
            <w:noWrap w:val="0"/>
            <w:tcMar>
              <w:left w:w="23" w:type="dxa"/>
              <w:right w:w="23"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snapToGrid w:val="0"/>
                <w:color w:val="auto"/>
                <w:kern w:val="0"/>
                <w:sz w:val="24"/>
                <w:szCs w:val="3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8" w:hRule="atLeast"/>
          <w:jc w:val="center"/>
        </w:trPr>
        <w:tc>
          <w:tcPr>
            <w:tcW w:w="583"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规划及规划环境影响评价符合性分析</w:t>
            </w:r>
          </w:p>
        </w:tc>
        <w:tc>
          <w:tcPr>
            <w:tcW w:w="441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无</w:t>
            </w:r>
          </w:p>
        </w:tc>
      </w:tr>
    </w:tbl>
    <w:p>
      <w:pPr>
        <w:rPr>
          <w:rFonts w:hint="default" w:ascii="Times New Roman" w:hAnsi="Times New Roman" w:cs="Times New Roman"/>
          <w:color w:val="auto"/>
        </w:rPr>
        <w:sectPr>
          <w:footerReference r:id="rId6"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2" w:hRule="atLeast"/>
          <w:jc w:val="center"/>
        </w:trPr>
        <w:tc>
          <w:tcPr>
            <w:tcW w:w="355"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其他符合性分析</w:t>
            </w:r>
          </w:p>
        </w:tc>
        <w:tc>
          <w:tcPr>
            <w:tcW w:w="4644" w:type="pct"/>
            <w:tcBorders>
              <w:tl2br w:val="nil"/>
              <w:tr2bl w:val="nil"/>
            </w:tcBorders>
            <w:noWrap w:val="0"/>
            <w:tcMar>
              <w:left w:w="23" w:type="dxa"/>
              <w:right w:w="23" w:type="dxa"/>
            </w:tcMar>
            <w:vAlign w:val="center"/>
          </w:tcPr>
          <w:p>
            <w:pPr>
              <w:pStyle w:val="60"/>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一</w:t>
            </w:r>
            <w:r>
              <w:rPr>
                <w:rFonts w:hint="default" w:ascii="Times New Roman" w:hAnsi="Times New Roman" w:eastAsia="黑体" w:cs="Times New Roman"/>
                <w:b w:val="0"/>
                <w:bCs w:val="0"/>
                <w:color w:val="auto"/>
                <w:sz w:val="24"/>
                <w:szCs w:val="24"/>
              </w:rPr>
              <w:t>、与《固原市生态环境分区管控实施方案》（固政发</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2024</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28号）符合性分析</w:t>
            </w:r>
          </w:p>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1.1</w:t>
            </w:r>
            <w:r>
              <w:rPr>
                <w:rFonts w:hint="default" w:ascii="Times New Roman" w:hAnsi="Times New Roman" w:cs="Times New Roman"/>
                <w:b/>
                <w:bCs/>
                <w:snapToGrid w:val="0"/>
                <w:color w:val="auto"/>
                <w:kern w:val="0"/>
                <w:sz w:val="24"/>
                <w:szCs w:val="32"/>
                <w:lang w:val="en-US" w:eastAsia="zh-CN"/>
              </w:rPr>
              <w:t xml:space="preserve"> </w:t>
            </w:r>
            <w:r>
              <w:rPr>
                <w:rFonts w:hint="default" w:ascii="Times New Roman" w:hAnsi="Times New Roman" w:eastAsia="宋体" w:cs="Times New Roman"/>
                <w:b/>
                <w:bCs/>
                <w:snapToGrid w:val="0"/>
                <w:color w:val="auto"/>
                <w:kern w:val="0"/>
                <w:sz w:val="24"/>
                <w:szCs w:val="32"/>
                <w:lang w:val="en-US" w:eastAsia="zh-CN"/>
              </w:rPr>
              <w:t>与</w:t>
            </w:r>
            <w:r>
              <w:rPr>
                <w:rFonts w:hint="default" w:ascii="Times New Roman" w:hAnsi="Times New Roman" w:cs="Times New Roman"/>
                <w:b/>
                <w:bCs/>
                <w:snapToGrid w:val="0"/>
                <w:color w:val="auto"/>
                <w:kern w:val="0"/>
                <w:sz w:val="24"/>
                <w:szCs w:val="32"/>
                <w:lang w:val="en-US" w:eastAsia="zh-CN"/>
              </w:rPr>
              <w:t>固原市“三线一单”</w:t>
            </w:r>
            <w:r>
              <w:rPr>
                <w:rFonts w:hint="default" w:ascii="Times New Roman" w:hAnsi="Times New Roman" w:eastAsia="宋体" w:cs="Times New Roman"/>
                <w:b/>
                <w:bCs/>
                <w:snapToGrid w:val="0"/>
                <w:color w:val="auto"/>
                <w:kern w:val="0"/>
                <w:sz w:val="24"/>
                <w:szCs w:val="32"/>
                <w:lang w:val="en-US" w:eastAsia="zh-CN"/>
              </w:rPr>
              <w:t>文本符合性</w:t>
            </w:r>
            <w:r>
              <w:rPr>
                <w:rFonts w:hint="default" w:ascii="Times New Roman" w:hAnsi="Times New Roman" w:cs="Times New Roman"/>
                <w:b/>
                <w:bCs/>
                <w:snapToGrid w:val="0"/>
                <w:color w:val="auto"/>
                <w:kern w:val="0"/>
                <w:sz w:val="24"/>
                <w:szCs w:val="32"/>
                <w:lang w:val="en-US" w:eastAsia="zh-CN"/>
              </w:rPr>
              <w:t>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本项目位于固原市泾源县</w:t>
            </w:r>
            <w:r>
              <w:rPr>
                <w:rFonts w:hint="default" w:ascii="Times New Roman" w:hAnsi="Times New Roman" w:cs="Times New Roman"/>
                <w:snapToGrid w:val="0"/>
                <w:color w:val="auto"/>
                <w:kern w:val="0"/>
                <w:sz w:val="24"/>
                <w:szCs w:val="32"/>
                <w:lang w:val="en-US" w:eastAsia="zh-CN"/>
              </w:rPr>
              <w:t>新民乡杨堡村</w:t>
            </w: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，根据《固原市生态环境分区管控实施方案》（固政发[2024]28号）中附件，本项目与“固原市生态环境分区管控方案文本”符合性分析见表1-</w:t>
            </w:r>
            <w:r>
              <w:rPr>
                <w:rFonts w:hint="default" w:ascii="Times New Roman" w:hAnsi="Times New Roman" w:cs="Times New Roman"/>
                <w:snapToGrid w:val="0"/>
                <w:color w:val="auto"/>
                <w:kern w:val="0"/>
                <w:sz w:val="24"/>
                <w:szCs w:val="32"/>
                <w:lang w:val="en-US" w:eastAsia="zh-CN"/>
              </w:rPr>
              <w:t>1</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表1-1  项目与固原市生“三线一单”文本符合性一览表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43"/>
              <w:gridCol w:w="4101"/>
              <w:gridCol w:w="2370"/>
              <w:gridCol w:w="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“固原市生态环境分区管控方案文本”要求</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本项目情况</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生态保护红线与生态</w:t>
                  </w:r>
                  <w:r>
                    <w:rPr>
                      <w:rFonts w:hint="default" w:ascii="Times New Roman" w:hAnsi="Times New Roman" w:cs="Times New Roman"/>
                      <w:b/>
                      <w:bCs/>
                      <w:color w:val="auto"/>
                      <w:kern w:val="0"/>
                      <w:sz w:val="21"/>
                      <w:szCs w:val="21"/>
                      <w:lang w:eastAsia="zh-CN"/>
                    </w:rPr>
                    <w:t>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lang w:eastAsia="zh-CN"/>
                    </w:rPr>
                    <w:t>生态分区管控要求</w:t>
                  </w:r>
                  <w:r>
                    <w:rPr>
                      <w:rFonts w:hint="default" w:ascii="Times New Roman" w:hAnsi="Times New Roman" w:cs="Times New Roman"/>
                      <w:b w:val="0"/>
                      <w:bCs w:val="0"/>
                      <w:color w:val="auto"/>
                      <w:kern w:val="0"/>
                      <w:sz w:val="21"/>
                      <w:szCs w:val="21"/>
                      <w:lang w:eastAsia="zh-CN"/>
                    </w:rPr>
                    <w:t>：生态保护红线原则上按禁止开发区域的要求进行管理。严禁不符合主体功能定位的各类开发活动，严禁任意改变用途，确保生态保护红线内“生态功能不降低，面积不减少，性质不改变”。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保护红线之外的生态空间，符合条件的农业开发项目，须依法由市县级及以上地方人民政府统筹安排。有序引导生态空间用途之间的相互转变，鼓励向有利于生态功能提升的方向转变，严格禁止不符合生态保护要求或有损生态功能的相互转换。</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对照</w:t>
                  </w:r>
                  <w:r>
                    <w:rPr>
                      <w:rFonts w:hint="default" w:ascii="Times New Roman" w:hAnsi="Times New Roman" w:cs="Times New Roman"/>
                      <w:color w:val="auto"/>
                      <w:kern w:val="0"/>
                      <w:sz w:val="21"/>
                      <w:szCs w:val="21"/>
                      <w:lang w:eastAsia="zh-CN"/>
                    </w:rPr>
                    <w:t>固原市“三线一单”</w:t>
                  </w:r>
                  <w:r>
                    <w:rPr>
                      <w:rFonts w:hint="default" w:ascii="Times New Roman" w:hAnsi="Times New Roman" w:cs="Times New Roman"/>
                      <w:color w:val="auto"/>
                      <w:kern w:val="0"/>
                      <w:sz w:val="21"/>
                      <w:szCs w:val="21"/>
                    </w:rPr>
                    <w:t>图集</w:t>
                  </w:r>
                  <w:r>
                    <w:rPr>
                      <w:rFonts w:hint="default" w:ascii="Times New Roman" w:hAnsi="Times New Roman" w:cs="Times New Roman"/>
                      <w:color w:val="auto"/>
                      <w:kern w:val="0"/>
                      <w:sz w:val="21"/>
                      <w:szCs w:val="21"/>
                      <w:lang w:val="en-US" w:eastAsia="zh-CN"/>
                    </w:rPr>
                    <w:t>中生态保护红线图可知</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项目不在</w:t>
                  </w:r>
                  <w:r>
                    <w:rPr>
                      <w:rFonts w:hint="default" w:ascii="Times New Roman" w:hAnsi="Times New Roman" w:cs="Times New Roman"/>
                      <w:color w:val="auto"/>
                      <w:kern w:val="0"/>
                      <w:sz w:val="21"/>
                      <w:szCs w:val="21"/>
                    </w:rPr>
                    <w:t>生态保护红线范围</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生态</w:t>
                  </w:r>
                  <w:r>
                    <w:rPr>
                      <w:rFonts w:hint="default" w:ascii="Times New Roman" w:hAnsi="Times New Roman" w:cs="Times New Roman"/>
                      <w:color w:val="auto"/>
                      <w:kern w:val="0"/>
                      <w:sz w:val="21"/>
                      <w:szCs w:val="21"/>
                      <w:lang w:eastAsia="zh-CN"/>
                    </w:rPr>
                    <w:t>保护</w:t>
                  </w:r>
                  <w:r>
                    <w:rPr>
                      <w:rFonts w:hint="default" w:ascii="Times New Roman" w:hAnsi="Times New Roman" w:cs="Times New Roman"/>
                      <w:color w:val="auto"/>
                      <w:kern w:val="0"/>
                      <w:sz w:val="21"/>
                      <w:szCs w:val="21"/>
                    </w:rPr>
                    <w:t>红线</w:t>
                  </w:r>
                  <w:r>
                    <w:rPr>
                      <w:rFonts w:hint="default" w:ascii="Times New Roman" w:hAnsi="Times New Roman" w:cs="Times New Roman"/>
                      <w:color w:val="auto"/>
                      <w:kern w:val="0"/>
                      <w:sz w:val="21"/>
                      <w:szCs w:val="21"/>
                      <w:lang w:eastAsia="zh-CN"/>
                    </w:rPr>
                    <w:t>图</w:t>
                  </w:r>
                  <w:r>
                    <w:rPr>
                      <w:rFonts w:hint="default" w:ascii="Times New Roman" w:hAnsi="Times New Roman" w:cs="Times New Roman"/>
                      <w:color w:val="auto"/>
                      <w:kern w:val="0"/>
                      <w:sz w:val="21"/>
                      <w:szCs w:val="21"/>
                    </w:rPr>
                    <w:t>位置关系见附图1-</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环境质量底线及分区管控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水环境分区管控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以水环境控制单元为基本单元，分析各控制单元的功能定位，结合水质超标区域分布，基于水环境系统评价结果，得到固原市水环境管控分区。固原市水环境管控分区共分为三大类：水环境优先保护区、水环境重点管控区(含水环境工业污染源重点管控区、水环境农业污染源重点管控区、水环境城镇生活污染源重点管控区)和水环境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对照固原市“三线一单”图集中水环境分区管控图可知，项目处于一般管控区。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水环境管控</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位置关系见附图</w:t>
                  </w:r>
                  <w:r>
                    <w:rPr>
                      <w:rFonts w:hint="default" w:ascii="Times New Roman" w:hAnsi="Times New Roman" w:cs="Times New Roman"/>
                      <w:color w:val="auto"/>
                      <w:kern w:val="0"/>
                      <w:sz w:val="21"/>
                      <w:szCs w:val="21"/>
                      <w:lang w:val="en-US" w:eastAsia="zh-CN"/>
                    </w:rPr>
                    <w:t>1-2</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一般管控区</w:t>
                  </w:r>
                  <w:r>
                    <w:rPr>
                      <w:rFonts w:hint="default" w:ascii="Times New Roman" w:hAnsi="Times New Roman" w:cs="Times New Roman"/>
                      <w:b/>
                      <w:bCs/>
                      <w:color w:val="auto"/>
                      <w:kern w:val="0"/>
                      <w:sz w:val="21"/>
                      <w:szCs w:val="21"/>
                    </w:rPr>
                    <w:t>要求：</w:t>
                  </w:r>
                  <w:r>
                    <w:rPr>
                      <w:rFonts w:hint="default" w:ascii="Times New Roman" w:hAnsi="Times New Roman" w:cs="Times New Roman"/>
                      <w:b w:val="0"/>
                      <w:bCs w:val="0"/>
                      <w:color w:val="auto"/>
                      <w:kern w:val="0"/>
                      <w:sz w:val="21"/>
                      <w:szCs w:val="21"/>
                      <w:lang w:eastAsia="zh-CN"/>
                    </w:rPr>
                    <w:t>对于水环境优先保护区、重点管控区外，现状水质达标的控制断面所对应的一般管控区，应落实《中华人民共和国水污染防治法》等相关法律法规的总体要求，加强水资源节约和保护，积极推动水生态修复治理，持续深入推进水污染防治，改善水环境质量。</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color w:val="auto"/>
                      <w:kern w:val="0"/>
                      <w:sz w:val="21"/>
                      <w:szCs w:val="21"/>
                      <w:lang w:eastAsia="zh-CN"/>
                    </w:rPr>
                    <w:t>根据工程分析，本项目无生产废水产生，不新增劳动定员，不新增生活污水，故项目建设对周边水环境影响较小。</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大气环境分区管控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基于区域大气环境流场模拟结果，考虑人口分布、大气污染传输规律和土地利用现状等，识别模拟网格单元主导属性，将全市划分为大气环境优先保护区、大气环境重点管控区和大气环境一般管控区，实施分类管理。</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对照固原市“三线一单”图集中大气环境管控分区图可知，项目位于</w:t>
                  </w:r>
                  <w:r>
                    <w:rPr>
                      <w:rFonts w:hint="default" w:ascii="Times New Roman" w:hAnsi="Times New Roman" w:cs="Times New Roman"/>
                      <w:color w:val="auto"/>
                      <w:sz w:val="21"/>
                      <w:szCs w:val="21"/>
                      <w:lang w:eastAsia="zh-CN"/>
                    </w:rPr>
                    <w:t>一般</w:t>
                  </w:r>
                  <w:r>
                    <w:rPr>
                      <w:rFonts w:hint="default" w:ascii="Times New Roman" w:hAnsi="Times New Roman" w:cs="Times New Roman"/>
                      <w:color w:val="auto"/>
                      <w:sz w:val="21"/>
                      <w:szCs w:val="21"/>
                    </w:rPr>
                    <w:t>管控区，项目与</w:t>
                  </w:r>
                  <w:r>
                    <w:rPr>
                      <w:rFonts w:hint="default" w:ascii="Times New Roman" w:hAnsi="Times New Roman" w:cs="Times New Roman"/>
                      <w:color w:val="auto"/>
                      <w:sz w:val="21"/>
                      <w:szCs w:val="21"/>
                      <w:lang w:eastAsia="zh-CN"/>
                    </w:rPr>
                    <w:t>固原市</w:t>
                  </w:r>
                  <w:r>
                    <w:rPr>
                      <w:rFonts w:hint="default" w:ascii="Times New Roman" w:hAnsi="Times New Roman" w:cs="Times New Roman"/>
                      <w:color w:val="auto"/>
                      <w:sz w:val="21"/>
                      <w:szCs w:val="21"/>
                    </w:rPr>
                    <w:t>大气环境管控</w:t>
                  </w:r>
                  <w:r>
                    <w:rPr>
                      <w:rFonts w:hint="default" w:ascii="Times New Roman" w:hAnsi="Times New Roman" w:cs="Times New Roman"/>
                      <w:color w:val="auto"/>
                      <w:sz w:val="21"/>
                      <w:szCs w:val="21"/>
                      <w:lang w:eastAsia="zh-CN"/>
                    </w:rPr>
                    <w:t>分区</w:t>
                  </w:r>
                  <w:r>
                    <w:rPr>
                      <w:rFonts w:hint="default" w:ascii="Times New Roman" w:hAnsi="Times New Roman" w:cs="Times New Roman"/>
                      <w:color w:val="auto"/>
                      <w:sz w:val="21"/>
                      <w:szCs w:val="21"/>
                    </w:rPr>
                    <w:t>位置关系见附图1</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sz w:val="21"/>
                      <w:szCs w:val="21"/>
                      <w:lang w:eastAsia="zh-CN"/>
                    </w:rPr>
                    <w:t>一般管控区管控要求：</w:t>
                  </w:r>
                  <w:r>
                    <w:rPr>
                      <w:rFonts w:hint="default" w:ascii="Times New Roman" w:hAnsi="Times New Roman" w:cs="Times New Roman"/>
                      <w:color w:val="auto"/>
                      <w:sz w:val="21"/>
                      <w:szCs w:val="21"/>
                      <w:lang w:val="en-US" w:eastAsia="zh-CN"/>
                    </w:rPr>
                    <w:t>落实《中华人民共和国大气污染防治</w:t>
                  </w:r>
                  <w:r>
                    <w:rPr>
                      <w:rFonts w:hint="default" w:ascii="Times New Roman" w:hAnsi="Times New Roman" w:cs="Times New Roman"/>
                      <w:color w:val="auto"/>
                      <w:sz w:val="21"/>
                      <w:szCs w:val="21"/>
                      <w:lang w:eastAsia="zh-CN"/>
                    </w:rPr>
                    <w:t>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根据工程分析可知，本项目污染物主要为颗粒物、氨、硫化氢及臭气浓度均不属于有毒有害大气污染物，且项目各废气采取相应治理措施后，可保证各污染物达标排放并满足排污许可相关要求。</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土壤污染风险防控底线及分区管控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根据土壤环境质量现状、土地利用现状，综合考虑农用地土壤污染状况详查和重点行业企业用地详查结果，衔接现有污染地块名录、土壤环境重点监管企业清单等，将全市划分为农用地</w:t>
                  </w:r>
                  <w:r>
                    <w:rPr>
                      <w:rFonts w:hint="default" w:ascii="Times New Roman" w:hAnsi="Times New Roman" w:cs="Times New Roman"/>
                      <w:color w:val="auto"/>
                      <w:kern w:val="0"/>
                      <w:sz w:val="21"/>
                      <w:szCs w:val="21"/>
                      <w:lang w:eastAsia="zh-CN"/>
                    </w:rPr>
                    <w:t>优先保护区和土壤一般管控区。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固原市“三线一单”图集中土壤污染风险分区管控图可知，</w:t>
                  </w:r>
                  <w:r>
                    <w:rPr>
                      <w:rFonts w:hint="default" w:ascii="Times New Roman" w:hAnsi="Times New Roman" w:cs="Times New Roman"/>
                      <w:color w:val="auto"/>
                      <w:kern w:val="0"/>
                      <w:sz w:val="21"/>
                      <w:szCs w:val="21"/>
                      <w:lang w:eastAsia="zh-CN"/>
                    </w:rPr>
                    <w:t>项目位于一般管控区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土壤污染风险</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管控位置关系见附图1-</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一般管控区管控要求</w:t>
                  </w:r>
                  <w:r>
                    <w:rPr>
                      <w:rFonts w:hint="default" w:ascii="Times New Roman" w:hAnsi="Times New Roman" w:cs="Times New Roman"/>
                      <w:b/>
                      <w:bCs/>
                      <w:color w:val="auto"/>
                      <w:kern w:val="0"/>
                      <w:sz w:val="21"/>
                      <w:szCs w:val="21"/>
                    </w:rPr>
                    <w:t>：</w:t>
                  </w:r>
                  <w:r>
                    <w:rPr>
                      <w:rFonts w:hint="default" w:ascii="Times New Roman" w:hAnsi="Times New Roman" w:cs="Times New Roman"/>
                      <w:color w:val="auto"/>
                      <w:kern w:val="0"/>
                      <w:sz w:val="21"/>
                      <w:szCs w:val="21"/>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val="en-US" w:eastAsia="zh-CN"/>
                    </w:rPr>
                    <w:t>在宁夏延龄生态农业开发有限公司</w:t>
                  </w:r>
                  <w:r>
                    <w:rPr>
                      <w:rFonts w:hint="default" w:ascii="Times New Roman" w:hAnsi="Times New Roman" w:eastAsia="宋体" w:cs="Times New Roman"/>
                      <w:color w:val="auto"/>
                      <w:sz w:val="21"/>
                      <w:szCs w:val="21"/>
                      <w:highlight w:val="none"/>
                      <w:lang w:val="en-US" w:eastAsia="zh-CN"/>
                    </w:rPr>
                    <w:t>现有厂区内</w:t>
                  </w:r>
                  <w:r>
                    <w:rPr>
                      <w:rFonts w:hint="default" w:ascii="Times New Roman" w:hAnsi="Times New Roman" w:cs="Times New Roman"/>
                      <w:color w:val="auto"/>
                      <w:sz w:val="21"/>
                      <w:szCs w:val="21"/>
                      <w:highlight w:val="none"/>
                      <w:lang w:val="en-US" w:eastAsia="zh-CN"/>
                    </w:rPr>
                    <w:t>进行建设，不新增用地，同时项目采取了分区防渗，在采取相应的防渗措施的前提下，可有效阻隔对土壤的污染途径。另外，项目为有机肥制造项目，不属于有色金属冶炼、焦化等行业</w:t>
                  </w:r>
                  <w:r>
                    <w:rPr>
                      <w:rFonts w:hint="default" w:ascii="Times New Roman" w:hAnsi="Times New Roman" w:cs="Times New Roman"/>
                      <w:color w:val="auto"/>
                      <w:kern w:val="0"/>
                      <w:sz w:val="21"/>
                      <w:szCs w:val="21"/>
                      <w:lang w:eastAsia="zh-CN"/>
                    </w:rPr>
                    <w:t>。</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资源利用上线</w:t>
                  </w:r>
                  <w:r>
                    <w:rPr>
                      <w:rFonts w:hint="default" w:ascii="Times New Roman" w:hAnsi="Times New Roman" w:cs="Times New Roman"/>
                      <w:b/>
                      <w:bCs/>
                      <w:color w:val="auto"/>
                      <w:kern w:val="0"/>
                      <w:sz w:val="21"/>
                      <w:szCs w:val="21"/>
                      <w:lang w:eastAsia="zh-CN"/>
                    </w:rPr>
                    <w:t>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能源（煤炭）资源利用上线及分区管控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eastAsia="zh-CN"/>
                    </w:rPr>
                    <w:t>为推动环境空气质量持续改善，实现减污降碳协同增效，根据技术指南要求，提出能源利用上线管控指标。按照《自治区人民政府关于印发宁夏回族自治区“十四五”节能减排综合工作实施方案的通知》(宁政发</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2022]30号)要求，到2025年，全市单位地区生产总值能耗降低基本目标为13%，激励目标为14%。具体考核办法按照自治区发展改革委关于印发《完善能耗强度和总量双控制度推动经济平稳发展若干政策措施》的通知执行。按照《关于统筹和加强应对气候变化与生态环境保护相关工作的指导意见》(环综合</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2021]4号)的有关要求，将应对气候变化要求纳入生态环境分区管控体系，推动减污降碳协同增效。全市碳排放强度累计降低值按照自治区要求执行。</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val="en-US" w:eastAsia="zh-CN"/>
                    </w:rPr>
                    <w:t>本项目不涉及煤炭的使用。</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水资源利用上线及分区管控</w:t>
                  </w:r>
                </w:p>
              </w:tc>
              <w:tc>
                <w:tcPr>
                  <w:tcW w:w="2709" w:type="pct"/>
                  <w:gridSpan w:val="2"/>
                  <w:noWrap w:val="0"/>
                  <w:vAlign w:val="center"/>
                </w:tcPr>
                <w:p>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bCs/>
                      <w:color w:val="auto"/>
                      <w:sz w:val="21"/>
                      <w:szCs w:val="21"/>
                      <w:highlight w:val="none"/>
                      <w:lang w:eastAsia="zh-CN"/>
                    </w:rPr>
                    <w:t>水资源分区管控要求</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坚持以水定城、以水定地、以水定人、以水定产，科学配置水资源，严格能耗物耗准入门槛，支撑发展刚需。细化覆盖各行业各领域的节水定额标准，对水资源超载地区实行用水和项目“双限批”。推广农业成套综合节水技术，大力发展节水型农业及工业、涵水型林业。实施工业节水增效行动，改造建设节水型工业园区，推动传统高耗水行业转型升级。鼓励西吉、隆德、泾源、彭阳四县根据实际选择重点区域先行开展海绵化改造和建设。</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本项目新鲜水用水量为</w:t>
                  </w:r>
                  <w:r>
                    <w:rPr>
                      <w:rFonts w:hint="default" w:ascii="Times New Roman" w:hAnsi="Times New Roman" w:cs="Times New Roman"/>
                      <w:color w:val="auto"/>
                      <w:kern w:val="0"/>
                      <w:sz w:val="21"/>
                      <w:szCs w:val="21"/>
                      <w:highlight w:val="none"/>
                      <w:lang w:val="en-US" w:eastAsia="zh-CN"/>
                    </w:rPr>
                    <w:t>198</w:t>
                  </w:r>
                  <w:r>
                    <w:rPr>
                      <w:rFonts w:hint="default" w:ascii="Times New Roman" w:hAnsi="Times New Roman" w:cs="Times New Roman"/>
                      <w:color w:val="auto"/>
                      <w:sz w:val="21"/>
                      <w:szCs w:val="21"/>
                      <w:highlight w:val="none"/>
                      <w:lang w:val="en-US" w:eastAsia="zh-CN"/>
                    </w:rPr>
                    <w:t>m³/a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根据《2023年宁夏水资源公报》，固原市泾源县水资源总量约为1.428亿m³，项目水资源消耗量约占区域水资源总量的0.000138%，</w:t>
                  </w:r>
                  <w:r>
                    <w:rPr>
                      <w:rFonts w:hint="default" w:ascii="Times New Roman" w:hAnsi="Times New Roman" w:eastAsia="宋体" w:cs="Times New Roman"/>
                      <w:color w:val="auto"/>
                      <w:sz w:val="21"/>
                      <w:szCs w:val="21"/>
                      <w:highlight w:val="none"/>
                      <w:lang w:val="en-US" w:eastAsia="zh-CN"/>
                    </w:rPr>
                    <w:t>对区域</w:t>
                  </w:r>
                  <w:r>
                    <w:rPr>
                      <w:rFonts w:hint="default" w:ascii="Times New Roman" w:hAnsi="Times New Roman" w:eastAsia="宋体" w:cs="Times New Roman"/>
                      <w:color w:val="auto"/>
                      <w:sz w:val="21"/>
                      <w:szCs w:val="21"/>
                      <w:highlight w:val="none"/>
                      <w:lang w:eastAsia="zh-CN"/>
                    </w:rPr>
                    <w:t>水资源利用上线</w:t>
                  </w:r>
                  <w:r>
                    <w:rPr>
                      <w:rFonts w:hint="default" w:ascii="Times New Roman" w:hAnsi="Times New Roman" w:eastAsia="宋体" w:cs="Times New Roman"/>
                      <w:color w:val="auto"/>
                      <w:sz w:val="21"/>
                      <w:szCs w:val="21"/>
                      <w:highlight w:val="none"/>
                      <w:lang w:val="en-US" w:eastAsia="zh-CN"/>
                    </w:rPr>
                    <w:t>影响较小。</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土地资源利用上线及分区管控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土地资源重点管控区：从生态环境保护的角度出发，综合考虑生态保护红线、永久基本农田等保护区域的面积，可开发利用土地资源的存量，以及土地资源的集约利用水平等因素，评价各区县在土地资源开发利用与生态环境保护方面的潜在矛盾程度。将原州区、西吉县、隆德县、泾源县等4个区县确定为土地资源重点管控区。强化工业项目节约用地评价，严控新增建设用地规模，盘活利用批而未供和闲置土地，全面实施节地水平、产出效益双提升行动，不断提升土地利用效率。实行最严格的耕地保护制度，健全和落实耕地保护执法监管共同责任机制，严守永久基本农田，严管城镇开发边界，严格落实耕地占补平衡。</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本项目在</w:t>
                  </w:r>
                  <w:r>
                    <w:rPr>
                      <w:rFonts w:hint="default" w:ascii="Times New Roman" w:hAnsi="Times New Roman" w:cs="Times New Roman"/>
                      <w:color w:val="auto"/>
                      <w:sz w:val="21"/>
                      <w:szCs w:val="21"/>
                      <w:highlight w:val="none"/>
                      <w:lang w:val="en-US" w:eastAsia="zh-CN"/>
                    </w:rPr>
                    <w:t>宁夏延龄生态农业开发有限公司</w:t>
                  </w:r>
                  <w:r>
                    <w:rPr>
                      <w:rFonts w:hint="default" w:ascii="Times New Roman" w:hAnsi="Times New Roman" w:eastAsia="宋体" w:cs="Times New Roman"/>
                      <w:color w:val="auto"/>
                      <w:sz w:val="21"/>
                      <w:szCs w:val="21"/>
                      <w:highlight w:val="none"/>
                      <w:lang w:val="en-US" w:eastAsia="zh-CN"/>
                    </w:rPr>
                    <w:t>现有厂区内建设，不新增用地，</w:t>
                  </w:r>
                  <w:r>
                    <w:rPr>
                      <w:rFonts w:hint="default" w:ascii="Times New Roman" w:hAnsi="Times New Roman" w:eastAsia="宋体" w:cs="Times New Roman"/>
                      <w:color w:val="auto"/>
                      <w:sz w:val="21"/>
                      <w:szCs w:val="21"/>
                      <w:highlight w:val="none"/>
                    </w:rPr>
                    <w:t>满足土地资源利用上线要求。</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环境管控单元与准入清单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5" w:type="pct"/>
                  <w:gridSpan w:val="4"/>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对照固原市“三线一单”图集中环境管控单元图可知，</w:t>
                  </w:r>
                  <w:r>
                    <w:rPr>
                      <w:rFonts w:hint="default" w:ascii="Times New Roman" w:hAnsi="Times New Roman" w:eastAsia="宋体" w:cs="Times New Roman"/>
                      <w:color w:val="auto"/>
                      <w:sz w:val="21"/>
                      <w:szCs w:val="21"/>
                      <w:highlight w:val="none"/>
                      <w:lang w:val="en-US" w:eastAsia="zh-CN"/>
                    </w:rPr>
                    <w:t>本项目位于</w:t>
                  </w:r>
                  <w:r>
                    <w:rPr>
                      <w:rFonts w:hint="default" w:ascii="Times New Roman" w:hAnsi="Times New Roman" w:cs="Times New Roman"/>
                      <w:color w:val="auto"/>
                      <w:sz w:val="21"/>
                      <w:szCs w:val="21"/>
                      <w:highlight w:val="none"/>
                      <w:lang w:val="en-US" w:eastAsia="zh-CN"/>
                    </w:rPr>
                    <w:t>一般管控</w:t>
                  </w:r>
                  <w:r>
                    <w:rPr>
                      <w:rFonts w:hint="default" w:ascii="Times New Roman" w:hAnsi="Times New Roman" w:eastAsia="宋体" w:cs="Times New Roman"/>
                      <w:color w:val="auto"/>
                      <w:sz w:val="21"/>
                      <w:szCs w:val="21"/>
                      <w:highlight w:val="none"/>
                      <w:lang w:val="en-US" w:eastAsia="zh-CN"/>
                    </w:rPr>
                    <w:t>单元，由上</w:t>
                  </w:r>
                  <w:r>
                    <w:rPr>
                      <w:rFonts w:hint="default" w:ascii="Times New Roman" w:hAnsi="Times New Roman" w:cs="Times New Roman"/>
                      <w:color w:val="auto"/>
                      <w:sz w:val="21"/>
                      <w:szCs w:val="21"/>
                      <w:highlight w:val="none"/>
                      <w:lang w:val="en-US" w:eastAsia="zh-CN"/>
                    </w:rPr>
                    <w:t>述</w:t>
                  </w:r>
                  <w:r>
                    <w:rPr>
                      <w:rFonts w:hint="default" w:ascii="Times New Roman" w:hAnsi="Times New Roman" w:eastAsia="宋体" w:cs="Times New Roman"/>
                      <w:color w:val="auto"/>
                      <w:sz w:val="21"/>
                      <w:szCs w:val="21"/>
                      <w:highlight w:val="none"/>
                      <w:lang w:val="en-US" w:eastAsia="zh-CN"/>
                    </w:rPr>
                    <w:t>分析可知，项目建设符合生态保护红线、环境质量底线、资源利用上线的分区管控要求，本项目</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固原市</w:t>
                  </w:r>
                  <w:r>
                    <w:rPr>
                      <w:rFonts w:hint="default" w:ascii="Times New Roman" w:hAnsi="Times New Roman" w:eastAsia="宋体" w:cs="Times New Roman"/>
                      <w:color w:val="auto"/>
                      <w:sz w:val="21"/>
                      <w:szCs w:val="21"/>
                      <w:highlight w:val="none"/>
                    </w:rPr>
                    <w:t>环境管控单元位置关系见</w:t>
                  </w:r>
                  <w:r>
                    <w:rPr>
                      <w:rFonts w:hint="default" w:ascii="Times New Roman" w:hAnsi="Times New Roman" w:cs="Times New Roman"/>
                      <w:color w:val="auto"/>
                      <w:sz w:val="21"/>
                      <w:szCs w:val="21"/>
                      <w:highlight w:val="none"/>
                      <w:lang w:eastAsia="zh-CN"/>
                    </w:rPr>
                    <w:t>附</w:t>
                  </w:r>
                  <w:r>
                    <w:rPr>
                      <w:rFonts w:hint="default" w:ascii="Times New Roman" w:hAnsi="Times New Roman" w:eastAsia="宋体" w:cs="Times New Roman"/>
                      <w:color w:val="auto"/>
                      <w:sz w:val="21"/>
                      <w:szCs w:val="21"/>
                      <w:highlight w:val="none"/>
                      <w:shd w:val="clear"/>
                    </w:rPr>
                    <w:t>图</w:t>
                  </w:r>
                  <w:r>
                    <w:rPr>
                      <w:rFonts w:hint="default" w:ascii="Times New Roman" w:hAnsi="Times New Roman" w:cs="Times New Roman"/>
                      <w:color w:val="auto"/>
                      <w:sz w:val="21"/>
                      <w:szCs w:val="21"/>
                      <w:highlight w:val="none"/>
                      <w:shd w:val="clear"/>
                      <w:lang w:val="en-US" w:eastAsia="zh-CN"/>
                    </w:rPr>
                    <w:t>1-5</w:t>
                  </w:r>
                  <w:r>
                    <w:rPr>
                      <w:rFonts w:hint="default" w:ascii="Times New Roman" w:hAnsi="Times New Roman" w:eastAsia="宋体" w:cs="Times New Roman"/>
                      <w:color w:val="auto"/>
                      <w:sz w:val="21"/>
                      <w:szCs w:val="21"/>
                      <w:highlight w:val="none"/>
                      <w:lang w:eastAsia="zh-CN"/>
                    </w:rPr>
                    <w:t>。</w:t>
                  </w:r>
                </w:p>
              </w:tc>
              <w:tc>
                <w:tcPr>
                  <w:tcW w:w="434" w:type="pct"/>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b/>
                      <w:bCs/>
                      <w:color w:val="auto"/>
                      <w:sz w:val="21"/>
                      <w:szCs w:val="21"/>
                      <w:highlight w:val="none"/>
                      <w:lang w:val="en-US" w:eastAsia="zh-CN"/>
                    </w:rPr>
                    <w:t>清单内容</w:t>
                  </w:r>
                </w:p>
              </w:tc>
              <w:tc>
                <w:tcPr>
                  <w:tcW w:w="4556" w:type="pct"/>
                  <w:gridSpan w:val="4"/>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sz w:val="21"/>
                      <w:szCs w:val="21"/>
                      <w:highlight w:val="none"/>
                      <w:lang w:val="en-US" w:eastAsia="zh-CN"/>
                    </w:rPr>
                    <w:t>一般管控</w:t>
                  </w:r>
                  <w:r>
                    <w:rPr>
                      <w:rFonts w:hint="default" w:ascii="Times New Roman" w:hAnsi="Times New Roman" w:eastAsia="宋体" w:cs="Times New Roman"/>
                      <w:b/>
                      <w:bCs/>
                      <w:color w:val="auto"/>
                      <w:sz w:val="21"/>
                      <w:szCs w:val="21"/>
                      <w:highlight w:val="none"/>
                      <w:lang w:val="en-US" w:eastAsia="zh-CN"/>
                    </w:rPr>
                    <w:t>单元：</w:t>
                  </w:r>
                  <w:r>
                    <w:rPr>
                      <w:rFonts w:hint="default" w:ascii="Times New Roman" w:hAnsi="Times New Roman" w:eastAsia="宋体" w:cs="Times New Roman"/>
                      <w:color w:val="auto"/>
                      <w:sz w:val="21"/>
                      <w:szCs w:val="21"/>
                      <w:highlight w:val="none"/>
                      <w:lang w:val="en-US" w:eastAsia="zh-CN"/>
                    </w:rPr>
                    <w:t>除优先保护单元和重点管控单元之外的其他区域全部纳入一般管控单元。一般管控单元以适度发展社会经济、避免大规模高强度开发为导向，执行区域生态环境保护的基本要求。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26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分维度要求</w:t>
                  </w: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空间布局约束：</w:t>
                  </w:r>
                  <w:r>
                    <w:rPr>
                      <w:rFonts w:hint="default" w:ascii="Times New Roman" w:hAnsi="Times New Roman" w:eastAsia="宋体" w:cs="Times New Roman"/>
                      <w:color w:val="auto"/>
                      <w:sz w:val="21"/>
                      <w:szCs w:val="21"/>
                      <w:highlight w:val="none"/>
                      <w:lang w:val="en-US" w:eastAsia="zh-CN"/>
                    </w:rPr>
                    <w:t>对于优先保护区，着重从允许开发建设活动、不符合空间布局要求活动的退出方案等两个方面提出空间布局约束要求。对于重点管控区，着重从禁止和限制开发建设活动的要求、不符合空间布局要求活动的退出方案等两个方面提出空间布局约束要求。对于一般管控区，可参照优先保护区或重点管控区提出空间布局约束方面的一般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本项目为有机肥制造项目，属于《产业结构调整指导目录(2024年本)》中鼓励类项目，</w:t>
                  </w:r>
                  <w:r>
                    <w:rPr>
                      <w:rFonts w:hint="default" w:ascii="Times New Roman" w:hAnsi="Times New Roman" w:eastAsia="宋体" w:cs="Times New Roman"/>
                      <w:color w:val="auto"/>
                      <w:sz w:val="21"/>
                      <w:szCs w:val="21"/>
                      <w:highlight w:val="none"/>
                      <w:lang w:val="en-US" w:eastAsia="zh-CN"/>
                    </w:rPr>
                    <w:t>符合空间布局要求</w:t>
                  </w:r>
                  <w:r>
                    <w:rPr>
                      <w:rFonts w:hint="default" w:ascii="Times New Roman" w:hAnsi="Times New Roman" w:cs="Times New Roman"/>
                      <w:color w:val="auto"/>
                      <w:sz w:val="21"/>
                      <w:szCs w:val="21"/>
                      <w:highlight w:val="none"/>
                      <w:lang w:val="en-US" w:eastAsia="zh-CN"/>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污染排放控制：</w:t>
                  </w:r>
                  <w:r>
                    <w:rPr>
                      <w:rFonts w:hint="default" w:ascii="Times New Roman" w:hAnsi="Times New Roman" w:cs="Times New Roman"/>
                      <w:color w:val="auto"/>
                      <w:sz w:val="21"/>
                      <w:szCs w:val="21"/>
                      <w:highlight w:val="none"/>
                      <w:lang w:val="en-US" w:eastAsia="zh-CN"/>
                    </w:rPr>
                    <w:t>对于重点管控区，着重从污染物达标排放、现有源排放削减、新增源倍量替代、排放标准加严等方面提出污染物排放管控要求。对一般管控区，可参照重点管控区提出一般性污染物排放管控要求。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由运营期环境影响和保护措施小节分析可知，本项目建设完成后，各项污染物在采取相应的处置措施后，均可达标排放。</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环境风险防控：</w:t>
                  </w:r>
                  <w:r>
                    <w:rPr>
                      <w:rFonts w:hint="default" w:ascii="Times New Roman" w:hAnsi="Times New Roman" w:cs="Times New Roman"/>
                      <w:color w:val="auto"/>
                      <w:sz w:val="21"/>
                      <w:szCs w:val="21"/>
                      <w:highlight w:val="none"/>
                      <w:lang w:val="en-US" w:eastAsia="zh-CN"/>
                    </w:rPr>
                    <w:t>对于各类优先保护区，着重从有毒有害污染物和易燃易爆物质风险防控等方面提出禁止准入的要求。对于重点管控区，着重从土地用途管控、有毒有害污染物和易燃易爆物质风险防控等方面提出环境风险防控要求。对于一般管控区，可参照优先保护区、重点管控区提出一般性环境风险防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由工程分析可知，本项目危险物质主要为废机油，且产生量较小，项目通过采取环境风险措施，对周围环境影响可防可控。</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资源开发效率要求：</w:t>
                  </w:r>
                  <w:r>
                    <w:rPr>
                      <w:rFonts w:hint="default" w:ascii="Times New Roman" w:hAnsi="Times New Roman" w:eastAsia="宋体" w:cs="Times New Roman"/>
                      <w:color w:val="auto"/>
                      <w:sz w:val="21"/>
                      <w:szCs w:val="21"/>
                      <w:highlight w:val="none"/>
                      <w:lang w:val="en-US" w:eastAsia="zh-CN"/>
                    </w:rPr>
                    <w:t>对于重点管控区，着重从水资源开发效率、禁燃区要求等方面提出资源开发效率要求。对于一般管控区，可参照重点管控区提出一般性资源开发效率要求。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本项目为有机肥制造项目，不涉及自然资源开发，同时项目不涉及高污染燃料燃烧。</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bl>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p>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1.2与“固原市生态环境准入清单”符合性</w:t>
            </w:r>
          </w:p>
          <w:p>
            <w:pPr>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根据《固原市生态环境分区管控实施方案》（固政发[2024]28号）中附件，本项目与固原市生态环境准入清单总体要求符合性分析见表1-2，与固原市环境管控单元生态环境准入清单符合性分析见表1-3。</w:t>
            </w:r>
          </w:p>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表1-2  固原市生态环境总体准入要求</w:t>
            </w:r>
          </w:p>
          <w:tbl>
            <w:tblPr>
              <w:tblStyle w:val="25"/>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674"/>
              <w:gridCol w:w="4413"/>
              <w:gridCol w:w="2110"/>
              <w:gridCol w:w="6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5"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管控维度</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准入要求</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空间布局约束</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禁止开发建设活动的要求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严禁产能过剩行业新增产能，各开发区主导产业产值占比达到60%以上，严防发达地区淘汰退出的高污染企业落户固原。</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sz w:val="21"/>
                      <w:szCs w:val="21"/>
                      <w:highlight w:val="none"/>
                      <w:lang w:val="zh-CN" w:eastAsia="zh-CN"/>
                    </w:rPr>
                    <w:t>本项目为有机肥制造项目，属于《产业结构调整指导目录(2024年本)》中鼓励类项目，</w:t>
                  </w:r>
                  <w:r>
                    <w:rPr>
                      <w:rFonts w:hint="default" w:ascii="Times New Roman" w:hAnsi="Times New Roman" w:cs="Times New Roman"/>
                      <w:color w:val="auto"/>
                      <w:kern w:val="0"/>
                      <w:sz w:val="21"/>
                      <w:szCs w:val="21"/>
                      <w:lang w:val="en-US" w:eastAsia="zh-CN"/>
                    </w:rPr>
                    <w:t>不属于过剩行业新增产能</w:t>
                  </w:r>
                  <w:r>
                    <w:rPr>
                      <w:rFonts w:hint="default" w:ascii="Times New Roman" w:hAnsi="Times New Roman" w:eastAsia="宋体" w:cs="Times New Roman"/>
                      <w:color w:val="auto"/>
                      <w:kern w:val="0"/>
                      <w:sz w:val="21"/>
                      <w:szCs w:val="21"/>
                      <w:lang w:val="en-US" w:eastAsia="zh-CN"/>
                    </w:rPr>
                    <w:t>。</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严禁在“七河”及其重点支流临岸1公里范围内新建“两高一资”项目及相关产业园区。</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本项目不在“七河”及其重点支流临岸1公里范围内</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城市建成区一律禁止新建35蒸吨/小时以下燃煤锅炉。</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A2污染物排放管控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A2.1允许排放量要求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化学需氧量、氨氮、氮氧化物、挥发性有机物减排量完成自治区下达任务。</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本项目无水污染物外排</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本项目不涉及重金属排放</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火电、水泥等重点行业及燃煤锅炉，严格按照大气污染物排放标准及特别排放限值要求执行。</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到2025年，全市工业固体废弃物综合利用率达到80%，中水利用率达到85%以上。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本项目粪污来源于周边养殖户及厂内自产鸡粪，根据企业提供资料，粪污综合利用率达100%</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现有源提标升级改造</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到2025年，65蒸吨/小时及以上燃煤锅炉(含电力)全面实现超低排放；所有燃气锅炉氮氧化物排放浓度低于50毫克/立方米。</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探索畜禽养殖“出户入园”模式，落实“一控两减三利用”，减少化肥和农药使用量；实现畜禽粪便、农作物秸秆、农膜资源化利用，到2025年，农业废弃物综合利用率达到94%以上。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本项目不属于畜禽养殖项目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环境风险防控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联防联控要求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开展医疗、化工、石油开采和汽修等重点行业涉及危险废物排查整治，建立健全环境风险重点管控单位名录，严控危险废物贮存环节环境风险，严禁超期、超量贮存各类危险废物。</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1"/>
                      <w:szCs w:val="21"/>
                      <w:highlight w:val="none"/>
                      <w:lang w:val="en-US" w:eastAsia="zh-CN"/>
                    </w:rPr>
                    <w:t>本项目不属于医疗、化工、石油开采和汽修等重点行业</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健全突发环境事件应急预案体系，推进跨区域、跨流域环境应急联动。</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本次评价要求建设单位编制《突发环境事件应急预案》并取得生态环境主管部门备案</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资源利用效率要求</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能源利用总量及效率要求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实行煤炭消费总量控制，严控高耗煤行业新增项目。</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本项目不涉及煤炭的使用</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到2025年，全市单位地区生产总值能耗降低基本目标为13%，激励目标为14%。</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水资源利用总量及效率要求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本项目用水主要为职工生活用水，用水量为198m³/a，用水量较小，对区域水环境影响较小。</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bl>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表1-3  固原市环境管控单元生态环境准入清单符合性分析一览表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20"/>
              <w:gridCol w:w="3903"/>
              <w:gridCol w:w="2225"/>
              <w:gridCol w:w="7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准入清单管控要求</w:t>
                  </w:r>
                </w:p>
              </w:tc>
              <w:tc>
                <w:tcPr>
                  <w:tcW w:w="1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本项目情况</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管控单元名称</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泾源县</w:t>
                  </w:r>
                  <w:r>
                    <w:rPr>
                      <w:rFonts w:hint="default" w:ascii="Times New Roman" w:hAnsi="Times New Roman" w:cs="Times New Roman"/>
                      <w:b w:val="0"/>
                      <w:bCs w:val="0"/>
                      <w:color w:val="auto"/>
                      <w:sz w:val="21"/>
                      <w:szCs w:val="21"/>
                      <w:lang w:val="en-US" w:eastAsia="zh-CN"/>
                    </w:rPr>
                    <w:t>一般管控单元1</w:t>
                  </w:r>
                </w:p>
              </w:tc>
              <w:tc>
                <w:tcPr>
                  <w:tcW w:w="1326"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本项目位于</w:t>
                  </w:r>
                  <w:r>
                    <w:rPr>
                      <w:rFonts w:hint="default" w:ascii="Times New Roman" w:hAnsi="Times New Roman" w:cs="Times New Roman"/>
                      <w:b w:val="0"/>
                      <w:bCs w:val="0"/>
                      <w:color w:val="auto"/>
                      <w:sz w:val="21"/>
                      <w:szCs w:val="21"/>
                      <w:lang w:val="en-US" w:eastAsia="zh-CN"/>
                    </w:rPr>
                    <w:t>一般管控单元</w:t>
                  </w:r>
                </w:p>
              </w:tc>
              <w:tc>
                <w:tcPr>
                  <w:tcW w:w="440" w:type="pct"/>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序号</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ZH640424</w:t>
                  </w:r>
                  <w:r>
                    <w:rPr>
                      <w:rFonts w:hint="default" w:ascii="Times New Roman" w:hAnsi="Times New Roman" w:cs="Times New Roman"/>
                      <w:b w:val="0"/>
                      <w:bCs w:val="0"/>
                      <w:color w:val="auto"/>
                      <w:sz w:val="21"/>
                      <w:szCs w:val="21"/>
                      <w:lang w:val="en-US" w:eastAsia="zh-CN"/>
                    </w:rPr>
                    <w:t>30001</w:t>
                  </w:r>
                </w:p>
              </w:tc>
              <w:tc>
                <w:tcPr>
                  <w:tcW w:w="1326"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0"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要素属性</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一般管控区</w:t>
                  </w:r>
                </w:p>
              </w:tc>
              <w:tc>
                <w:tcPr>
                  <w:tcW w:w="1326"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0"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906"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空间布局约束</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1.禁止在二十五度以上陡坡地开垦种植农作物。</w:t>
                  </w:r>
                </w:p>
              </w:tc>
              <w:tc>
                <w:tcPr>
                  <w:tcW w:w="1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906"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2.严格限制占用林地、草地及清水河等河流沿线湿地进行开发建设活动。</w:t>
                  </w:r>
                </w:p>
              </w:tc>
              <w:tc>
                <w:tcPr>
                  <w:tcW w:w="1326"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本项目在宁夏延龄生态农业开发有限公司现有厂区内建设，不占用林地、草地及清水河等河流沿线湿地</w:t>
                  </w:r>
                </w:p>
              </w:tc>
              <w:tc>
                <w:tcPr>
                  <w:tcW w:w="440" w:type="pct"/>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906"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rPr>
                  </w:pP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3.在满足产业准入、总量控制、排放标准等国家和地方相关管理制度要求的前提下，集约发展。</w:t>
                  </w:r>
                </w:p>
              </w:tc>
              <w:tc>
                <w:tcPr>
                  <w:tcW w:w="1326"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440"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污染排放管控</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环境风险防控</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90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资源开发效率</w:t>
                  </w:r>
                </w:p>
              </w:tc>
              <w:tc>
                <w:tcPr>
                  <w:tcW w:w="2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26"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本项目位于固原市泾源县</w:t>
            </w:r>
            <w:r>
              <w:rPr>
                <w:rFonts w:hint="default" w:ascii="Times New Roman" w:hAnsi="Times New Roman" w:cs="Times New Roman"/>
                <w:color w:val="auto"/>
                <w:sz w:val="24"/>
                <w:szCs w:val="24"/>
                <w:lang w:val="en-US" w:eastAsia="zh-CN"/>
              </w:rPr>
              <w:t>新民乡杨堡村宁夏延龄生态农业开发有限公司</w:t>
            </w:r>
            <w:r>
              <w:rPr>
                <w:rFonts w:hint="default" w:ascii="Times New Roman" w:hAnsi="Times New Roman" w:eastAsia="宋体" w:cs="Times New Roman"/>
                <w:color w:val="auto"/>
                <w:sz w:val="24"/>
                <w:szCs w:val="24"/>
                <w:lang w:val="en-US" w:eastAsia="zh-CN"/>
              </w:rPr>
              <w:t>现有厂区内，项目空间和产业布局合理，项目运营后，各工序产生污染物均得到有效处理，对环境影响</w:t>
            </w:r>
            <w:r>
              <w:rPr>
                <w:rFonts w:hint="default" w:ascii="Times New Roman" w:hAnsi="Times New Roman" w:cs="Times New Roman"/>
                <w:color w:val="auto"/>
                <w:sz w:val="24"/>
                <w:szCs w:val="24"/>
                <w:lang w:val="en-US" w:eastAsia="zh-CN"/>
              </w:rPr>
              <w:t>可接受</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综上，本项目的建设符合《固原市生态环境分区管控实施方案》（固政发[2024]28号）的相关要求。</w:t>
            </w:r>
          </w:p>
          <w:p>
            <w:pPr>
              <w:pStyle w:val="5"/>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二、与产业政策符合性分析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为有机肥料制造项目，对照《产业结构调整指导目录(2024年本)》，本项目属于鼓励类“一、农林业，第13条，绿色农业（全生物降解地膜、高强度易回收地膜农田示范与应用，受污染耕地风险管控与修复，符合绿色低碳循环要求的饲料、饲料添加剂、肥料、农药、兽药等优质安全环保农业投入品及绿色食品生产允许使用的食品添加剂开发，农产品及其产地环境监测技术开发和应用，有机废弃物无害化、价值化处理及</w:t>
            </w:r>
            <w:r>
              <w:rPr>
                <w:rFonts w:hint="default" w:ascii="Times New Roman" w:hAnsi="Times New Roman" w:cs="Times New Roman"/>
                <w:b/>
                <w:bCs/>
                <w:color w:val="auto"/>
                <w:sz w:val="24"/>
                <w:szCs w:val="24"/>
                <w:lang w:val="en-US" w:eastAsia="zh-CN"/>
              </w:rPr>
              <w:t>有机肥料</w:t>
            </w:r>
            <w:r>
              <w:rPr>
                <w:rFonts w:hint="default" w:ascii="Times New Roman" w:hAnsi="Times New Roman" w:cs="Times New Roman"/>
                <w:color w:val="auto"/>
                <w:sz w:val="24"/>
                <w:szCs w:val="24"/>
                <w:lang w:val="en-US" w:eastAsia="zh-CN"/>
              </w:rPr>
              <w:t>产业化技术开发与应用）”，符合国家产业政策。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sz w:val="24"/>
                <w:szCs w:val="24"/>
                <w:lang w:val="en-US" w:eastAsia="zh-CN"/>
              </w:rPr>
              <w:t>且项目已于2025年2月20日取得由泾源县审批服务管理局下发的“关于《泾源县农业面源污染综合治理项目初步设计》的批复”（泾审批发(2025)025号），项目代码：2502-640424-20-01-446396，批复建设内容包括粪污资源化利用工程、农业面源污染防治工程、农业面源污染治理支撑工程，本项目为农业面源污染防治工程提升改造有机肥加工厂4座中的其中1座，因此，本项目的建设符合国家及地方产业政策要求。</w:t>
            </w:r>
          </w:p>
        </w:tc>
      </w:tr>
    </w:tbl>
    <w:p>
      <w:pPr>
        <w:spacing w:line="360" w:lineRule="auto"/>
        <w:outlineLvl w:val="0"/>
        <w:rPr>
          <w:rFonts w:hint="default" w:ascii="Times New Roman" w:hAnsi="Times New Roman" w:eastAsia="黑体" w:cs="Times New Roman"/>
          <w:color w:val="auto"/>
          <w:sz w:val="30"/>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建设内容</w:t>
            </w:r>
          </w:p>
        </w:tc>
        <w:tc>
          <w:tcPr>
            <w:tcW w:w="85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宁夏延龄生态农业开发有限公司（以下简称“建设单位”）于2017年1月19日成立，主要从事畜禽养殖销售与蛋品销售。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泾源县目前养殖户粪污产生情况，目前三家有机肥加工厂不能够满足项目区粪污处理需求，因此本次拟建1座有机肥加工厂，根据泾源县审批服务管理局核发的《泾源县农业面源污染综合治理项目初步设计》批复文件（泾审批发(2025)025号）（见附件2），共提升改造有机肥加工厂4座，本项目为其中的1座，建设内容主要包括：新建原料陈化堆放棚512平方米，有机肥加工棚860平方米，购置5000吨有机肥颗粒加工设备1套，30型铲车1台，全自动菌剂扩培机1台。</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highlight w:val="none"/>
                <w:lang w:val="en-US" w:eastAsia="zh-CN"/>
              </w:rPr>
              <w:t>二、</w:t>
            </w:r>
            <w:r>
              <w:rPr>
                <w:rFonts w:hint="default" w:ascii="Times New Roman" w:hAnsi="Times New Roman" w:eastAsia="黑体" w:cs="Times New Roman"/>
                <w:bCs/>
                <w:color w:val="auto"/>
                <w:sz w:val="24"/>
                <w:szCs w:val="24"/>
                <w:lang w:val="en-US" w:eastAsia="zh-CN"/>
              </w:rPr>
              <w:t>项目组成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本项目</w:t>
            </w:r>
            <w:r>
              <w:rPr>
                <w:rFonts w:hint="default" w:ascii="Times New Roman" w:hAnsi="Times New Roman" w:cs="Times New Roman"/>
                <w:bCs/>
                <w:color w:val="auto"/>
                <w:sz w:val="24"/>
                <w:szCs w:val="24"/>
                <w:highlight w:val="none"/>
                <w:lang w:val="en-US" w:eastAsia="zh-CN"/>
              </w:rPr>
              <w:t>组成</w:t>
            </w:r>
            <w:r>
              <w:rPr>
                <w:rFonts w:hint="default" w:ascii="Times New Roman" w:hAnsi="Times New Roman" w:cs="Times New Roman"/>
                <w:bCs/>
                <w:color w:val="auto"/>
                <w:sz w:val="24"/>
                <w:szCs w:val="24"/>
                <w:highlight w:val="none"/>
              </w:rPr>
              <w:t>主要包括主体工程、辅助工程、</w:t>
            </w:r>
            <w:r>
              <w:rPr>
                <w:rFonts w:hint="default" w:ascii="Times New Roman" w:hAnsi="Times New Roman" w:cs="Times New Roman"/>
                <w:bCs/>
                <w:color w:val="auto"/>
                <w:sz w:val="24"/>
                <w:szCs w:val="24"/>
                <w:highlight w:val="none"/>
                <w:lang w:val="en-US" w:eastAsia="zh-CN"/>
              </w:rPr>
              <w:t>储运工程、</w:t>
            </w:r>
            <w:r>
              <w:rPr>
                <w:rFonts w:hint="default" w:ascii="Times New Roman" w:hAnsi="Times New Roman" w:cs="Times New Roman"/>
                <w:bCs/>
                <w:color w:val="auto"/>
                <w:sz w:val="24"/>
                <w:szCs w:val="24"/>
                <w:highlight w:val="none"/>
              </w:rPr>
              <w:t>公用工程</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环保工程</w:t>
            </w:r>
            <w:r>
              <w:rPr>
                <w:rFonts w:hint="default" w:ascii="Times New Roman" w:hAnsi="Times New Roman" w:cs="Times New Roman"/>
                <w:bCs/>
                <w:color w:val="auto"/>
                <w:sz w:val="24"/>
                <w:szCs w:val="24"/>
                <w:highlight w:val="none"/>
                <w:lang w:val="en-US" w:eastAsia="zh-CN"/>
              </w:rPr>
              <w:t>，具体情况见</w:t>
            </w:r>
            <w:r>
              <w:rPr>
                <w:rFonts w:hint="default" w:ascii="Times New Roman" w:hAnsi="Times New Roman" w:cs="Times New Roman"/>
                <w:bCs/>
                <w:color w:val="auto"/>
                <w:sz w:val="24"/>
                <w:szCs w:val="24"/>
                <w:highlight w:val="none"/>
              </w:rPr>
              <w:t>表</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0"/>
                <w:sz w:val="24"/>
                <w:szCs w:val="24"/>
              </w:rPr>
              <w:t>表</w:t>
            </w:r>
            <w:r>
              <w:rPr>
                <w:rFonts w:hint="default" w:ascii="Times New Roman" w:hAnsi="Times New Roman" w:eastAsia="黑体" w:cs="Times New Roman"/>
                <w:b w:val="0"/>
                <w:bCs w:val="0"/>
                <w:color w:val="auto"/>
                <w:kern w:val="0"/>
                <w:sz w:val="24"/>
                <w:szCs w:val="24"/>
                <w:lang w:val="en-US" w:eastAsia="zh-CN"/>
              </w:rPr>
              <w:t>2-1</w:t>
            </w:r>
            <w:r>
              <w:rPr>
                <w:rFonts w:hint="default" w:ascii="Times New Roman" w:hAnsi="Times New Roman" w:eastAsia="黑体" w:cs="Times New Roman"/>
                <w:b w:val="0"/>
                <w:bCs w:val="0"/>
                <w:color w:val="auto"/>
                <w:kern w:val="0"/>
                <w:sz w:val="24"/>
                <w:szCs w:val="24"/>
              </w:rPr>
              <w:t xml:space="preserve">  本项目组成一览表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653"/>
              <w:gridCol w:w="1104"/>
              <w:gridCol w:w="6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4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bookmarkStart w:id="2" w:name="_Toc407280117"/>
                  <w:bookmarkStart w:id="3" w:name="_Toc404094008"/>
                  <w:bookmarkStart w:id="4" w:name="_Toc354561503"/>
                  <w:bookmarkStart w:id="5" w:name="_Toc411590080"/>
                  <w:bookmarkStart w:id="6" w:name="_Toc410899398"/>
                  <w:bookmarkStart w:id="7" w:name="_Toc359506813"/>
                  <w:bookmarkStart w:id="8" w:name="_Toc407289879"/>
                  <w:bookmarkStart w:id="9" w:name="_Toc410740715"/>
                  <w:r>
                    <w:rPr>
                      <w:rFonts w:hint="default" w:ascii="Times New Roman" w:hAnsi="Times New Roman" w:cs="Times New Roman"/>
                      <w:b/>
                      <w:bCs/>
                      <w:color w:val="auto"/>
                      <w:kern w:val="0"/>
                      <w:sz w:val="21"/>
                      <w:szCs w:val="21"/>
                    </w:rPr>
                    <w:t>分类</w:t>
                  </w: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bCs/>
                      <w:color w:val="auto"/>
                      <w:kern w:val="0"/>
                      <w:sz w:val="21"/>
                      <w:szCs w:val="21"/>
                    </w:rPr>
                    <w:t>工程名称</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主要建设内容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主体工程</w:t>
                  </w: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color w:val="auto"/>
                      <w:kern w:val="0"/>
                      <w:sz w:val="21"/>
                      <w:szCs w:val="21"/>
                      <w:highlight w:val="none"/>
                      <w:vertAlign w:val="baseline"/>
                      <w:lang w:val="en-US" w:eastAsia="zh-CN"/>
                    </w:rPr>
                    <w:t>有机肥加工车间</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位于厂区西北角，</w:t>
                  </w:r>
                  <w:r>
                    <w:rPr>
                      <w:rFonts w:hint="default" w:ascii="Times New Roman" w:hAnsi="Times New Roman" w:eastAsia="宋体" w:cs="Times New Roman"/>
                      <w:color w:val="auto"/>
                      <w:kern w:val="0"/>
                      <w:sz w:val="21"/>
                      <w:szCs w:val="21"/>
                      <w:highlight w:val="none"/>
                      <w:vertAlign w:val="baseline"/>
                      <w:lang w:val="en-US" w:eastAsia="zh-CN"/>
                    </w:rPr>
                    <w:t>占地面积</w:t>
                  </w:r>
                  <w:r>
                    <w:rPr>
                      <w:rFonts w:hint="default" w:ascii="Times New Roman" w:hAnsi="Times New Roman" w:cs="Times New Roman"/>
                      <w:color w:val="auto"/>
                      <w:kern w:val="0"/>
                      <w:sz w:val="21"/>
                      <w:szCs w:val="21"/>
                      <w:highlight w:val="none"/>
                      <w:vertAlign w:val="baseline"/>
                      <w:lang w:val="en-US" w:eastAsia="zh-CN"/>
                    </w:rPr>
                    <w:t>860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w:t>
                  </w:r>
                  <w:r>
                    <w:rPr>
                      <w:rFonts w:hint="default" w:ascii="Times New Roman" w:hAnsi="Times New Roman" w:cs="Times New Roman"/>
                      <w:color w:val="auto"/>
                      <w:kern w:val="0"/>
                      <w:sz w:val="21"/>
                      <w:szCs w:val="21"/>
                      <w:highlight w:val="none"/>
                      <w:vertAlign w:val="baseline"/>
                      <w:lang w:val="en-US" w:eastAsia="zh-CN"/>
                    </w:rPr>
                    <w:t>新增</w:t>
                  </w:r>
                  <w:r>
                    <w:rPr>
                      <w:rFonts w:hint="default" w:ascii="Times New Roman" w:hAnsi="Times New Roman" w:eastAsia="宋体" w:cs="Times New Roman"/>
                      <w:color w:val="auto"/>
                      <w:kern w:val="0"/>
                      <w:sz w:val="21"/>
                      <w:szCs w:val="21"/>
                      <w:highlight w:val="none"/>
                      <w:vertAlign w:val="baseline"/>
                      <w:lang w:val="en-US" w:eastAsia="zh-CN"/>
                    </w:rPr>
                    <w:t>双级粉碎机、滚筒筛、颗粒机、颗粒包装机等设备。产能由原来</w:t>
                  </w:r>
                  <w:r>
                    <w:rPr>
                      <w:rFonts w:hint="default" w:ascii="Times New Roman" w:hAnsi="Times New Roman" w:cs="Times New Roman"/>
                      <w:color w:val="auto"/>
                      <w:kern w:val="0"/>
                      <w:sz w:val="21"/>
                      <w:szCs w:val="21"/>
                      <w:highlight w:val="none"/>
                      <w:vertAlign w:val="baseline"/>
                      <w:lang w:val="en-US" w:eastAsia="zh-CN"/>
                    </w:rPr>
                    <w:t>10</w:t>
                  </w:r>
                  <w:r>
                    <w:rPr>
                      <w:rFonts w:hint="default" w:ascii="Times New Roman" w:hAnsi="Times New Roman" w:eastAsia="宋体" w:cs="Times New Roman"/>
                      <w:color w:val="auto"/>
                      <w:kern w:val="0"/>
                      <w:sz w:val="21"/>
                      <w:szCs w:val="21"/>
                      <w:highlight w:val="none"/>
                      <w:vertAlign w:val="baseline"/>
                      <w:lang w:val="en-US" w:eastAsia="zh-CN"/>
                    </w:rPr>
                    <w:t>000t增加至</w:t>
                  </w:r>
                  <w:r>
                    <w:rPr>
                      <w:rFonts w:hint="default" w:ascii="Times New Roman" w:hAnsi="Times New Roman" w:cs="Times New Roman"/>
                      <w:color w:val="auto"/>
                      <w:kern w:val="0"/>
                      <w:sz w:val="21"/>
                      <w:szCs w:val="21"/>
                      <w:highlight w:val="none"/>
                      <w:vertAlign w:val="baseline"/>
                      <w:lang w:val="en-US" w:eastAsia="zh-CN"/>
                    </w:rPr>
                    <w:t>15000</w:t>
                  </w:r>
                  <w:r>
                    <w:rPr>
                      <w:rFonts w:hint="default" w:ascii="Times New Roman" w:hAnsi="Times New Roman" w:eastAsia="宋体" w:cs="Times New Roman"/>
                      <w:color w:val="auto"/>
                      <w:kern w:val="0"/>
                      <w:sz w:val="21"/>
                      <w:szCs w:val="21"/>
                      <w:highlight w:val="none"/>
                      <w:vertAlign w:val="baseli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p>
              </w:tc>
              <w:tc>
                <w:tcPr>
                  <w:tcW w:w="10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发酵棚</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位于有机肥加工车间，占地面积为600m</w:t>
                  </w:r>
                  <w:r>
                    <w:rPr>
                      <w:rFonts w:hint="default" w:ascii="Times New Roman" w:hAnsi="Times New Roman" w:cs="Times New Roman"/>
                      <w:color w:val="auto"/>
                      <w:kern w:val="0"/>
                      <w:sz w:val="21"/>
                      <w:szCs w:val="21"/>
                      <w:highlight w:val="none"/>
                      <w:vertAlign w:val="superscript"/>
                      <w:lang w:val="en-US" w:eastAsia="zh-CN" w:bidi="ar-SA"/>
                    </w:rPr>
                    <w:t>2</w:t>
                  </w:r>
                  <w:r>
                    <w:rPr>
                      <w:rFonts w:hint="default" w:ascii="Times New Roman" w:hAnsi="Times New Roman" w:cs="Times New Roman"/>
                      <w:color w:val="auto"/>
                      <w:kern w:val="0"/>
                      <w:sz w:val="21"/>
                      <w:szCs w:val="21"/>
                      <w:highlight w:val="none"/>
                      <w:vertAlign w:val="baseline"/>
                      <w:lang w:val="en-US" w:eastAsia="zh-CN" w:bidi="ar-SA"/>
                    </w:rPr>
                    <w:t>，全封闭轻钢结构，内置翻抛机，进行翻堆发酵。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p>
              </w:tc>
              <w:tc>
                <w:tcPr>
                  <w:tcW w:w="10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b w:val="0"/>
                      <w:bCs w:val="0"/>
                      <w:color w:val="auto"/>
                      <w:kern w:val="0"/>
                      <w:sz w:val="21"/>
                      <w:szCs w:val="21"/>
                      <w:lang w:val="en-US" w:eastAsia="zh-CN"/>
                    </w:rPr>
                    <w:t>原料陈化堆放棚</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位于有机肥加工车间</w:t>
                  </w:r>
                  <w:r>
                    <w:rPr>
                      <w:rFonts w:hint="default" w:ascii="Times New Roman" w:hAnsi="Times New Roman" w:cs="Times New Roman"/>
                      <w:color w:val="auto"/>
                      <w:kern w:val="0"/>
                      <w:sz w:val="21"/>
                      <w:szCs w:val="21"/>
                      <w:highlight w:val="none"/>
                      <w:vertAlign w:val="baseline"/>
                      <w:lang w:val="en-US" w:eastAsia="zh-CN" w:bidi="ar-SA"/>
                    </w:rPr>
                    <w:t>南侧</w:t>
                  </w:r>
                  <w:r>
                    <w:rPr>
                      <w:rFonts w:hint="default" w:ascii="Times New Roman" w:hAnsi="Times New Roman" w:eastAsia="宋体" w:cs="Times New Roman"/>
                      <w:color w:val="auto"/>
                      <w:kern w:val="0"/>
                      <w:sz w:val="21"/>
                      <w:szCs w:val="21"/>
                      <w:highlight w:val="none"/>
                      <w:vertAlign w:val="baseline"/>
                      <w:lang w:val="en-US" w:eastAsia="zh-CN" w:bidi="ar-SA"/>
                    </w:rPr>
                    <w:t>，占地面积为512m</w:t>
                  </w:r>
                  <w:r>
                    <w:rPr>
                      <w:rFonts w:hint="default" w:ascii="Times New Roman" w:hAnsi="Times New Roman" w:eastAsia="宋体" w:cs="Times New Roman"/>
                      <w:color w:val="auto"/>
                      <w:kern w:val="0"/>
                      <w:sz w:val="21"/>
                      <w:szCs w:val="21"/>
                      <w:highlight w:val="none"/>
                      <w:vertAlign w:val="superscript"/>
                      <w:lang w:val="en-US" w:eastAsia="zh-CN" w:bidi="ar-SA"/>
                    </w:rPr>
                    <w:t>2</w:t>
                  </w:r>
                  <w:r>
                    <w:rPr>
                      <w:rFonts w:hint="default" w:ascii="Times New Roman" w:hAnsi="Times New Roman" w:eastAsia="宋体" w:cs="Times New Roman"/>
                      <w:color w:val="auto"/>
                      <w:kern w:val="0"/>
                      <w:sz w:val="21"/>
                      <w:szCs w:val="21"/>
                      <w:highlight w:val="none"/>
                      <w:vertAlign w:val="baseline"/>
                      <w:lang w:val="en-US" w:eastAsia="zh-CN" w:bidi="ar-SA"/>
                    </w:rPr>
                    <w:t>，全封闭轻钢结构，</w:t>
                  </w:r>
                  <w:r>
                    <w:rPr>
                      <w:rFonts w:hint="default" w:ascii="Times New Roman" w:hAnsi="Times New Roman" w:cs="Times New Roman"/>
                      <w:color w:val="auto"/>
                      <w:kern w:val="0"/>
                      <w:sz w:val="21"/>
                      <w:szCs w:val="21"/>
                      <w:highlight w:val="none"/>
                      <w:vertAlign w:val="baseline"/>
                      <w:lang w:val="en-US" w:eastAsia="zh-CN" w:bidi="ar-SA"/>
                    </w:rPr>
                    <w:t>主要用于发酵完的物料进行进一步陈化处理</w:t>
                  </w:r>
                  <w:r>
                    <w:rPr>
                      <w:rFonts w:hint="default" w:ascii="Times New Roman" w:hAnsi="Times New Roman" w:eastAsia="宋体"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辅助工程</w:t>
                  </w: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办公生活区</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依托现有，位于厂区</w:t>
                  </w:r>
                  <w:r>
                    <w:rPr>
                      <w:rFonts w:hint="default" w:ascii="Times New Roman" w:hAnsi="Times New Roman" w:cs="Times New Roman"/>
                      <w:color w:val="auto"/>
                      <w:kern w:val="0"/>
                      <w:sz w:val="21"/>
                      <w:szCs w:val="21"/>
                      <w:highlight w:val="none"/>
                      <w:vertAlign w:val="baseline"/>
                      <w:lang w:val="en-US" w:eastAsia="zh-CN"/>
                    </w:rPr>
                    <w:t>东北角</w:t>
                  </w:r>
                  <w:r>
                    <w:rPr>
                      <w:rFonts w:hint="default" w:ascii="Times New Roman" w:hAnsi="Times New Roman" w:eastAsia="宋体" w:cs="Times New Roman"/>
                      <w:color w:val="auto"/>
                      <w:kern w:val="0"/>
                      <w:sz w:val="21"/>
                      <w:szCs w:val="21"/>
                      <w:highlight w:val="none"/>
                      <w:vertAlign w:val="baseline"/>
                      <w:lang w:val="en-US" w:eastAsia="zh-CN"/>
                    </w:rPr>
                    <w:t>，占地面积</w:t>
                  </w:r>
                  <w:r>
                    <w:rPr>
                      <w:rFonts w:hint="default" w:ascii="Times New Roman" w:hAnsi="Times New Roman" w:cs="Times New Roman"/>
                      <w:color w:val="auto"/>
                      <w:kern w:val="0"/>
                      <w:sz w:val="21"/>
                      <w:szCs w:val="21"/>
                      <w:highlight w:val="none"/>
                      <w:vertAlign w:val="baseline"/>
                      <w:lang w:val="en-US" w:eastAsia="zh-CN"/>
                    </w:rPr>
                    <w:t>200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储运工程</w:t>
                  </w:r>
                </w:p>
              </w:tc>
              <w:tc>
                <w:tcPr>
                  <w:tcW w:w="10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原料库</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位于厂区</w:t>
                  </w:r>
                  <w:r>
                    <w:rPr>
                      <w:rFonts w:hint="default" w:ascii="Times New Roman" w:hAnsi="Times New Roman" w:cs="Times New Roman"/>
                      <w:color w:val="auto"/>
                      <w:kern w:val="0"/>
                      <w:sz w:val="21"/>
                      <w:szCs w:val="21"/>
                      <w:highlight w:val="none"/>
                      <w:vertAlign w:val="baseline"/>
                      <w:lang w:val="en-US" w:eastAsia="zh-CN"/>
                    </w:rPr>
                    <w:t>东南角</w:t>
                  </w:r>
                  <w:r>
                    <w:rPr>
                      <w:rFonts w:hint="default" w:ascii="Times New Roman" w:hAnsi="Times New Roman" w:eastAsia="宋体" w:cs="Times New Roman"/>
                      <w:color w:val="auto"/>
                      <w:kern w:val="0"/>
                      <w:sz w:val="21"/>
                      <w:szCs w:val="21"/>
                      <w:highlight w:val="none"/>
                      <w:vertAlign w:val="baseline"/>
                      <w:lang w:val="en-US" w:eastAsia="zh-CN"/>
                    </w:rPr>
                    <w:t>，占地面积</w:t>
                  </w:r>
                  <w:r>
                    <w:rPr>
                      <w:rFonts w:hint="default" w:ascii="Times New Roman" w:hAnsi="Times New Roman" w:cs="Times New Roman"/>
                      <w:color w:val="auto"/>
                      <w:kern w:val="0"/>
                      <w:sz w:val="21"/>
                      <w:szCs w:val="21"/>
                      <w:highlight w:val="none"/>
                      <w:vertAlign w:val="baseline"/>
                      <w:lang w:val="en-US" w:eastAsia="zh-CN"/>
                    </w:rPr>
                    <w:t>1100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，全密闭轻钢结构，主要用于储存原料秸秆</w:t>
                  </w:r>
                  <w:r>
                    <w:rPr>
                      <w:rFonts w:hint="default" w:ascii="Times New Roman" w:hAnsi="Times New Roman" w:cs="Times New Roman"/>
                      <w:color w:val="auto"/>
                      <w:kern w:val="0"/>
                      <w:sz w:val="21"/>
                      <w:szCs w:val="21"/>
                      <w:highlight w:val="none"/>
                      <w:vertAlign w:val="baseline"/>
                      <w:lang w:val="en-US" w:eastAsia="zh-CN"/>
                    </w:rPr>
                    <w:t>、腐殖酸及腐熟剂</w:t>
                  </w:r>
                  <w:r>
                    <w:rPr>
                      <w:rFonts w:hint="default" w:ascii="Times New Roman" w:hAnsi="Times New Roman" w:eastAsia="宋体" w:cs="Times New Roman"/>
                      <w:color w:val="auto"/>
                      <w:kern w:val="0"/>
                      <w:sz w:val="21"/>
                      <w:szCs w:val="21"/>
                      <w:highlight w:val="none"/>
                      <w:vertAlign w:val="baseline"/>
                      <w:lang w:val="en-US" w:eastAsia="zh-CN"/>
                    </w:rPr>
                    <w:t>等</w:t>
                  </w:r>
                  <w:r>
                    <w:rPr>
                      <w:rFonts w:hint="default" w:ascii="Times New Roman" w:hAnsi="Times New Roman" w:cs="Times New Roman"/>
                      <w:color w:val="auto"/>
                      <w:kern w:val="0"/>
                      <w:sz w:val="21"/>
                      <w:szCs w:val="21"/>
                      <w:highlight w:val="none"/>
                      <w:vertAlign w:val="baseline"/>
                      <w:lang w:val="en-US" w:eastAsia="zh-CN"/>
                    </w:rPr>
                    <w:t>，各原料分区储存</w:t>
                  </w:r>
                  <w:r>
                    <w:rPr>
                      <w:rFonts w:hint="default" w:ascii="Times New Roman" w:hAnsi="Times New Roman" w:eastAsia="宋体" w:cs="Times New Roman"/>
                      <w:color w:val="auto"/>
                      <w:kern w:val="0"/>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eastAsia="zh-CN"/>
                    </w:rPr>
                  </w:pPr>
                </w:p>
              </w:tc>
              <w:tc>
                <w:tcPr>
                  <w:tcW w:w="10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成品库</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lang w:val="en-US" w:eastAsia="zh-CN"/>
                    </w:rPr>
                    <w:t>位于厂区北侧有机肥加工车间东侧，占地面积1140m</w:t>
                  </w:r>
                  <w:r>
                    <w:rPr>
                      <w:rFonts w:hint="default" w:ascii="Times New Roman" w:hAnsi="Times New Roman" w:cs="Times New Roman"/>
                      <w:b w:val="0"/>
                      <w:bCs w:val="0"/>
                      <w:color w:val="auto"/>
                      <w:kern w:val="0"/>
                      <w:sz w:val="21"/>
                      <w:szCs w:val="21"/>
                      <w:vertAlign w:val="superscript"/>
                      <w:lang w:val="en-US" w:eastAsia="zh-CN"/>
                    </w:rPr>
                    <w:t>2</w:t>
                  </w:r>
                  <w:r>
                    <w:rPr>
                      <w:rFonts w:hint="default" w:ascii="Times New Roman" w:hAnsi="Times New Roman" w:cs="Times New Roman"/>
                      <w:b w:val="0"/>
                      <w:bCs w:val="0"/>
                      <w:color w:val="auto"/>
                      <w:kern w:val="0"/>
                      <w:sz w:val="21"/>
                      <w:szCs w:val="21"/>
                      <w:lang w:val="en-US" w:eastAsia="zh-CN"/>
                    </w:rPr>
                    <w:t>，全密闭轻钢结构，主要用于储存产品颗粒有机肥。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公用工程</w:t>
                  </w: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给水</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供水管</w:t>
                  </w:r>
                  <w:r>
                    <w:rPr>
                      <w:rFonts w:hint="default" w:ascii="Times New Roman" w:hAnsi="Times New Roman" w:cs="Times New Roman"/>
                      <w:color w:val="auto"/>
                      <w:kern w:val="0"/>
                      <w:sz w:val="21"/>
                      <w:szCs w:val="21"/>
                      <w:highlight w:val="none"/>
                      <w:shd w:val="clear"/>
                    </w:rPr>
                    <w:t>网供给，用水主要为生活用水</w:t>
                  </w:r>
                  <w:r>
                    <w:rPr>
                      <w:rFonts w:hint="default" w:ascii="Times New Roman" w:hAnsi="Times New Roman" w:cs="Times New Roman"/>
                      <w:color w:val="auto"/>
                      <w:kern w:val="0"/>
                      <w:sz w:val="21"/>
                      <w:szCs w:val="21"/>
                      <w:highlight w:val="none"/>
                      <w:shd w:val="clear"/>
                      <w:lang w:eastAsia="zh-CN"/>
                    </w:rPr>
                    <w:t>（</w:t>
                  </w:r>
                  <w:r>
                    <w:rPr>
                      <w:rFonts w:hint="default" w:ascii="Times New Roman" w:hAnsi="Times New Roman" w:cs="Times New Roman"/>
                      <w:color w:val="auto"/>
                      <w:kern w:val="0"/>
                      <w:sz w:val="21"/>
                      <w:szCs w:val="21"/>
                      <w:highlight w:val="none"/>
                      <w:shd w:val="clear"/>
                      <w:lang w:val="en-US" w:eastAsia="zh-CN"/>
                    </w:rPr>
                    <w:t>198m³/a</w:t>
                  </w:r>
                  <w:r>
                    <w:rPr>
                      <w:rFonts w:hint="default" w:ascii="Times New Roman" w:hAnsi="Times New Roman" w:cs="Times New Roman"/>
                      <w:color w:val="auto"/>
                      <w:kern w:val="0"/>
                      <w:sz w:val="21"/>
                      <w:szCs w:val="21"/>
                      <w:highlight w:val="none"/>
                      <w:shd w:val="clear"/>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排水</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生活污水产生量为158m³/a，经化粪池（8m³）处理后，交由新民乡污水处理公司统一拉运处置。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rPr>
                  </w:pP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供电</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供电管网</w:t>
                  </w:r>
                  <w:r>
                    <w:rPr>
                      <w:rFonts w:hint="default" w:ascii="Times New Roman" w:hAnsi="Times New Roman" w:cs="Times New Roman"/>
                      <w:color w:val="auto"/>
                      <w:kern w:val="0"/>
                      <w:sz w:val="21"/>
                      <w:szCs w:val="21"/>
                      <w:highlight w:val="none"/>
                      <w:lang w:eastAsia="zh-CN"/>
                    </w:rPr>
                    <w:t>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供暖</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yellow"/>
                      <w:lang w:eastAsia="zh-CN"/>
                    </w:rPr>
                  </w:pPr>
                  <w:r>
                    <w:rPr>
                      <w:rFonts w:hint="default" w:ascii="Times New Roman" w:hAnsi="Times New Roman" w:cs="Times New Roman"/>
                      <w:color w:val="auto"/>
                      <w:kern w:val="0"/>
                      <w:sz w:val="21"/>
                      <w:szCs w:val="21"/>
                      <w:highlight w:val="none"/>
                    </w:rPr>
                    <w:t>办公</w:t>
                  </w:r>
                  <w:r>
                    <w:rPr>
                      <w:rFonts w:hint="default" w:ascii="Times New Roman" w:hAnsi="Times New Roman" w:cs="Times New Roman"/>
                      <w:color w:val="auto"/>
                      <w:kern w:val="0"/>
                      <w:sz w:val="21"/>
                      <w:szCs w:val="21"/>
                      <w:highlight w:val="none"/>
                      <w:lang w:eastAsia="zh-CN"/>
                    </w:rPr>
                    <w:t>生活</w:t>
                  </w:r>
                  <w:r>
                    <w:rPr>
                      <w:rFonts w:hint="default" w:ascii="Times New Roman" w:hAnsi="Times New Roman" w:cs="Times New Roman"/>
                      <w:color w:val="auto"/>
                      <w:kern w:val="0"/>
                      <w:sz w:val="21"/>
                      <w:szCs w:val="21"/>
                      <w:highlight w:val="none"/>
                    </w:rPr>
                    <w:t>区</w:t>
                  </w:r>
                  <w:r>
                    <w:rPr>
                      <w:rFonts w:hint="default" w:ascii="Times New Roman" w:hAnsi="Times New Roman" w:cs="Times New Roman"/>
                      <w:color w:val="auto"/>
                      <w:kern w:val="0"/>
                      <w:sz w:val="21"/>
                      <w:szCs w:val="21"/>
                      <w:highlight w:val="none"/>
                      <w:lang w:val="en-US" w:eastAsia="zh-CN"/>
                    </w:rPr>
                    <w:t>采用电暖供暖</w:t>
                  </w:r>
                  <w:r>
                    <w:rPr>
                      <w:rFonts w:hint="default" w:ascii="Times New Roman" w:hAnsi="Times New Roman" w:cs="Times New Roman"/>
                      <w:color w:val="auto"/>
                      <w:kern w:val="0"/>
                      <w:sz w:val="21"/>
                      <w:szCs w:val="21"/>
                      <w:highlight w:val="none"/>
                    </w:rPr>
                    <w:t>，生产车间不供</w:t>
                  </w:r>
                  <w:r>
                    <w:rPr>
                      <w:rFonts w:hint="default" w:ascii="Times New Roman" w:hAnsi="Times New Roman" w:cs="Times New Roman"/>
                      <w:color w:val="auto"/>
                      <w:kern w:val="0"/>
                      <w:sz w:val="21"/>
                      <w:szCs w:val="21"/>
                      <w:highlight w:val="none"/>
                      <w:lang w:val="en-US" w:eastAsia="zh-CN"/>
                    </w:rPr>
                    <w:t>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环保工程</w:t>
                  </w:r>
                </w:p>
              </w:tc>
              <w:tc>
                <w:tcPr>
                  <w:tcW w:w="38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废气治理</w:t>
                  </w: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kern w:val="0"/>
                      <w:sz w:val="21"/>
                      <w:szCs w:val="21"/>
                      <w:highlight w:val="none"/>
                      <w:lang w:val="en-US" w:eastAsia="zh-CN"/>
                    </w:rPr>
                    <w:t>发酵废气经收集后与混配、粉碎、筛分、造粒、冷却过程中产生的废气一同进入一套“生物除臭装置+布袋除尘器”处理，最终，废气通过一根15米高的排气筒（DA001）排放</w:t>
                  </w:r>
                  <w:r>
                    <w:rPr>
                      <w:rFonts w:hint="default" w:ascii="Times New Roman" w:hAnsi="Times New Roman" w:cs="Times New Roman"/>
                      <w:color w:val="auto"/>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rPr>
                  </w:pPr>
                </w:p>
              </w:tc>
              <w:tc>
                <w:tcPr>
                  <w:tcW w:w="38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rPr>
                  </w:pP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无组织废气</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通过对</w:t>
                  </w:r>
                  <w:r>
                    <w:rPr>
                      <w:rFonts w:hint="default" w:ascii="Times New Roman" w:hAnsi="Times New Roman" w:cs="Times New Roman"/>
                      <w:color w:val="auto"/>
                      <w:highlight w:val="none"/>
                      <w:lang w:val="en-US" w:eastAsia="zh-CN"/>
                    </w:rPr>
                    <w:t>原料陈化堆放</w:t>
                  </w:r>
                  <w:r>
                    <w:rPr>
                      <w:rFonts w:hint="default" w:ascii="Times New Roman" w:hAnsi="Times New Roman" w:eastAsia="宋体" w:cs="Times New Roman"/>
                      <w:color w:val="auto"/>
                      <w:highlight w:val="none"/>
                      <w:lang w:val="en-US" w:eastAsia="zh-CN"/>
                    </w:rPr>
                    <w:t>棚进行密闭管理，同时对粪污暂时堆存过程喷洒除臭剂，从而达到降低恶臭气体对周围环境不利影响的目的，粪污暂时堆存过程产生废气以无组织形式排放</w:t>
                  </w:r>
                  <w:r>
                    <w:rPr>
                      <w:rFonts w:hint="default" w:ascii="Times New Roman" w:hAnsi="Times New Roman" w:cs="Times New Roman"/>
                      <w:color w:val="auto"/>
                      <w:highlight w:val="none"/>
                      <w:lang w:val="en-US" w:eastAsia="zh-CN"/>
                    </w:rPr>
                    <w:t>；同时各工序未被收集的废气通过密闭车间降尘处理后无组织排放。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废水治理</w:t>
                  </w: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生活污水</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主要为员工生活污水，</w:t>
                  </w:r>
                  <w:r>
                    <w:rPr>
                      <w:rFonts w:hint="default" w:ascii="Times New Roman" w:hAnsi="Times New Roman" w:cs="Times New Roman"/>
                      <w:color w:val="auto"/>
                      <w:kern w:val="0"/>
                      <w:sz w:val="21"/>
                      <w:szCs w:val="21"/>
                      <w:highlight w:val="none"/>
                      <w:lang w:val="en-US" w:eastAsia="zh-CN"/>
                    </w:rPr>
                    <w:t>经化粪池（8m³）处理后，交由新民乡污水处理公司统一拉运处置，不外排</w:t>
                  </w:r>
                  <w:r>
                    <w:rPr>
                      <w:rFonts w:hint="default" w:ascii="Times New Roman" w:hAnsi="Times New Roman" w:cs="Times New Roman"/>
                      <w:color w:val="auto"/>
                      <w:kern w:val="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4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w:t>
                  </w:r>
                  <w:r>
                    <w:rPr>
                      <w:rFonts w:hint="default" w:ascii="Times New Roman" w:hAnsi="Times New Roman" w:cs="Times New Roman"/>
                      <w:color w:val="auto"/>
                      <w:kern w:val="0"/>
                      <w:sz w:val="21"/>
                      <w:szCs w:val="21"/>
                      <w:highlight w:val="none"/>
                      <w:vertAlign w:val="baseline"/>
                      <w:lang w:val="en-US" w:eastAsia="zh-CN"/>
                    </w:rPr>
                    <w:t>，自有机肥加工车间西北角西南角为起点，延伸至西南角</w:t>
                  </w:r>
                  <w:r>
                    <w:rPr>
                      <w:rFonts w:hint="default" w:ascii="Times New Roman" w:hAnsi="Times New Roman" w:eastAsia="宋体" w:cs="Times New Roman"/>
                      <w:color w:val="auto"/>
                      <w:kern w:val="0"/>
                      <w:sz w:val="21"/>
                      <w:szCs w:val="21"/>
                      <w:highlight w:val="none"/>
                      <w:vertAlign w:val="baseline"/>
                      <w:lang w:val="en-US" w:eastAsia="zh-CN"/>
                    </w:rPr>
                    <w:t>，全长</w:t>
                  </w:r>
                  <w:r>
                    <w:rPr>
                      <w:rFonts w:hint="default" w:ascii="Times New Roman" w:hAnsi="Times New Roman" w:cs="Times New Roman"/>
                      <w:color w:val="auto"/>
                      <w:kern w:val="0"/>
                      <w:sz w:val="21"/>
                      <w:szCs w:val="21"/>
                      <w:highlight w:val="none"/>
                      <w:vertAlign w:val="baseline"/>
                      <w:lang w:val="en-US" w:eastAsia="zh-CN"/>
                    </w:rPr>
                    <w:t>32</w:t>
                  </w:r>
                  <w:r>
                    <w:rPr>
                      <w:rFonts w:hint="default" w:ascii="Times New Roman" w:hAnsi="Times New Roman" w:eastAsia="宋体" w:cs="Times New Roman"/>
                      <w:color w:val="auto"/>
                      <w:kern w:val="0"/>
                      <w:sz w:val="21"/>
                      <w:szCs w:val="21"/>
                      <w:highlight w:val="none"/>
                      <w:vertAlign w:val="baseline"/>
                      <w:lang w:val="en-US" w:eastAsia="zh-CN"/>
                    </w:rPr>
                    <w:t>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23"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噪声治理</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highlight w:val="none"/>
                    </w:rPr>
                    <w:t>选用低噪声设备，对设备底座进行减震处理</w:t>
                  </w:r>
                  <w:r>
                    <w:rPr>
                      <w:rFonts w:hint="default" w:ascii="Times New Roman" w:hAnsi="Times New Roman" w:cs="Times New Roman"/>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固废治理</w:t>
                  </w: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除尘灰</w:t>
                  </w:r>
                  <w:r>
                    <w:rPr>
                      <w:rFonts w:hint="default" w:ascii="Times New Roman" w:hAnsi="Times New Roman" w:cs="Times New Roman"/>
                      <w:color w:val="auto"/>
                      <w:kern w:val="0"/>
                      <w:sz w:val="21"/>
                      <w:szCs w:val="21"/>
                      <w:highlight w:val="none"/>
                      <w:lang w:eastAsia="zh-CN"/>
                    </w:rPr>
                    <w:t>收集后</w:t>
                  </w:r>
                  <w:r>
                    <w:rPr>
                      <w:rFonts w:hint="default" w:ascii="Times New Roman" w:hAnsi="Times New Roman" w:cs="Times New Roman"/>
                      <w:color w:val="auto"/>
                      <w:kern w:val="0"/>
                      <w:sz w:val="21"/>
                      <w:szCs w:val="21"/>
                      <w:highlight w:val="none"/>
                      <w:lang w:val="en-US" w:eastAsia="zh-CN"/>
                    </w:rPr>
                    <w:t>回用于生产线；废包装材料外售综合利用</w:t>
                  </w:r>
                  <w:r>
                    <w:rPr>
                      <w:rFonts w:hint="default" w:ascii="Times New Roman" w:hAnsi="Times New Roman" w:cs="Times New Roman"/>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生活垃圾</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highlight w:val="none"/>
                      <w:lang w:val="en-US" w:eastAsia="zh-CN"/>
                    </w:rPr>
                    <w:t>交由</w:t>
                  </w:r>
                  <w:r>
                    <w:rPr>
                      <w:rFonts w:hint="default" w:ascii="Times New Roman" w:hAnsi="Times New Roman" w:cs="Times New Roman"/>
                      <w:color w:val="auto"/>
                      <w:kern w:val="0"/>
                      <w:sz w:val="21"/>
                      <w:szCs w:val="21"/>
                      <w:highlight w:val="none"/>
                      <w:lang w:eastAsia="zh-CN"/>
                    </w:rPr>
                    <w:t>环卫部门统一处置。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4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危险废物</w:t>
                  </w:r>
                </w:p>
              </w:tc>
              <w:tc>
                <w:tcPr>
                  <w:tcW w:w="3633"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废机油、废机油桶经收集后贮存于危废贮存点，定期交由有资质的单位处置。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危废贮存点</w:t>
                  </w:r>
                </w:p>
              </w:tc>
              <w:tc>
                <w:tcPr>
                  <w:tcW w:w="363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位于全封闭</w:t>
                  </w:r>
                  <w:r>
                    <w:rPr>
                      <w:rFonts w:hint="default" w:ascii="Times New Roman" w:hAnsi="Times New Roman" w:cs="Times New Roman"/>
                      <w:b w:val="0"/>
                      <w:bCs w:val="0"/>
                      <w:color w:val="auto"/>
                      <w:kern w:val="0"/>
                      <w:sz w:val="21"/>
                      <w:szCs w:val="21"/>
                      <w:highlight w:val="none"/>
                      <w:lang w:val="en-US" w:eastAsia="zh-CN"/>
                    </w:rPr>
                    <w:t>有机肥生产车间</w:t>
                  </w:r>
                  <w:r>
                    <w:rPr>
                      <w:rFonts w:hint="default" w:ascii="Times New Roman" w:hAnsi="Times New Roman" w:cs="Times New Roman"/>
                      <w:b w:val="0"/>
                      <w:bCs w:val="0"/>
                      <w:color w:val="auto"/>
                      <w:kern w:val="0"/>
                      <w:sz w:val="21"/>
                      <w:szCs w:val="21"/>
                      <w:lang w:val="en-US" w:eastAsia="zh-CN"/>
                    </w:rPr>
                    <w:t>内建设1处占地面积为2m</w:t>
                  </w:r>
                  <w:r>
                    <w:rPr>
                      <w:rFonts w:hint="default" w:ascii="Times New Roman" w:hAnsi="Times New Roman" w:cs="Times New Roman"/>
                      <w:b w:val="0"/>
                      <w:bCs w:val="0"/>
                      <w:color w:val="auto"/>
                      <w:kern w:val="0"/>
                      <w:sz w:val="21"/>
                      <w:szCs w:val="21"/>
                      <w:vertAlign w:val="superscript"/>
                      <w:lang w:val="en-US" w:eastAsia="zh-CN"/>
                    </w:rPr>
                    <w:t>2</w:t>
                  </w:r>
                  <w:r>
                    <w:rPr>
                      <w:rFonts w:hint="default" w:ascii="Times New Roman" w:hAnsi="Times New Roman" w:cs="Times New Roman"/>
                      <w:b w:val="0"/>
                      <w:bCs w:val="0"/>
                      <w:color w:val="auto"/>
                      <w:kern w:val="0"/>
                      <w:sz w:val="21"/>
                      <w:szCs w:val="21"/>
                      <w:lang w:val="en-US" w:eastAsia="zh-CN"/>
                    </w:rPr>
                    <w:t>的危废贮存点，用于贮存项目产生的废机油及废机油桶。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8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防渗措施</w:t>
                  </w:r>
                </w:p>
              </w:tc>
              <w:tc>
                <w:tcPr>
                  <w:tcW w:w="4276" w:type="pct"/>
                  <w:gridSpan w:val="2"/>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kern w:val="0"/>
                      <w:sz w:val="21"/>
                      <w:szCs w:val="21"/>
                      <w:lang w:val="en-US" w:eastAsia="zh-CN"/>
                    </w:rPr>
                    <w:t>本厂区采取分区防渗：①发酵棚为重点防渗区，等效黏土防渗层Mb≥6.0m，K≤1x10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cm/s；②原料陈化堆放棚及成品库房为一般防渗区，等效黏土防渗层Mb≥1.5m，K≤1×10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cm/s；③厂区道路为简单防渗区，地面采用混凝土硬化；④有机肥生产车间新建危废贮存点采取“地面一般防渗处理+防渗托盘+密闭油桶”方式，防止危险废物泄露污染地下水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8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环境管理</w:t>
                  </w:r>
                </w:p>
              </w:tc>
              <w:tc>
                <w:tcPr>
                  <w:tcW w:w="42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依据《固定污染源排污许可分类管理名录（2019年）》落实相关排污许可手续；规范环境管理制度等。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8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42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制定监测计划，并严格按照监测计划定期开展废气、噪声等污染源监测。</w:t>
                  </w:r>
                </w:p>
              </w:tc>
            </w:tr>
            <w:bookmarkEnd w:id="2"/>
            <w:bookmarkEnd w:id="3"/>
            <w:bookmarkEnd w:id="4"/>
            <w:bookmarkEnd w:id="5"/>
            <w:bookmarkEnd w:id="6"/>
            <w:bookmarkEnd w:id="7"/>
            <w:bookmarkEnd w:id="8"/>
            <w:bookmarkEnd w:id="9"/>
          </w:tbl>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三、主要产品及产能、主要生产单元、主要工艺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default" w:ascii="Times New Roman" w:hAnsi="Times New Roman" w:cs="Times New Roman"/>
                <w:bCs/>
                <w:color w:val="auto"/>
                <w:sz w:val="24"/>
                <w:szCs w:val="24"/>
                <w:lang w:val="en-US" w:eastAsia="zh-CN"/>
              </w:rPr>
              <w:t>产品为粉状有机肥及颗粒有机肥</w:t>
            </w:r>
            <w:r>
              <w:rPr>
                <w:rFonts w:hint="default" w:ascii="Times New Roman" w:hAnsi="Times New Roman" w:eastAsia="宋体"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产品方案</w:t>
            </w:r>
            <w:r>
              <w:rPr>
                <w:rFonts w:hint="default" w:ascii="Times New Roman" w:hAnsi="Times New Roman" w:eastAsia="宋体" w:cs="Times New Roman"/>
                <w:bCs/>
                <w:color w:val="auto"/>
                <w:sz w:val="24"/>
                <w:szCs w:val="24"/>
                <w:lang w:val="en-US" w:eastAsia="zh-CN"/>
              </w:rPr>
              <w:t>见</w:t>
            </w:r>
            <w:r>
              <w:rPr>
                <w:rFonts w:hint="default" w:ascii="Times New Roman" w:hAnsi="Times New Roman" w:cs="Times New Roman"/>
                <w:bCs/>
                <w:color w:val="auto"/>
                <w:sz w:val="24"/>
                <w:szCs w:val="24"/>
                <w:lang w:val="en-US" w:eastAsia="zh-CN"/>
              </w:rPr>
              <w:t>表2-2</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2-2</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产品方案一览表</w:t>
            </w:r>
          </w:p>
          <w:tbl>
            <w:tblPr>
              <w:tblStyle w:val="25"/>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349"/>
              <w:gridCol w:w="1014"/>
              <w:gridCol w:w="1648"/>
              <w:gridCol w:w="257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786"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产品名称</w:t>
                  </w:r>
                </w:p>
              </w:tc>
              <w:tc>
                <w:tcPr>
                  <w:tcW w:w="591"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产能</w:t>
                  </w:r>
                  <w:r>
                    <w:rPr>
                      <w:rFonts w:hint="default" w:ascii="Times New Roman" w:hAnsi="Times New Roman" w:cs="Times New Roman"/>
                      <w:b/>
                      <w:bCs/>
                      <w:color w:val="auto"/>
                      <w:kern w:val="0"/>
                      <w:sz w:val="21"/>
                      <w:szCs w:val="21"/>
                      <w:lang w:val="en-US" w:eastAsia="zh-CN"/>
                    </w:rPr>
                    <w:t>(t/a)</w:t>
                  </w:r>
                </w:p>
              </w:tc>
              <w:tc>
                <w:tcPr>
                  <w:tcW w:w="960"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val="en-US" w:eastAsia="zh-CN"/>
                    </w:rPr>
                    <w:t>主要生产单元</w:t>
                  </w:r>
                </w:p>
              </w:tc>
              <w:tc>
                <w:tcPr>
                  <w:tcW w:w="1503"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主要工艺</w:t>
                  </w:r>
                </w:p>
              </w:tc>
              <w:tc>
                <w:tcPr>
                  <w:tcW w:w="781"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78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eastAsia="zh-CN"/>
                    </w:rPr>
                    <w:t>颗粒有机肥</w:t>
                  </w:r>
                </w:p>
              </w:tc>
              <w:tc>
                <w:tcPr>
                  <w:tcW w:w="591"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5000</w:t>
                  </w:r>
                </w:p>
              </w:tc>
              <w:tc>
                <w:tcPr>
                  <w:tcW w:w="960"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有机肥料生产线</w:t>
                  </w:r>
                </w:p>
              </w:tc>
              <w:tc>
                <w:tcPr>
                  <w:tcW w:w="1503"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混配、发酵、陈化、粉碎、筛分、造粒、冷却、筛分</w:t>
                  </w:r>
                </w:p>
              </w:tc>
              <w:tc>
                <w:tcPr>
                  <w:tcW w:w="781"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外售</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本项目产品质量标准执行《有机肥料》（NY525-2021），详见表2-3。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表2-3  有机肥产品技术指标及限量指标要求一览表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2"/>
              <w:gridCol w:w="2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项目</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外观均匀，颗粒状，无恶臭。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有机质的质量分数（以烘干基计），%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总养分（N+P</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w:t>
                  </w:r>
                  <w:r>
                    <w:rPr>
                      <w:rFonts w:hint="default" w:ascii="Times New Roman" w:hAnsi="Times New Roman" w:eastAsia="宋体" w:cs="Times New Roman"/>
                      <w:color w:val="auto"/>
                      <w:kern w:val="0"/>
                      <w:sz w:val="21"/>
                      <w:szCs w:val="21"/>
                      <w:vertAlign w:val="subscript"/>
                      <w:lang w:val="en-US" w:eastAsia="zh-CN"/>
                    </w:rPr>
                    <w:t>5</w:t>
                  </w:r>
                  <w:r>
                    <w:rPr>
                      <w:rFonts w:hint="default" w:ascii="Times New Roman" w:hAnsi="Times New Roman" w:eastAsia="宋体" w:cs="Times New Roman"/>
                      <w:color w:val="auto"/>
                      <w:kern w:val="0"/>
                      <w:sz w:val="21"/>
                      <w:szCs w:val="21"/>
                      <w:lang w:val="en-US" w:eastAsia="zh-CN"/>
                    </w:rPr>
                    <w:t>+K</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水分（鲜样）的质量分数，%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酸碱度（pH）</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种子发芽指数（GI），%</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机械杂质的质量分数，%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限量指标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总砷（As），mg/kg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总汞（Hg），mg/kg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总铅（Pb），mg/kg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总镉（Cd），mg/kg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总铬（Cr），mg/kg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粪大肠菌群数，个/g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蛔虫卵死亡率，%</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氯离子的质量分数/%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杂草种子活性，株/kg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lang w:val="en-US" w:eastAsia="zh-CN"/>
              </w:rPr>
              <w:t>四、主要生产设施及设施参数</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本项目主要生产设施及设施参数见表2-4。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表2-4  主要生产设备一览表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126"/>
              <w:gridCol w:w="2593"/>
              <w:gridCol w:w="974"/>
              <w:gridCol w:w="901"/>
              <w:gridCol w:w="1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16"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23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设备名称</w:t>
                  </w:r>
                </w:p>
              </w:tc>
              <w:tc>
                <w:tcPr>
                  <w:tcW w:w="1509"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型号</w:t>
                  </w:r>
                </w:p>
              </w:tc>
              <w:tc>
                <w:tcPr>
                  <w:tcW w:w="56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单位</w:t>
                  </w:r>
                </w:p>
              </w:tc>
              <w:tc>
                <w:tcPr>
                  <w:tcW w:w="52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数量</w:t>
                  </w:r>
                </w:p>
              </w:tc>
              <w:tc>
                <w:tcPr>
                  <w:tcW w:w="74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上料皮带</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调速喂料机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PS-1200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双级粉碎机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SF600型</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筛分机上料皮带机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滚筒筛</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GTS-160x6型</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返料皮带机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配料上料皮带机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C-PSJ800X15</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计量皮带秤（辅料）</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DCS800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粉料缓冲料仓</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HCLC-2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搅拌机上料皮带机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双轴连续搅拌</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LSSHJ60X5000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料仓上料皮带机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造粒缓冲仓</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LC-60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颗粒机上料皮带机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C-PSJ650X8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SZLP3-550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颗粒包装机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造粒抛圆一体机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SZLP-400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20</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平送皮带机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21</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冷却机上料皮带机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22</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冷却机（带滚筛）</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GL1.5×10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23</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料仓上料皮带机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24</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返料皮带机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25</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袋式除尘器</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DMC150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26</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袋式除尘器风机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4-72No.5A</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27</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缓存成品料仓</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LC-50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28</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打包机上料皮带机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29</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料仓</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LC-4</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DCS-50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31</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16"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32</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1509"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30型</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bl>
          <w:p>
            <w:p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val="en-US" w:eastAsia="zh-CN"/>
              </w:rPr>
              <w:t>五</w:t>
            </w:r>
            <w:r>
              <w:rPr>
                <w:rFonts w:hint="default" w:ascii="Times New Roman" w:hAnsi="Times New Roman" w:eastAsia="黑体" w:cs="Times New Roman"/>
                <w:b w:val="0"/>
                <w:bCs/>
                <w:color w:val="auto"/>
                <w:sz w:val="24"/>
                <w:szCs w:val="24"/>
              </w:rPr>
              <w:t>、主要原辅材料及燃料种类和用量</w:t>
            </w:r>
          </w:p>
          <w:p>
            <w:pPr>
              <w:adjustRightInd w:val="0"/>
              <w:snapToGrid w:val="0"/>
              <w:spacing w:line="360" w:lineRule="auto"/>
              <w:ind w:firstLine="480" w:firstLineChars="200"/>
              <w:rPr>
                <w:rFonts w:hint="default" w:ascii="Times New Roman" w:hAnsi="Times New Roman" w:eastAsia="宋体" w:cs="Times New Roman"/>
                <w:color w:val="auto"/>
                <w:sz w:val="28"/>
              </w:rPr>
            </w:pPr>
            <w:r>
              <w:rPr>
                <w:rFonts w:hint="default" w:ascii="Times New Roman" w:hAnsi="Times New Roman" w:cs="Times New Roman"/>
                <w:color w:val="auto"/>
                <w:sz w:val="24"/>
                <w:szCs w:val="24"/>
                <w:lang w:val="en-US" w:eastAsia="zh-CN"/>
              </w:rPr>
              <w:t>本</w:t>
            </w:r>
            <w:r>
              <w:rPr>
                <w:rFonts w:hint="default" w:ascii="Times New Roman" w:hAnsi="Times New Roman" w:eastAsia="宋体" w:cs="Times New Roman"/>
                <w:color w:val="auto"/>
                <w:sz w:val="24"/>
                <w:szCs w:val="24"/>
              </w:rPr>
              <w:t>项目原辅材料用量</w:t>
            </w:r>
            <w:r>
              <w:rPr>
                <w:rFonts w:hint="default" w:ascii="Times New Roman" w:hAnsi="Times New Roman" w:cs="Times New Roman"/>
                <w:color w:val="auto"/>
                <w:sz w:val="24"/>
                <w:szCs w:val="24"/>
                <w:lang w:val="en-US" w:eastAsia="zh-CN"/>
              </w:rPr>
              <w:t>及能源消耗情况</w:t>
            </w:r>
            <w:r>
              <w:rPr>
                <w:rFonts w:hint="default" w:ascii="Times New Roman" w:hAnsi="Times New Roman" w:eastAsia="宋体" w:cs="Times New Roman"/>
                <w:color w:val="auto"/>
                <w:sz w:val="24"/>
                <w:szCs w:val="24"/>
              </w:rPr>
              <w:t>见表</w:t>
            </w: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8"/>
              </w:rPr>
              <w:t>。</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2-5</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本</w:t>
            </w:r>
            <w:r>
              <w:rPr>
                <w:rFonts w:hint="default" w:ascii="Times New Roman" w:hAnsi="Times New Roman" w:eastAsia="黑体" w:cs="Times New Roman"/>
                <w:b w:val="0"/>
                <w:bCs w:val="0"/>
                <w:color w:val="auto"/>
                <w:sz w:val="24"/>
                <w:szCs w:val="24"/>
              </w:rPr>
              <w:t>项目主要原辅材料</w:t>
            </w:r>
            <w:r>
              <w:rPr>
                <w:rFonts w:hint="default" w:ascii="Times New Roman" w:hAnsi="Times New Roman" w:eastAsia="黑体" w:cs="Times New Roman"/>
                <w:b w:val="0"/>
                <w:bCs w:val="0"/>
                <w:color w:val="auto"/>
                <w:sz w:val="24"/>
                <w:szCs w:val="24"/>
                <w:lang w:val="en-US" w:eastAsia="zh-CN"/>
              </w:rPr>
              <w:t>及能耗</w:t>
            </w:r>
            <w:r>
              <w:rPr>
                <w:rFonts w:hint="default" w:ascii="Times New Roman" w:hAnsi="Times New Roman" w:eastAsia="黑体" w:cs="Times New Roman"/>
                <w:b w:val="0"/>
                <w:bCs w:val="0"/>
                <w:color w:val="auto"/>
                <w:sz w:val="24"/>
                <w:szCs w:val="24"/>
              </w:rPr>
              <w:t>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5"/>
              <w:gridCol w:w="1609"/>
              <w:gridCol w:w="1075"/>
              <w:gridCol w:w="1070"/>
              <w:gridCol w:w="40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469"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eastAsia="宋体" w:cs="Times New Roman"/>
                      <w:b/>
                      <w:color w:val="auto"/>
                      <w:kern w:val="0"/>
                      <w:sz w:val="21"/>
                      <w:szCs w:val="21"/>
                      <w:highlight w:val="none"/>
                      <w:shd w:val="clear" w:color="auto" w:fill="auto"/>
                      <w:lang w:eastAsia="zh-CN"/>
                    </w:rPr>
                    <w:t>序号</w:t>
                  </w:r>
                </w:p>
              </w:tc>
              <w:tc>
                <w:tcPr>
                  <w:tcW w:w="937"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rPr>
                    <w:t>原材料名称</w:t>
                  </w:r>
                </w:p>
              </w:tc>
              <w:tc>
                <w:tcPr>
                  <w:tcW w:w="626"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eastAsia="宋体" w:cs="Times New Roman"/>
                      <w:b/>
                      <w:color w:val="auto"/>
                      <w:kern w:val="0"/>
                      <w:sz w:val="21"/>
                      <w:szCs w:val="21"/>
                      <w:highlight w:val="none"/>
                      <w:shd w:val="clear" w:color="auto" w:fill="auto"/>
                      <w:lang w:eastAsia="zh-CN"/>
                    </w:rPr>
                    <w:t>消耗量</w:t>
                  </w:r>
                </w:p>
              </w:tc>
              <w:tc>
                <w:tcPr>
                  <w:tcW w:w="623"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单位</w:t>
                  </w:r>
                </w:p>
              </w:tc>
              <w:tc>
                <w:tcPr>
                  <w:tcW w:w="2344" w:type="pct"/>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1</w:t>
                  </w:r>
                </w:p>
              </w:tc>
              <w:tc>
                <w:tcPr>
                  <w:tcW w:w="93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牛粪</w:t>
                  </w:r>
                </w:p>
              </w:tc>
              <w:tc>
                <w:tcPr>
                  <w:tcW w:w="62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6800</w:t>
                  </w:r>
                </w:p>
              </w:tc>
              <w:tc>
                <w:tcPr>
                  <w:tcW w:w="623"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周边养殖户，含水率为70%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2</w:t>
                  </w:r>
                </w:p>
              </w:tc>
              <w:tc>
                <w:tcPr>
                  <w:tcW w:w="93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鸡粪</w:t>
                  </w:r>
                </w:p>
              </w:tc>
              <w:tc>
                <w:tcPr>
                  <w:tcW w:w="62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5400</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自产、周边养殖户，含水率为80%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3</w:t>
                  </w:r>
                </w:p>
              </w:tc>
              <w:tc>
                <w:tcPr>
                  <w:tcW w:w="93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秸秆</w:t>
                  </w:r>
                </w:p>
              </w:tc>
              <w:tc>
                <w:tcPr>
                  <w:tcW w:w="62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332</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 w:hRule="atLeast"/>
                <w:jc w:val="center"/>
              </w:trPr>
              <w:tc>
                <w:tcPr>
                  <w:tcW w:w="469"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4</w:t>
                  </w:r>
                </w:p>
              </w:tc>
              <w:tc>
                <w:tcPr>
                  <w:tcW w:w="937"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微生物菌剂</w:t>
                  </w:r>
                </w:p>
              </w:tc>
              <w:tc>
                <w:tcPr>
                  <w:tcW w:w="62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w:t>
                  </w:r>
                </w:p>
              </w:tc>
              <w:tc>
                <w:tcPr>
                  <w:tcW w:w="937"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腐熟剂</w:t>
                  </w:r>
                </w:p>
              </w:tc>
              <w:tc>
                <w:tcPr>
                  <w:tcW w:w="62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w:t>
                  </w:r>
                </w:p>
              </w:tc>
              <w:tc>
                <w:tcPr>
                  <w:tcW w:w="937"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酸性腐殖酸</w:t>
                  </w:r>
                </w:p>
              </w:tc>
              <w:tc>
                <w:tcPr>
                  <w:tcW w:w="62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60</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外购，含水率30%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469" w:type="pct"/>
                  <w:tcBorders>
                    <w:tl2br w:val="nil"/>
                    <w:tr2bl w:val="nil"/>
                  </w:tcBorders>
                  <w:shd w:val="clear" w:color="auto" w:fill="auto"/>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w:t>
                  </w:r>
                </w:p>
              </w:tc>
              <w:tc>
                <w:tcPr>
                  <w:tcW w:w="93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生物除臭剂</w:t>
                  </w:r>
                </w:p>
              </w:tc>
              <w:tc>
                <w:tcPr>
                  <w:tcW w:w="62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w:t>
                  </w:r>
                </w:p>
              </w:tc>
              <w:tc>
                <w:tcPr>
                  <w:tcW w:w="93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发酵菌剂</w:t>
                  </w:r>
                </w:p>
              </w:tc>
              <w:tc>
                <w:tcPr>
                  <w:tcW w:w="62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0.3</w:t>
                  </w:r>
                </w:p>
              </w:tc>
              <w:tc>
                <w:tcPr>
                  <w:tcW w:w="623"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344"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469" w:type="pct"/>
                  <w:tcBorders>
                    <w:tl2br w:val="nil"/>
                    <w:tr2bl w:val="nil"/>
                  </w:tcBorders>
                  <w:shd w:val="clear" w:color="auto" w:fill="auto"/>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9</w:t>
                  </w:r>
                </w:p>
              </w:tc>
              <w:tc>
                <w:tcPr>
                  <w:tcW w:w="937" w:type="pct"/>
                  <w:tcBorders>
                    <w:tl2br w:val="nil"/>
                    <w:tr2bl w:val="nil"/>
                  </w:tcBorders>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水</w:t>
                  </w:r>
                </w:p>
              </w:tc>
              <w:tc>
                <w:tcPr>
                  <w:tcW w:w="626" w:type="pct"/>
                  <w:tcBorders>
                    <w:tl2br w:val="nil"/>
                    <w:tr2bl w:val="nil"/>
                  </w:tcBorders>
                  <w:noWrap w:val="0"/>
                  <w:vAlign w:val="center"/>
                </w:tcPr>
                <w:p>
                  <w:pPr>
                    <w:widowControl/>
                    <w:snapToGrid w:val="0"/>
                    <w:jc w:val="center"/>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198</w:t>
                  </w:r>
                </w:p>
              </w:tc>
              <w:tc>
                <w:tcPr>
                  <w:tcW w:w="623"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rPr>
                    <w:t>m³/a</w:t>
                  </w:r>
                </w:p>
              </w:tc>
              <w:tc>
                <w:tcPr>
                  <w:tcW w:w="2344"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469" w:type="pct"/>
                  <w:tcBorders>
                    <w:tl2br w:val="nil"/>
                    <w:tr2bl w:val="nil"/>
                  </w:tcBorders>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10</w:t>
                  </w:r>
                </w:p>
              </w:tc>
              <w:tc>
                <w:tcPr>
                  <w:tcW w:w="937" w:type="pct"/>
                  <w:tcBorders>
                    <w:tl2br w:val="nil"/>
                    <w:tr2bl w:val="nil"/>
                  </w:tcBorders>
                  <w:noWrap w:val="0"/>
                  <w:vAlign w:val="center"/>
                </w:tcPr>
                <w:p>
                  <w:pPr>
                    <w:pStyle w:val="76"/>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电</w:t>
                  </w:r>
                </w:p>
              </w:tc>
              <w:tc>
                <w:tcPr>
                  <w:tcW w:w="626"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120000</w:t>
                  </w:r>
                </w:p>
              </w:tc>
              <w:tc>
                <w:tcPr>
                  <w:tcW w:w="623"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lang w:bidi="ar"/>
                    </w:rPr>
                    <w:t>kW</w:t>
                  </w:r>
                  <w:r>
                    <w:rPr>
                      <w:rFonts w:hint="default" w:ascii="Times New Roman" w:hAnsi="Times New Roman" w:cs="Times New Roman"/>
                      <w:b/>
                      <w:bCs/>
                      <w:color w:val="auto"/>
                      <w:kern w:val="0"/>
                      <w:sz w:val="21"/>
                      <w:szCs w:val="21"/>
                      <w:lang w:val="en-US" w:eastAsia="zh-CN" w:bidi="ar"/>
                    </w:rPr>
                    <w:t>·</w:t>
                  </w:r>
                  <w:r>
                    <w:rPr>
                      <w:rFonts w:hint="default" w:ascii="Times New Roman" w:hAnsi="Times New Roman" w:cs="Times New Roman"/>
                      <w:color w:val="auto"/>
                      <w:kern w:val="0"/>
                      <w:sz w:val="21"/>
                      <w:szCs w:val="21"/>
                      <w:lang w:bidi="ar"/>
                    </w:rPr>
                    <w:t>h/a</w:t>
                  </w:r>
                </w:p>
              </w:tc>
              <w:tc>
                <w:tcPr>
                  <w:tcW w:w="2344"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市政供电电网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5000" w:type="pct"/>
                  <w:gridSpan w:val="5"/>
                  <w:tcBorders>
                    <w:tl2br w:val="nil"/>
                    <w:tr2bl w:val="nil"/>
                  </w:tcBorders>
                  <w:noWrap w:val="0"/>
                  <w:vAlign w:val="center"/>
                </w:tcPr>
                <w:p>
                  <w:pPr>
                    <w:widowControl/>
                    <w:snapToGrid w:val="0"/>
                    <w:jc w:val="left"/>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备注：本项目所需牛粪及鸡粪经专用运输车辆拉运至厂内发酵棚进行发酵，厂内不设置牛粪、鸡粪储存设施。</w:t>
                  </w:r>
                </w:p>
              </w:tc>
            </w:tr>
          </w:tbl>
          <w:p>
            <w:pPr>
              <w:adjustRightInd w:val="0"/>
              <w:snapToGrid w:val="0"/>
              <w:spacing w:line="360" w:lineRule="auto"/>
              <w:ind w:firstLine="481"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主要原辅材料成分和性质：</w:t>
            </w:r>
          </w:p>
          <w:p>
            <w:pPr>
              <w:tabs>
                <w:tab w:val="left" w:pos="6090"/>
              </w:tabs>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①腐熟剂</w:t>
            </w:r>
            <w:bookmarkStart w:id="31" w:name="_GoBack"/>
            <w:bookmarkEnd w:id="31"/>
            <w:r>
              <w:rPr>
                <w:rFonts w:hint="default" w:ascii="Times New Roman" w:hAnsi="Times New Roman" w:cs="Times New Roman"/>
                <w:color w:val="auto"/>
                <w:sz w:val="24"/>
                <w:szCs w:val="24"/>
                <w:lang w:val="en-US" w:eastAsia="zh-CN"/>
              </w:rPr>
              <w:t>即发酵剂，其中包括放线菌类、真菌类、丝菌类、细菌类及新开发的酵母菌，主要为好氧菌群，其在干燥及常温下呈休眠状态，在充分通气下水</w:t>
            </w:r>
            <w:r>
              <w:rPr>
                <w:rFonts w:hint="eastAsia" w:cs="Times New Roman"/>
                <w:color w:val="auto"/>
                <w:sz w:val="24"/>
                <w:szCs w:val="24"/>
                <w:lang w:val="en-US" w:eastAsia="zh-CN"/>
              </w:rPr>
              <w:t>分</w:t>
            </w:r>
            <w:r>
              <w:rPr>
                <w:rFonts w:hint="default" w:ascii="Times New Roman" w:hAnsi="Times New Roman" w:cs="Times New Roman"/>
                <w:color w:val="auto"/>
                <w:sz w:val="24"/>
                <w:szCs w:val="24"/>
                <w:lang w:val="en-US" w:eastAsia="zh-CN"/>
              </w:rPr>
              <w:t>含量初期60%、温度在70℃～80℃时，能有效分解淀粉、醣类、蛋白质、脂肪。难分解的纤维质、半纤维、角蛋白等经处理后亦可作有效分解。</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②生物除臭剂：生物除臭剂是一种利用微生物或植物成分分解异味物质的产品，通过自然代谢过程消除异味，具有环保、安全的特点。</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发酵菌剂：是一种农用微生物菌剂，由多种菌株及相关分解酶复合而成，专门针对有机料、肥发酵设计，具好氧、厌氧发酵等特点，保证各种有机物料迅速发酵升温，完成有机物料的脱毒、除臭、腐熟、杀虫、灭菌和养分转化过程，平衡物料营养，分解转化蛋白质，富含氨基酸小肽，分泌B族维生素，有益菌得以对数繁殖增值，发酵总养分损失少和腐殖质含量高。主要成分：高效微生物活菌，多种有益酶、多种微量元素和有机质等，互不拮抗、相互协同。</w:t>
            </w: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六、物料平衡分析</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本项目物料平衡见表2-6及图2-1。</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表2-6  物料平衡表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1"/>
              <w:gridCol w:w="1056"/>
              <w:gridCol w:w="2088"/>
              <w:gridCol w:w="1395"/>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11"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进料</w:t>
                  </w:r>
                </w:p>
              </w:tc>
              <w:tc>
                <w:tcPr>
                  <w:tcW w:w="278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出料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61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76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牛粪（含水率约</w:t>
                  </w:r>
                  <w:r>
                    <w:rPr>
                      <w:rFonts w:hint="default" w:ascii="Times New Roman" w:hAnsi="Times New Roman" w:cs="Times New Roman"/>
                      <w:i w:val="0"/>
                      <w:iCs w:val="0"/>
                      <w:color w:val="auto"/>
                      <w:kern w:val="0"/>
                      <w:sz w:val="21"/>
                      <w:szCs w:val="21"/>
                      <w:u w:val="none"/>
                      <w:lang w:val="en-US" w:eastAsia="zh-CN" w:bidi="ar"/>
                    </w:rPr>
                    <w:t>70</w:t>
                  </w: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6800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鸡粪</w:t>
                  </w:r>
                  <w:r>
                    <w:rPr>
                      <w:rFonts w:hint="default" w:ascii="Times New Roman" w:hAnsi="Times New Roman" w:eastAsia="宋体" w:cs="Times New Roman"/>
                      <w:i w:val="0"/>
                      <w:iCs w:val="0"/>
                      <w:color w:val="auto"/>
                      <w:kern w:val="0"/>
                      <w:sz w:val="21"/>
                      <w:szCs w:val="21"/>
                      <w:u w:val="none"/>
                      <w:lang w:val="en-US" w:eastAsia="zh-CN" w:bidi="ar"/>
                    </w:rPr>
                    <w:t>（含水率约</w:t>
                  </w:r>
                  <w:r>
                    <w:rPr>
                      <w:rFonts w:hint="default" w:ascii="Times New Roman" w:hAnsi="Times New Roman" w:cs="Times New Roman"/>
                      <w:i w:val="0"/>
                      <w:iCs w:val="0"/>
                      <w:color w:val="auto"/>
                      <w:kern w:val="0"/>
                      <w:sz w:val="21"/>
                      <w:szCs w:val="21"/>
                      <w:u w:val="none"/>
                      <w:lang w:val="en-US" w:eastAsia="zh-CN" w:bidi="ar"/>
                    </w:rPr>
                    <w:t>80</w:t>
                  </w: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5400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水分损失</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秸秆</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332</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w:t>
                  </w:r>
                  <w:r>
                    <w:rPr>
                      <w:rFonts w:hint="default" w:ascii="Times New Roman" w:hAnsi="Times New Roman" w:cs="Times New Roman"/>
                      <w:i w:val="0"/>
                      <w:iCs w:val="0"/>
                      <w:color w:val="auto"/>
                      <w:kern w:val="0"/>
                      <w:sz w:val="21"/>
                      <w:szCs w:val="21"/>
                      <w:u w:val="none"/>
                      <w:lang w:val="en-US" w:eastAsia="zh-CN" w:bidi="ar"/>
                    </w:rPr>
                    <w:t>（</w:t>
                  </w:r>
                  <w:r>
                    <w:rPr>
                      <w:rFonts w:hint="eastAsia" w:cs="Times New Roman"/>
                      <w:i w:val="0"/>
                      <w:iCs w:val="0"/>
                      <w:color w:val="auto"/>
                      <w:kern w:val="0"/>
                      <w:sz w:val="21"/>
                      <w:szCs w:val="21"/>
                      <w:u w:val="none"/>
                      <w:lang w:val="en-US" w:eastAsia="zh-CN" w:bidi="ar"/>
                    </w:rPr>
                    <w:t>0.105</w:t>
                  </w:r>
                  <w:r>
                    <w:rPr>
                      <w:rFonts w:hint="default" w:ascii="Times New Roman" w:hAnsi="Times New Roman" w:cs="Times New Roman"/>
                      <w:i w:val="0"/>
                      <w:iCs w:val="0"/>
                      <w:color w:val="auto"/>
                      <w:kern w:val="0"/>
                      <w:sz w:val="21"/>
                      <w:szCs w:val="21"/>
                      <w:u w:val="none"/>
                      <w:lang w:val="en-US" w:eastAsia="zh-CN" w:bidi="ar"/>
                    </w:rPr>
                    <w:t>）</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微生物菌剂</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腐熟剂</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酸性腐殖酸（含水率30%）</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60</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无组织废气</w:t>
                  </w:r>
                  <w:r>
                    <w:rPr>
                      <w:rFonts w:hint="default" w:ascii="Times New Roman" w:hAnsi="Times New Roman" w:cs="Times New Roman"/>
                      <w:i w:val="0"/>
                      <w:iCs w:val="0"/>
                      <w:color w:val="auto"/>
                      <w:kern w:val="0"/>
                      <w:sz w:val="21"/>
                      <w:szCs w:val="21"/>
                      <w:u w:val="none"/>
                      <w:lang w:val="en-US" w:eastAsia="zh-CN" w:bidi="ar"/>
                    </w:rPr>
                    <w:t>（1.159）</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粉尘</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损耗量</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2.931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12607.3</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12607.30</w:t>
                  </w:r>
                </w:p>
              </w:tc>
            </w:tr>
          </w:tbl>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object>
                <v:shape id="_x0000_i1025" o:spt="75" type="#_x0000_t75" style="height:283pt;width:411.1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kern w:val="2"/>
                <w:sz w:val="24"/>
                <w:szCs w:val="24"/>
                <w:highlight w:val="none"/>
                <w:lang w:val="en-US" w:eastAsia="zh-CN" w:bidi="ar-SA"/>
              </w:rPr>
            </w:pPr>
            <w:r>
              <w:rPr>
                <w:rFonts w:hint="default" w:ascii="Times New Roman" w:hAnsi="Times New Roman" w:eastAsia="黑体" w:cs="Times New Roman"/>
                <w:b w:val="0"/>
                <w:bCs w:val="0"/>
                <w:color w:val="auto"/>
                <w:kern w:val="2"/>
                <w:sz w:val="24"/>
                <w:szCs w:val="24"/>
                <w:highlight w:val="none"/>
                <w:lang w:val="en-US" w:eastAsia="zh-CN" w:bidi="ar-SA"/>
              </w:rPr>
              <w:t>图2-</w:t>
            </w:r>
            <w:r>
              <w:rPr>
                <w:rFonts w:hint="default" w:ascii="Times New Roman" w:hAnsi="Times New Roman" w:cs="Times New Roman"/>
                <w:b w:val="0"/>
                <w:bCs w:val="0"/>
                <w:color w:val="auto"/>
                <w:kern w:val="2"/>
                <w:sz w:val="24"/>
                <w:szCs w:val="24"/>
                <w:highlight w:val="none"/>
                <w:lang w:val="en-US" w:eastAsia="zh-CN" w:bidi="ar-SA"/>
              </w:rPr>
              <w:t>1</w:t>
            </w:r>
            <w:r>
              <w:rPr>
                <w:rFonts w:hint="default" w:ascii="Times New Roman" w:hAnsi="Times New Roman" w:eastAsia="黑体" w:cs="Times New Roman"/>
                <w:b w:val="0"/>
                <w:bCs w:val="0"/>
                <w:color w:val="auto"/>
                <w:kern w:val="2"/>
                <w:sz w:val="24"/>
                <w:szCs w:val="24"/>
                <w:highlight w:val="none"/>
                <w:lang w:val="en-US" w:eastAsia="zh-CN" w:bidi="ar-SA"/>
              </w:rPr>
              <w:t xml:space="preserve">  </w:t>
            </w:r>
            <w:r>
              <w:rPr>
                <w:rFonts w:hint="default" w:ascii="Times New Roman" w:hAnsi="Times New Roman" w:cs="Times New Roman"/>
                <w:b w:val="0"/>
                <w:bCs w:val="0"/>
                <w:color w:val="auto"/>
                <w:kern w:val="2"/>
                <w:sz w:val="24"/>
                <w:szCs w:val="24"/>
                <w:highlight w:val="none"/>
                <w:lang w:val="en-US" w:eastAsia="zh-CN" w:bidi="ar-SA"/>
              </w:rPr>
              <w:t>物料平衡图  单位：t/a</w:t>
            </w: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七、水平衡分析</w:t>
            </w:r>
          </w:p>
          <w:p>
            <w:pPr>
              <w:pStyle w:val="6"/>
              <w:pageBreakBefore w:val="0"/>
              <w:widowControl w:val="0"/>
              <w:numPr>
                <w:ilvl w:val="2"/>
                <w:numId w:val="0"/>
              </w:numPr>
              <w:kinsoku/>
              <w:wordWrap/>
              <w:overflowPunct/>
              <w:topLinePunct w:val="0"/>
              <w:autoSpaceDE/>
              <w:autoSpaceDN/>
              <w:bidi w:val="0"/>
              <w:adjustRightInd w:val="0"/>
              <w:snapToGrid w:val="0"/>
              <w:spacing w:before="0" w:after="0" w:line="348" w:lineRule="auto"/>
              <w:ind w:firstLine="481" w:firstLineChars="200"/>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rPr>
              <w:t>给水</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本项目用水主要为生</w:t>
            </w:r>
            <w:r>
              <w:rPr>
                <w:rFonts w:hint="default" w:ascii="Times New Roman" w:hAnsi="Times New Roman" w:eastAsia="宋体" w:cs="Times New Roman"/>
                <w:color w:val="auto"/>
                <w:sz w:val="24"/>
                <w:szCs w:val="24"/>
                <w:highlight w:val="none"/>
                <w:lang w:val="en-US" w:eastAsia="zh-CN"/>
              </w:rPr>
              <w:t>活用水，由</w:t>
            </w:r>
            <w:r>
              <w:rPr>
                <w:rFonts w:hint="default" w:ascii="Times New Roman" w:hAnsi="Times New Roman" w:cs="Times New Roman"/>
                <w:color w:val="auto"/>
                <w:sz w:val="24"/>
                <w:szCs w:val="24"/>
                <w:highlight w:val="none"/>
                <w:lang w:val="en-US" w:eastAsia="zh-CN"/>
              </w:rPr>
              <w:t>市政</w:t>
            </w:r>
            <w:r>
              <w:rPr>
                <w:rFonts w:hint="default" w:ascii="Times New Roman" w:hAnsi="Times New Roman" w:eastAsia="宋体" w:cs="Times New Roman"/>
                <w:color w:val="auto"/>
                <w:sz w:val="24"/>
                <w:szCs w:val="24"/>
                <w:highlight w:val="none"/>
                <w:lang w:val="en-US" w:eastAsia="zh-CN"/>
              </w:rPr>
              <w:t>供水管网提供。</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eastAsia="zh-CN"/>
              </w:rPr>
              <w:t>新增</w:t>
            </w:r>
            <w:r>
              <w:rPr>
                <w:rFonts w:hint="default" w:ascii="Times New Roman" w:hAnsi="Times New Roman" w:cs="Times New Roman"/>
                <w:color w:val="auto"/>
                <w:sz w:val="24"/>
              </w:rPr>
              <w:t>劳动定员</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人，年</w:t>
            </w:r>
            <w:r>
              <w:rPr>
                <w:rFonts w:hint="default" w:ascii="Times New Roman" w:hAnsi="Times New Roman" w:cs="Times New Roman"/>
                <w:color w:val="auto"/>
                <w:sz w:val="24"/>
                <w:shd w:val="clear" w:color="auto" w:fill="FFFFFF"/>
              </w:rPr>
              <w:t>工作天数为330天，</w:t>
            </w:r>
            <w:r>
              <w:rPr>
                <w:rFonts w:hint="default" w:ascii="Times New Roman" w:hAnsi="Times New Roman" w:cs="Times New Roman"/>
                <w:color w:val="auto"/>
                <w:sz w:val="24"/>
                <w:shd w:val="clear" w:color="auto" w:fill="FFFFFF"/>
                <w:lang w:val="en-US" w:eastAsia="zh-CN"/>
              </w:rPr>
              <w:t>根据宁夏回族自治区人民政府办公厅《宁夏回族自治区有关行业用水定额（修订）的通知》（宁政办规发[2020]20号）及项目实际情况，项目职工用水定额按60L/人·d计，则项目生活用水量为0.6m³/d（198m³/a）。</w:t>
            </w:r>
          </w:p>
          <w:p>
            <w:pPr>
              <w:pStyle w:val="5"/>
              <w:pageBreakBefore w:val="0"/>
              <w:widowControl w:val="0"/>
              <w:kinsoku/>
              <w:wordWrap/>
              <w:overflowPunct/>
              <w:topLinePunct w:val="0"/>
              <w:autoSpaceDE/>
              <w:autoSpaceDN/>
              <w:bidi w:val="0"/>
              <w:spacing w:line="348" w:lineRule="auto"/>
              <w:ind w:firstLine="481" w:firstLineChars="200"/>
              <w:textAlignment w:val="auto"/>
              <w:rPr>
                <w:rFonts w:hint="default" w:ascii="Times New Roman" w:hAnsi="Times New Roman" w:eastAsia="宋体" w:cs="Times New Roman"/>
                <w:b/>
                <w:bCs/>
                <w:snapToGrid w:val="0"/>
                <w:color w:val="auto"/>
                <w:sz w:val="24"/>
                <w:szCs w:val="20"/>
                <w:highlight w:val="none"/>
                <w:lang w:val="zh-CN" w:eastAsia="zh-CN"/>
              </w:rPr>
            </w:pPr>
            <w:r>
              <w:rPr>
                <w:rFonts w:hint="default" w:ascii="Times New Roman" w:hAnsi="Times New Roman" w:eastAsia="宋体" w:cs="Times New Roman"/>
                <w:b/>
                <w:bCs/>
                <w:snapToGrid w:val="0"/>
                <w:color w:val="auto"/>
                <w:sz w:val="24"/>
                <w:szCs w:val="20"/>
                <w:highlight w:val="none"/>
                <w:lang w:val="en-US" w:eastAsia="zh-CN"/>
              </w:rPr>
              <w:t>2、</w:t>
            </w:r>
            <w:r>
              <w:rPr>
                <w:rFonts w:hint="default" w:ascii="Times New Roman" w:hAnsi="Times New Roman" w:eastAsia="宋体" w:cs="Times New Roman"/>
                <w:b/>
                <w:bCs/>
                <w:snapToGrid w:val="0"/>
                <w:color w:val="auto"/>
                <w:sz w:val="24"/>
                <w:szCs w:val="20"/>
                <w:highlight w:val="none"/>
                <w:lang w:val="zh-CN" w:eastAsia="zh-CN"/>
              </w:rPr>
              <w:t>排水</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kern w:val="0"/>
                <w:sz w:val="24"/>
                <w:szCs w:val="20"/>
                <w:lang w:val="en-US" w:bidi="zh-CN"/>
              </w:rPr>
              <w:t>本项目排水主要为生活污水，</w:t>
            </w:r>
            <w:r>
              <w:rPr>
                <w:rFonts w:hint="default" w:ascii="Times New Roman" w:hAnsi="Times New Roman" w:cs="Times New Roman"/>
                <w:color w:val="auto"/>
                <w:kern w:val="0"/>
                <w:sz w:val="24"/>
                <w:szCs w:val="20"/>
                <w:lang w:val="zh-CN" w:bidi="zh-CN"/>
              </w:rPr>
              <w:t>按照生活用水量的</w:t>
            </w:r>
            <w:r>
              <w:rPr>
                <w:rFonts w:hint="default" w:ascii="Times New Roman" w:hAnsi="Times New Roman" w:cs="Times New Roman"/>
                <w:color w:val="auto"/>
                <w:kern w:val="0"/>
                <w:sz w:val="24"/>
                <w:szCs w:val="20"/>
                <w:lang w:bidi="zh-CN"/>
              </w:rPr>
              <w:t>80%计算，则生活污水产生量为</w:t>
            </w:r>
            <w:r>
              <w:rPr>
                <w:rFonts w:hint="default" w:ascii="Times New Roman" w:hAnsi="Times New Roman" w:cs="Times New Roman"/>
                <w:color w:val="auto"/>
                <w:kern w:val="0"/>
                <w:sz w:val="24"/>
                <w:szCs w:val="20"/>
                <w:lang w:val="en-US" w:bidi="zh-CN"/>
              </w:rPr>
              <w:t>0.48</w:t>
            </w:r>
            <w:r>
              <w:rPr>
                <w:rFonts w:hint="default" w:ascii="Times New Roman" w:hAnsi="Times New Roman" w:cs="Times New Roman"/>
                <w:color w:val="auto"/>
                <w:kern w:val="0"/>
                <w:sz w:val="24"/>
                <w:szCs w:val="20"/>
                <w:lang w:val="zh-CN" w:bidi="zh-CN"/>
              </w:rPr>
              <w:t>m³/d</w:t>
            </w:r>
            <w:r>
              <w:rPr>
                <w:rFonts w:hint="default" w:ascii="Times New Roman" w:hAnsi="Times New Roman" w:cs="Times New Roman"/>
                <w:color w:val="auto"/>
                <w:kern w:val="0"/>
                <w:sz w:val="24"/>
                <w:szCs w:val="20"/>
                <w:lang w:bidi="zh-CN"/>
              </w:rPr>
              <w:t>（</w:t>
            </w:r>
            <w:r>
              <w:rPr>
                <w:rFonts w:hint="default" w:ascii="Times New Roman" w:hAnsi="Times New Roman" w:cs="Times New Roman"/>
                <w:color w:val="auto"/>
                <w:kern w:val="0"/>
                <w:sz w:val="24"/>
                <w:szCs w:val="20"/>
                <w:lang w:val="en-US" w:bidi="zh-CN"/>
              </w:rPr>
              <w:t>158</w:t>
            </w:r>
            <w:r>
              <w:rPr>
                <w:rFonts w:hint="default" w:ascii="Times New Roman" w:hAnsi="Times New Roman" w:cs="Times New Roman"/>
                <w:color w:val="auto"/>
                <w:kern w:val="0"/>
                <w:sz w:val="24"/>
                <w:szCs w:val="20"/>
                <w:lang w:val="zh-CN" w:bidi="zh-CN"/>
              </w:rPr>
              <w:t>m³/a），</w:t>
            </w:r>
            <w:r>
              <w:rPr>
                <w:rFonts w:hint="default" w:ascii="Times New Roman" w:hAnsi="Times New Roman" w:cs="Times New Roman"/>
                <w:color w:val="auto"/>
                <w:kern w:val="0"/>
                <w:sz w:val="24"/>
                <w:szCs w:val="20"/>
                <w:lang w:val="zh-CN" w:eastAsia="zh-CN" w:bidi="zh-CN"/>
              </w:rPr>
              <w:t>经化粪池（8m³）处理后，交由新民乡污水处理公司统一拉运处置</w:t>
            </w:r>
            <w:r>
              <w:rPr>
                <w:rFonts w:hint="default" w:ascii="Times New Roman" w:hAnsi="Times New Roman" w:cs="Times New Roman"/>
                <w:color w:val="auto"/>
                <w:sz w:val="24"/>
                <w:lang w:eastAsia="zh-CN"/>
              </w:rPr>
              <w:t>。</w:t>
            </w:r>
          </w:p>
          <w:p>
            <w:pPr>
              <w:pStyle w:val="9"/>
              <w:pageBreakBefore w:val="0"/>
              <w:widowControl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0"/>
                <w:highlight w:val="none"/>
                <w:lang w:val="en-US" w:eastAsia="zh-CN" w:bidi="zh-CN"/>
              </w:rPr>
            </w:pPr>
            <w:r>
              <w:rPr>
                <w:rFonts w:hint="default" w:ascii="Times New Roman" w:hAnsi="Times New Roman" w:eastAsia="宋体" w:cs="Times New Roman"/>
                <w:color w:val="auto"/>
                <w:sz w:val="24"/>
                <w:szCs w:val="24"/>
                <w:highlight w:val="none"/>
              </w:rPr>
              <w:t>项目供排水情况见表2-</w:t>
            </w:r>
            <w:r>
              <w:rPr>
                <w:rFonts w:hint="default" w:ascii="Times New Roman" w:hAnsi="Times New Roman" w:cs="Times New Roman"/>
                <w:color w:val="auto"/>
                <w:sz w:val="24"/>
                <w:szCs w:val="24"/>
                <w:highlight w:val="none"/>
                <w:lang w:val="en-US" w:eastAsia="zh-CN"/>
              </w:rPr>
              <w:t>7。</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表2-</w:t>
            </w:r>
            <w:r>
              <w:rPr>
                <w:rFonts w:hint="default" w:ascii="Times New Roman" w:hAnsi="Times New Roman" w:eastAsia="黑体" w:cs="Times New Roman"/>
                <w:b w:val="0"/>
                <w:bCs w:val="0"/>
                <w:color w:val="auto"/>
                <w:sz w:val="24"/>
                <w:szCs w:val="24"/>
                <w:lang w:val="en-US" w:eastAsia="zh-CN"/>
              </w:rPr>
              <w:t>7</w:t>
            </w:r>
            <w:r>
              <w:rPr>
                <w:rFonts w:hint="default" w:ascii="Times New Roman" w:hAnsi="Times New Roman" w:eastAsia="黑体" w:cs="Times New Roman"/>
                <w:b w:val="0"/>
                <w:bCs w:val="0"/>
                <w:color w:val="auto"/>
                <w:sz w:val="24"/>
                <w:szCs w:val="24"/>
              </w:rPr>
              <w:t xml:space="preserve">  项目用排水情况表</w:t>
            </w:r>
            <w:r>
              <w:rPr>
                <w:rFonts w:hint="default" w:ascii="Times New Roman" w:hAnsi="Times New Roman" w:eastAsia="黑体" w:cs="Times New Roman"/>
                <w:b w:val="0"/>
                <w:bCs w:val="0"/>
                <w:color w:val="auto"/>
                <w:sz w:val="24"/>
                <w:szCs w:val="24"/>
                <w:lang w:val="en-US" w:eastAsia="zh-CN"/>
              </w:rPr>
              <w:t xml:space="preserve">  单位：m³/a</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67"/>
              <w:gridCol w:w="914"/>
              <w:gridCol w:w="919"/>
              <w:gridCol w:w="1080"/>
              <w:gridCol w:w="3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bookmarkStart w:id="10" w:name="OLE_LINK35"/>
                  <w:r>
                    <w:rPr>
                      <w:rFonts w:hint="default" w:ascii="Times New Roman" w:hAnsi="Times New Roman" w:cs="Times New Roman"/>
                      <w:b/>
                      <w:color w:val="auto"/>
                      <w:sz w:val="21"/>
                      <w:szCs w:val="21"/>
                      <w:lang w:val="en-US" w:eastAsia="zh-CN"/>
                    </w:rPr>
                    <w:t>序号</w:t>
                  </w:r>
                </w:p>
              </w:tc>
              <w:tc>
                <w:tcPr>
                  <w:tcW w:w="620"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用水点</w:t>
                  </w:r>
                </w:p>
              </w:tc>
              <w:tc>
                <w:tcPr>
                  <w:tcW w:w="532"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使用量</w:t>
                  </w:r>
                </w:p>
              </w:tc>
              <w:tc>
                <w:tcPr>
                  <w:tcW w:w="535"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损耗</w:t>
                  </w:r>
                </w:p>
              </w:tc>
              <w:tc>
                <w:tcPr>
                  <w:tcW w:w="629"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cs="Times New Roman"/>
                      <w:b/>
                      <w:color w:val="auto"/>
                      <w:sz w:val="21"/>
                      <w:szCs w:val="21"/>
                      <w:lang w:val="en-US" w:eastAsia="zh-CN"/>
                    </w:rPr>
                    <w:t>排放</w:t>
                  </w:r>
                  <w:r>
                    <w:rPr>
                      <w:rFonts w:hint="default" w:ascii="Times New Roman" w:hAnsi="Times New Roman" w:eastAsia="宋体" w:cs="Times New Roman"/>
                      <w:b/>
                      <w:color w:val="auto"/>
                      <w:sz w:val="21"/>
                      <w:szCs w:val="21"/>
                    </w:rPr>
                    <w:t>量</w:t>
                  </w:r>
                </w:p>
              </w:tc>
              <w:tc>
                <w:tcPr>
                  <w:tcW w:w="2256"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最终去向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lang w:val="en-US" w:eastAsia="zh-CN"/>
                    </w:rPr>
                    <w:t>1</w:t>
                  </w:r>
                </w:p>
              </w:tc>
              <w:tc>
                <w:tcPr>
                  <w:tcW w:w="620"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w:t>
                  </w:r>
                  <w:r>
                    <w:rPr>
                      <w:rFonts w:hint="default" w:ascii="Times New Roman" w:hAnsi="Times New Roman" w:eastAsia="宋体" w:cs="Times New Roman"/>
                      <w:color w:val="auto"/>
                      <w:spacing w:val="0"/>
                      <w:sz w:val="21"/>
                      <w:szCs w:val="21"/>
                    </w:rPr>
                    <w:t>用水</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lang w:val="en-US" w:eastAsia="zh-CN"/>
                    </w:rPr>
                    <w:t>198</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40</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158</w:t>
                  </w:r>
                </w:p>
              </w:tc>
              <w:tc>
                <w:tcPr>
                  <w:tcW w:w="2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经化粪池（8m³）处理后，交由</w:t>
                  </w:r>
                  <w:r>
                    <w:rPr>
                      <w:rFonts w:hint="default" w:ascii="Times New Roman" w:hAnsi="Times New Roman" w:cs="Times New Roman"/>
                      <w:color w:val="auto"/>
                      <w:kern w:val="2"/>
                      <w:sz w:val="21"/>
                      <w:szCs w:val="21"/>
                      <w:lang w:val="en-US" w:eastAsia="zh-CN" w:bidi="ar-SA"/>
                    </w:rPr>
                    <w:t>新民乡污水处理公司</w:t>
                  </w:r>
                  <w:r>
                    <w:rPr>
                      <w:rFonts w:hint="default" w:ascii="Times New Roman" w:hAnsi="Times New Roman" w:eastAsia="宋体" w:cs="Times New Roman"/>
                      <w:color w:val="auto"/>
                      <w:kern w:val="2"/>
                      <w:sz w:val="21"/>
                      <w:szCs w:val="21"/>
                      <w:lang w:val="en-US" w:eastAsia="zh-CN" w:bidi="ar-SA"/>
                    </w:rPr>
                    <w:t>统一拉运处置</w:t>
                  </w:r>
                  <w:r>
                    <w:rPr>
                      <w:rFonts w:hint="default" w:ascii="Times New Roman" w:hAnsi="Times New Roman" w:cs="Times New Roman"/>
                      <w:color w:val="auto"/>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pct"/>
                  <w:gridSpan w:val="2"/>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532"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1164" w:type="pct"/>
                  <w:gridSpan w:val="2"/>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2256"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r>
            <w:bookmarkEnd w:id="10"/>
          </w:tbl>
          <w:p>
            <w:pPr>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八、劳动定员与工作制度</w:t>
            </w:r>
          </w:p>
          <w:p>
            <w:pPr>
              <w:adjustRightInd w:val="0"/>
              <w:snapToGrid w:val="0"/>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eastAsia="zh-CN"/>
              </w:rPr>
              <w:t>新增</w:t>
            </w:r>
            <w:r>
              <w:rPr>
                <w:rFonts w:hint="default" w:ascii="Times New Roman" w:hAnsi="Times New Roman" w:cs="Times New Roman"/>
                <w:bCs/>
                <w:color w:val="auto"/>
                <w:sz w:val="24"/>
                <w:szCs w:val="24"/>
              </w:rPr>
              <w:t>劳动定员</w:t>
            </w:r>
            <w:r>
              <w:rPr>
                <w:rFonts w:hint="default"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rPr>
              <w:t>人，</w:t>
            </w:r>
            <w:r>
              <w:rPr>
                <w:rFonts w:hint="default" w:ascii="Times New Roman" w:hAnsi="Times New Roman" w:cs="Times New Roman"/>
                <w:bCs/>
                <w:color w:val="auto"/>
                <w:sz w:val="24"/>
                <w:szCs w:val="24"/>
                <w:lang w:val="en-US" w:eastAsia="zh-CN"/>
              </w:rPr>
              <w:t>白班工作制，</w:t>
            </w:r>
            <w:r>
              <w:rPr>
                <w:rFonts w:hint="default" w:ascii="Times New Roman" w:hAnsi="Times New Roman" w:cs="Times New Roman"/>
                <w:bCs/>
                <w:color w:val="auto"/>
                <w:sz w:val="24"/>
                <w:szCs w:val="24"/>
              </w:rPr>
              <w:t>工作时间为8h</w:t>
            </w:r>
            <w:r>
              <w:rPr>
                <w:rFonts w:hint="default" w:ascii="Times New Roman" w:hAnsi="Times New Roman" w:cs="Times New Roman"/>
                <w:bCs/>
                <w:color w:val="auto"/>
                <w:sz w:val="24"/>
                <w:szCs w:val="24"/>
                <w:lang w:eastAsia="zh-CN"/>
              </w:rPr>
              <w:t>，年工作</w:t>
            </w:r>
            <w:r>
              <w:rPr>
                <w:rFonts w:hint="default" w:ascii="Times New Roman" w:hAnsi="Times New Roman" w:cs="Times New Roman"/>
                <w:bCs/>
                <w:color w:val="auto"/>
                <w:sz w:val="24"/>
                <w:szCs w:val="24"/>
                <w:lang w:val="en-US" w:eastAsia="zh-CN"/>
              </w:rPr>
              <w:t>330天</w:t>
            </w:r>
            <w:r>
              <w:rPr>
                <w:rFonts w:hint="default" w:ascii="Times New Roman" w:hAnsi="Times New Roman" w:cs="Times New Roman"/>
                <w:bCs/>
                <w:color w:val="auto"/>
                <w:sz w:val="24"/>
                <w:szCs w:val="24"/>
              </w:rPr>
              <w:t>。</w:t>
            </w:r>
          </w:p>
          <w:p>
            <w:pPr>
              <w:pStyle w:val="5"/>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九</w:t>
            </w:r>
            <w:r>
              <w:rPr>
                <w:rFonts w:hint="default" w:ascii="Times New Roman" w:hAnsi="Times New Roman" w:eastAsia="黑体" w:cs="Times New Roman"/>
                <w:color w:val="auto"/>
                <w:sz w:val="24"/>
                <w:szCs w:val="24"/>
                <w:highlight w:val="none"/>
                <w:lang w:val="en-US" w:eastAsia="zh-CN"/>
              </w:rPr>
              <w:t>、厂区平面布置</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cs="Times New Roman"/>
                <w:bCs/>
                <w:color w:val="auto"/>
                <w:sz w:val="24"/>
                <w:szCs w:val="24"/>
                <w:highlight w:val="none"/>
              </w:rPr>
              <w:t>本项目位于</w:t>
            </w:r>
            <w:r>
              <w:rPr>
                <w:rFonts w:hint="default" w:ascii="Times New Roman" w:hAnsi="Times New Roman" w:cs="Times New Roman"/>
                <w:bCs/>
                <w:color w:val="auto"/>
                <w:sz w:val="24"/>
                <w:szCs w:val="24"/>
                <w:highlight w:val="none"/>
                <w:lang w:eastAsia="zh-CN"/>
              </w:rPr>
              <w:t>固原市泾源县新民乡杨堡村，</w:t>
            </w:r>
            <w:r>
              <w:rPr>
                <w:rFonts w:hint="default" w:ascii="Times New Roman" w:hAnsi="Times New Roman" w:cs="Times New Roman"/>
                <w:bCs/>
                <w:color w:val="auto"/>
                <w:sz w:val="24"/>
                <w:szCs w:val="24"/>
                <w:highlight w:val="none"/>
                <w:lang w:val="en-US" w:eastAsia="zh-CN"/>
              </w:rPr>
              <w:t>项</w:t>
            </w:r>
            <w:r>
              <w:rPr>
                <w:rFonts w:hint="default" w:ascii="Times New Roman" w:hAnsi="Times New Roman" w:eastAsia="宋体" w:cs="Times New Roman"/>
                <w:snapToGrid w:val="0"/>
                <w:color w:val="auto"/>
                <w:kern w:val="0"/>
                <w:sz w:val="24"/>
                <w:szCs w:val="24"/>
                <w:highlight w:val="none"/>
                <w:lang w:val="en-US" w:eastAsia="zh-CN" w:bidi="ar-SA"/>
              </w:rPr>
              <w:t>目平面布置充分利用现有场地及厂区地形，尽量满足生产要求和原料、成品的物流储运要求，布置集中紧凑。</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cs="Times New Roman"/>
                <w:snapToGrid w:val="0"/>
                <w:color w:val="auto"/>
                <w:kern w:val="0"/>
                <w:sz w:val="24"/>
                <w:szCs w:val="24"/>
                <w:highlight w:val="none"/>
                <w:lang w:val="en-US" w:eastAsia="zh-CN" w:bidi="ar-SA"/>
              </w:rPr>
              <w:t>厂区整体呈不规则四边形，依据规划平面布局，可分为两大区域。其一为新建有机肥生产加工车间、原料陈化堆放棚及原料库，其中有机肥生产加工车间、原料陈化堆放棚位于厂区东北方向、原料库位于厂区东南方向；其二为厂区现有鸡舍及粪污堆放区布置于办公区生活区南侧。办公生活区位于厂区东北角。成品库位于办公生活区西侧。在本项</w:t>
            </w:r>
            <w:r>
              <w:rPr>
                <w:rFonts w:hint="default" w:ascii="Times New Roman" w:hAnsi="Times New Roman" w:eastAsia="宋体" w:cs="Times New Roman"/>
                <w:snapToGrid w:val="0"/>
                <w:color w:val="auto"/>
                <w:kern w:val="0"/>
                <w:sz w:val="24"/>
                <w:szCs w:val="24"/>
                <w:highlight w:val="none"/>
                <w:lang w:val="en-US" w:eastAsia="zh-CN" w:bidi="ar-SA"/>
              </w:rPr>
              <w:t>目的总平面布置设计中，充分考虑了</w:t>
            </w:r>
            <w:r>
              <w:rPr>
                <w:rFonts w:hint="default" w:ascii="Times New Roman" w:hAnsi="Times New Roman" w:cs="Times New Roman"/>
                <w:snapToGrid w:val="0"/>
                <w:color w:val="auto"/>
                <w:kern w:val="0"/>
                <w:sz w:val="24"/>
                <w:szCs w:val="24"/>
                <w:highlight w:val="none"/>
                <w:lang w:val="en-US" w:eastAsia="zh-CN" w:bidi="ar-SA"/>
              </w:rPr>
              <w:t>生产工艺</w:t>
            </w:r>
            <w:r>
              <w:rPr>
                <w:rFonts w:hint="default" w:ascii="Times New Roman" w:hAnsi="Times New Roman" w:eastAsia="宋体" w:cs="Times New Roman"/>
                <w:snapToGrid w:val="0"/>
                <w:color w:val="auto"/>
                <w:kern w:val="0"/>
                <w:sz w:val="24"/>
                <w:szCs w:val="24"/>
                <w:highlight w:val="none"/>
                <w:lang w:val="en-US" w:eastAsia="zh-CN" w:bidi="ar-SA"/>
              </w:rPr>
              <w:t>内各</w:t>
            </w:r>
            <w:r>
              <w:rPr>
                <w:rFonts w:hint="default" w:ascii="Times New Roman" w:hAnsi="Times New Roman" w:cs="Times New Roman"/>
                <w:snapToGrid w:val="0"/>
                <w:color w:val="auto"/>
                <w:kern w:val="0"/>
                <w:sz w:val="24"/>
                <w:szCs w:val="24"/>
                <w:highlight w:val="none"/>
                <w:lang w:val="en-US" w:eastAsia="zh-CN" w:bidi="ar-SA"/>
              </w:rPr>
              <w:t>工序</w:t>
            </w:r>
            <w:r>
              <w:rPr>
                <w:rFonts w:hint="default" w:ascii="Times New Roman" w:hAnsi="Times New Roman" w:eastAsia="宋体" w:cs="Times New Roman"/>
                <w:snapToGrid w:val="0"/>
                <w:color w:val="auto"/>
                <w:kern w:val="0"/>
                <w:sz w:val="24"/>
                <w:szCs w:val="24"/>
                <w:highlight w:val="none"/>
                <w:lang w:val="en-US" w:eastAsia="zh-CN" w:bidi="ar-SA"/>
              </w:rPr>
              <w:t>的衔接关系，力求工艺线路流畅、布局紧凑合理。从总平面布置来看，基本遵循工艺流畅原则，能够满足生产工艺流程的需求，有效缩短物料的输送路线。</w:t>
            </w:r>
          </w:p>
          <w:p>
            <w:pPr>
              <w:adjustRightInd w:val="0"/>
              <w:snapToGrid w:val="0"/>
              <w:spacing w:line="360" w:lineRule="auto"/>
              <w:ind w:firstLine="480" w:firstLineChars="200"/>
              <w:rPr>
                <w:rFonts w:hint="default" w:ascii="Times New Roman" w:hAnsi="Times New Roman" w:cs="Times New Roman"/>
                <w:snapToGrid w:val="0"/>
                <w:color w:val="auto"/>
                <w:kern w:val="0"/>
                <w:sz w:val="24"/>
                <w:szCs w:val="24"/>
                <w:lang w:val="en-US" w:eastAsia="zh-CN" w:bidi="ar-SA"/>
              </w:rPr>
            </w:pPr>
            <w:r>
              <w:rPr>
                <w:rFonts w:hint="default" w:ascii="Times New Roman" w:hAnsi="Times New Roman" w:eastAsia="宋体" w:cs="Times New Roman"/>
                <w:color w:val="auto"/>
                <w:kern w:val="0"/>
                <w:sz w:val="24"/>
                <w:szCs w:val="24"/>
                <w:highlight w:val="none"/>
                <w:lang w:val="en-US" w:eastAsia="zh-CN"/>
              </w:rPr>
              <w:t>项目所在</w:t>
            </w:r>
            <w:r>
              <w:rPr>
                <w:rFonts w:hint="default" w:ascii="Times New Roman" w:hAnsi="Times New Roman" w:cs="Times New Roman"/>
                <w:color w:val="auto"/>
                <w:kern w:val="0"/>
                <w:sz w:val="24"/>
                <w:szCs w:val="24"/>
                <w:highlight w:val="none"/>
                <w:lang w:val="en-US" w:eastAsia="zh-CN"/>
              </w:rPr>
              <w:t>区域</w:t>
            </w:r>
            <w:r>
              <w:rPr>
                <w:rFonts w:hint="default" w:ascii="Times New Roman" w:hAnsi="Times New Roman" w:eastAsia="宋体" w:cs="Times New Roman"/>
                <w:color w:val="auto"/>
                <w:kern w:val="0"/>
                <w:sz w:val="24"/>
                <w:szCs w:val="24"/>
                <w:highlight w:val="none"/>
                <w:lang w:val="en-US" w:eastAsia="zh-CN"/>
              </w:rPr>
              <w:t>常年主导风向为</w:t>
            </w:r>
            <w:r>
              <w:rPr>
                <w:rFonts w:hint="default" w:ascii="Times New Roman" w:hAnsi="Times New Roman" w:cs="Times New Roman"/>
                <w:color w:val="auto"/>
                <w:kern w:val="0"/>
                <w:sz w:val="24"/>
                <w:szCs w:val="24"/>
                <w:highlight w:val="none"/>
                <w:lang w:val="en-US" w:eastAsia="zh-CN"/>
              </w:rPr>
              <w:t>东南</w:t>
            </w:r>
            <w:r>
              <w:rPr>
                <w:rFonts w:hint="default" w:ascii="Times New Roman" w:hAnsi="Times New Roman" w:eastAsia="宋体" w:cs="Times New Roman"/>
                <w:color w:val="auto"/>
                <w:kern w:val="0"/>
                <w:sz w:val="24"/>
                <w:szCs w:val="24"/>
                <w:highlight w:val="none"/>
                <w:lang w:val="en-US" w:eastAsia="zh-CN"/>
              </w:rPr>
              <w:t>，DA001排气筒</w:t>
            </w:r>
            <w:r>
              <w:rPr>
                <w:rFonts w:hint="default" w:ascii="Times New Roman" w:hAnsi="Times New Roman" w:cs="Times New Roman"/>
                <w:color w:val="auto"/>
                <w:kern w:val="0"/>
                <w:sz w:val="24"/>
                <w:szCs w:val="24"/>
                <w:highlight w:val="none"/>
                <w:lang w:val="en-US" w:eastAsia="zh-CN"/>
              </w:rPr>
              <w:t>位于有机肥加工车间东北角，则</w:t>
            </w:r>
            <w:r>
              <w:rPr>
                <w:rFonts w:hint="default" w:ascii="Times New Roman" w:hAnsi="Times New Roman" w:cs="Times New Roman"/>
                <w:snapToGrid w:val="0"/>
                <w:color w:val="auto"/>
                <w:kern w:val="0"/>
                <w:sz w:val="24"/>
                <w:szCs w:val="24"/>
                <w:lang w:val="en-US" w:eastAsia="zh-CN" w:bidi="ar-SA"/>
              </w:rPr>
              <w:t>办公区位于DA001排气筒右侧风向，</w:t>
            </w:r>
            <w:r>
              <w:rPr>
                <w:rFonts w:hint="default" w:ascii="Times New Roman" w:hAnsi="Times New Roman" w:eastAsia="宋体" w:cs="Times New Roman"/>
                <w:color w:val="auto"/>
                <w:kern w:val="0"/>
                <w:sz w:val="24"/>
                <w:szCs w:val="24"/>
                <w:highlight w:val="none"/>
                <w:lang w:val="en-US" w:eastAsia="zh-CN"/>
              </w:rPr>
              <w:t>运营期污染物对生活办公区影响较小</w:t>
            </w:r>
            <w:r>
              <w:rPr>
                <w:rFonts w:hint="default" w:ascii="Times New Roman" w:hAnsi="Times New Roman" w:cs="Times New Roman"/>
                <w:snapToGrid w:val="0"/>
                <w:color w:val="auto"/>
                <w:kern w:val="0"/>
                <w:sz w:val="24"/>
                <w:szCs w:val="24"/>
                <w:lang w:val="en-US" w:eastAsia="zh-CN" w:bidi="ar-SA"/>
              </w:rPr>
              <w:t>。</w:t>
            </w:r>
          </w:p>
          <w:p>
            <w:pPr>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综上</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本项目的平面布局合理</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项目平面布置图见附图</w:t>
            </w:r>
            <w:r>
              <w:rPr>
                <w:rFonts w:hint="default" w:ascii="Times New Roman" w:hAnsi="Times New Roman" w:cs="Times New Roman"/>
                <w:bCs/>
                <w:color w:val="auto"/>
                <w:sz w:val="24"/>
                <w:szCs w:val="24"/>
                <w:highlight w:val="none"/>
                <w:lang w:val="en-US" w:eastAsia="zh-CN"/>
              </w:rPr>
              <w:t>2-2</w:t>
            </w:r>
            <w:r>
              <w:rPr>
                <w:rFonts w:hint="default" w:ascii="Times New Roman" w:hAnsi="Times New Roman" w:eastAsia="宋体" w:cs="Times New Roman"/>
                <w:bCs/>
                <w:color w:val="auto"/>
                <w:sz w:val="24"/>
                <w:szCs w:val="24"/>
                <w:highlight w:val="none"/>
                <w:lang w:val="en-US" w:eastAsia="zh-CN"/>
              </w:rPr>
              <w:t>。</w:t>
            </w:r>
          </w:p>
          <w:p>
            <w:p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lang w:val="en-US" w:eastAsia="zh-CN"/>
              </w:rPr>
              <w:t>十、投资与环保投资</w:t>
            </w:r>
          </w:p>
          <w:p>
            <w:pPr>
              <w:adjustRightInd w:val="0"/>
              <w:snapToGrid w:val="0"/>
              <w:spacing w:line="360" w:lineRule="auto"/>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cs="Times New Roman"/>
                <w:bCs/>
                <w:color w:val="auto"/>
                <w:sz w:val="24"/>
                <w:szCs w:val="24"/>
                <w:highlight w:val="none"/>
                <w:lang w:eastAsia="zh-CN"/>
              </w:rPr>
              <w:t>根据《泾源县农业面源污染综合治理项目初步设计》，泾源县农业面源污染综合治理项目</w:t>
            </w:r>
            <w:r>
              <w:rPr>
                <w:rFonts w:hint="default" w:ascii="Times New Roman" w:hAnsi="Times New Roman" w:eastAsia="宋体" w:cs="Times New Roman"/>
                <w:bCs/>
                <w:color w:val="auto"/>
                <w:sz w:val="24"/>
                <w:szCs w:val="24"/>
                <w:highlight w:val="none"/>
                <w:lang w:eastAsia="zh-CN"/>
              </w:rPr>
              <w:t>总投资</w:t>
            </w:r>
            <w:r>
              <w:rPr>
                <w:rFonts w:hint="default" w:ascii="Times New Roman" w:hAnsi="Times New Roman" w:cs="Times New Roman"/>
                <w:bCs/>
                <w:color w:val="auto"/>
                <w:sz w:val="24"/>
                <w:szCs w:val="24"/>
                <w:highlight w:val="none"/>
                <w:lang w:eastAsia="zh-CN"/>
              </w:rPr>
              <w:t>为</w:t>
            </w:r>
            <w:r>
              <w:rPr>
                <w:rFonts w:hint="default" w:ascii="Times New Roman" w:hAnsi="Times New Roman" w:eastAsia="宋体" w:cs="Times New Roman"/>
                <w:bCs/>
                <w:color w:val="auto"/>
                <w:sz w:val="24"/>
                <w:szCs w:val="24"/>
                <w:highlight w:val="none"/>
                <w:lang w:val="en-US" w:eastAsia="zh-CN"/>
              </w:rPr>
              <w:t>10676.7</w:t>
            </w:r>
            <w:r>
              <w:rPr>
                <w:rFonts w:hint="default" w:ascii="Times New Roman" w:hAnsi="Times New Roman" w:eastAsia="宋体" w:cs="Times New Roman"/>
                <w:bCs/>
                <w:color w:val="auto"/>
                <w:sz w:val="24"/>
                <w:szCs w:val="24"/>
                <w:highlight w:val="none"/>
                <w:lang w:eastAsia="zh-CN"/>
              </w:rPr>
              <w:t>万元，</w:t>
            </w:r>
            <w:r>
              <w:rPr>
                <w:rFonts w:hint="default" w:ascii="Times New Roman" w:hAnsi="Times New Roman" w:cs="Times New Roman"/>
                <w:bCs/>
                <w:color w:val="auto"/>
                <w:sz w:val="24"/>
                <w:szCs w:val="24"/>
                <w:highlight w:val="none"/>
                <w:lang w:eastAsia="zh-CN"/>
              </w:rPr>
              <w:t>其中</w:t>
            </w:r>
            <w:r>
              <w:rPr>
                <w:rFonts w:hint="default" w:ascii="Times New Roman" w:hAnsi="Times New Roman" w:eastAsia="宋体" w:cs="Times New Roman"/>
                <w:bCs/>
                <w:color w:val="auto"/>
                <w:sz w:val="24"/>
                <w:szCs w:val="24"/>
                <w:highlight w:val="none"/>
                <w:lang w:val="en-US" w:eastAsia="zh-CN"/>
              </w:rPr>
              <w:t>有机肥厂提升改造</w:t>
            </w:r>
            <w:r>
              <w:rPr>
                <w:rFonts w:hint="default" w:ascii="Times New Roman" w:hAnsi="Times New Roman" w:cs="Times New Roman"/>
                <w:bCs/>
                <w:color w:val="auto"/>
                <w:sz w:val="24"/>
                <w:szCs w:val="24"/>
                <w:highlight w:val="none"/>
                <w:lang w:val="en-US" w:eastAsia="zh-CN"/>
              </w:rPr>
              <w:t>投资为</w:t>
            </w:r>
            <w:r>
              <w:rPr>
                <w:rFonts w:hint="default" w:ascii="Times New Roman" w:hAnsi="Times New Roman" w:eastAsia="宋体" w:cs="Times New Roman"/>
                <w:bCs/>
                <w:color w:val="auto"/>
                <w:sz w:val="24"/>
                <w:szCs w:val="24"/>
                <w:highlight w:val="none"/>
                <w:lang w:val="en-US" w:eastAsia="zh-CN"/>
              </w:rPr>
              <w:t>1774.46万元</w:t>
            </w:r>
            <w:r>
              <w:rPr>
                <w:rFonts w:hint="default" w:ascii="Times New Roman" w:hAnsi="Times New Roman" w:cs="Times New Roman"/>
                <w:bCs/>
                <w:color w:val="auto"/>
                <w:sz w:val="24"/>
                <w:szCs w:val="24"/>
                <w:highlight w:val="none"/>
                <w:lang w:val="en-US" w:eastAsia="zh-CN"/>
              </w:rPr>
              <w:t>（含4座），本项目为其中的1座，总投资为580万，</w:t>
            </w:r>
            <w:r>
              <w:rPr>
                <w:rFonts w:hint="default" w:ascii="Times New Roman" w:hAnsi="Times New Roman" w:eastAsia="宋体" w:cs="Times New Roman"/>
                <w:bCs/>
                <w:color w:val="auto"/>
                <w:sz w:val="24"/>
                <w:szCs w:val="24"/>
                <w:highlight w:val="none"/>
                <w:lang w:eastAsia="zh-CN"/>
              </w:rPr>
              <w:t>环保投资为</w:t>
            </w:r>
            <w:r>
              <w:rPr>
                <w:rFonts w:hint="default" w:ascii="Times New Roman" w:hAnsi="Times New Roman" w:cs="Times New Roman"/>
                <w:bCs/>
                <w:color w:val="auto"/>
                <w:sz w:val="24"/>
                <w:szCs w:val="24"/>
                <w:highlight w:val="none"/>
                <w:lang w:val="en-US" w:eastAsia="zh-CN"/>
              </w:rPr>
              <w:t>79.35</w:t>
            </w:r>
            <w:r>
              <w:rPr>
                <w:rFonts w:hint="default" w:ascii="Times New Roman" w:hAnsi="Times New Roman" w:eastAsia="宋体" w:cs="Times New Roman"/>
                <w:bCs/>
                <w:color w:val="auto"/>
                <w:sz w:val="24"/>
                <w:szCs w:val="24"/>
                <w:highlight w:val="none"/>
                <w:lang w:eastAsia="zh-CN"/>
              </w:rPr>
              <w:t>万元，占总投资的</w:t>
            </w:r>
            <w:r>
              <w:rPr>
                <w:rFonts w:hint="default" w:ascii="Times New Roman" w:hAnsi="Times New Roman" w:cs="Times New Roman"/>
                <w:bCs/>
                <w:color w:val="auto"/>
                <w:sz w:val="24"/>
                <w:szCs w:val="24"/>
                <w:highlight w:val="none"/>
                <w:lang w:val="en-US" w:eastAsia="zh-CN"/>
              </w:rPr>
              <w:t>13.68</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bCs/>
                <w:color w:val="auto"/>
                <w:sz w:val="24"/>
                <w:szCs w:val="24"/>
                <w:lang w:eastAsia="zh-CN"/>
              </w:rPr>
              <w:t>，</w:t>
            </w:r>
            <w:r>
              <w:rPr>
                <w:rFonts w:hint="default" w:ascii="Times New Roman" w:hAnsi="Times New Roman" w:eastAsia="宋体" w:cs="Times New Roman"/>
                <w:bCs/>
                <w:color w:val="auto"/>
                <w:sz w:val="24"/>
                <w:szCs w:val="24"/>
                <w:lang w:eastAsia="zh-CN"/>
              </w:rPr>
              <w:t>本项目环保投资见下表</w:t>
            </w:r>
            <w:r>
              <w:rPr>
                <w:rFonts w:hint="default" w:ascii="Times New Roman" w:hAnsi="Times New Roman" w:cs="Times New Roman"/>
                <w:bCs/>
                <w:color w:val="auto"/>
                <w:sz w:val="24"/>
                <w:szCs w:val="24"/>
                <w:lang w:val="en-US" w:eastAsia="zh-CN"/>
              </w:rPr>
              <w:t>2-7</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eastAsia="黑体" w:cs="Times New Roman"/>
                <w:b w:val="0"/>
                <w:bCs w:val="0"/>
                <w:color w:val="auto"/>
                <w:sz w:val="24"/>
                <w:szCs w:val="24"/>
                <w:highlight w:val="none"/>
              </w:rPr>
              <w:t>表</w:t>
            </w:r>
            <w:r>
              <w:rPr>
                <w:rFonts w:hint="default" w:ascii="Times New Roman" w:hAnsi="Times New Roman" w:eastAsia="黑体" w:cs="Times New Roman"/>
                <w:b w:val="0"/>
                <w:bCs w:val="0"/>
                <w:color w:val="auto"/>
                <w:sz w:val="24"/>
                <w:szCs w:val="24"/>
                <w:highlight w:val="none"/>
                <w:lang w:val="en-US" w:eastAsia="zh-CN"/>
              </w:rPr>
              <w:t>2-7</w:t>
            </w:r>
            <w:r>
              <w:rPr>
                <w:rFonts w:hint="default" w:ascii="Times New Roman" w:hAnsi="Times New Roman" w:eastAsia="黑体" w:cs="Times New Roman"/>
                <w:b w:val="0"/>
                <w:bCs w:val="0"/>
                <w:color w:val="auto"/>
                <w:sz w:val="24"/>
                <w:szCs w:val="24"/>
                <w:highlight w:val="none"/>
              </w:rPr>
              <w:t xml:space="preserve">  项目环保投资一览表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1"/>
              <w:gridCol w:w="548"/>
              <w:gridCol w:w="1412"/>
              <w:gridCol w:w="4558"/>
              <w:gridCol w:w="948"/>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时段</w:t>
                  </w:r>
                </w:p>
              </w:tc>
              <w:tc>
                <w:tcPr>
                  <w:tcW w:w="1141"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污染源</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治理措施</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投资金额(万元)</w:t>
                  </w:r>
                </w:p>
              </w:tc>
              <w:tc>
                <w:tcPr>
                  <w:tcW w:w="44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施工扬尘</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加盖苫布+湿法作业+洒水抑尘</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0.5</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0.63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施工废水</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简易沉淀池</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0.2</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施工噪声</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低噪设备+减震</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0.6</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0.76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运至</w:t>
                  </w:r>
                  <w:r>
                    <w:rPr>
                      <w:rFonts w:hint="default" w:ascii="Times New Roman" w:hAnsi="Times New Roman" w:cs="Times New Roman"/>
                      <w:snapToGrid w:val="0"/>
                      <w:color w:val="auto"/>
                      <w:kern w:val="0"/>
                      <w:sz w:val="21"/>
                      <w:szCs w:val="21"/>
                      <w:lang w:eastAsia="zh-CN"/>
                    </w:rPr>
                    <w:t>当地</w:t>
                  </w:r>
                  <w:r>
                    <w:rPr>
                      <w:rFonts w:hint="default" w:ascii="Times New Roman" w:hAnsi="Times New Roman" w:cs="Times New Roman"/>
                      <w:snapToGrid w:val="0"/>
                      <w:color w:val="auto"/>
                      <w:kern w:val="0"/>
                      <w:sz w:val="21"/>
                      <w:szCs w:val="21"/>
                    </w:rPr>
                    <w:t>政府指定的建筑垃圾消纳场处置</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0.3</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0.38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生活垃圾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w:t>
                  </w:r>
                  <w:r>
                    <w:rPr>
                      <w:rFonts w:hint="default" w:ascii="Times New Roman" w:hAnsi="Times New Roman" w:cs="Times New Roman"/>
                      <w:snapToGrid w:val="0"/>
                      <w:color w:val="auto"/>
                      <w:kern w:val="0"/>
                      <w:sz w:val="21"/>
                      <w:szCs w:val="21"/>
                      <w:lang w:eastAsia="zh-CN"/>
                    </w:rPr>
                    <w:t>市政</w:t>
                  </w:r>
                  <w:r>
                    <w:rPr>
                      <w:rFonts w:hint="default" w:ascii="Times New Roman" w:hAnsi="Times New Roman" w:cs="Times New Roman"/>
                      <w:snapToGrid w:val="0"/>
                      <w:color w:val="auto"/>
                      <w:kern w:val="0"/>
                      <w:sz w:val="21"/>
                      <w:szCs w:val="21"/>
                    </w:rPr>
                    <w:t>环卫部门清运处置</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0.2</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运营</w:t>
                  </w:r>
                  <w:r>
                    <w:rPr>
                      <w:rFonts w:hint="default" w:ascii="Times New Roman" w:hAnsi="Times New Roman" w:cs="Times New Roman"/>
                      <w:color w:val="auto"/>
                      <w:sz w:val="21"/>
                      <w:szCs w:val="21"/>
                    </w:rPr>
                    <w:t>期</w:t>
                  </w: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lang w:val="en-US" w:eastAsia="zh-CN"/>
                    </w:rPr>
                    <w:t>生物除臭装置（生物滴滤）+布袋除尘器（</w:t>
                  </w:r>
                  <w:r>
                    <w:rPr>
                      <w:rFonts w:hint="eastAsia" w:cs="Times New Roman"/>
                      <w:color w:val="auto"/>
                      <w:kern w:val="0"/>
                      <w:sz w:val="21"/>
                      <w:szCs w:val="21"/>
                      <w:highlight w:val="none"/>
                      <w:lang w:val="en-US" w:eastAsia="zh-CN"/>
                    </w:rPr>
                    <w:t>1500</w:t>
                  </w:r>
                  <w:r>
                    <w:rPr>
                      <w:rFonts w:hint="default" w:ascii="Times New Roman" w:hAnsi="Times New Roman" w:cs="Times New Roman"/>
                      <w:color w:val="auto"/>
                      <w:kern w:val="0"/>
                      <w:sz w:val="21"/>
                      <w:szCs w:val="21"/>
                      <w:highlight w:val="none"/>
                      <w:lang w:val="en-US" w:eastAsia="zh-CN"/>
                    </w:rPr>
                    <w:t>m³/h）+15米高的排气筒。</w:t>
                  </w:r>
                </w:p>
              </w:tc>
              <w:tc>
                <w:tcPr>
                  <w:tcW w:w="948" w:type="dxa"/>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p>
              </w:tc>
              <w:tc>
                <w:tcPr>
                  <w:tcW w:w="768" w:type="dxa"/>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15.12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cs="Times New Roman"/>
                      <w:b w:val="0"/>
                      <w:bCs w:val="0"/>
                      <w:color w:val="auto"/>
                      <w:lang w:val="en-US" w:eastAsia="zh-CN"/>
                    </w:rPr>
                    <w:t>无组织废气</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highlight w:val="none"/>
                      <w:lang w:val="en-US" w:eastAsia="zh-CN"/>
                    </w:rPr>
                    <w:t>通过对</w:t>
                  </w:r>
                  <w:r>
                    <w:rPr>
                      <w:rFonts w:hint="default" w:ascii="Times New Roman" w:hAnsi="Times New Roman" w:cs="Times New Roman"/>
                      <w:color w:val="auto"/>
                      <w:highlight w:val="none"/>
                      <w:lang w:val="en-US" w:eastAsia="zh-CN"/>
                    </w:rPr>
                    <w:t>发酵</w:t>
                  </w:r>
                  <w:r>
                    <w:rPr>
                      <w:rFonts w:hint="default" w:ascii="Times New Roman" w:hAnsi="Times New Roman" w:eastAsia="宋体" w:cs="Times New Roman"/>
                      <w:color w:val="auto"/>
                      <w:highlight w:val="none"/>
                      <w:lang w:val="en-US" w:eastAsia="zh-CN"/>
                    </w:rPr>
                    <w:t>棚进行密闭管理，</w:t>
                  </w:r>
                  <w:r>
                    <w:rPr>
                      <w:rFonts w:hint="default" w:ascii="Times New Roman" w:hAnsi="Times New Roman" w:cs="Times New Roman"/>
                      <w:color w:val="auto"/>
                      <w:highlight w:val="none"/>
                      <w:lang w:val="en-US" w:eastAsia="zh-CN"/>
                    </w:rPr>
                    <w:t>并</w:t>
                  </w:r>
                  <w:r>
                    <w:rPr>
                      <w:rFonts w:hint="default" w:ascii="Times New Roman" w:hAnsi="Times New Roman" w:eastAsia="宋体" w:cs="Times New Roman"/>
                      <w:color w:val="auto"/>
                      <w:highlight w:val="none"/>
                      <w:lang w:val="en-US" w:eastAsia="zh-CN"/>
                    </w:rPr>
                    <w:t>喷洒除臭剂</w:t>
                  </w:r>
                  <w:r>
                    <w:rPr>
                      <w:rFonts w:hint="default" w:ascii="Times New Roman" w:hAnsi="Times New Roman" w:cs="Times New Roman"/>
                      <w:color w:val="auto"/>
                      <w:highlight w:val="none"/>
                      <w:lang w:val="en-US" w:eastAsia="zh-CN"/>
                    </w:rPr>
                    <w:t>；各工序未被收集的废气通过密闭车间降尘处理后无组织排放。</w:t>
                  </w:r>
                </w:p>
              </w:tc>
              <w:tc>
                <w:tcPr>
                  <w:tcW w:w="552"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p>
              </w:tc>
              <w:tc>
                <w:tcPr>
                  <w:tcW w:w="44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生活污水</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经化粪池（8m³）处理后，交由新民乡污水处理公司统一拉运处置，不外排。</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0.15</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0.19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400mm宽，砖混结构，自有机肥加工车间西北角西南角为起点，延伸至西南角，全长32米。</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1.26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生产设备噪声</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低噪设备+隔音减震</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1.5</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1.89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固废</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除尘灰收集后回用于生产线；废包装材料外售综合利用</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垃圾分类收集后交由</w:t>
                  </w:r>
                  <w:r>
                    <w:rPr>
                      <w:rFonts w:hint="default" w:ascii="Times New Roman" w:hAnsi="Times New Roman" w:cs="Times New Roman"/>
                      <w:color w:val="auto"/>
                      <w:sz w:val="21"/>
                      <w:szCs w:val="21"/>
                    </w:rPr>
                    <w:t>环卫部门清运处置</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0.2</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危险废物</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废机油、废机油桶贮存于有机肥加工车间内危废贮存点，定期交由有资质的单位处置。</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0.2</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防渗措施</w:t>
                  </w:r>
                </w:p>
              </w:tc>
              <w:tc>
                <w:tcPr>
                  <w:tcW w:w="3475"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本厂区采取分区防渗：①发酵棚为重点防渗区，等效黏土防渗层Mb≥6.0m，K≤1x10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cm/s；②原料陈化堆放棚及成品库房为一般防渗区，等效黏土防渗层Mb≥1.5m，K≤1×10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cm/s；③厂区道路为简单防渗区，地面采用混凝土硬化；④有机肥生产车间新建危废贮存点采取“地面一般防渗处理+防渗托盘+密闭油桶”方式，防止危险废物泄露污染地下水。</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60</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75.61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环境管理</w:t>
                  </w:r>
                </w:p>
              </w:tc>
              <w:tc>
                <w:tcPr>
                  <w:tcW w:w="3475" w:type="pct"/>
                  <w:gridSpan w:val="2"/>
                  <w:tcBorders>
                    <w:tl2br w:val="nil"/>
                    <w:tr2bl w:val="nil"/>
                  </w:tcBorders>
                  <w:shd w:val="clear" w:color="auto" w:fill="auto"/>
                  <w:noWrap w:val="0"/>
                  <w:tcMar>
                    <w:top w:w="0" w:type="dxa"/>
                    <w:left w:w="51" w:type="dxa"/>
                    <w:bottom w:w="0" w:type="dxa"/>
                    <w:right w:w="51" w:type="dxa"/>
                  </w:tcMar>
                  <w:vAlign w:val="center"/>
                </w:tcPr>
                <w:p>
                  <w:pPr>
                    <w:pStyle w:val="58"/>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kern w:val="0"/>
                      <w:sz w:val="21"/>
                      <w:szCs w:val="21"/>
                    </w:rPr>
                    <w:t>依据</w:t>
                  </w:r>
                  <w:r>
                    <w:rPr>
                      <w:rFonts w:hint="default" w:ascii="Times New Roman" w:hAnsi="Times New Roman" w:eastAsia="宋体" w:cs="Times New Roman"/>
                      <w:color w:val="auto"/>
                      <w:kern w:val="0"/>
                      <w:sz w:val="21"/>
                      <w:szCs w:val="21"/>
                      <w:lang w:eastAsia="zh-CN"/>
                    </w:rPr>
                    <w:t>《固定污染源排污许可分类管理名录（</w:t>
                  </w:r>
                  <w:r>
                    <w:rPr>
                      <w:rFonts w:hint="default" w:ascii="Times New Roman" w:hAnsi="Times New Roman" w:eastAsia="宋体" w:cs="Times New Roman"/>
                      <w:color w:val="auto"/>
                      <w:kern w:val="0"/>
                      <w:sz w:val="21"/>
                      <w:szCs w:val="21"/>
                      <w:lang w:val="en-US" w:eastAsia="zh-CN"/>
                    </w:rPr>
                    <w:t>2019年</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落实相关排污许可手续</w:t>
                  </w:r>
                  <w:r>
                    <w:rPr>
                      <w:rFonts w:hint="default" w:ascii="Times New Roman" w:hAnsi="Times New Roman" w:eastAsia="宋体" w:cs="Times New Roman"/>
                      <w:color w:val="auto"/>
                      <w:kern w:val="0"/>
                      <w:sz w:val="21"/>
                      <w:szCs w:val="21"/>
                    </w:rPr>
                    <w:t>；规范环境管理制度等。</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2.5</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3.15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0" w:type="pct"/>
                  <w:gridSpan w:val="4"/>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合计</w:t>
                  </w:r>
                </w:p>
              </w:tc>
              <w:tc>
                <w:tcPr>
                  <w:tcW w:w="94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79.35</w:t>
                  </w:r>
                </w:p>
              </w:tc>
              <w:tc>
                <w:tcPr>
                  <w:tcW w:w="768" w:type="dxa"/>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100</w:t>
                  </w:r>
                </w:p>
              </w:tc>
            </w:tr>
          </w:tbl>
          <w:p>
            <w:pPr>
              <w:numPr>
                <w:ilvl w:val="0"/>
                <w:numId w:val="0"/>
              </w:numPr>
              <w:adjustRightInd w:val="0"/>
              <w:snapToGrid w:val="0"/>
              <w:jc w:val="both"/>
              <w:rPr>
                <w:rFonts w:hint="default" w:ascii="Times New Roman" w:hAnsi="Times New Roman" w:cs="Times New Roman"/>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工艺流程和产排污环节</w:t>
            </w:r>
          </w:p>
        </w:tc>
        <w:tc>
          <w:tcPr>
            <w:tcW w:w="8524" w:type="dxa"/>
            <w:tcBorders>
              <w:tl2br w:val="nil"/>
              <w:tr2bl w:val="nil"/>
            </w:tcBorders>
            <w:noWrap w:val="0"/>
            <w:vAlign w:val="center"/>
          </w:tcPr>
          <w:p>
            <w:pPr>
              <w:numPr>
                <w:ilvl w:val="0"/>
                <w:numId w:val="0"/>
              </w:numPr>
              <w:adjustRightInd w:val="0"/>
              <w:snapToGrid w:val="0"/>
              <w:spacing w:line="360" w:lineRule="auto"/>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kern w:val="2"/>
                <w:sz w:val="24"/>
                <w:szCs w:val="24"/>
                <w:lang w:val="en-US" w:eastAsia="zh-CN" w:bidi="ar-SA"/>
              </w:rPr>
              <w:t>一、施工期工艺流程及产污环节分析</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1.1 施工期工艺流程</w:t>
            </w:r>
          </w:p>
          <w:p>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bCs/>
                <w:color w:val="auto"/>
                <w:sz w:val="24"/>
                <w:szCs w:val="24"/>
                <w:highlight w:val="none"/>
                <w:lang w:eastAsia="zh-CN"/>
              </w:rPr>
              <w:t>本项目施工周期为</w:t>
            </w:r>
            <w:r>
              <w:rPr>
                <w:rFonts w:hint="default" w:ascii="Times New Roman" w:hAnsi="Times New Roman" w:cs="Times New Roman"/>
                <w:bCs/>
                <w:color w:val="auto"/>
                <w:sz w:val="24"/>
                <w:szCs w:val="24"/>
                <w:highlight w:val="none"/>
                <w:lang w:val="en-US" w:eastAsia="zh-CN"/>
              </w:rPr>
              <w:t>12个月，主要建设内容包括1座有机肥加工车间、1座原料陈化棚、1座成品库及雨水排水沟。施工范围包括场地基础开挖、场地平整、新增设备安装以及雨水排水沟的建设</w:t>
            </w:r>
            <w:r>
              <w:rPr>
                <w:rFonts w:hint="default" w:ascii="Times New Roman" w:hAnsi="Times New Roman" w:cs="Times New Roman"/>
                <w:color w:val="auto"/>
                <w:sz w:val="24"/>
                <w:lang w:val="en-US" w:eastAsia="zh-CN"/>
              </w:rPr>
              <w:t>。其他设施均依托现有设施。具体工艺流程及产污节点见图2-2</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color w:val="auto"/>
                <w:sz w:val="24"/>
              </w:rPr>
            </w:pPr>
            <w:r>
              <w:rPr>
                <w:rFonts w:hint="default" w:ascii="Times New Roman" w:hAnsi="Times New Roman" w:eastAsia="黑体" w:cs="Times New Roman"/>
                <w:color w:val="auto"/>
                <w:sz w:val="24"/>
                <w:lang w:val="en-US" w:eastAsia="zh-CN"/>
              </w:rPr>
              <w:object>
                <v:shape id="_x0000_i1026" o:spt="75" type="#_x0000_t75" style="height:103.8pt;width:437.9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r>
              <w:rPr>
                <w:rFonts w:hint="default" w:ascii="Times New Roman" w:hAnsi="Times New Roman" w:eastAsia="黑体" w:cs="Times New Roman"/>
                <w:color w:val="auto"/>
                <w:sz w:val="24"/>
              </w:rPr>
              <w:t>图2-</w:t>
            </w:r>
            <w:r>
              <w:rPr>
                <w:rFonts w:hint="default"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施工期工艺流程及产排污节点图</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1.2 施工期工艺流程简述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基础工程：主要为</w:t>
            </w:r>
            <w:r>
              <w:rPr>
                <w:rFonts w:hint="default" w:ascii="Times New Roman" w:hAnsi="Times New Roman" w:cs="Times New Roman"/>
                <w:b w:val="0"/>
                <w:bCs/>
                <w:color w:val="auto"/>
                <w:sz w:val="24"/>
                <w:szCs w:val="24"/>
                <w:lang w:val="en-US" w:eastAsia="zh-CN"/>
              </w:rPr>
              <w:t>有机肥加工车间、原料陈化堆放棚等</w:t>
            </w:r>
            <w:r>
              <w:rPr>
                <w:rFonts w:hint="default" w:ascii="Times New Roman" w:hAnsi="Times New Roman" w:eastAsia="宋体" w:cs="Times New Roman"/>
                <w:b w:val="0"/>
                <w:bCs/>
                <w:color w:val="auto"/>
                <w:sz w:val="24"/>
                <w:szCs w:val="24"/>
                <w:lang w:val="en-US" w:eastAsia="zh-CN"/>
              </w:rPr>
              <w:t>场地的开挖、填土、平整和夯实。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主体工程：主体工程阶段主要为钻孔灌注，现浇钢硂柱、梁，砌墙砌筑。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装饰工程：利用装修机械对主体工程进行装修。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设备安装：包括装卸设施、检测设备、消防设备、各种泵等施工。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竣工验收：竣工验收完成后进行使用。</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1.3 施工期环境影响因素识别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项目施工期主要环境影响因素识别结果见表2-</w:t>
            </w:r>
            <w:r>
              <w:rPr>
                <w:rFonts w:hint="default" w:ascii="Times New Roman" w:hAnsi="Times New Roman"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表2-8  环境因素识别表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2"/>
              <w:gridCol w:w="1966"/>
              <w:gridCol w:w="5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污染类型</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污染源点</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废气</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施工扬尘</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粉尘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施工机械尾气</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颗粒物、</w:t>
                  </w:r>
                  <w:r>
                    <w:rPr>
                      <w:rFonts w:hint="default" w:ascii="Times New Roman" w:hAnsi="Times New Roman" w:cs="Times New Roman"/>
                      <w:color w:val="auto"/>
                      <w:kern w:val="0"/>
                      <w:sz w:val="21"/>
                      <w:szCs w:val="21"/>
                      <w:lang w:val="en-US" w:eastAsia="zh-CN" w:bidi="ar"/>
                    </w:rPr>
                    <w:t>挥发性有机物（以非甲烷总烃计）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废水</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施工废水</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噪声</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eastAsia="zh-CN" w:bidi="ar"/>
                    </w:rPr>
                    <w:t>施工设备</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固体废物</w:t>
                  </w: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r>
          </w:tbl>
          <w:p>
            <w:pPr>
              <w:numPr>
                <w:ilvl w:val="0"/>
                <w:numId w:val="0"/>
              </w:num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kern w:val="2"/>
                <w:sz w:val="24"/>
                <w:szCs w:val="24"/>
                <w:lang w:val="en-US" w:eastAsia="zh-CN" w:bidi="ar-SA"/>
              </w:rPr>
              <w:t>二、</w:t>
            </w:r>
            <w:r>
              <w:rPr>
                <w:rFonts w:hint="default" w:ascii="Times New Roman" w:hAnsi="Times New Roman" w:eastAsia="黑体" w:cs="Times New Roman"/>
                <w:b w:val="0"/>
                <w:bCs/>
                <w:color w:val="auto"/>
                <w:sz w:val="24"/>
                <w:szCs w:val="24"/>
              </w:rPr>
              <w:t>运营期工艺流程及产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highlight w:val="none"/>
                <w:lang w:val="en-US" w:eastAsia="zh-CN"/>
              </w:rPr>
              <w:t>1、运营期工艺流程及</w:t>
            </w:r>
            <w:r>
              <w:rPr>
                <w:rFonts w:hint="default" w:ascii="Times New Roman" w:hAnsi="Times New Roman" w:eastAsia="黑体" w:cs="Times New Roman"/>
                <w:b w:val="0"/>
                <w:bCs/>
                <w:color w:val="auto"/>
                <w:sz w:val="24"/>
                <w:szCs w:val="24"/>
              </w:rPr>
              <w:t>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本项目主要生产产品颗粒有机肥，生产工艺由混配、发酵、陈化、粉碎、筛分、造粒、冷却、筛分组成，具体工艺流程及产污环节见图2-3。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object>
                <v:shape id="_x0000_i1027" o:spt="75" type="#_x0000_t75" style="height:240.7pt;width:425.15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黑体" w:cs="Times New Roman"/>
                <w:b w:val="0"/>
                <w:bCs w:val="0"/>
                <w:color w:val="auto"/>
                <w:sz w:val="24"/>
                <w:szCs w:val="24"/>
              </w:rPr>
              <w:t>图</w:t>
            </w:r>
            <w:r>
              <w:rPr>
                <w:rFonts w:hint="default" w:ascii="Times New Roman" w:hAnsi="Times New Roman" w:eastAsia="黑体" w:cs="Times New Roman"/>
                <w:b w:val="0"/>
                <w:bCs w:val="0"/>
                <w:color w:val="auto"/>
                <w:sz w:val="24"/>
                <w:szCs w:val="24"/>
                <w:lang w:val="en-US" w:eastAsia="zh-CN"/>
              </w:rPr>
              <w:t>2-3</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颗粒有机肥生产</w:t>
            </w:r>
            <w:r>
              <w:rPr>
                <w:rFonts w:hint="default" w:ascii="Times New Roman" w:hAnsi="Times New Roman" w:eastAsia="黑体" w:cs="Times New Roman"/>
                <w:b w:val="0"/>
                <w:bCs w:val="0"/>
                <w:color w:val="auto"/>
                <w:sz w:val="24"/>
                <w:szCs w:val="24"/>
              </w:rPr>
              <w:t>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（1）混配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有机肥生产原料（牛粪、鸡粪、秸秆）在发酵棚内混合后，由人工进行干湿比例调配，确保水分含量严格控制在50%至60%之间。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产污分析：该环节会产生混配废气G</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（2）发酵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混合后的物料由铲车运送至发酵棚进行发酵，并添加微生物菌剂以启动发酵过程，当发酵温度升至60~65℃时，通过翻抛机进行翻堆作业，以确保物料均匀发酵。整个发酵过程历时15~30天，最终达到除臭、杀菌及腐熟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产污分析：该环节会产生发酵废气G</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（3）陈化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发酵完成后，将物料转移至原料陈化堆放棚进行陈化处理</w:t>
            </w:r>
            <w:r>
              <w:rPr>
                <w:rFonts w:hint="default" w:ascii="Times New Roman" w:hAnsi="Times New Roman" w:eastAsia="宋体" w:cs="Times New Roman"/>
                <w:bCs/>
                <w:color w:val="auto"/>
                <w:kern w:val="2"/>
                <w:sz w:val="24"/>
                <w:szCs w:val="24"/>
                <w:highlight w:val="none"/>
                <w:lang w:val="en-US" w:eastAsia="zh-CN" w:bidi="ar-SA"/>
              </w:rPr>
              <w:t>。</w:t>
            </w:r>
            <w:r>
              <w:rPr>
                <w:rFonts w:hint="default" w:ascii="Times New Roman" w:hAnsi="Times New Roman" w:cs="Times New Roman"/>
                <w:bCs/>
                <w:color w:val="auto"/>
                <w:kern w:val="2"/>
                <w:sz w:val="24"/>
                <w:szCs w:val="24"/>
                <w:highlight w:val="none"/>
                <w:lang w:val="en-US" w:eastAsia="zh-CN" w:bidi="ar-SA"/>
              </w:rPr>
              <w:t>加入腐熟剂进行陈化腐熟，</w:t>
            </w:r>
            <w:r>
              <w:rPr>
                <w:rFonts w:hint="default" w:ascii="Times New Roman" w:hAnsi="Times New Roman" w:eastAsia="宋体" w:cs="Times New Roman"/>
                <w:bCs/>
                <w:color w:val="auto"/>
                <w:kern w:val="2"/>
                <w:sz w:val="24"/>
                <w:szCs w:val="24"/>
                <w:highlight w:val="none"/>
                <w:lang w:val="en-US" w:eastAsia="zh-CN" w:bidi="ar-SA"/>
              </w:rPr>
              <w:t>陈化时间通常为15至30天。在此期间，需定期翻动物料，以确保陈化均匀，并降低水分含量，从而提升有机肥的稳定性。同时，</w:t>
            </w:r>
            <w:r>
              <w:rPr>
                <w:rFonts w:hint="default" w:ascii="Times New Roman" w:hAnsi="Times New Roman" w:cs="Times New Roman"/>
                <w:bCs/>
                <w:color w:val="auto"/>
                <w:sz w:val="24"/>
                <w:szCs w:val="24"/>
                <w:highlight w:val="none"/>
                <w:lang w:val="en-US" w:eastAsia="zh-CN"/>
              </w:rPr>
              <w:t>严格控制水分含量在30%以内，以达成陈化目</w:t>
            </w:r>
            <w:r>
              <w:rPr>
                <w:rFonts w:hint="default" w:ascii="Times New Roman" w:hAnsi="Times New Roman" w:eastAsia="宋体" w:cs="Times New Roman"/>
                <w:bCs/>
                <w:color w:val="auto"/>
                <w:kern w:val="2"/>
                <w:sz w:val="24"/>
                <w:szCs w:val="24"/>
                <w:highlight w:val="none"/>
                <w:lang w:val="en-US" w:eastAsia="zh-CN" w:bidi="ar-SA"/>
              </w:rPr>
              <w:t>标。这一过程有助于物料的进一步腐熟。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产污分析：该过程会产生陈化废气G</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vertAlign w:val="baseline"/>
                <w:lang w:val="en-US" w:eastAsia="zh-CN"/>
              </w:rPr>
              <w:t>、废包装材料S</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w:t>
            </w:r>
            <w:r>
              <w:rPr>
                <w:rFonts w:hint="default" w:ascii="Times New Roman" w:hAnsi="Times New Roman" w:eastAsia="宋体" w:cs="Times New Roman"/>
                <w:bCs/>
                <w:color w:val="auto"/>
                <w:kern w:val="2"/>
                <w:sz w:val="24"/>
                <w:szCs w:val="24"/>
                <w:highlight w:val="none"/>
                <w:lang w:val="en-US" w:eastAsia="zh-CN" w:bidi="ar-SA"/>
              </w:rPr>
              <w:t>设备运行噪声N</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（4）粉碎、筛分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陈化处理的物料经配料系统配料，添加复配腐植酸，从而生产高附加值的有机肥产品。配料后由皮带输送机提升和输送后进行粉碎和筛分处理，</w:t>
            </w:r>
            <w:r>
              <w:rPr>
                <w:rFonts w:hint="default" w:ascii="Times New Roman" w:hAnsi="Times New Roman" w:eastAsia="宋体" w:cs="Times New Roman"/>
                <w:bCs/>
                <w:color w:val="auto"/>
                <w:kern w:val="2"/>
                <w:sz w:val="24"/>
                <w:szCs w:val="24"/>
                <w:highlight w:val="none"/>
                <w:lang w:val="en-US" w:eastAsia="zh-CN" w:bidi="ar-SA"/>
              </w:rPr>
              <w:t>以便将其转化为粒度均匀的产品。在此过程中，采用双级粉碎机对发酵后的物料进行破碎，随后通过筛分设备</w:t>
            </w:r>
            <w:r>
              <w:rPr>
                <w:rFonts w:hint="default" w:ascii="Times New Roman" w:hAnsi="Times New Roman" w:cs="Times New Roman"/>
                <w:bCs/>
                <w:color w:val="auto"/>
                <w:kern w:val="2"/>
                <w:sz w:val="24"/>
                <w:szCs w:val="24"/>
                <w:highlight w:val="none"/>
                <w:lang w:val="en-US" w:eastAsia="zh-CN" w:bidi="ar-SA"/>
              </w:rPr>
              <w:t>进行筛分</w:t>
            </w:r>
            <w:r>
              <w:rPr>
                <w:rFonts w:hint="default" w:ascii="Times New Roman" w:hAnsi="Times New Roman" w:eastAsia="宋体" w:cs="Times New Roman"/>
                <w:bCs/>
                <w:color w:val="auto"/>
                <w:kern w:val="2"/>
                <w:sz w:val="24"/>
                <w:szCs w:val="24"/>
                <w:highlight w:val="none"/>
                <w:lang w:val="en-US" w:eastAsia="zh-CN" w:bidi="ar-SA"/>
              </w:rPr>
              <w:t>。筛上物</w:t>
            </w:r>
            <w:r>
              <w:rPr>
                <w:rFonts w:hint="default" w:ascii="Times New Roman" w:hAnsi="Times New Roman" w:cs="Times New Roman"/>
                <w:bCs/>
                <w:color w:val="auto"/>
                <w:kern w:val="2"/>
                <w:sz w:val="24"/>
                <w:szCs w:val="24"/>
                <w:highlight w:val="none"/>
                <w:lang w:val="en-US" w:eastAsia="zh-CN" w:bidi="ar-SA"/>
              </w:rPr>
              <w:t>（颗粒）通过返料皮带机输送至发酵棚，以进一步配料</w:t>
            </w:r>
            <w:r>
              <w:rPr>
                <w:rFonts w:hint="default" w:ascii="Times New Roman" w:hAnsi="Times New Roman" w:eastAsia="宋体" w:cs="Times New Roman"/>
                <w:bCs/>
                <w:color w:val="auto"/>
                <w:kern w:val="2"/>
                <w:sz w:val="24"/>
                <w:szCs w:val="24"/>
                <w:highlight w:val="none"/>
                <w:lang w:val="en-US" w:eastAsia="zh-CN" w:bidi="ar-SA"/>
              </w:rPr>
              <w:t>；筛下粉状部分则由皮带输送机输送</w:t>
            </w:r>
            <w:r>
              <w:rPr>
                <w:rFonts w:hint="default" w:ascii="Times New Roman" w:hAnsi="Times New Roman" w:cs="Times New Roman"/>
                <w:bCs/>
                <w:color w:val="auto"/>
                <w:kern w:val="2"/>
                <w:sz w:val="24"/>
                <w:szCs w:val="24"/>
                <w:highlight w:val="none"/>
                <w:lang w:val="en-US" w:eastAsia="zh-CN" w:bidi="ar-SA"/>
              </w:rPr>
              <w:t>至粉料缓冲仓</w:t>
            </w:r>
            <w:r>
              <w:rPr>
                <w:rFonts w:hint="default" w:ascii="Times New Roman" w:hAnsi="Times New Roman" w:eastAsia="宋体" w:cs="Times New Roman"/>
                <w:bCs/>
                <w:color w:val="auto"/>
                <w:kern w:val="2"/>
                <w:sz w:val="24"/>
                <w:szCs w:val="24"/>
                <w:highlight w:val="none"/>
                <w:lang w:val="en-US" w:eastAsia="zh-CN" w:bidi="ar-SA"/>
              </w:rPr>
              <w:t>，经检验合格后进行计量包装，随后码垛入库，存储于成品库房</w:t>
            </w:r>
            <w:r>
              <w:rPr>
                <w:rFonts w:hint="default" w:ascii="Times New Roman" w:hAnsi="Times New Roman" w:cs="Times New Roman"/>
                <w:bCs/>
                <w:color w:val="auto"/>
                <w:kern w:val="2"/>
                <w:sz w:val="24"/>
                <w:szCs w:val="24"/>
                <w:highlight w:val="none"/>
                <w:lang w:val="en-US" w:eastAsia="zh-CN" w:bidi="ar-SA"/>
              </w:rPr>
              <w:t>。此外，部分筛下粉状物料经皮带输送至造粒缓冲仓，以进行造粒处理。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产污分析：该过程会产生粉碎G</w:t>
            </w:r>
            <w:r>
              <w:rPr>
                <w:rFonts w:hint="default" w:ascii="Times New Roman" w:hAnsi="Times New Roman" w:cs="Times New Roman"/>
                <w:bCs/>
                <w:color w:val="auto"/>
                <w:sz w:val="24"/>
                <w:szCs w:val="24"/>
                <w:highlight w:val="none"/>
                <w:vertAlign w:val="subscript"/>
                <w:lang w:val="en-US" w:eastAsia="zh-CN"/>
              </w:rPr>
              <w:t>4</w:t>
            </w:r>
            <w:r>
              <w:rPr>
                <w:rFonts w:hint="default" w:ascii="Times New Roman" w:hAnsi="Times New Roman" w:cs="Times New Roman"/>
                <w:bCs/>
                <w:color w:val="auto"/>
                <w:sz w:val="24"/>
                <w:szCs w:val="24"/>
                <w:highlight w:val="none"/>
                <w:lang w:val="en-US" w:eastAsia="zh-CN"/>
              </w:rPr>
              <w:t>、筛分废气G</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w:t>
            </w:r>
            <w:r>
              <w:rPr>
                <w:rFonts w:hint="default" w:ascii="Times New Roman" w:hAnsi="Times New Roman" w:cs="Times New Roman"/>
                <w:bCs/>
                <w:color w:val="auto"/>
                <w:sz w:val="24"/>
                <w:szCs w:val="24"/>
                <w:highlight w:val="none"/>
                <w:vertAlign w:val="baseline"/>
                <w:lang w:val="en-US" w:eastAsia="zh-CN"/>
              </w:rPr>
              <w:t>、废包装材料S</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（5）造粒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部分筛下物通过颗粒机上料皮带机输送至颗粒机，进行有机肥造粒。</w:t>
            </w:r>
            <w:r>
              <w:rPr>
                <w:rFonts w:hint="default" w:ascii="Times New Roman" w:hAnsi="Times New Roman" w:eastAsia="宋体" w:cs="Times New Roman"/>
                <w:bCs/>
                <w:color w:val="auto"/>
                <w:kern w:val="2"/>
                <w:sz w:val="24"/>
                <w:szCs w:val="24"/>
                <w:highlight w:val="none"/>
                <w:lang w:val="en-US" w:eastAsia="zh-CN" w:bidi="ar-SA"/>
              </w:rPr>
              <w:t>在造粒过程中，颗粒机依靠特定的压力和温度，将筛下的粉状物料再经造粒抛圆一体机进行抛圆处理后得到大小均匀的颗粒状有机肥料</w:t>
            </w:r>
            <w:r>
              <w:rPr>
                <w:rFonts w:hint="default" w:ascii="Times New Roman" w:hAnsi="Times New Roman" w:cs="Times New Roman"/>
                <w:bCs/>
                <w:color w:val="auto"/>
                <w:kern w:val="2"/>
                <w:sz w:val="24"/>
                <w:szCs w:val="24"/>
                <w:highlight w:val="none"/>
                <w:lang w:val="en-US" w:eastAsia="zh-CN" w:bidi="ar-SA"/>
              </w:rPr>
              <w:t>。筛上物则经返料皮带机输送至双级粉碎机，进行进一步破碎</w:t>
            </w:r>
            <w:r>
              <w:rPr>
                <w:rFonts w:hint="default" w:ascii="Times New Roman" w:hAnsi="Times New Roman" w:eastAsia="宋体" w:cs="Times New Roman"/>
                <w:bCs/>
                <w:color w:val="auto"/>
                <w:kern w:val="2"/>
                <w:sz w:val="24"/>
                <w:szCs w:val="24"/>
                <w:highlight w:val="none"/>
                <w:lang w:val="en-US" w:eastAsia="zh-CN" w:bidi="ar-SA"/>
              </w:rPr>
              <w:t>。生产过程</w:t>
            </w:r>
            <w:r>
              <w:rPr>
                <w:rFonts w:hint="default" w:ascii="Times New Roman" w:hAnsi="Times New Roman" w:cs="Times New Roman"/>
                <w:bCs/>
                <w:color w:val="auto"/>
                <w:kern w:val="2"/>
                <w:sz w:val="24"/>
                <w:szCs w:val="24"/>
                <w:highlight w:val="none"/>
                <w:lang w:val="en-US" w:eastAsia="zh-CN" w:bidi="ar-SA"/>
              </w:rPr>
              <w:t>无需</w:t>
            </w:r>
            <w:r>
              <w:rPr>
                <w:rFonts w:hint="default" w:ascii="Times New Roman" w:hAnsi="Times New Roman" w:eastAsia="宋体" w:cs="Times New Roman"/>
                <w:bCs/>
                <w:color w:val="auto"/>
                <w:kern w:val="2"/>
                <w:sz w:val="24"/>
                <w:szCs w:val="24"/>
                <w:highlight w:val="none"/>
                <w:lang w:val="en-US" w:eastAsia="zh-CN" w:bidi="ar-SA"/>
              </w:rPr>
              <w:t>烘干，性状稳定，水分合适。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产污分析：该过程会产生上料废气G</w:t>
            </w:r>
            <w:r>
              <w:rPr>
                <w:rFonts w:hint="default" w:ascii="Times New Roman" w:hAnsi="Times New Roman" w:cs="Times New Roman"/>
                <w:bCs/>
                <w:color w:val="auto"/>
                <w:kern w:val="2"/>
                <w:sz w:val="24"/>
                <w:szCs w:val="24"/>
                <w:highlight w:val="none"/>
                <w:vertAlign w:val="subscript"/>
                <w:lang w:val="en-US" w:eastAsia="zh-CN" w:bidi="ar-SA"/>
              </w:rPr>
              <w:t>6</w:t>
            </w:r>
            <w:r>
              <w:rPr>
                <w:rFonts w:hint="default" w:ascii="Times New Roman" w:hAnsi="Times New Roman" w:cs="Times New Roman"/>
                <w:bCs/>
                <w:color w:val="auto"/>
                <w:kern w:val="2"/>
                <w:sz w:val="24"/>
                <w:szCs w:val="24"/>
                <w:highlight w:val="none"/>
                <w:lang w:val="en-US" w:eastAsia="zh-CN" w:bidi="ar-SA"/>
              </w:rPr>
              <w:t>、造粒废气G</w:t>
            </w:r>
            <w:r>
              <w:rPr>
                <w:rFonts w:hint="default" w:ascii="Times New Roman" w:hAnsi="Times New Roman" w:cs="Times New Roman"/>
                <w:bCs/>
                <w:color w:val="auto"/>
                <w:kern w:val="2"/>
                <w:sz w:val="24"/>
                <w:szCs w:val="24"/>
                <w:highlight w:val="none"/>
                <w:vertAlign w:val="subscript"/>
                <w:lang w:val="en-US" w:eastAsia="zh-CN" w:bidi="ar-SA"/>
              </w:rPr>
              <w:t>7</w:t>
            </w:r>
            <w:r>
              <w:rPr>
                <w:rFonts w:hint="default" w:ascii="Times New Roman" w:hAnsi="Times New Roman" w:cs="Times New Roman"/>
                <w:bCs/>
                <w:color w:val="auto"/>
                <w:kern w:val="2"/>
                <w:sz w:val="24"/>
                <w:szCs w:val="24"/>
                <w:highlight w:val="none"/>
                <w:lang w:val="en-US" w:eastAsia="zh-CN" w:bidi="ar-SA"/>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（6）冷却、筛分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bidi="ar-SA"/>
              </w:rPr>
              <w:t>造粒工序完成后，颗粒状有机肥料通过冷却机的上料皮带机输送至冷却机（</w:t>
            </w:r>
            <w:r>
              <w:rPr>
                <w:rFonts w:hint="default" w:ascii="Times New Roman" w:hAnsi="Times New Roman" w:cs="Times New Roman"/>
                <w:bCs/>
                <w:color w:val="auto"/>
                <w:kern w:val="2"/>
                <w:sz w:val="24"/>
                <w:szCs w:val="24"/>
                <w:highlight w:val="none"/>
                <w:lang w:val="en-US" w:eastAsia="zh-CN" w:bidi="ar-SA"/>
              </w:rPr>
              <w:t>带</w:t>
            </w:r>
            <w:r>
              <w:rPr>
                <w:rFonts w:hint="default" w:ascii="Times New Roman" w:hAnsi="Times New Roman" w:eastAsia="宋体" w:cs="Times New Roman"/>
                <w:bCs/>
                <w:color w:val="auto"/>
                <w:kern w:val="2"/>
                <w:sz w:val="24"/>
                <w:szCs w:val="24"/>
                <w:highlight w:val="none"/>
                <w:lang w:val="en-US" w:eastAsia="zh-CN" w:bidi="ar-SA"/>
              </w:rPr>
              <w:t>滚筛），在此进行冷却处理和二次筛分，确保颗粒的硬度和稳定性达到标准要求。冷却后的颗粒</w:t>
            </w:r>
            <w:r>
              <w:rPr>
                <w:rFonts w:hint="default" w:ascii="Times New Roman" w:hAnsi="Times New Roman" w:cs="Times New Roman"/>
                <w:bCs/>
                <w:color w:val="auto"/>
                <w:kern w:val="2"/>
                <w:sz w:val="24"/>
                <w:szCs w:val="24"/>
                <w:highlight w:val="none"/>
                <w:lang w:val="en-US" w:eastAsia="zh-CN" w:bidi="ar-SA"/>
              </w:rPr>
              <w:t>状</w:t>
            </w:r>
            <w:r>
              <w:rPr>
                <w:rFonts w:hint="default" w:ascii="Times New Roman" w:hAnsi="Times New Roman" w:eastAsia="宋体" w:cs="Times New Roman"/>
                <w:bCs/>
                <w:color w:val="auto"/>
                <w:kern w:val="2"/>
                <w:sz w:val="24"/>
                <w:szCs w:val="24"/>
                <w:highlight w:val="none"/>
                <w:lang w:val="en-US" w:eastAsia="zh-CN" w:bidi="ar-SA"/>
              </w:rPr>
              <w:t>有机肥料再</w:t>
            </w:r>
            <w:r>
              <w:rPr>
                <w:rFonts w:hint="default" w:ascii="Times New Roman" w:hAnsi="Times New Roman" w:cs="Times New Roman"/>
                <w:bCs/>
                <w:color w:val="auto"/>
                <w:kern w:val="2"/>
                <w:sz w:val="24"/>
                <w:szCs w:val="24"/>
                <w:highlight w:val="none"/>
                <w:lang w:val="en-US" w:eastAsia="zh-CN" w:bidi="ar-SA"/>
              </w:rPr>
              <w:t>经由皮带输送机送至</w:t>
            </w:r>
            <w:r>
              <w:rPr>
                <w:rFonts w:hint="default" w:ascii="Times New Roman" w:hAnsi="Times New Roman" w:eastAsia="宋体" w:cs="Times New Roman"/>
                <w:bCs/>
                <w:color w:val="auto"/>
                <w:kern w:val="2"/>
                <w:sz w:val="24"/>
                <w:szCs w:val="24"/>
                <w:highlight w:val="none"/>
                <w:lang w:val="en-US" w:eastAsia="zh-CN" w:bidi="ar-SA"/>
              </w:rPr>
              <w:t>成品缓存料仓</w:t>
            </w:r>
            <w:r>
              <w:rPr>
                <w:rFonts w:hint="default" w:ascii="Times New Roman" w:hAnsi="Times New Roman"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经过严格检验合格后，进行计量和包装，最终整齐码垛并入库，存放于成品库房中。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产污分析：该过程会产生冷却废气G</w:t>
            </w:r>
            <w:r>
              <w:rPr>
                <w:rFonts w:hint="default" w:ascii="Times New Roman" w:hAnsi="Times New Roman" w:cs="Times New Roman"/>
                <w:bCs/>
                <w:color w:val="auto"/>
                <w:sz w:val="24"/>
                <w:szCs w:val="24"/>
                <w:highlight w:val="none"/>
                <w:vertAlign w:val="subscript"/>
                <w:lang w:val="en-US" w:eastAsia="zh-CN"/>
              </w:rPr>
              <w:t>8</w:t>
            </w:r>
            <w:r>
              <w:rPr>
                <w:rFonts w:hint="default" w:ascii="Times New Roman" w:hAnsi="Times New Roman" w:cs="Times New Roman"/>
                <w:bCs/>
                <w:color w:val="auto"/>
                <w:sz w:val="24"/>
                <w:szCs w:val="24"/>
                <w:highlight w:val="none"/>
                <w:lang w:val="en-US" w:eastAsia="zh-CN"/>
              </w:rPr>
              <w:t>、二次筛分废气G</w:t>
            </w:r>
            <w:r>
              <w:rPr>
                <w:rFonts w:hint="default" w:ascii="Times New Roman" w:hAnsi="Times New Roman" w:cs="Times New Roman"/>
                <w:bCs/>
                <w:color w:val="auto"/>
                <w:sz w:val="24"/>
                <w:szCs w:val="24"/>
                <w:highlight w:val="none"/>
                <w:vertAlign w:val="subscript"/>
                <w:lang w:val="en-US" w:eastAsia="zh-CN"/>
              </w:rPr>
              <w:t>9</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10-2</w:t>
            </w:r>
            <w:r>
              <w:rPr>
                <w:rFonts w:hint="default" w:ascii="Times New Roman" w:hAnsi="Times New Roman" w:cs="Times New Roman"/>
                <w:bCs/>
                <w:color w:val="auto"/>
                <w:sz w:val="24"/>
                <w:szCs w:val="24"/>
                <w:highlight w:val="none"/>
                <w:vertAlign w:val="baseline"/>
                <w:lang w:val="en-US" w:eastAsia="zh-CN"/>
              </w:rPr>
              <w:t>、废包装材料S</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其他产污</w:t>
            </w:r>
            <w:r>
              <w:rPr>
                <w:rFonts w:hint="default" w:ascii="Times New Roman" w:hAnsi="Times New Roman" w:cs="Times New Roman"/>
                <w:bCs/>
                <w:color w:val="auto"/>
                <w:sz w:val="24"/>
                <w:szCs w:val="24"/>
                <w:highlight w:val="none"/>
                <w:lang w:val="en-US" w:eastAsia="zh-CN"/>
              </w:rPr>
              <w:t>分析</w:t>
            </w:r>
            <w:r>
              <w:rPr>
                <w:rFonts w:hint="default" w:ascii="Times New Roman" w:hAnsi="Times New Roman" w:cs="Times New Roman"/>
                <w:bCs/>
                <w:color w:val="auto"/>
                <w:sz w:val="24"/>
                <w:szCs w:val="24"/>
                <w:highlight w:val="none"/>
                <w:lang w:eastAsia="zh-CN"/>
              </w:rPr>
              <w:t>：生活污水</w:t>
            </w:r>
            <w:r>
              <w:rPr>
                <w:rFonts w:hint="default" w:ascii="Times New Roman" w:hAnsi="Times New Roman" w:cs="Times New Roman"/>
                <w:bCs/>
                <w:color w:val="auto"/>
                <w:sz w:val="24"/>
                <w:szCs w:val="24"/>
                <w:highlight w:val="none"/>
                <w:lang w:val="en-US" w:eastAsia="zh-CN"/>
              </w:rPr>
              <w:t>W</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eastAsia="zh-CN"/>
              </w:rPr>
              <w:t>除尘灰</w:t>
            </w:r>
            <w:r>
              <w:rPr>
                <w:rFonts w:hint="default" w:ascii="Times New Roman" w:hAnsi="Times New Roman" w:cs="Times New Roman"/>
                <w:bCs/>
                <w:color w:val="auto"/>
                <w:sz w:val="24"/>
                <w:szCs w:val="24"/>
                <w:highlight w:val="none"/>
                <w:lang w:val="en-US" w:eastAsia="zh-CN"/>
              </w:rPr>
              <w:t>S</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、生活垃圾S</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vertAlign w:val="baseline"/>
                <w:lang w:val="en-US" w:eastAsia="zh-CN"/>
              </w:rPr>
              <w:t>、</w:t>
            </w:r>
            <w:r>
              <w:rPr>
                <w:rFonts w:hint="default" w:ascii="Times New Roman" w:hAnsi="Times New Roman" w:cs="Times New Roman"/>
                <w:bCs/>
                <w:color w:val="auto"/>
                <w:sz w:val="24"/>
                <w:szCs w:val="24"/>
                <w:highlight w:val="none"/>
                <w:lang w:val="en-US" w:eastAsia="zh-CN"/>
              </w:rPr>
              <w:t>废机油S</w:t>
            </w:r>
            <w:r>
              <w:rPr>
                <w:rFonts w:hint="default" w:ascii="Times New Roman" w:hAnsi="Times New Roman" w:cs="Times New Roman"/>
                <w:bCs/>
                <w:color w:val="auto"/>
                <w:sz w:val="24"/>
                <w:szCs w:val="24"/>
                <w:highlight w:val="none"/>
                <w:vertAlign w:val="subscript"/>
                <w:lang w:val="en-US" w:eastAsia="zh-CN"/>
              </w:rPr>
              <w:t>4</w:t>
            </w:r>
            <w:r>
              <w:rPr>
                <w:rFonts w:hint="default" w:ascii="Times New Roman" w:hAnsi="Times New Roman" w:cs="Times New Roman"/>
                <w:bCs/>
                <w:color w:val="auto"/>
                <w:sz w:val="24"/>
                <w:szCs w:val="24"/>
                <w:highlight w:val="none"/>
                <w:lang w:val="en-US" w:eastAsia="zh-CN"/>
              </w:rPr>
              <w:t>、废机油桶S</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2、产污环节及污染物汇总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rPr>
              <w:t>本项目主要产污环节及污染物详见下表</w:t>
            </w:r>
            <w:r>
              <w:rPr>
                <w:rFonts w:hint="default" w:ascii="Times New Roman" w:hAnsi="Times New Roman" w:cs="Times New Roman"/>
                <w:bCs/>
                <w:color w:val="auto"/>
                <w:sz w:val="24"/>
                <w:szCs w:val="24"/>
                <w:highlight w:val="none"/>
                <w:lang w:val="en-US" w:eastAsia="zh-CN"/>
              </w:rPr>
              <w:t>2-9。</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表2-9  本项目主要产污工序及污染物</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775"/>
              <w:gridCol w:w="1278"/>
              <w:gridCol w:w="2174"/>
              <w:gridCol w:w="1639"/>
              <w:gridCol w:w="2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36"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污染类别</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产</w:t>
                  </w:r>
                  <w:r>
                    <w:rPr>
                      <w:rFonts w:hint="default" w:ascii="Times New Roman" w:hAnsi="Times New Roman" w:cs="Times New Roman"/>
                      <w:b/>
                      <w:bCs/>
                      <w:color w:val="auto"/>
                      <w:sz w:val="21"/>
                      <w:szCs w:val="21"/>
                      <w:lang w:val="en-US" w:eastAsia="zh-CN"/>
                    </w:rPr>
                    <w:t>污</w:t>
                  </w:r>
                  <w:r>
                    <w:rPr>
                      <w:rFonts w:hint="default" w:ascii="Times New Roman" w:hAnsi="Times New Roman" w:cs="Times New Roman"/>
                      <w:b/>
                      <w:bCs/>
                      <w:color w:val="auto"/>
                      <w:sz w:val="21"/>
                      <w:szCs w:val="21"/>
                      <w:lang w:eastAsia="zh-CN"/>
                    </w:rPr>
                    <w:t>环节</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混配废气G</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混合配料</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颗粒物、氨、硫化氢、臭气浓度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发酵废气G</w:t>
                  </w:r>
                  <w:r>
                    <w:rPr>
                      <w:rFonts w:hint="default" w:ascii="Times New Roman" w:hAnsi="Times New Roman" w:cs="Times New Roman"/>
                      <w:color w:val="auto"/>
                      <w:sz w:val="21"/>
                      <w:szCs w:val="21"/>
                      <w:vertAlign w:val="subscript"/>
                      <w:lang w:val="en-US" w:eastAsia="zh-CN"/>
                    </w:rPr>
                    <w:t>2</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w:t>
                  </w: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陈化废气G</w:t>
                  </w:r>
                  <w:r>
                    <w:rPr>
                      <w:rFonts w:hint="default" w:ascii="Times New Roman" w:hAnsi="Times New Roman" w:cs="Times New Roman"/>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陈化</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lang w:val="en-US" w:eastAsia="zh-CN"/>
                    </w:rPr>
                    <w:t>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粉碎废气G</w:t>
                  </w:r>
                  <w:r>
                    <w:rPr>
                      <w:rFonts w:hint="default" w:ascii="Times New Roman" w:hAnsi="Times New Roman" w:cs="Times New Roman"/>
                      <w:color w:val="auto"/>
                      <w:sz w:val="21"/>
                      <w:szCs w:val="21"/>
                      <w:vertAlign w:val="subscript"/>
                      <w:lang w:val="en-US" w:eastAsia="zh-CN"/>
                    </w:rPr>
                    <w:t>4</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3"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筛分废气G</w:t>
                  </w:r>
                  <w:r>
                    <w:rPr>
                      <w:rFonts w:hint="default" w:ascii="Times New Roman" w:hAnsi="Times New Roman" w:cs="Times New Roman"/>
                      <w:color w:val="auto"/>
                      <w:sz w:val="21"/>
                      <w:szCs w:val="21"/>
                      <w:vertAlign w:val="subscript"/>
                      <w:lang w:val="en-US" w:eastAsia="zh-CN"/>
                    </w:rPr>
                    <w:t>5</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上料废气G</w:t>
                  </w:r>
                  <w:r>
                    <w:rPr>
                      <w:rFonts w:hint="default" w:ascii="Times New Roman" w:hAnsi="Times New Roman" w:cs="Times New Roman"/>
                      <w:color w:val="auto"/>
                      <w:sz w:val="21"/>
                      <w:szCs w:val="21"/>
                      <w:vertAlign w:val="subscript"/>
                      <w:lang w:val="en-US" w:eastAsia="zh-CN"/>
                    </w:rPr>
                    <w:t>6</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上料</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vertAlign w:val="subscript"/>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造粒废气G</w:t>
                  </w:r>
                  <w:r>
                    <w:rPr>
                      <w:rFonts w:hint="default" w:ascii="Times New Roman" w:hAnsi="Times New Roman" w:cs="Times New Roman"/>
                      <w:color w:val="auto"/>
                      <w:sz w:val="21"/>
                      <w:szCs w:val="21"/>
                      <w:vertAlign w:val="subscript"/>
                      <w:lang w:val="en-US" w:eastAsia="zh-CN"/>
                    </w:rPr>
                    <w:t>7</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冷却废气G</w:t>
                  </w:r>
                  <w:r>
                    <w:rPr>
                      <w:rFonts w:hint="default" w:ascii="Times New Roman" w:hAnsi="Times New Roman" w:cs="Times New Roman"/>
                      <w:color w:val="auto"/>
                      <w:sz w:val="21"/>
                      <w:szCs w:val="21"/>
                      <w:vertAlign w:val="subscript"/>
                      <w:lang w:val="en-US" w:eastAsia="zh-CN"/>
                    </w:rPr>
                    <w:t>8</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二次筛分废气G</w:t>
                  </w:r>
                  <w:r>
                    <w:rPr>
                      <w:rFonts w:hint="default" w:ascii="Times New Roman" w:hAnsi="Times New Roman" w:cs="Times New Roman"/>
                      <w:color w:val="auto"/>
                      <w:sz w:val="21"/>
                      <w:szCs w:val="21"/>
                      <w:vertAlign w:val="subscript"/>
                      <w:lang w:val="en-US" w:eastAsia="zh-CN"/>
                    </w:rPr>
                    <w:t>9</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包装废气G</w:t>
                  </w:r>
                  <w:r>
                    <w:rPr>
                      <w:rFonts w:hint="default" w:ascii="Times New Roman" w:hAnsi="Times New Roman" w:cs="Times New Roman"/>
                      <w:color w:val="auto"/>
                      <w:sz w:val="21"/>
                      <w:szCs w:val="21"/>
                      <w:vertAlign w:val="subscript"/>
                      <w:lang w:val="en-US" w:eastAsia="zh-CN"/>
                    </w:rPr>
                    <w:t>10</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30"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COD、BOD、氨氮、</w:t>
                  </w:r>
                  <w:r>
                    <w:rPr>
                      <w:rFonts w:hint="default" w:ascii="Times New Roman" w:hAnsi="Times New Roman" w:cs="Times New Roman"/>
                      <w:bCs/>
                      <w:color w:val="auto"/>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一般工业固体废物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bCs/>
                      <w:color w:val="auto"/>
                      <w:sz w:val="21"/>
                      <w:szCs w:val="21"/>
                      <w:lang w:eastAsia="zh-CN"/>
                    </w:rPr>
                    <w:t>废包装材料</w:t>
                  </w:r>
                  <w:r>
                    <w:rPr>
                      <w:rFonts w:hint="default" w:ascii="Times New Roman" w:hAnsi="Times New Roman" w:cs="Times New Roman"/>
                      <w:bCs/>
                      <w:color w:val="auto"/>
                      <w:sz w:val="21"/>
                      <w:szCs w:val="21"/>
                      <w:lang w:val="en-US" w:eastAsia="zh-CN"/>
                    </w:rPr>
                    <w:t>S</w:t>
                  </w:r>
                  <w:r>
                    <w:rPr>
                      <w:rFonts w:hint="default" w:ascii="Times New Roman" w:hAnsi="Times New Roman" w:cs="Times New Roman"/>
                      <w:bCs/>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原辅料包装拆除、包装</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废包装材料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0"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除尘灰</w:t>
                  </w:r>
                  <w:r>
                    <w:rPr>
                      <w:rFonts w:hint="default" w:ascii="Times New Roman" w:hAnsi="Times New Roman" w:cs="Times New Roman"/>
                      <w:color w:val="auto"/>
                      <w:kern w:val="2"/>
                      <w:sz w:val="21"/>
                      <w:szCs w:val="21"/>
                      <w:lang w:val="en-US" w:eastAsia="zh-CN" w:bidi="ar-SA"/>
                    </w:rPr>
                    <w:t>S</w:t>
                  </w:r>
                  <w:r>
                    <w:rPr>
                      <w:rFonts w:hint="default" w:ascii="Times New Roman" w:hAnsi="Times New Roman" w:cs="Times New Roman"/>
                      <w:color w:val="auto"/>
                      <w:kern w:val="2"/>
                      <w:sz w:val="21"/>
                      <w:szCs w:val="21"/>
                      <w:vertAlign w:val="subscript"/>
                      <w:lang w:val="en-US" w:eastAsia="zh-CN" w:bidi="ar-SA"/>
                    </w:rPr>
                    <w:t>2</w:t>
                  </w:r>
                </w:p>
              </w:tc>
              <w:tc>
                <w:tcPr>
                  <w:tcW w:w="95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废气治理</w:t>
                  </w:r>
                </w:p>
              </w:tc>
              <w:tc>
                <w:tcPr>
                  <w:tcW w:w="158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收尘灰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生活垃圾S</w:t>
                  </w:r>
                  <w:r>
                    <w:rPr>
                      <w:rFonts w:hint="default" w:ascii="Times New Roman" w:hAnsi="Times New Roman" w:cs="Times New Roman"/>
                      <w:bCs/>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果皮、纸屑等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废机油S</w:t>
                  </w:r>
                  <w:r>
                    <w:rPr>
                      <w:rFonts w:hint="default" w:ascii="Times New Roman" w:hAnsi="Times New Roman" w:cs="Times New Roman"/>
                      <w:bCs/>
                      <w:color w:val="auto"/>
                      <w:sz w:val="21"/>
                      <w:szCs w:val="21"/>
                      <w:vertAlign w:val="subscript"/>
                      <w:lang w:val="en-US" w:eastAsia="zh-CN"/>
                    </w:rPr>
                    <w:t>4</w:t>
                  </w:r>
                </w:p>
              </w:tc>
              <w:tc>
                <w:tcPr>
                  <w:tcW w:w="95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设备维护</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油类物质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废机油桶S</w:t>
                  </w:r>
                  <w:r>
                    <w:rPr>
                      <w:rFonts w:hint="default" w:ascii="Times New Roman" w:hAnsi="Times New Roman" w:cs="Times New Roman"/>
                      <w:bCs/>
                      <w:color w:val="auto"/>
                      <w:sz w:val="21"/>
                      <w:szCs w:val="21"/>
                      <w:vertAlign w:val="subscript"/>
                      <w:lang w:val="en-US" w:eastAsia="zh-CN"/>
                    </w:rPr>
                    <w:t>5</w:t>
                  </w:r>
                </w:p>
              </w:tc>
              <w:tc>
                <w:tcPr>
                  <w:tcW w:w="95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43" w:hRule="atLeast"/>
                <w:jc w:val="center"/>
              </w:trPr>
              <w:tc>
                <w:tcPr>
                  <w:tcW w:w="2460" w:type="pct"/>
                  <w:gridSpan w:val="3"/>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设备运行</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r>
          </w:tbl>
          <w:p>
            <w:pPr>
              <w:adjustRightInd w:val="0"/>
              <w:snapToGrid w:val="0"/>
              <w:jc w:val="both"/>
              <w:rPr>
                <w:rFonts w:hint="default" w:ascii="Times New Roman" w:hAnsi="Times New Roman" w:cs="Times New Roman"/>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val="0"/>
                <w:color w:val="auto"/>
                <w:kern w:val="2"/>
                <w:sz w:val="24"/>
                <w:szCs w:val="24"/>
              </w:rPr>
              <w:t>与项目有关的原有环境污染问题</w:t>
            </w:r>
          </w:p>
        </w:tc>
        <w:tc>
          <w:tcPr>
            <w:tcW w:w="8524" w:type="dxa"/>
            <w:tcBorders>
              <w:tl2br w:val="nil"/>
              <w:tr2bl w:val="nil"/>
            </w:tcBorders>
            <w:noWrap w:val="0"/>
            <w:vAlign w:val="center"/>
          </w:tcPr>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本项目为新建项目，场地为宁夏延龄生态农业开发有限公司现有厂区内，项目建成后原料来自厂内自产鸡粪及周边养殖户，因此本次评价针对厂区现有工程基本情况进行分析。</w:t>
            </w:r>
          </w:p>
          <w:p>
            <w:pPr>
              <w:pStyle w:val="60"/>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一、现有工程履行环境影响评价、竣工环境保护验收、排污许可手续等情况</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cs="Times New Roman"/>
                <w:snapToGrid w:val="0"/>
                <w:color w:val="auto"/>
                <w:kern w:val="0"/>
                <w:sz w:val="24"/>
                <w:szCs w:val="32"/>
                <w:lang w:val="en-US" w:eastAsia="zh-CN"/>
              </w:rPr>
              <w:t>宁夏延龄生态农业开发有限公司</w:t>
            </w:r>
            <w:r>
              <w:rPr>
                <w:rFonts w:hint="default" w:ascii="Times New Roman" w:hAnsi="Times New Roman" w:eastAsia="宋体" w:cs="Times New Roman"/>
                <w:snapToGrid w:val="0"/>
                <w:color w:val="auto"/>
                <w:kern w:val="0"/>
                <w:sz w:val="24"/>
                <w:szCs w:val="32"/>
                <w:lang w:val="en-US" w:eastAsia="zh-CN"/>
              </w:rPr>
              <w:t>于</w:t>
            </w:r>
            <w:r>
              <w:rPr>
                <w:rFonts w:hint="default" w:ascii="Times New Roman" w:hAnsi="Times New Roman" w:cs="Times New Roman"/>
                <w:snapToGrid w:val="0"/>
                <w:color w:val="auto"/>
                <w:kern w:val="0"/>
                <w:sz w:val="24"/>
                <w:szCs w:val="32"/>
                <w:lang w:val="en-US" w:eastAsia="zh-CN"/>
              </w:rPr>
              <w:t>2017</w:t>
            </w:r>
            <w:r>
              <w:rPr>
                <w:rFonts w:hint="default" w:ascii="Times New Roman" w:hAnsi="Times New Roman" w:eastAsia="宋体" w:cs="Times New Roman"/>
                <w:snapToGrid w:val="0"/>
                <w:color w:val="auto"/>
                <w:kern w:val="0"/>
                <w:sz w:val="24"/>
                <w:szCs w:val="32"/>
                <w:lang w:val="en-US" w:eastAsia="zh-CN"/>
              </w:rPr>
              <w:t>年</w:t>
            </w:r>
            <w:r>
              <w:rPr>
                <w:rFonts w:hint="default" w:ascii="Times New Roman" w:hAnsi="Times New Roman" w:cs="Times New Roman"/>
                <w:snapToGrid w:val="0"/>
                <w:color w:val="auto"/>
                <w:kern w:val="0"/>
                <w:sz w:val="24"/>
                <w:szCs w:val="32"/>
                <w:lang w:val="en-US" w:eastAsia="zh-CN"/>
              </w:rPr>
              <w:t>3</w:t>
            </w:r>
            <w:r>
              <w:rPr>
                <w:rFonts w:hint="default" w:ascii="Times New Roman" w:hAnsi="Times New Roman" w:eastAsia="宋体" w:cs="Times New Roman"/>
                <w:snapToGrid w:val="0"/>
                <w:color w:val="auto"/>
                <w:kern w:val="0"/>
                <w:sz w:val="24"/>
                <w:szCs w:val="32"/>
                <w:lang w:val="en-US" w:eastAsia="zh-CN"/>
              </w:rPr>
              <w:t>月</w:t>
            </w:r>
            <w:r>
              <w:rPr>
                <w:rFonts w:hint="default" w:ascii="Times New Roman" w:hAnsi="Times New Roman" w:cs="Times New Roman"/>
                <w:snapToGrid w:val="0"/>
                <w:color w:val="auto"/>
                <w:kern w:val="0"/>
                <w:sz w:val="24"/>
                <w:szCs w:val="32"/>
                <w:lang w:val="en-US" w:eastAsia="zh-CN"/>
              </w:rPr>
              <w:t>28日</w:t>
            </w:r>
            <w:r>
              <w:rPr>
                <w:rFonts w:hint="default" w:ascii="Times New Roman" w:hAnsi="Times New Roman" w:eastAsia="宋体" w:cs="Times New Roman"/>
                <w:snapToGrid w:val="0"/>
                <w:color w:val="auto"/>
                <w:kern w:val="0"/>
                <w:sz w:val="24"/>
                <w:szCs w:val="32"/>
                <w:lang w:val="en-US" w:eastAsia="zh-CN"/>
              </w:rPr>
              <w:t>完成了“泾源县延岭山生态养殖专业合作社</w:t>
            </w:r>
            <w:r>
              <w:rPr>
                <w:rFonts w:hint="default" w:ascii="Times New Roman" w:hAnsi="Times New Roman" w:cs="Times New Roman"/>
                <w:snapToGrid w:val="0"/>
                <w:color w:val="auto"/>
                <w:kern w:val="0"/>
                <w:sz w:val="24"/>
                <w:szCs w:val="32"/>
                <w:lang w:val="en-US" w:eastAsia="zh-CN"/>
              </w:rPr>
              <w:t>项目</w:t>
            </w:r>
            <w:r>
              <w:rPr>
                <w:rFonts w:hint="default" w:ascii="Times New Roman" w:hAnsi="Times New Roman" w:eastAsia="宋体" w:cs="Times New Roman"/>
                <w:snapToGrid w:val="0"/>
                <w:color w:val="auto"/>
                <w:kern w:val="0"/>
                <w:sz w:val="24"/>
                <w:szCs w:val="32"/>
                <w:lang w:val="en-US" w:eastAsia="zh-CN"/>
              </w:rPr>
              <w:t>”的建设项目环境影响登记表（见附件</w:t>
            </w:r>
            <w:r>
              <w:rPr>
                <w:rFonts w:hint="default" w:ascii="Times New Roman" w:hAnsi="Times New Roman" w:cs="Times New Roman"/>
                <w:snapToGrid w:val="0"/>
                <w:color w:val="auto"/>
                <w:kern w:val="0"/>
                <w:sz w:val="24"/>
                <w:szCs w:val="32"/>
                <w:lang w:val="en-US" w:eastAsia="zh-CN"/>
              </w:rPr>
              <w:t>3</w:t>
            </w:r>
            <w:r>
              <w:rPr>
                <w:rFonts w:hint="default" w:ascii="Times New Roman" w:hAnsi="Times New Roman" w:eastAsia="宋体" w:cs="Times New Roman"/>
                <w:snapToGrid w:val="0"/>
                <w:color w:val="auto"/>
                <w:kern w:val="0"/>
                <w:sz w:val="24"/>
                <w:szCs w:val="32"/>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现有工程环保手续情况见表2-1</w:t>
            </w:r>
            <w:r>
              <w:rPr>
                <w:rFonts w:hint="default" w:ascii="Times New Roman" w:hAnsi="Times New Roman" w:cs="Times New Roman"/>
                <w:snapToGrid w:val="0"/>
                <w:color w:val="auto"/>
                <w:kern w:val="0"/>
                <w:sz w:val="24"/>
                <w:szCs w:val="32"/>
                <w:lang w:val="en-US" w:eastAsia="zh-CN"/>
              </w:rPr>
              <w:t>0</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表2-10  现有工程项目环保手续情况表</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2227"/>
              <w:gridCol w:w="763"/>
              <w:gridCol w:w="2106"/>
              <w:gridCol w:w="774"/>
              <w:gridCol w:w="2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6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序号</w:t>
                  </w:r>
                </w:p>
              </w:tc>
              <w:tc>
                <w:tcPr>
                  <w:tcW w:w="129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项目名称</w:t>
                  </w:r>
                </w:p>
              </w:tc>
              <w:tc>
                <w:tcPr>
                  <w:tcW w:w="44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环评类别</w:t>
                  </w:r>
                </w:p>
              </w:tc>
              <w:tc>
                <w:tcPr>
                  <w:tcW w:w="122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环评批复情况</w:t>
                  </w:r>
                </w:p>
              </w:tc>
              <w:tc>
                <w:tcPr>
                  <w:tcW w:w="4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验收情况</w:t>
                  </w:r>
                </w:p>
              </w:tc>
              <w:tc>
                <w:tcPr>
                  <w:tcW w:w="130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1</w:t>
                  </w:r>
                </w:p>
              </w:tc>
              <w:tc>
                <w:tcPr>
                  <w:tcW w:w="129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val="en-US" w:eastAsia="zh-CN"/>
                    </w:rPr>
                    <w:t>泾源县延岭山生态养殖专业合作社</w:t>
                  </w:r>
                </w:p>
              </w:tc>
              <w:tc>
                <w:tcPr>
                  <w:tcW w:w="44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登记表</w:t>
                  </w:r>
                </w:p>
              </w:tc>
              <w:tc>
                <w:tcPr>
                  <w:tcW w:w="122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eastAsia="zh-CN"/>
                    </w:rPr>
                    <w:t>登记备案号：</w:t>
                  </w:r>
                  <w:r>
                    <w:rPr>
                      <w:rFonts w:hint="default" w:ascii="Times New Roman" w:hAnsi="Times New Roman" w:cs="Times New Roman"/>
                      <w:b w:val="0"/>
                      <w:bCs w:val="0"/>
                      <w:color w:val="auto"/>
                      <w:kern w:val="0"/>
                      <w:sz w:val="21"/>
                      <w:szCs w:val="21"/>
                      <w:lang w:val="en-US" w:eastAsia="zh-CN"/>
                    </w:rPr>
                    <w:t>201764042400000001</w:t>
                  </w:r>
                </w:p>
              </w:tc>
              <w:tc>
                <w:tcPr>
                  <w:tcW w:w="4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w:t>
                  </w:r>
                </w:p>
              </w:tc>
              <w:tc>
                <w:tcPr>
                  <w:tcW w:w="130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饲养蛋鸡10万只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00" w:type="pct"/>
                  <w:gridSpan w:val="6"/>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排污许可为登记管理，登记编号：91640424MA75YE454T002Y；有效期：2020年11月03日至2025年11月02日</w:t>
                  </w:r>
                </w:p>
              </w:tc>
            </w:tr>
          </w:tbl>
          <w:p>
            <w:pPr>
              <w:pStyle w:val="60"/>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二、现有工程污染物实际排放总量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1、废气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w:t>
            </w:r>
            <w:r>
              <w:rPr>
                <w:rFonts w:hint="default" w:ascii="Times New Roman" w:hAnsi="Times New Roman" w:cs="Times New Roman"/>
                <w:b w:val="0"/>
                <w:bCs w:val="0"/>
                <w:snapToGrid w:val="0"/>
                <w:color w:val="auto"/>
                <w:kern w:val="0"/>
                <w:sz w:val="24"/>
                <w:szCs w:val="32"/>
                <w:lang w:val="en-US" w:eastAsia="zh-CN"/>
              </w:rPr>
              <w:t>现有工程项目为建设项目环境影响登记表，未对各污染物排放量进行理论核算，且各环节废气均以无组织形式排放，本次现有工程废气采用产排污系数法进行核算。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根据建设单位提供的资料，现有工程饲养蛋鸡共10万只，废气主要为鸡舍恶臭及堆肥发酵废气。</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1、鸡舍恶臭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依据</w:t>
            </w:r>
            <w:r>
              <w:rPr>
                <w:rFonts w:hint="default" w:ascii="Times New Roman" w:hAnsi="Times New Roman" w:eastAsia="宋体" w:cs="Times New Roman"/>
                <w:color w:val="auto"/>
                <w:sz w:val="24"/>
                <w:szCs w:val="24"/>
                <w:lang w:val="en-US" w:eastAsia="zh-CN"/>
              </w:rPr>
              <w:t>《排污许可证申请与核发技术规范 畜禽养殖行业》(HJ1029-2019)表9，</w:t>
            </w:r>
            <w:r>
              <w:rPr>
                <w:rFonts w:hint="default" w:ascii="Times New Roman" w:hAnsi="Times New Roman" w:cs="Times New Roman"/>
                <w:color w:val="auto"/>
                <w:sz w:val="24"/>
                <w:szCs w:val="24"/>
                <w:lang w:val="en-US" w:eastAsia="zh-CN"/>
              </w:rPr>
              <w:t>蛋鸡</w:t>
            </w:r>
            <w:r>
              <w:rPr>
                <w:rFonts w:hint="default" w:ascii="Times New Roman" w:hAnsi="Times New Roman" w:eastAsia="宋体" w:cs="Times New Roman"/>
                <w:color w:val="auto"/>
                <w:sz w:val="24"/>
                <w:szCs w:val="24"/>
                <w:lang w:val="en-US" w:eastAsia="zh-CN"/>
              </w:rPr>
              <w:t>中含氮量为</w:t>
            </w:r>
            <w:r>
              <w:rPr>
                <w:rFonts w:hint="default" w:ascii="Times New Roman" w:hAnsi="Times New Roman"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g/d·</w:t>
            </w:r>
            <w:r>
              <w:rPr>
                <w:rFonts w:hint="default" w:ascii="Times New Roman" w:hAnsi="Times New Roman" w:cs="Times New Roman"/>
                <w:color w:val="auto"/>
                <w:sz w:val="24"/>
                <w:szCs w:val="24"/>
                <w:lang w:val="en-US" w:eastAsia="zh-CN"/>
              </w:rPr>
              <w:t>只，</w:t>
            </w:r>
            <w:r>
              <w:rPr>
                <w:rFonts w:hint="default" w:ascii="Times New Roman" w:hAnsi="Times New Roman" w:eastAsia="宋体" w:cs="Times New Roman"/>
                <w:color w:val="auto"/>
                <w:sz w:val="24"/>
                <w:szCs w:val="24"/>
                <w:lang w:val="en-US" w:eastAsia="zh-CN"/>
              </w:rPr>
              <w:t>则</w:t>
            </w:r>
            <w:r>
              <w:rPr>
                <w:rFonts w:hint="default" w:ascii="Times New Roman" w:hAnsi="Times New Roman" w:cs="Times New Roman"/>
                <w:color w:val="auto"/>
                <w:sz w:val="24"/>
                <w:szCs w:val="24"/>
                <w:lang w:val="en-US" w:eastAsia="zh-CN"/>
              </w:rPr>
              <w:t>鸡粪中</w:t>
            </w:r>
            <w:r>
              <w:rPr>
                <w:rFonts w:hint="default" w:ascii="Times New Roman" w:hAnsi="Times New Roman" w:eastAsia="宋体" w:cs="Times New Roman"/>
                <w:color w:val="auto"/>
                <w:sz w:val="24"/>
                <w:szCs w:val="24"/>
                <w:lang w:val="en-US" w:eastAsia="zh-CN"/>
              </w:rPr>
              <w:t>含氮量为</w:t>
            </w:r>
            <w:r>
              <w:rPr>
                <w:rFonts w:hint="default" w:ascii="Times New Roman" w:hAnsi="Times New Roman" w:cs="Times New Roman"/>
                <w:color w:val="auto"/>
                <w:sz w:val="24"/>
                <w:szCs w:val="24"/>
                <w:lang w:val="en-US" w:eastAsia="zh-CN"/>
              </w:rPr>
              <w:t>43.8</w:t>
            </w:r>
            <w:r>
              <w:rPr>
                <w:rFonts w:hint="default" w:ascii="Times New Roman" w:hAnsi="Times New Roman" w:eastAsia="宋体" w:cs="Times New Roman"/>
                <w:color w:val="auto"/>
                <w:sz w:val="24"/>
                <w:szCs w:val="24"/>
                <w:lang w:val="en-US" w:eastAsia="zh-CN"/>
              </w:rPr>
              <w:t>t/a。根据《畜禽场环境评价》（刘成国主编，中国标准出版社）和《农业污染源产排污系数手册》（2009年2月，中国农业科学院农业环境与可持续发展研究所和</w:t>
            </w:r>
            <w:r>
              <w:rPr>
                <w:rFonts w:hint="default" w:cs="Times New Roman"/>
                <w:color w:val="auto"/>
                <w:sz w:val="24"/>
                <w:szCs w:val="24"/>
                <w:lang w:val="en" w:eastAsia="zh-CN"/>
              </w:rPr>
              <w:t>生态环境部</w:t>
            </w:r>
            <w:r>
              <w:rPr>
                <w:rFonts w:hint="default" w:ascii="Times New Roman" w:hAnsi="Times New Roman" w:eastAsia="宋体" w:cs="Times New Roman"/>
                <w:color w:val="auto"/>
                <w:sz w:val="24"/>
                <w:szCs w:val="24"/>
                <w:lang w:val="en-US" w:eastAsia="zh-CN"/>
              </w:rPr>
              <w:t>南京环境科学研究所）中相关介绍，鸡粪中氮的挥发量约占总氮量的10%，其中NH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占挥发氮的25%，硫化氢含量约为NH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含量的10%。则NH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产生量</w:t>
            </w:r>
            <w:r>
              <w:rPr>
                <w:rFonts w:hint="default" w:ascii="Times New Roman" w:hAnsi="Times New Roman" w:eastAsia="宋体" w:cs="Times New Roman"/>
                <w:color w:val="auto"/>
                <w:sz w:val="24"/>
                <w:szCs w:val="24"/>
                <w:lang w:val="en-US" w:eastAsia="zh-CN"/>
              </w:rPr>
              <w:t>为1.</w:t>
            </w:r>
            <w:r>
              <w:rPr>
                <w:rFonts w:hint="default" w:ascii="Times New Roman" w:hAnsi="Times New Roman" w:cs="Times New Roman"/>
                <w:color w:val="auto"/>
                <w:sz w:val="24"/>
                <w:szCs w:val="24"/>
                <w:lang w:val="en-US" w:eastAsia="zh-CN"/>
              </w:rPr>
              <w:t>095</w:t>
            </w:r>
            <w:r>
              <w:rPr>
                <w:rFonts w:hint="default" w:ascii="Times New Roman" w:hAnsi="Times New Roman" w:eastAsia="宋体" w:cs="Times New Roman"/>
                <w:color w:val="auto"/>
                <w:sz w:val="24"/>
                <w:szCs w:val="24"/>
                <w:lang w:val="en-US" w:eastAsia="zh-CN"/>
              </w:rPr>
              <w:t>t/a，H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S产生量为0.1</w:t>
            </w:r>
            <w:r>
              <w:rPr>
                <w:rFonts w:hint="default" w:ascii="Times New Roman" w:hAnsi="Times New Roman" w:cs="Times New Roman"/>
                <w:color w:val="auto"/>
                <w:sz w:val="24"/>
                <w:szCs w:val="24"/>
                <w:lang w:val="en-US" w:eastAsia="zh-CN"/>
              </w:rPr>
              <w:t>095</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通过定期消毒、鸡粪采用干法清粪工艺等措施处理后，除臭效率为80%，则鸡舍恶臭污染物中NH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排放量为0.219t/a，H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S排放量为0.0219t/a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2、堆肥发酵废气</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现有工程鸡舍内鸡粪经干清粪工艺收集后运送至粪污暂存区</w:t>
            </w:r>
            <w:r>
              <w:rPr>
                <w:rFonts w:hint="default" w:ascii="Times New Roman" w:hAnsi="Times New Roman" w:cs="Times New Roman"/>
                <w:color w:val="auto"/>
                <w:sz w:val="24"/>
                <w:szCs w:val="24"/>
                <w:lang w:val="en-US" w:eastAsia="zh-CN"/>
              </w:rPr>
              <w:t>进行堆肥发酵</w:t>
            </w:r>
            <w:r>
              <w:rPr>
                <w:rFonts w:hint="default" w:ascii="Times New Roman" w:hAnsi="Times New Roman" w:eastAsia="宋体" w:cs="Times New Roman"/>
                <w:color w:val="auto"/>
                <w:sz w:val="24"/>
                <w:szCs w:val="24"/>
                <w:lang w:val="en-US" w:eastAsia="zh-CN"/>
              </w:rPr>
              <w:t>，根据《畜禽场环境评价》（刘成国主编，中国标准出版社）和《农业污染源产排污系统手册》（2009年2月，中国农业科学院农业环境与可持续发展研究所和</w:t>
            </w:r>
            <w:r>
              <w:rPr>
                <w:rFonts w:hint="default" w:cs="Times New Roman"/>
                <w:color w:val="auto"/>
                <w:sz w:val="24"/>
                <w:szCs w:val="24"/>
                <w:lang w:val="en" w:eastAsia="zh-CN"/>
              </w:rPr>
              <w:t>生态环境部</w:t>
            </w:r>
            <w:r>
              <w:rPr>
                <w:rFonts w:hint="default" w:ascii="Times New Roman" w:hAnsi="Times New Roman" w:eastAsia="宋体" w:cs="Times New Roman"/>
                <w:color w:val="auto"/>
                <w:sz w:val="24"/>
                <w:szCs w:val="24"/>
                <w:lang w:val="en-US" w:eastAsia="zh-CN"/>
              </w:rPr>
              <w:t>南京环境科学研究所编写）中的数据，产蛋鸡鸡粪中TN含量为9666.7mg/kg，</w:t>
            </w:r>
            <w:r>
              <w:rPr>
                <w:rFonts w:hint="default" w:ascii="Times New Roman" w:hAnsi="Times New Roman" w:cs="Times New Roman"/>
                <w:color w:val="auto"/>
                <w:sz w:val="24"/>
                <w:szCs w:val="24"/>
                <w:lang w:val="en-US" w:eastAsia="zh-CN"/>
              </w:rPr>
              <w:t>现有工程</w:t>
            </w:r>
            <w:r>
              <w:rPr>
                <w:rFonts w:hint="default" w:ascii="Times New Roman" w:hAnsi="Times New Roman" w:eastAsia="宋体" w:cs="Times New Roman"/>
                <w:color w:val="auto"/>
                <w:sz w:val="24"/>
                <w:szCs w:val="24"/>
                <w:lang w:val="en-US" w:eastAsia="zh-CN"/>
              </w:rPr>
              <w:t>鸡粪产生总量为</w:t>
            </w:r>
            <w:r>
              <w:rPr>
                <w:rFonts w:hint="default" w:ascii="Times New Roman" w:hAnsi="Times New Roman" w:cs="Times New Roman"/>
                <w:color w:val="auto"/>
                <w:sz w:val="24"/>
                <w:szCs w:val="24"/>
                <w:lang w:val="en-US" w:eastAsia="zh-CN"/>
              </w:rPr>
              <w:t>4.745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则</w:t>
            </w:r>
            <w:r>
              <w:rPr>
                <w:rFonts w:hint="default" w:ascii="Times New Roman" w:hAnsi="Times New Roman" w:eastAsia="宋体" w:cs="Times New Roman"/>
                <w:color w:val="auto"/>
                <w:sz w:val="24"/>
                <w:szCs w:val="24"/>
                <w:lang w:val="en-US" w:eastAsia="zh-CN"/>
              </w:rPr>
              <w:t>TN产生量</w:t>
            </w:r>
            <w:r>
              <w:rPr>
                <w:rFonts w:hint="default" w:ascii="Times New Roman" w:hAnsi="Times New Roman" w:cs="Times New Roman"/>
                <w:color w:val="auto"/>
                <w:sz w:val="24"/>
                <w:szCs w:val="24"/>
                <w:lang w:val="en-US" w:eastAsia="zh-CN"/>
              </w:rPr>
              <w:t>0.046</w:t>
            </w:r>
            <w:r>
              <w:rPr>
                <w:rFonts w:hint="default" w:ascii="Times New Roman" w:hAnsi="Times New Roman" w:eastAsia="宋体" w:cs="Times New Roman"/>
                <w:color w:val="auto"/>
                <w:sz w:val="24"/>
                <w:szCs w:val="24"/>
                <w:lang w:val="en-US" w:eastAsia="zh-CN"/>
              </w:rPr>
              <w:t>t/a。通过类比</w:t>
            </w:r>
            <w:r>
              <w:rPr>
                <w:rFonts w:hint="default" w:ascii="Times New Roman" w:hAnsi="Times New Roman" w:cs="Times New Roman"/>
                <w:color w:val="auto"/>
                <w:sz w:val="24"/>
                <w:szCs w:val="24"/>
                <w:lang w:val="en-US" w:eastAsia="zh-CN"/>
              </w:rPr>
              <w:t>同类型项目</w:t>
            </w:r>
            <w:r>
              <w:rPr>
                <w:rFonts w:hint="default" w:ascii="Times New Roman" w:hAnsi="Times New Roman" w:eastAsia="宋体" w:cs="Times New Roman"/>
                <w:color w:val="auto"/>
                <w:sz w:val="24"/>
                <w:szCs w:val="24"/>
                <w:lang w:val="en-US" w:eastAsia="zh-CN"/>
              </w:rPr>
              <w:t>可知，氮挥发量约占总量的1%，其中NH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占氮挥发量总量的10%，H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S含量约为NH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的10%，则蛋鸡场恶臭废气中NH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S的产生量分别为</w:t>
            </w:r>
            <w:r>
              <w:rPr>
                <w:rFonts w:hint="default" w:ascii="Times New Roman" w:hAnsi="Times New Roman" w:cs="Times New Roman"/>
                <w:color w:val="auto"/>
                <w:sz w:val="24"/>
                <w:szCs w:val="24"/>
                <w:lang w:val="en-US" w:eastAsia="zh-CN"/>
              </w:rPr>
              <w:t>0.0046</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0.00046</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，以无组织形式排放。</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废水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根据现场调查，现有工程废水主要</w:t>
            </w:r>
            <w:r>
              <w:rPr>
                <w:rFonts w:hint="default" w:ascii="Times New Roman" w:hAnsi="Times New Roman" w:cs="Times New Roman"/>
                <w:b w:val="0"/>
                <w:bCs w:val="0"/>
                <w:snapToGrid w:val="0"/>
                <w:color w:val="auto"/>
                <w:kern w:val="0"/>
                <w:sz w:val="24"/>
                <w:szCs w:val="32"/>
                <w:lang w:val="en-US" w:eastAsia="zh-CN"/>
              </w:rPr>
              <w:t>为</w:t>
            </w:r>
            <w:r>
              <w:rPr>
                <w:rFonts w:hint="default" w:ascii="Times New Roman" w:hAnsi="Times New Roman" w:eastAsia="宋体" w:cs="Times New Roman"/>
                <w:b w:val="0"/>
                <w:bCs w:val="0"/>
                <w:snapToGrid w:val="0"/>
                <w:color w:val="auto"/>
                <w:kern w:val="0"/>
                <w:sz w:val="24"/>
                <w:szCs w:val="32"/>
                <w:lang w:val="en-US" w:eastAsia="zh-CN"/>
              </w:rPr>
              <w:t>员工生活污水，现有职工</w:t>
            </w:r>
            <w:r>
              <w:rPr>
                <w:rFonts w:hint="default" w:ascii="Times New Roman" w:hAnsi="Times New Roman" w:cs="Times New Roman"/>
                <w:b w:val="0"/>
                <w:bCs w:val="0"/>
                <w:snapToGrid w:val="0"/>
                <w:color w:val="auto"/>
                <w:kern w:val="0"/>
                <w:sz w:val="24"/>
                <w:szCs w:val="32"/>
                <w:lang w:val="en-US" w:eastAsia="zh-CN"/>
              </w:rPr>
              <w:t>23</w:t>
            </w:r>
            <w:r>
              <w:rPr>
                <w:rFonts w:hint="default" w:ascii="Times New Roman" w:hAnsi="Times New Roman" w:eastAsia="宋体" w:cs="Times New Roman"/>
                <w:b w:val="0"/>
                <w:bCs w:val="0"/>
                <w:snapToGrid w:val="0"/>
                <w:color w:val="auto"/>
                <w:kern w:val="0"/>
                <w:sz w:val="24"/>
                <w:szCs w:val="32"/>
                <w:lang w:val="en-US" w:eastAsia="zh-CN"/>
              </w:rPr>
              <w:t>人，生活污水产生量约</w:t>
            </w:r>
            <w:r>
              <w:rPr>
                <w:rFonts w:hint="default" w:ascii="Times New Roman" w:hAnsi="Times New Roman" w:cs="Times New Roman"/>
                <w:b w:val="0"/>
                <w:bCs w:val="0"/>
                <w:snapToGrid w:val="0"/>
                <w:color w:val="auto"/>
                <w:kern w:val="0"/>
                <w:sz w:val="24"/>
                <w:szCs w:val="32"/>
                <w:lang w:val="en-US" w:eastAsia="zh-CN"/>
              </w:rPr>
              <w:t>455.4</w:t>
            </w:r>
            <w:r>
              <w:rPr>
                <w:rFonts w:hint="default" w:ascii="Times New Roman" w:hAnsi="Times New Roman" w:eastAsia="宋体" w:cs="Times New Roman"/>
                <w:b w:val="0"/>
                <w:bCs w:val="0"/>
                <w:snapToGrid w:val="0"/>
                <w:color w:val="auto"/>
                <w:kern w:val="0"/>
                <w:sz w:val="24"/>
                <w:szCs w:val="32"/>
                <w:lang w:val="en-US" w:eastAsia="zh-CN"/>
              </w:rPr>
              <w:t>m³/a，</w:t>
            </w:r>
            <w:r>
              <w:rPr>
                <w:rFonts w:hint="default" w:ascii="Times New Roman" w:hAnsi="Times New Roman" w:cs="Times New Roman"/>
                <w:b w:val="0"/>
                <w:bCs w:val="0"/>
                <w:snapToGrid w:val="0"/>
                <w:color w:val="auto"/>
                <w:kern w:val="0"/>
                <w:sz w:val="24"/>
                <w:szCs w:val="32"/>
                <w:lang w:val="en-US" w:eastAsia="zh-CN"/>
              </w:rPr>
              <w:t>经化粪池（8m³）处理后，交由新民乡污水处理公司统一拉运处置。</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3、</w:t>
            </w:r>
            <w:r>
              <w:rPr>
                <w:rFonts w:hint="default" w:ascii="Times New Roman" w:hAnsi="Times New Roman" w:eastAsia="宋体" w:cs="Times New Roman"/>
                <w:b w:val="0"/>
                <w:bCs w:val="0"/>
                <w:snapToGrid w:val="0"/>
                <w:color w:val="auto"/>
                <w:kern w:val="0"/>
                <w:sz w:val="24"/>
                <w:szCs w:val="32"/>
                <w:lang w:val="en-US" w:eastAsia="zh-CN"/>
              </w:rPr>
              <w:t>固体废物</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根据现场调查，现有工程固体废物</w:t>
            </w:r>
            <w:r>
              <w:rPr>
                <w:rFonts w:hint="default" w:ascii="Times New Roman" w:hAnsi="Times New Roman" w:cs="Times New Roman"/>
                <w:b w:val="0"/>
                <w:bCs w:val="0"/>
                <w:snapToGrid w:val="0"/>
                <w:color w:val="auto"/>
                <w:kern w:val="0"/>
                <w:sz w:val="24"/>
                <w:szCs w:val="32"/>
                <w:lang w:val="en-US" w:eastAsia="zh-CN"/>
              </w:rPr>
              <w:t>主要</w:t>
            </w:r>
            <w:r>
              <w:rPr>
                <w:rFonts w:hint="default" w:ascii="Times New Roman" w:hAnsi="Times New Roman" w:eastAsia="宋体" w:cs="Times New Roman"/>
                <w:b w:val="0"/>
                <w:bCs w:val="0"/>
                <w:snapToGrid w:val="0"/>
                <w:color w:val="auto"/>
                <w:kern w:val="0"/>
                <w:sz w:val="24"/>
                <w:szCs w:val="32"/>
                <w:lang w:val="en-US" w:eastAsia="zh-CN"/>
              </w:rPr>
              <w:t>为</w:t>
            </w:r>
            <w:r>
              <w:rPr>
                <w:rFonts w:hint="default" w:ascii="Times New Roman" w:hAnsi="Times New Roman" w:cs="Times New Roman"/>
                <w:b w:val="0"/>
                <w:bCs w:val="0"/>
                <w:snapToGrid w:val="0"/>
                <w:color w:val="auto"/>
                <w:kern w:val="0"/>
                <w:sz w:val="24"/>
                <w:szCs w:val="32"/>
                <w:lang w:val="en-US" w:eastAsia="zh-CN"/>
              </w:rPr>
              <w:t>鸡粪及</w:t>
            </w:r>
            <w:r>
              <w:rPr>
                <w:rFonts w:hint="default" w:ascii="Times New Roman" w:hAnsi="Times New Roman" w:eastAsia="宋体" w:cs="Times New Roman"/>
                <w:b w:val="0"/>
                <w:bCs w:val="0"/>
                <w:snapToGrid w:val="0"/>
                <w:color w:val="auto"/>
                <w:kern w:val="0"/>
                <w:sz w:val="24"/>
                <w:szCs w:val="32"/>
                <w:lang w:val="en-US" w:eastAsia="zh-CN"/>
              </w:rPr>
              <w:t>生活垃圾</w:t>
            </w:r>
            <w:r>
              <w:rPr>
                <w:rFonts w:hint="default" w:ascii="Times New Roman" w:hAnsi="Times New Roman" w:cs="Times New Roman"/>
                <w:b w:val="0"/>
                <w:bCs w:val="0"/>
                <w:snapToGrid w:val="0"/>
                <w:color w:val="auto"/>
                <w:kern w:val="0"/>
                <w:sz w:val="24"/>
                <w:szCs w:val="32"/>
                <w:lang w:val="en-US" w:eastAsia="zh-CN"/>
              </w:rPr>
              <w:t>，</w:t>
            </w:r>
            <w:r>
              <w:rPr>
                <w:rFonts w:hint="default" w:ascii="Times New Roman" w:hAnsi="Times New Roman" w:eastAsia="宋体" w:cs="Times New Roman"/>
                <w:b w:val="0"/>
                <w:bCs w:val="0"/>
                <w:snapToGrid w:val="0"/>
                <w:color w:val="auto"/>
                <w:kern w:val="0"/>
                <w:sz w:val="24"/>
                <w:szCs w:val="32"/>
                <w:lang w:val="en-US" w:eastAsia="zh-CN"/>
              </w:rPr>
              <w:t>其中</w:t>
            </w:r>
            <w:r>
              <w:rPr>
                <w:rFonts w:hint="default" w:ascii="Times New Roman" w:hAnsi="Times New Roman" w:cs="Times New Roman"/>
                <w:b w:val="0"/>
                <w:bCs w:val="0"/>
                <w:snapToGrid w:val="0"/>
                <w:color w:val="auto"/>
                <w:kern w:val="0"/>
                <w:sz w:val="24"/>
                <w:szCs w:val="32"/>
                <w:lang w:val="en-US" w:eastAsia="zh-CN"/>
              </w:rPr>
              <w:t>鸡粪</w:t>
            </w:r>
            <w:r>
              <w:rPr>
                <w:rFonts w:hint="default" w:ascii="Times New Roman" w:hAnsi="Times New Roman" w:eastAsia="宋体" w:cs="Times New Roman"/>
                <w:b w:val="0"/>
                <w:bCs w:val="0"/>
                <w:snapToGrid w:val="0"/>
                <w:color w:val="auto"/>
                <w:kern w:val="0"/>
                <w:sz w:val="24"/>
                <w:szCs w:val="32"/>
                <w:lang w:val="en-US" w:eastAsia="zh-CN"/>
              </w:rPr>
              <w:t>产生量为</w:t>
            </w:r>
            <w:r>
              <w:rPr>
                <w:rFonts w:hint="default" w:ascii="Times New Roman" w:hAnsi="Times New Roman" w:cs="Times New Roman"/>
                <w:b w:val="0"/>
                <w:bCs w:val="0"/>
                <w:snapToGrid w:val="0"/>
                <w:color w:val="auto"/>
                <w:kern w:val="0"/>
                <w:sz w:val="24"/>
                <w:szCs w:val="32"/>
                <w:lang w:val="en-US" w:eastAsia="zh-CN"/>
              </w:rPr>
              <w:t>4.745</w:t>
            </w:r>
            <w:r>
              <w:rPr>
                <w:rFonts w:hint="default" w:ascii="Times New Roman" w:hAnsi="Times New Roman" w:eastAsia="宋体" w:cs="Times New Roman"/>
                <w:b w:val="0"/>
                <w:bCs w:val="0"/>
                <w:snapToGrid w:val="0"/>
                <w:color w:val="auto"/>
                <w:kern w:val="0"/>
                <w:sz w:val="24"/>
                <w:szCs w:val="32"/>
                <w:lang w:val="en-US" w:eastAsia="zh-CN"/>
              </w:rPr>
              <w:t>t/a，经收集后</w:t>
            </w:r>
            <w:r>
              <w:rPr>
                <w:rFonts w:hint="default" w:ascii="Times New Roman" w:hAnsi="Times New Roman" w:cs="Times New Roman"/>
                <w:b w:val="0"/>
                <w:bCs w:val="0"/>
                <w:snapToGrid w:val="0"/>
                <w:color w:val="auto"/>
                <w:kern w:val="0"/>
                <w:sz w:val="24"/>
                <w:szCs w:val="32"/>
                <w:lang w:val="en-US" w:eastAsia="zh-CN"/>
              </w:rPr>
              <w:t>用于生产有机肥</w:t>
            </w:r>
            <w:r>
              <w:rPr>
                <w:rFonts w:hint="default" w:ascii="Times New Roman" w:hAnsi="Times New Roman" w:eastAsia="宋体" w:cs="Times New Roman"/>
                <w:b w:val="0"/>
                <w:bCs w:val="0"/>
                <w:snapToGrid w:val="0"/>
                <w:color w:val="auto"/>
                <w:kern w:val="0"/>
                <w:sz w:val="24"/>
                <w:szCs w:val="32"/>
                <w:lang w:val="en-US" w:eastAsia="zh-CN"/>
              </w:rPr>
              <w:t>；生活垃圾产生量为</w:t>
            </w:r>
            <w:r>
              <w:rPr>
                <w:rFonts w:hint="default" w:ascii="Times New Roman" w:hAnsi="Times New Roman" w:cs="Times New Roman"/>
                <w:b w:val="0"/>
                <w:bCs w:val="0"/>
                <w:snapToGrid w:val="0"/>
                <w:color w:val="auto"/>
                <w:kern w:val="0"/>
                <w:sz w:val="24"/>
                <w:szCs w:val="32"/>
                <w:lang w:val="en-US" w:eastAsia="zh-CN"/>
              </w:rPr>
              <w:t>3.795</w:t>
            </w:r>
            <w:r>
              <w:rPr>
                <w:rFonts w:hint="default" w:ascii="Times New Roman" w:hAnsi="Times New Roman" w:eastAsia="宋体" w:cs="Times New Roman"/>
                <w:b w:val="0"/>
                <w:bCs w:val="0"/>
                <w:snapToGrid w:val="0"/>
                <w:color w:val="auto"/>
                <w:kern w:val="0"/>
                <w:sz w:val="24"/>
                <w:szCs w:val="32"/>
                <w:lang w:val="en-US" w:eastAsia="zh-CN"/>
              </w:rPr>
              <w:t>t/a，经厂内垃圾桶收集后，交由</w:t>
            </w:r>
            <w:r>
              <w:rPr>
                <w:rFonts w:hint="default" w:ascii="Times New Roman" w:hAnsi="Times New Roman" w:cs="Times New Roman"/>
                <w:b w:val="0"/>
                <w:bCs w:val="0"/>
                <w:snapToGrid w:val="0"/>
                <w:color w:val="auto"/>
                <w:kern w:val="0"/>
                <w:sz w:val="24"/>
                <w:szCs w:val="32"/>
                <w:lang w:val="en-US" w:eastAsia="zh-CN"/>
              </w:rPr>
              <w:t>环卫部门处理</w:t>
            </w:r>
            <w:r>
              <w:rPr>
                <w:rFonts w:hint="default" w:ascii="Times New Roman" w:hAnsi="Times New Roman" w:eastAsia="宋体" w:cs="Times New Roman"/>
                <w:b w:val="0"/>
                <w:bCs w:val="0"/>
                <w:snapToGrid w:val="0"/>
                <w:color w:val="auto"/>
                <w:kern w:val="0"/>
                <w:sz w:val="24"/>
                <w:szCs w:val="32"/>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现有工程固体废物产生及处置情况见表2-1</w:t>
            </w:r>
            <w:r>
              <w:rPr>
                <w:rFonts w:hint="default" w:ascii="Times New Roman" w:hAnsi="Times New Roman" w:cs="Times New Roman"/>
                <w:b w:val="0"/>
                <w:bCs w:val="0"/>
                <w:snapToGrid w:val="0"/>
                <w:color w:val="auto"/>
                <w:kern w:val="0"/>
                <w:sz w:val="24"/>
                <w:szCs w:val="32"/>
                <w:lang w:val="en-US" w:eastAsia="zh-CN"/>
              </w:rPr>
              <w:t>1</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表2-11  现有工程固体废物产生量及处置情况一览表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189"/>
              <w:gridCol w:w="1118"/>
              <w:gridCol w:w="1557"/>
              <w:gridCol w:w="2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固体废物污染源</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产生量t/a</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物理性状</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利用或处置去向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3.795</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经收集后交由环卫部门处理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鸡粪</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4.745</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一般工业固体废物</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经收集用于生产有机肥</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4</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现有</w:t>
            </w:r>
            <w:r>
              <w:rPr>
                <w:rFonts w:hint="default" w:ascii="Times New Roman" w:hAnsi="Times New Roman" w:eastAsia="宋体" w:cs="Times New Roman"/>
                <w:b w:val="0"/>
                <w:bCs w:val="0"/>
                <w:snapToGrid w:val="0"/>
                <w:color w:val="auto"/>
                <w:kern w:val="0"/>
                <w:sz w:val="24"/>
                <w:szCs w:val="32"/>
                <w:lang w:val="en-US" w:eastAsia="zh-CN"/>
              </w:rPr>
              <w:t>工程污染物实际排放总量</w:t>
            </w:r>
            <w:r>
              <w:rPr>
                <w:rFonts w:hint="default" w:ascii="Times New Roman" w:hAnsi="Times New Roman" w:cs="Times New Roman"/>
                <w:b w:val="0"/>
                <w:bCs w:val="0"/>
                <w:snapToGrid w:val="0"/>
                <w:color w:val="auto"/>
                <w:kern w:val="0"/>
                <w:sz w:val="24"/>
                <w:szCs w:val="32"/>
                <w:lang w:val="en-US" w:eastAsia="zh-CN"/>
              </w:rPr>
              <w:t>汇总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现有工程各污染物排放量汇总见表2-1</w:t>
            </w: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表2-12  现有工程污染物排放量汇总一览表  单位：t/a</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83"/>
              <w:gridCol w:w="3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污染物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废气（无组织）</w:t>
                  </w:r>
                </w:p>
              </w:tc>
              <w:tc>
                <w:tcPr>
                  <w:tcW w:w="1271" w:type="pct"/>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氨</w:t>
                  </w:r>
                </w:p>
              </w:tc>
              <w:tc>
                <w:tcPr>
                  <w:tcW w:w="1832" w:type="pct"/>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0.2236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硫化氢</w:t>
                  </w:r>
                </w:p>
              </w:tc>
              <w:tc>
                <w:tcPr>
                  <w:tcW w:w="1832" w:type="pct"/>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0.02236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废水</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生活污水</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455.4m³/a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固体废物</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3.795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鸡粪</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4.745</w:t>
                  </w:r>
                </w:p>
              </w:tc>
            </w:tr>
          </w:tbl>
          <w:p>
            <w:pPr>
              <w:pStyle w:val="60"/>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三、现有工程主要存在的环境问题及整改措施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根据现场踏勘，现有无与项目有关的原有环境污染问题。</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rPr>
            </w:pPr>
          </w:p>
        </w:tc>
      </w:tr>
    </w:tbl>
    <w:p>
      <w:pPr>
        <w:pStyle w:val="21"/>
        <w:jc w:val="center"/>
        <w:rPr>
          <w:rFonts w:hint="default" w:ascii="Times New Roman" w:hAnsi="Times New Roman" w:eastAsia="黑体" w:cs="Times New Roman"/>
          <w:snapToGrid w:val="0"/>
          <w:color w:val="auto"/>
          <w:sz w:val="36"/>
          <w:szCs w:val="36"/>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8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区域</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质量</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现状</w:t>
            </w:r>
          </w:p>
        </w:tc>
        <w:tc>
          <w:tcPr>
            <w:tcW w:w="8492" w:type="dxa"/>
            <w:tcBorders>
              <w:tl2br w:val="nil"/>
              <w:tr2bl w:val="nil"/>
            </w:tcBorders>
            <w:noWrap w:val="0"/>
            <w:vAlign w:val="center"/>
          </w:tcPr>
          <w:p>
            <w:pPr>
              <w:pStyle w:val="56"/>
              <w:rPr>
                <w:rFonts w:hint="default" w:ascii="Times New Roman" w:hAnsi="Times New Roman" w:cs="Times New Roman"/>
                <w:color w:val="auto"/>
                <w:szCs w:val="20"/>
                <w:lang w:eastAsia="zh-CN" w:bidi="ar"/>
              </w:rPr>
            </w:pPr>
            <w:r>
              <w:rPr>
                <w:rFonts w:hint="default" w:ascii="Times New Roman" w:hAnsi="Times New Roman" w:cs="Times New Roman"/>
                <w:color w:val="auto"/>
                <w:szCs w:val="20"/>
                <w:lang w:eastAsia="zh-CN" w:bidi="ar"/>
              </w:rPr>
              <w:t>一、区域环境空气质量达标情况</w:t>
            </w:r>
          </w:p>
          <w:p>
            <w:pPr>
              <w:pStyle w:val="55"/>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1、区域环境空气质量现状</w:t>
            </w:r>
          </w:p>
          <w:p>
            <w:pPr>
              <w:pStyle w:val="55"/>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固原市泾源县新民乡杨堡村</w:t>
            </w:r>
            <w:r>
              <w:rPr>
                <w:rFonts w:hint="default" w:ascii="Times New Roman" w:hAnsi="Times New Roman" w:cs="Times New Roman"/>
                <w:bCs/>
                <w:color w:val="auto"/>
              </w:rPr>
              <w:t>，</w:t>
            </w:r>
            <w:r>
              <w:rPr>
                <w:rFonts w:hint="default" w:ascii="Times New Roman" w:hAnsi="Times New Roman" w:cs="Times New Roman"/>
                <w:bCs/>
                <w:color w:val="auto"/>
                <w:lang w:eastAsia="zh-CN"/>
              </w:rPr>
              <w:t>隶属于泾源县</w:t>
            </w:r>
            <w:r>
              <w:rPr>
                <w:rFonts w:hint="default" w:ascii="Times New Roman" w:hAnsi="Times New Roman" w:cs="Times New Roman"/>
                <w:bCs/>
                <w:color w:val="auto"/>
              </w:rPr>
              <w:t>行政区划范围内</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本次评价采用</w:t>
            </w:r>
            <w:r>
              <w:rPr>
                <w:rFonts w:hint="default" w:ascii="Times New Roman" w:hAnsi="Times New Roman" w:cs="Times New Roman"/>
                <w:color w:val="auto"/>
                <w:lang w:eastAsia="zh-CN"/>
              </w:rPr>
              <w:t>泾源县</w:t>
            </w:r>
            <w:r>
              <w:rPr>
                <w:rFonts w:hint="default" w:ascii="Times New Roman" w:hAnsi="Times New Roman" w:cs="Times New Roman"/>
                <w:color w:val="auto"/>
              </w:rPr>
              <w:t>环境空气质量数据进行分析。</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年均浓度，CO相应百分位数24h平均质量浓度，O</w:t>
            </w:r>
            <w:r>
              <w:rPr>
                <w:rFonts w:hint="default" w:ascii="Times New Roman" w:hAnsi="Times New Roman" w:cs="Times New Roman"/>
                <w:color w:val="auto"/>
                <w:vertAlign w:val="subscript"/>
              </w:rPr>
              <w:t>3</w:t>
            </w:r>
            <w:r>
              <w:rPr>
                <w:rFonts w:hint="default" w:ascii="Times New Roman" w:hAnsi="Times New Roman" w:cs="Times New Roman"/>
                <w:color w:val="auto"/>
              </w:rPr>
              <w:t>相应百分位数8h平均质量浓度均引用《</w:t>
            </w:r>
            <w:r>
              <w:rPr>
                <w:rFonts w:hint="default" w:ascii="Times New Roman" w:hAnsi="Times New Roman" w:cs="Times New Roman"/>
                <w:color w:val="auto"/>
                <w:lang w:val="en-US" w:eastAsia="zh-CN"/>
              </w:rPr>
              <w:t>2023</w:t>
            </w:r>
            <w:r>
              <w:rPr>
                <w:rFonts w:hint="default" w:ascii="Times New Roman" w:hAnsi="Times New Roman" w:cs="Times New Roman"/>
                <w:color w:val="auto"/>
              </w:rPr>
              <w:t>年宁夏生态环境</w:t>
            </w:r>
            <w:r>
              <w:rPr>
                <w:rFonts w:hint="default" w:ascii="Times New Roman" w:hAnsi="Times New Roman" w:cs="Times New Roman"/>
                <w:color w:val="auto"/>
                <w:lang w:val="en-US" w:eastAsia="zh-CN"/>
              </w:rPr>
              <w:t>状况公报</w:t>
            </w:r>
            <w:r>
              <w:rPr>
                <w:rFonts w:hint="default" w:ascii="Times New Roman" w:hAnsi="Times New Roman" w:cs="Times New Roman"/>
                <w:color w:val="auto"/>
              </w:rPr>
              <w:t>》（PM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为剔除沙尘天气后）中公布数据。</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年区域环境空气质量评价见下表</w:t>
            </w:r>
            <w:r>
              <w:rPr>
                <w:rFonts w:hint="default" w:ascii="Times New Roman" w:hAnsi="Times New Roman" w:cs="Times New Roman"/>
                <w:color w:val="auto"/>
                <w:lang w:val="en-US" w:eastAsia="zh-CN"/>
              </w:rPr>
              <w:t>3-1</w:t>
            </w:r>
            <w:r>
              <w:rPr>
                <w:rFonts w:hint="default" w:ascii="Times New Roman" w:hAnsi="Times New Roman" w:cs="Times New Roman"/>
                <w:color w:val="auto"/>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eastAsia="黑体" w:cs="Times New Roman"/>
                <w:color w:val="auto"/>
              </w:rPr>
              <w:t>表3</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 xml:space="preserve">1  </w:t>
            </w:r>
            <w:r>
              <w:rPr>
                <w:rFonts w:hint="default" w:ascii="Times New Roman" w:hAnsi="Times New Roman" w:cs="Times New Roman"/>
                <w:color w:val="auto"/>
                <w:lang w:val="en-US" w:eastAsia="zh-CN"/>
              </w:rPr>
              <w:t>2023</w:t>
            </w:r>
            <w:r>
              <w:rPr>
                <w:rFonts w:hint="default" w:ascii="Times New Roman" w:hAnsi="Times New Roman" w:eastAsia="黑体" w:cs="Times New Roman"/>
                <w:color w:val="auto"/>
              </w:rPr>
              <w:t>年</w:t>
            </w:r>
            <w:r>
              <w:rPr>
                <w:rFonts w:hint="default" w:ascii="Times New Roman" w:hAnsi="Times New Roman" w:cs="Times New Roman"/>
                <w:color w:val="auto"/>
                <w:lang w:eastAsia="zh-CN"/>
              </w:rPr>
              <w:t>泾源县</w:t>
            </w:r>
            <w:r>
              <w:rPr>
                <w:rFonts w:hint="default" w:ascii="Times New Roman" w:hAnsi="Times New Roman" w:eastAsia="黑体" w:cs="Times New Roman"/>
                <w:color w:val="auto"/>
              </w:rPr>
              <w:t>区域环境空气质量现状评价表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2453"/>
              <w:gridCol w:w="1238"/>
              <w:gridCol w:w="1238"/>
              <w:gridCol w:w="984"/>
              <w:gridCol w:w="7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污染物名称</w:t>
                  </w:r>
                </w:p>
              </w:tc>
              <w:tc>
                <w:tcPr>
                  <w:tcW w:w="1429"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年评价指标</w:t>
                  </w:r>
                </w:p>
              </w:tc>
              <w:tc>
                <w:tcPr>
                  <w:tcW w:w="721"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721"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现状浓度/（µg/m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573"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占标率/%</w:t>
                  </w:r>
                </w:p>
              </w:tc>
              <w:tc>
                <w:tcPr>
                  <w:tcW w:w="435"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超标倍数</w:t>
                  </w:r>
                </w:p>
              </w:tc>
              <w:tc>
                <w:tcPr>
                  <w:tcW w:w="570" w:type="pct"/>
                  <w:tcBorders>
                    <w:tl2br w:val="nil"/>
                    <w:tr2bl w:val="nil"/>
                  </w:tcBorders>
                  <w:noWrap w:val="0"/>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60</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10.00</w:t>
                  </w:r>
                </w:p>
              </w:tc>
              <w:tc>
                <w:tcPr>
                  <w:tcW w:w="435"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40</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20.00</w:t>
                  </w:r>
                </w:p>
              </w:tc>
              <w:tc>
                <w:tcPr>
                  <w:tcW w:w="435"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70</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52</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74.29</w:t>
                  </w:r>
                </w:p>
              </w:tc>
              <w:tc>
                <w:tcPr>
                  <w:tcW w:w="435"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35</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48.57</w:t>
                  </w:r>
                </w:p>
              </w:tc>
              <w:tc>
                <w:tcPr>
                  <w:tcW w:w="435"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w:t>
                  </w:r>
                </w:p>
              </w:tc>
              <w:tc>
                <w:tcPr>
                  <w:tcW w:w="570"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24h平均第95百分位数</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0.7</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17.50</w:t>
                  </w:r>
                </w:p>
              </w:tc>
              <w:tc>
                <w:tcPr>
                  <w:tcW w:w="435"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O</w:t>
                  </w:r>
                  <w:r>
                    <w:rPr>
                      <w:rFonts w:hint="default" w:ascii="Times New Roman" w:hAnsi="Times New Roman" w:eastAsia="宋体" w:cs="Times New Roman"/>
                      <w:color w:val="auto"/>
                      <w:vertAlign w:val="subscript"/>
                    </w:rPr>
                    <w:t>3</w:t>
                  </w:r>
                </w:p>
              </w:tc>
              <w:tc>
                <w:tcPr>
                  <w:tcW w:w="1429"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日最大8h滑动平均值的第90百分位数</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160</w:t>
                  </w:r>
                </w:p>
              </w:tc>
              <w:tc>
                <w:tcPr>
                  <w:tcW w:w="721"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132</w:t>
                  </w:r>
                </w:p>
              </w:tc>
              <w:tc>
                <w:tcPr>
                  <w:tcW w:w="573" w:type="pct"/>
                  <w:tcBorders>
                    <w:tl2br w:val="nil"/>
                    <w:tr2bl w:val="nil"/>
                  </w:tcBorders>
                  <w:noWrap w:val="0"/>
                  <w:vAlign w:val="center"/>
                </w:tcPr>
                <w:p>
                  <w:pPr>
                    <w:pStyle w:val="75"/>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82.50</w:t>
                  </w:r>
                </w:p>
              </w:tc>
              <w:tc>
                <w:tcPr>
                  <w:tcW w:w="435"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l2br w:val="nil"/>
                    <w:tr2bl w:val="nil"/>
                  </w:tcBorders>
                  <w:noWrap w:val="0"/>
                  <w:vAlign w:val="center"/>
                </w:tcPr>
                <w:p>
                  <w:pPr>
                    <w:pStyle w:val="58"/>
                    <w:jc w:val="left"/>
                    <w:rPr>
                      <w:rFonts w:hint="default" w:ascii="Times New Roman" w:hAnsi="Times New Roman" w:eastAsia="宋体" w:cs="Times New Roman"/>
                      <w:color w:val="auto"/>
                    </w:rPr>
                  </w:pPr>
                  <w:r>
                    <w:rPr>
                      <w:rFonts w:hint="default" w:ascii="Times New Roman" w:hAnsi="Times New Roman" w:eastAsia="宋体" w:cs="Times New Roman"/>
                      <w:color w:val="auto"/>
                    </w:rPr>
                    <w:t>注：1、CO现状浓度和标准值单位均为mg/m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pPr>
                    <w:pStyle w:val="58"/>
                    <w:jc w:val="left"/>
                    <w:rPr>
                      <w:rFonts w:hint="default" w:ascii="Times New Roman" w:hAnsi="Times New Roman" w:eastAsia="宋体" w:cs="Times New Roman"/>
                      <w:color w:val="auto"/>
                    </w:rPr>
                  </w:pPr>
                  <w:r>
                    <w:rPr>
                      <w:rFonts w:hint="default" w:ascii="Times New Roman" w:hAnsi="Times New Roman" w:eastAsia="宋体" w:cs="Times New Roman"/>
                      <w:color w:val="auto"/>
                    </w:rPr>
                    <w:t>2、现状浓度中PM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为剔除沙尘天气后的数值。</w:t>
                  </w:r>
                </w:p>
                <w:p>
                  <w:pPr>
                    <w:pStyle w:val="58"/>
                    <w:jc w:val="left"/>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2023</w:t>
                  </w:r>
                  <w:r>
                    <w:rPr>
                      <w:rFonts w:hint="default" w:ascii="Times New Roman" w:hAnsi="Times New Roman" w:eastAsia="宋体" w:cs="Times New Roman"/>
                      <w:color w:val="auto"/>
                    </w:rPr>
                    <w:t>年宁夏生态环境</w:t>
                  </w:r>
                  <w:r>
                    <w:rPr>
                      <w:rFonts w:hint="default" w:ascii="Times New Roman" w:hAnsi="Times New Roman" w:eastAsia="宋体" w:cs="Times New Roman"/>
                      <w:color w:val="auto"/>
                      <w:lang w:val="en-US" w:eastAsia="zh-CN"/>
                    </w:rPr>
                    <w:t>状况公报</w:t>
                  </w:r>
                  <w:r>
                    <w:rPr>
                      <w:rFonts w:hint="default" w:ascii="Times New Roman" w:hAnsi="Times New Roman" w:eastAsia="宋体" w:cs="Times New Roman"/>
                      <w:color w:val="auto"/>
                    </w:rPr>
                    <w:t>》中未公布SO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相应百分位数24h平均浓度，故未评价上述污染物相应百分位数24h平均浓度达标情况。</w:t>
                  </w:r>
                </w:p>
              </w:tc>
            </w:tr>
          </w:tbl>
          <w:p>
            <w:pPr>
              <w:pStyle w:val="55"/>
              <w:ind w:firstLine="480"/>
              <w:rPr>
                <w:rFonts w:hint="default" w:ascii="Times New Roman" w:hAnsi="Times New Roman" w:cs="Times New Roman"/>
                <w:color w:val="auto"/>
              </w:rPr>
            </w:pPr>
            <w:r>
              <w:rPr>
                <w:rFonts w:hint="default" w:ascii="Times New Roman" w:hAnsi="Times New Roman" w:cs="Times New Roman"/>
                <w:color w:val="auto"/>
                <w:lang w:eastAsia="zh-CN"/>
              </w:rPr>
              <w:t>由上表分析可知</w:t>
            </w:r>
            <w:r>
              <w:rPr>
                <w:rFonts w:hint="default" w:ascii="Times New Roman" w:hAnsi="Times New Roman" w:cs="Times New Roman"/>
                <w:color w:val="auto"/>
              </w:rPr>
              <w:t>，</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日最大8h滑动平均值的第90百分位数浓度值均满足《环境空气质量标准》（GB3095-2012）中二级标准要求。</w:t>
            </w:r>
          </w:p>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环境空气质量现状补充监测</w:t>
            </w:r>
          </w:p>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建设项目环境影响报告表编制技术指南》（污染影响类）（试行）区域环境质量现状中“排放国家、地方环境空气质量标准中有标准限值要求的特征污染物时，引用建设项目周边5千米范围内近3年的现有监测数据，无相关数据的选择当季主导风向下风向1个点位补充不少于3天的监测数据”。</w:t>
            </w:r>
          </w:p>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本项目特征污染物</w:t>
            </w:r>
            <w:r>
              <w:rPr>
                <w:rFonts w:hint="default" w:ascii="Times New Roman" w:hAnsi="Times New Roman" w:cs="Times New Roman"/>
                <w:color w:val="auto"/>
                <w:highlight w:val="none"/>
                <w:lang w:val="en-US" w:eastAsia="zh-CN"/>
              </w:rPr>
              <w:t>为</w:t>
            </w:r>
            <w:r>
              <w:rPr>
                <w:rFonts w:hint="default" w:ascii="Times New Roman" w:hAnsi="Times New Roman" w:eastAsia="宋体" w:cs="Times New Roman"/>
                <w:color w:val="auto"/>
                <w:highlight w:val="none"/>
                <w:lang w:val="en-US" w:eastAsia="zh-CN"/>
              </w:rPr>
              <w:t>TSP，根据《宁夏回族自治区泾源县黄河流域农业面源污染综合治理项目监测》，宁夏泽瑞隆环保技术有限公司于2025年7月22日~7月24日连续3天对该项目环境空气质量进行</w:t>
            </w:r>
            <w:r>
              <w:rPr>
                <w:rFonts w:hint="default" w:ascii="Times New Roman" w:hAnsi="Times New Roman" w:cs="Times New Roman"/>
                <w:color w:val="auto"/>
                <w:highlight w:val="none"/>
                <w:lang w:val="en-US" w:eastAsia="zh-CN"/>
              </w:rPr>
              <w:t>了</w:t>
            </w:r>
            <w:r>
              <w:rPr>
                <w:rFonts w:hint="default" w:ascii="Times New Roman" w:hAnsi="Times New Roman" w:eastAsia="宋体" w:cs="Times New Roman"/>
                <w:color w:val="auto"/>
                <w:highlight w:val="none"/>
                <w:lang w:val="en-US" w:eastAsia="zh-CN"/>
              </w:rPr>
              <w:t>现状监测。</w:t>
            </w:r>
          </w:p>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具体监测点位分布见表3-2</w:t>
            </w:r>
            <w:r>
              <w:rPr>
                <w:rFonts w:hint="eastAsia" w:cs="Times New Roman"/>
                <w:color w:val="auto"/>
                <w:highlight w:val="none"/>
                <w:lang w:val="en-US" w:eastAsia="zh-CN"/>
              </w:rPr>
              <w:t>及图3-1</w:t>
            </w:r>
            <w:r>
              <w:rPr>
                <w:rFonts w:hint="default" w:ascii="Times New Roman" w:hAnsi="Times New Roman" w:eastAsia="宋体" w:cs="Times New Roman"/>
                <w:color w:val="auto"/>
                <w:highlight w:val="none"/>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yellow"/>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表3-2  </w:t>
            </w:r>
            <w:r>
              <w:rPr>
                <w:rFonts w:hint="default" w:ascii="Times New Roman" w:hAnsi="Times New Roman" w:cs="Times New Roman"/>
                <w:color w:val="auto"/>
                <w:highlight w:val="none"/>
                <w:lang w:val="en-US" w:eastAsia="zh-CN"/>
              </w:rPr>
              <w:t>本项目监测点位情况</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411"/>
              <w:gridCol w:w="2051"/>
              <w:gridCol w:w="1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点位编号</w:t>
                  </w:r>
                </w:p>
              </w:tc>
              <w:tc>
                <w:tcPr>
                  <w:tcW w:w="19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坐标</w:t>
                  </w:r>
                </w:p>
              </w:tc>
              <w:tc>
                <w:tcPr>
                  <w:tcW w:w="1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与本项目位置关系</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w:t>
                  </w:r>
                </w:p>
              </w:tc>
              <w:tc>
                <w:tcPr>
                  <w:tcW w:w="19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E：106°26′43.089″</w:t>
                  </w:r>
                  <w:r>
                    <w:rPr>
                      <w:rFonts w:hint="default" w:ascii="Times New Roman" w:hAnsi="Times New Roman" w:cs="Times New Roman"/>
                      <w:b w:val="0"/>
                      <w:bCs w:val="0"/>
                      <w:color w:val="auto"/>
                      <w:sz w:val="21"/>
                      <w:szCs w:val="21"/>
                      <w:highlight w:val="none"/>
                      <w:vertAlign w:val="baseline"/>
                      <w:lang w:val="en-US" w:eastAsia="zh-CN"/>
                    </w:rPr>
                    <w:t>、</w:t>
                  </w:r>
                  <w:r>
                    <w:rPr>
                      <w:rFonts w:hint="default" w:ascii="Times New Roman" w:hAnsi="Times New Roman" w:eastAsia="宋体" w:cs="Times New Roman"/>
                      <w:b w:val="0"/>
                      <w:bCs w:val="0"/>
                      <w:color w:val="auto"/>
                      <w:sz w:val="21"/>
                      <w:szCs w:val="21"/>
                      <w:highlight w:val="none"/>
                      <w:vertAlign w:val="baseline"/>
                      <w:lang w:val="en-US" w:eastAsia="zh-CN"/>
                    </w:rPr>
                    <w:t>N：35°19′17.475″</w:t>
                  </w:r>
                </w:p>
              </w:tc>
              <w:tc>
                <w:tcPr>
                  <w:tcW w:w="1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厂区内</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TSP</w:t>
                  </w:r>
                </w:p>
              </w:tc>
            </w:tr>
          </w:tbl>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drawing>
                <wp:inline distT="0" distB="0" distL="114300" distR="114300">
                  <wp:extent cx="5476875" cy="3481705"/>
                  <wp:effectExtent l="28575" t="28575" r="38100" b="33020"/>
                  <wp:docPr id="1"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true"/>
                          </pic:cNvPicPr>
                        </pic:nvPicPr>
                        <pic:blipFill>
                          <a:blip r:embed="rId15"/>
                          <a:stretch>
                            <a:fillRect/>
                          </a:stretch>
                        </pic:blipFill>
                        <pic:spPr>
                          <a:xfrm>
                            <a:off x="0" y="0"/>
                            <a:ext cx="5476875" cy="3481705"/>
                          </a:xfrm>
                          <a:prstGeom prst="rect">
                            <a:avLst/>
                          </a:prstGeom>
                          <a:noFill/>
                          <a:ln w="28575">
                            <a:solidFill>
                              <a:schemeClr val="bg1"/>
                            </a:solidFill>
                          </a:ln>
                        </pic:spPr>
                      </pic:pic>
                    </a:graphicData>
                  </a:graphic>
                </wp:inline>
              </w:drawing>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图3-1  环境空气现状</w:t>
            </w:r>
            <w:r>
              <w:rPr>
                <w:rFonts w:hint="eastAsia" w:cs="Times New Roman"/>
                <w:color w:val="auto"/>
                <w:highlight w:val="none"/>
                <w:lang w:val="en-US" w:eastAsia="zh-CN"/>
              </w:rPr>
              <w:t>监测</w:t>
            </w:r>
            <w:r>
              <w:rPr>
                <w:rFonts w:hint="default" w:ascii="Times New Roman" w:hAnsi="Times New Roman" w:eastAsia="黑体" w:cs="Times New Roman"/>
                <w:color w:val="auto"/>
                <w:highlight w:val="none"/>
                <w:lang w:val="en-US" w:eastAsia="zh-CN"/>
              </w:rPr>
              <w:t>点位分布</w:t>
            </w:r>
            <w:r>
              <w:rPr>
                <w:rFonts w:hint="eastAsia" w:cs="Times New Roman"/>
                <w:color w:val="auto"/>
                <w:highlight w:val="none"/>
                <w:lang w:val="en-US" w:eastAsia="zh-CN"/>
              </w:rPr>
              <w:t>图</w:t>
            </w:r>
          </w:p>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TSP监测结果见表3-3。</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表3-</w:t>
            </w:r>
            <w:r>
              <w:rPr>
                <w:rFonts w:hint="default" w:ascii="Times New Roman" w:hAnsi="Times New Roman" w:cs="Times New Roman"/>
                <w:color w:val="auto"/>
                <w:highlight w:val="none"/>
                <w:lang w:val="en-US" w:eastAsia="zh-CN"/>
              </w:rPr>
              <w:t>3</w:t>
            </w:r>
            <w:r>
              <w:rPr>
                <w:rFonts w:hint="default" w:ascii="Times New Roman" w:hAnsi="Times New Roman" w:eastAsia="黑体" w:cs="Times New Roman"/>
                <w:color w:val="auto"/>
                <w:highlight w:val="none"/>
                <w:lang w:val="en-US" w:eastAsia="zh-CN"/>
              </w:rPr>
              <w:t xml:space="preserve">  监测</w:t>
            </w:r>
            <w:r>
              <w:rPr>
                <w:rFonts w:hint="default" w:ascii="Times New Roman" w:hAnsi="Times New Roman" w:cs="Times New Roman"/>
                <w:color w:val="auto"/>
                <w:highlight w:val="none"/>
                <w:lang w:val="en-US" w:eastAsia="zh-CN"/>
              </w:rPr>
              <w:t>结果统计表</w:t>
            </w:r>
          </w:p>
          <w:tbl>
            <w:tblPr>
              <w:tblStyle w:val="2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098"/>
              <w:gridCol w:w="1249"/>
              <w:gridCol w:w="1281"/>
              <w:gridCol w:w="964"/>
              <w:gridCol w:w="1050"/>
              <w:gridCol w:w="866"/>
              <w:gridCol w:w="8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639"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日均值</w:t>
                  </w:r>
                </w:p>
              </w:tc>
              <w:tc>
                <w:tcPr>
                  <w:tcW w:w="1473" w:type="pct"/>
                  <w:gridSpan w:val="2"/>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监测结果(μg/m³)</w:t>
                  </w:r>
                </w:p>
              </w:tc>
              <w:tc>
                <w:tcPr>
                  <w:tcW w:w="561"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标准值(μg/m³)</w:t>
                  </w:r>
                </w:p>
              </w:tc>
              <w:tc>
                <w:tcPr>
                  <w:tcW w:w="611"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最大占标率(%)</w:t>
                  </w:r>
                </w:p>
              </w:tc>
              <w:tc>
                <w:tcPr>
                  <w:tcW w:w="504"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超标率(%)</w:t>
                  </w:r>
                </w:p>
              </w:tc>
              <w:tc>
                <w:tcPr>
                  <w:tcW w:w="501" w:type="pct"/>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pct"/>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rPr>
                  </w:pPr>
                </w:p>
              </w:tc>
              <w:tc>
                <w:tcPr>
                  <w:tcW w:w="639" w:type="pct"/>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rPr>
                  </w:pPr>
                </w:p>
              </w:tc>
              <w:tc>
                <w:tcPr>
                  <w:tcW w:w="727" w:type="pc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最小值</w:t>
                  </w:r>
                </w:p>
              </w:tc>
              <w:tc>
                <w:tcPr>
                  <w:tcW w:w="745" w:type="pc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最大值</w:t>
                  </w:r>
                </w:p>
              </w:tc>
              <w:tc>
                <w:tcPr>
                  <w:tcW w:w="561" w:type="pct"/>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611" w:type="pct"/>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504" w:type="pct"/>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501" w:type="pct"/>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7"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TSP</w:t>
                  </w:r>
                </w:p>
              </w:tc>
              <w:tc>
                <w:tcPr>
                  <w:tcW w:w="639" w:type="pct"/>
                  <w:tcBorders>
                    <w:tl2br w:val="nil"/>
                    <w:tr2bl w:val="nil"/>
                  </w:tcBorders>
                  <w:noWrap w:val="0"/>
                  <w:vAlign w:val="center"/>
                </w:tcPr>
                <w:p>
                  <w:pPr>
                    <w:pStyle w:val="2"/>
                    <w:tabs>
                      <w:tab w:val="left" w:pos="4584"/>
                    </w:tabs>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24h</w:t>
                  </w:r>
                </w:p>
              </w:tc>
              <w:tc>
                <w:tcPr>
                  <w:tcW w:w="727"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59</w:t>
                  </w:r>
                </w:p>
              </w:tc>
              <w:tc>
                <w:tcPr>
                  <w:tcW w:w="745"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69</w:t>
                  </w:r>
                </w:p>
              </w:tc>
              <w:tc>
                <w:tcPr>
                  <w:tcW w:w="561"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300</w:t>
                  </w:r>
                </w:p>
              </w:tc>
              <w:tc>
                <w:tcPr>
                  <w:tcW w:w="611"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23.00</w:t>
                  </w:r>
                </w:p>
              </w:tc>
              <w:tc>
                <w:tcPr>
                  <w:tcW w:w="504"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501" w:type="pct"/>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达标</w:t>
                  </w:r>
                </w:p>
              </w:tc>
            </w:tr>
          </w:tbl>
          <w:p>
            <w:pPr>
              <w:pStyle w:val="5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根据表3-3可知，本项目所在区域TSP日均值</w:t>
            </w:r>
            <w:r>
              <w:rPr>
                <w:rFonts w:hint="default" w:ascii="Times New Roman" w:hAnsi="Times New Roman" w:cs="Times New Roman"/>
                <w:color w:val="auto"/>
                <w:highlight w:val="none"/>
                <w:lang w:val="en-US" w:eastAsia="zh-CN"/>
              </w:rPr>
              <w:t>监测</w:t>
            </w:r>
            <w:r>
              <w:rPr>
                <w:rFonts w:hint="default" w:ascii="Times New Roman" w:hAnsi="Times New Roman" w:eastAsia="宋体" w:cs="Times New Roman"/>
                <w:color w:val="auto"/>
                <w:highlight w:val="none"/>
                <w:lang w:val="en-US" w:eastAsia="zh-CN"/>
              </w:rPr>
              <w:t>浓度满足《环境空气质量标准》(GB3095-2012)中二级标准要求。</w:t>
            </w:r>
          </w:p>
          <w:p>
            <w:pPr>
              <w:pStyle w:val="56"/>
              <w:rPr>
                <w:rFonts w:hint="default" w:ascii="Times New Roman" w:hAnsi="Times New Roman" w:cs="Times New Roman"/>
                <w:color w:val="auto"/>
                <w:szCs w:val="22"/>
                <w:lang w:bidi="ar"/>
              </w:rPr>
            </w:pPr>
            <w:r>
              <w:rPr>
                <w:rFonts w:hint="default" w:ascii="Times New Roman" w:hAnsi="Times New Roman" w:cs="Times New Roman"/>
                <w:color w:val="auto"/>
                <w:szCs w:val="20"/>
                <w:lang w:eastAsia="zh-CN" w:bidi="ar"/>
              </w:rPr>
              <w:t>二</w:t>
            </w:r>
            <w:r>
              <w:rPr>
                <w:rFonts w:hint="default" w:ascii="Times New Roman" w:hAnsi="Times New Roman" w:cs="Times New Roman"/>
                <w:color w:val="auto"/>
                <w:szCs w:val="20"/>
                <w:lang w:bidi="ar"/>
              </w:rPr>
              <w:t>、</w:t>
            </w:r>
            <w:r>
              <w:rPr>
                <w:rFonts w:hint="default" w:ascii="Times New Roman" w:hAnsi="Times New Roman" w:cs="Times New Roman"/>
                <w:color w:val="auto"/>
              </w:rPr>
              <w:t>地表水环境质量现状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筑项目环境影响报告表编制技术指南》（污染影响类）（试行）要求：引用与建设项目距离近的有效数据，包括近三年的规划环境影响评价的监测数据，所在流域控制单元内国家、地方控制断面监测数据，生态环境主管部门发布的水环境质量数据或地表水达标情况的结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本项目位于固原市泾源县新民乡杨堡村，所在区域地表水体为项目南侧423m处的策底河，属于泾河的支流，根据《2023年宁夏生态环境质量状况》，泾河监测断面弹筝峡省界（宁夏－甘肃）（国控）断面为Ⅱ类水质，相较于2022年水质情况无明显变化。</w:t>
            </w:r>
          </w:p>
          <w:p>
            <w:pPr>
              <w:numPr>
                <w:ilvl w:val="0"/>
                <w:numId w:val="0"/>
              </w:num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三、声环境质量现状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根据《建设项目环境影响报告表编制技术指南（污染影响类）（试行）》声环境质量现状监测要求：“厂界外周边50米范围内存在声环境保护目标的建设项目，应监测保护目标声环境质量现状并评价达标情况。各点位应监测昼夜间噪声，监测时间不少于1天，项目夜间不生产则仅监测昼间噪声”。</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根据现场调查，本项目厂界外50m范围内声环境保护目标为项目东侧约</w:t>
            </w:r>
            <w:r>
              <w:rPr>
                <w:rFonts w:hint="eastAsia" w:eastAsia="宋体" w:cs="Times New Roman"/>
                <w:bCs w:val="0"/>
                <w:snapToGrid w:val="0"/>
                <w:color w:val="auto"/>
                <w:kern w:val="0"/>
                <w:sz w:val="24"/>
                <w:szCs w:val="22"/>
                <w:highlight w:val="none"/>
                <w:lang w:val="en-US" w:eastAsia="zh-CN" w:bidi="ar-SA"/>
              </w:rPr>
              <w:t>10</w:t>
            </w:r>
            <w:r>
              <w:rPr>
                <w:rFonts w:hint="default" w:ascii="Times New Roman" w:hAnsi="Times New Roman" w:eastAsia="宋体" w:cs="Times New Roman"/>
                <w:bCs w:val="0"/>
                <w:snapToGrid w:val="0"/>
                <w:color w:val="auto"/>
                <w:kern w:val="0"/>
                <w:sz w:val="24"/>
                <w:szCs w:val="22"/>
                <w:highlight w:val="none"/>
                <w:lang w:val="en-US" w:eastAsia="zh-CN" w:bidi="ar-SA"/>
              </w:rPr>
              <w:t>m处的杨堡村，本次声环境质量现状委托宁夏泽瑞隆环保技术有限公司进行现场监测，监测时间为2025年7月22日，共布设2个监测点位，昼间监测一次，监测报告见附件4，监测结果详见表3-3</w:t>
            </w:r>
            <w:r>
              <w:rPr>
                <w:rFonts w:hint="eastAsia" w:eastAsia="宋体" w:cs="Times New Roman"/>
                <w:bCs w:val="0"/>
                <w:snapToGrid w:val="0"/>
                <w:color w:val="auto"/>
                <w:kern w:val="0"/>
                <w:sz w:val="24"/>
                <w:szCs w:val="22"/>
                <w:highlight w:val="none"/>
                <w:lang w:val="en-US" w:eastAsia="zh-CN" w:bidi="ar-SA"/>
              </w:rPr>
              <w:t>及图3-1</w:t>
            </w:r>
            <w:r>
              <w:rPr>
                <w:rFonts w:hint="default" w:ascii="Times New Roman" w:hAnsi="Times New Roman" w:eastAsia="宋体" w:cs="Times New Roman"/>
                <w:bCs w:val="0"/>
                <w:snapToGrid w:val="0"/>
                <w:color w:val="auto"/>
                <w:kern w:val="0"/>
                <w:sz w:val="24"/>
                <w:szCs w:val="22"/>
                <w:highlight w:val="none"/>
                <w:lang w:val="en-US" w:eastAsia="zh-CN" w:bidi="ar-SA"/>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表3-6  </w:t>
            </w:r>
            <w:r>
              <w:rPr>
                <w:rFonts w:hint="default" w:ascii="Times New Roman" w:hAnsi="Times New Roman" w:cs="Times New Roman"/>
                <w:color w:val="auto"/>
                <w:highlight w:val="none"/>
                <w:lang w:val="en-US" w:eastAsia="zh-CN"/>
              </w:rPr>
              <w:t>声环境</w:t>
            </w:r>
            <w:r>
              <w:rPr>
                <w:rFonts w:hint="default" w:ascii="Times New Roman" w:hAnsi="Times New Roman" w:eastAsia="黑体" w:cs="Times New Roman"/>
                <w:color w:val="auto"/>
                <w:highlight w:val="none"/>
                <w:lang w:val="en-US" w:eastAsia="zh-CN"/>
              </w:rPr>
              <w:t>现状监测结果一览表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336"/>
              <w:gridCol w:w="578"/>
              <w:gridCol w:w="871"/>
              <w:gridCol w:w="789"/>
              <w:gridCol w:w="912"/>
              <w:gridCol w:w="957"/>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pPr>
                    <w:keepNext w:val="0"/>
                    <w:keepLines w:val="0"/>
                    <w:pageBreakBefore w:val="0"/>
                    <w:widowControl w:val="0"/>
                    <w:tabs>
                      <w:tab w:val="left" w:pos="18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eastAsia="zh-CN"/>
                    </w:rPr>
                    <w:t>检测点位</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点位编号</w:t>
                  </w:r>
                </w:p>
              </w:tc>
              <w:tc>
                <w:tcPr>
                  <w:tcW w:w="0" w:type="auto"/>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检测日期：2025年7月22日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0" w:type="auto"/>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昼间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风向</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eastAsia="zh-CN"/>
                    </w:rPr>
                    <w:t>风速</w:t>
                  </w:r>
                  <w:r>
                    <w:rPr>
                      <w:rFonts w:hint="default" w:ascii="Times New Roman" w:hAnsi="Times New Roman" w:cs="Times New Roman"/>
                      <w:b/>
                      <w:bCs/>
                      <w:color w:val="auto"/>
                      <w:sz w:val="21"/>
                      <w:szCs w:val="21"/>
                      <w:lang w:val="en-US" w:eastAsia="zh-CN"/>
                    </w:rPr>
                    <w:t>m/s</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气温℃</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eastAsia="zh-CN"/>
                    </w:rPr>
                    <w:t>气压</w:t>
                  </w:r>
                  <w:r>
                    <w:rPr>
                      <w:rFonts w:hint="default" w:ascii="Times New Roman" w:hAnsi="Times New Roman" w:cs="Times New Roman"/>
                      <w:b/>
                      <w:bCs/>
                      <w:color w:val="auto"/>
                      <w:sz w:val="21"/>
                      <w:szCs w:val="21"/>
                      <w:lang w:val="en-US" w:eastAsia="zh-CN"/>
                    </w:rPr>
                    <w:t>kPa</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检测时间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eastAsia="zh-CN"/>
                    </w:rPr>
                    <w:t>检测结果</w:t>
                  </w:r>
                  <w:r>
                    <w:rPr>
                      <w:rFonts w:hint="default" w:ascii="Times New Roman" w:hAnsi="Times New Roman" w:cs="Times New Roman"/>
                      <w:b/>
                      <w:bCs/>
                      <w:color w:val="auto"/>
                      <w:sz w:val="21"/>
                      <w:szCs w:val="21"/>
                      <w:lang w:val="en-US" w:eastAsia="zh-CN"/>
                    </w:rPr>
                    <w:t>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pPr>
                    <w:keepNext w:val="0"/>
                    <w:keepLines w:val="0"/>
                    <w:pageBreakBefore w:val="0"/>
                    <w:widowControl w:val="0"/>
                    <w:tabs>
                      <w:tab w:val="left" w:pos="18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延岭生态监测点</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ZS-2507-059</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东南</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21.0</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81.7</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15:25</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pPr>
                    <w:keepNext w:val="0"/>
                    <w:keepLines w:val="0"/>
                    <w:pageBreakBefore w:val="0"/>
                    <w:widowControl w:val="0"/>
                    <w:tabs>
                      <w:tab w:val="left" w:pos="18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ZS-2507-060</w:t>
                  </w: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15:39</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标准限值</w:t>
                  </w:r>
                </w:p>
              </w:tc>
              <w:tc>
                <w:tcPr>
                  <w:tcW w:w="0" w:type="auto"/>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55dB(A)</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由上表分析可知，项目东侧杨堡村敏感点处噪声昼间最大54dB（A），满足《声环境质量标准》（GB3096-2008）表1中的1类标准限值。</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四、生态环境状况</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根据《建设项目环境影响报告表编制技术指南》（污染影响类）（试行）“产业园区外建设项目新增用地且用地范围内含有生态环境保护目标时，应进行生态现状调查”。</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宋体" w:cs="Times New Roman"/>
                <w:bCs w:val="0"/>
                <w:snapToGrid w:val="0"/>
                <w:color w:val="auto"/>
                <w:kern w:val="0"/>
                <w:sz w:val="24"/>
                <w:szCs w:val="22"/>
                <w:lang w:val="en-US" w:eastAsia="zh-CN" w:bidi="ar-SA"/>
              </w:rPr>
              <w:t>本项目位于固原市泾源县新民乡杨堡村现有厂区内，不新增占地，无生态环境保护目标，无需进行生态环境现状调查。</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五、地下水、土壤环境质量现状</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地下水、土壤原则上不开展环境质量现状调查，建设项目存在土壤、地下水环境污染途径的，应结合污染源、保护目标分布情况开展现状调查以留作背景值”。</w:t>
            </w:r>
            <w:r>
              <w:rPr>
                <w:rFonts w:hint="default" w:ascii="Times New Roman" w:hAnsi="Times New Roman" w:cs="Times New Roman"/>
                <w:bCs/>
                <w:color w:val="auto"/>
                <w:sz w:val="24"/>
                <w:lang w:val="en-US" w:eastAsia="zh-CN"/>
              </w:rPr>
              <w:t>本厂区采取分区防渗：发酵棚为重点防渗区，等效黏土防渗层Mb≥6.0m，K≤1x10</w:t>
            </w:r>
            <w:r>
              <w:rPr>
                <w:rFonts w:hint="default" w:ascii="Times New Roman" w:hAnsi="Times New Roman" w:cs="Times New Roman"/>
                <w:bCs/>
                <w:color w:val="auto"/>
                <w:sz w:val="24"/>
                <w:vertAlign w:val="superscript"/>
                <w:lang w:val="en-US" w:eastAsia="zh-CN"/>
              </w:rPr>
              <w:t>-7</w:t>
            </w:r>
            <w:r>
              <w:rPr>
                <w:rFonts w:hint="default" w:ascii="Times New Roman" w:hAnsi="Times New Roman" w:cs="Times New Roman"/>
                <w:bCs/>
                <w:color w:val="auto"/>
                <w:sz w:val="24"/>
                <w:lang w:val="en-US" w:eastAsia="zh-CN"/>
              </w:rPr>
              <w:t>cm/s；原料陈化堆放棚及成品库房为一般防渗区，等效黏土防渗层Mb≥1.5m，K≤1×10</w:t>
            </w:r>
            <w:r>
              <w:rPr>
                <w:rFonts w:hint="default" w:ascii="Times New Roman" w:hAnsi="Times New Roman" w:cs="Times New Roman"/>
                <w:bCs/>
                <w:color w:val="auto"/>
                <w:sz w:val="24"/>
                <w:vertAlign w:val="superscript"/>
                <w:lang w:val="en-US" w:eastAsia="zh-CN"/>
              </w:rPr>
              <w:t>-7</w:t>
            </w:r>
            <w:r>
              <w:rPr>
                <w:rFonts w:hint="default" w:ascii="Times New Roman" w:hAnsi="Times New Roman" w:cs="Times New Roman"/>
                <w:bCs/>
                <w:color w:val="auto"/>
                <w:sz w:val="24"/>
                <w:lang w:val="en-US" w:eastAsia="zh-CN"/>
              </w:rPr>
              <w:t>cm/s；厂区道路为简单防渗区，地面采用混凝土硬化；有机肥生产车间新建危废贮存点采取“地面一般防渗处理+防渗托盘+密闭油桶”方式</w:t>
            </w:r>
            <w:r>
              <w:rPr>
                <w:rFonts w:hint="default" w:ascii="Times New Roman" w:hAnsi="Times New Roman" w:eastAsia="宋体" w:cs="Times New Roman"/>
                <w:color w:val="auto"/>
                <w:kern w:val="0"/>
                <w:sz w:val="24"/>
                <w:szCs w:val="24"/>
                <w:lang w:val="en-US" w:eastAsia="zh-CN"/>
              </w:rPr>
              <w:t>。</w:t>
            </w:r>
          </w:p>
          <w:p>
            <w:pPr>
              <w:spacing w:line="360" w:lineRule="auto"/>
              <w:ind w:firstLine="480" w:firstLineChars="200"/>
              <w:rPr>
                <w:rFonts w:hint="default" w:ascii="Times New Roman" w:hAnsi="Times New Roman" w:cs="Times New Roman"/>
                <w:b/>
                <w:bCs/>
                <w:color w:val="auto"/>
                <w:kern w:val="0"/>
                <w:sz w:val="24"/>
                <w:szCs w:val="24"/>
              </w:rPr>
            </w:pPr>
            <w:r>
              <w:rPr>
                <w:rFonts w:hint="default" w:ascii="Times New Roman" w:hAnsi="Times New Roman" w:eastAsia="宋体" w:cs="Times New Roman"/>
                <w:b w:val="0"/>
                <w:bCs/>
                <w:color w:val="auto"/>
                <w:sz w:val="24"/>
                <w:szCs w:val="24"/>
                <w:lang w:val="en-US" w:eastAsia="zh-CN"/>
              </w:rPr>
              <w:t>经采取上述措施后</w:t>
            </w:r>
            <w:r>
              <w:rPr>
                <w:rFonts w:hint="default" w:ascii="Times New Roman" w:hAnsi="Times New Roman" w:cs="Times New Roman"/>
                <w:b w:val="0"/>
                <w:bCs/>
                <w:color w:val="auto"/>
                <w:sz w:val="24"/>
                <w:szCs w:val="24"/>
                <w:lang w:val="en-US" w:eastAsia="zh-CN"/>
              </w:rPr>
              <w:t>，正</w:t>
            </w:r>
            <w:r>
              <w:rPr>
                <w:rFonts w:hint="default" w:ascii="Times New Roman" w:hAnsi="Times New Roman" w:eastAsia="宋体" w:cs="Times New Roman"/>
                <w:b w:val="0"/>
                <w:bCs/>
                <w:color w:val="auto"/>
                <w:sz w:val="24"/>
                <w:szCs w:val="24"/>
                <w:lang w:val="en-US" w:eastAsia="zh-CN"/>
              </w:rPr>
              <w:t>常工况下不存在地下水、土壤污染途径</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因此，本项目无需开展地下水、土壤环境质量现状调查</w:t>
            </w:r>
            <w:r>
              <w:rPr>
                <w:rFonts w:hint="default" w:ascii="Times New Roman" w:hAnsi="Times New Roman" w:cs="Times New Roman"/>
                <w:b w:val="0"/>
                <w:bCs/>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环境保护目标</w:t>
            </w:r>
          </w:p>
        </w:tc>
        <w:tc>
          <w:tcPr>
            <w:tcW w:w="8492" w:type="dxa"/>
            <w:tcBorders>
              <w:tl2br w:val="nil"/>
              <w:tr2bl w:val="nil"/>
            </w:tcBorders>
            <w:noWrap w:val="0"/>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本项目位于固原市泾源县</w:t>
            </w:r>
            <w:r>
              <w:rPr>
                <w:rFonts w:hint="default" w:ascii="Times New Roman" w:hAnsi="Times New Roman" w:cs="Times New Roman"/>
                <w:b w:val="0"/>
                <w:bCs/>
                <w:color w:val="auto"/>
                <w:sz w:val="24"/>
                <w:szCs w:val="24"/>
                <w:lang w:val="en-US" w:eastAsia="zh-CN"/>
              </w:rPr>
              <w:t>新民乡杨堡村</w:t>
            </w:r>
            <w:r>
              <w:rPr>
                <w:rFonts w:hint="default" w:ascii="Times New Roman" w:hAnsi="Times New Roman" w:eastAsia="宋体" w:cs="Times New Roman"/>
                <w:b w:val="0"/>
                <w:bCs/>
                <w:color w:val="auto"/>
                <w:sz w:val="24"/>
                <w:szCs w:val="24"/>
                <w:lang w:val="en-US" w:eastAsia="zh-CN"/>
              </w:rPr>
              <w:t>，具体地理位置坐标为东经106°</w:t>
            </w:r>
            <w:r>
              <w:rPr>
                <w:rFonts w:hint="default" w:ascii="Times New Roman" w:hAnsi="Times New Roman" w:cs="Times New Roman"/>
                <w:b w:val="0"/>
                <w:bCs/>
                <w:color w:val="auto"/>
                <w:sz w:val="24"/>
                <w:szCs w:val="24"/>
                <w:lang w:val="en-US" w:eastAsia="zh-CN"/>
              </w:rPr>
              <w:t>26</w:t>
            </w: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cs="Times New Roman"/>
                <w:b w:val="0"/>
                <w:bCs/>
                <w:color w:val="auto"/>
                <w:sz w:val="24"/>
                <w:szCs w:val="24"/>
                <w:lang w:val="en-US" w:eastAsia="zh-CN"/>
              </w:rPr>
              <w:t>40.310</w:t>
            </w:r>
            <w:r>
              <w:rPr>
                <w:rFonts w:hint="default" w:ascii="Times New Roman" w:hAnsi="Times New Roman" w:eastAsia="宋体" w:cs="Times New Roman"/>
                <w:b w:val="0"/>
                <w:bCs/>
                <w:color w:val="auto"/>
                <w:sz w:val="24"/>
                <w:szCs w:val="24"/>
                <w:lang w:val="en-US" w:eastAsia="zh-CN"/>
              </w:rPr>
              <w:t>″，北纬35°</w:t>
            </w:r>
            <w:r>
              <w:rPr>
                <w:rFonts w:hint="default" w:ascii="Times New Roman" w:hAnsi="Times New Roman" w:cs="Times New Roman"/>
                <w:b w:val="0"/>
                <w:bCs/>
                <w:color w:val="auto"/>
                <w:sz w:val="24"/>
                <w:szCs w:val="24"/>
                <w:lang w:val="en-US" w:eastAsia="zh-CN"/>
              </w:rPr>
              <w:t>19</w:t>
            </w: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cs="Times New Roman"/>
                <w:b w:val="0"/>
                <w:bCs/>
                <w:color w:val="auto"/>
                <w:sz w:val="24"/>
                <w:szCs w:val="24"/>
                <w:lang w:val="en-US" w:eastAsia="zh-CN"/>
              </w:rPr>
              <w:t>19.595</w:t>
            </w:r>
            <w:r>
              <w:rPr>
                <w:rFonts w:hint="default" w:ascii="Times New Roman" w:hAnsi="Times New Roman" w:eastAsia="宋体" w:cs="Times New Roman"/>
                <w:b w:val="0"/>
                <w:bCs/>
                <w:color w:val="auto"/>
                <w:sz w:val="24"/>
                <w:szCs w:val="24"/>
                <w:lang w:val="en-US" w:eastAsia="zh-CN"/>
              </w:rPr>
              <w:t>″，项目地理位置见附图3-2。项目</w:t>
            </w:r>
            <w:r>
              <w:rPr>
                <w:rFonts w:hint="default" w:ascii="Times New Roman" w:hAnsi="Times New Roman" w:cs="Times New Roman"/>
                <w:b w:val="0"/>
                <w:bCs/>
                <w:color w:val="auto"/>
                <w:sz w:val="24"/>
                <w:szCs w:val="24"/>
                <w:lang w:val="en-US" w:eastAsia="zh-CN"/>
              </w:rPr>
              <w:t>四至：东侧为杨堡村；南侧、西侧均为农田；</w:t>
            </w:r>
            <w:r>
              <w:rPr>
                <w:rFonts w:hint="default" w:ascii="Times New Roman" w:hAnsi="Times New Roman" w:eastAsia="宋体" w:cs="Times New Roman"/>
                <w:b w:val="0"/>
                <w:bCs/>
                <w:color w:val="auto"/>
                <w:sz w:val="24"/>
                <w:szCs w:val="24"/>
                <w:highlight w:val="none"/>
                <w:lang w:val="en-US" w:eastAsia="zh-CN"/>
              </w:rPr>
              <w:t>北</w:t>
            </w:r>
            <w:r>
              <w:rPr>
                <w:rFonts w:hint="default" w:ascii="Times New Roman" w:hAnsi="Times New Roman" w:cs="Times New Roman"/>
                <w:b w:val="0"/>
                <w:bCs/>
                <w:color w:val="auto"/>
                <w:sz w:val="24"/>
                <w:szCs w:val="24"/>
                <w:highlight w:val="none"/>
                <w:lang w:val="en-US" w:eastAsia="zh-CN"/>
              </w:rPr>
              <w:t>侧隔路为扶贫车间及家庭养殖农场，</w:t>
            </w:r>
            <w:r>
              <w:rPr>
                <w:rFonts w:hint="default" w:ascii="Times New Roman" w:hAnsi="Times New Roman" w:cs="Times New Roman"/>
                <w:b w:val="0"/>
                <w:bCs/>
                <w:color w:val="auto"/>
                <w:sz w:val="24"/>
                <w:szCs w:val="24"/>
                <w:lang w:val="en-US" w:eastAsia="zh-CN"/>
              </w:rPr>
              <w:t>项目四至关系</w:t>
            </w:r>
            <w:r>
              <w:rPr>
                <w:rFonts w:hint="default" w:ascii="Times New Roman" w:hAnsi="Times New Roman" w:eastAsia="宋体" w:cs="Times New Roman"/>
                <w:b w:val="0"/>
                <w:bCs/>
                <w:color w:val="auto"/>
                <w:sz w:val="24"/>
                <w:szCs w:val="24"/>
                <w:lang w:val="en-US" w:eastAsia="zh-CN"/>
              </w:rPr>
              <w:t>见附图3-3。</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要求，环境保护目标确定为：大气环境明确厂界外500m范围内自然保护区、风景名胜区、居住区、文化区和农村地区中人群较集中的区域；声环境明确厂界外50m范围内声环境保护目标；地下水环境明确厂界外500m范围内地下水集中式饮用水水源和热水、矿泉水、温泉等特殊地下水资源。</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①大气环境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根据调查，本项目厂界外500米范围内大气环境保护目标</w:t>
            </w:r>
            <w:r>
              <w:rPr>
                <w:rFonts w:hint="default" w:ascii="Times New Roman" w:hAnsi="Times New Roman" w:cs="Times New Roman"/>
                <w:b w:val="0"/>
                <w:bCs/>
                <w:color w:val="auto"/>
                <w:sz w:val="24"/>
                <w:szCs w:val="24"/>
                <w:lang w:val="en-US" w:eastAsia="zh-CN"/>
              </w:rPr>
              <w:t>主要为杨堡村、新民中心小学、新民乡政府、杨堡村一组、杨堡村四组</w:t>
            </w:r>
            <w:r>
              <w:rPr>
                <w:rFonts w:hint="eastAsia" w:cs="Times New Roman"/>
                <w:b w:val="0"/>
                <w:bCs/>
                <w:color w:val="auto"/>
                <w:sz w:val="24"/>
                <w:szCs w:val="24"/>
                <w:lang w:val="en-US" w:eastAsia="zh-CN"/>
              </w:rPr>
              <w:t>等</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大气环境保护目标见表3-</w:t>
            </w:r>
            <w:r>
              <w:rPr>
                <w:rFonts w:hint="default" w:ascii="Times New Roman" w:hAnsi="Times New Roman"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，具体分布情况见附图</w:t>
            </w:r>
            <w:r>
              <w:rPr>
                <w:rFonts w:hint="default" w:ascii="Times New Roman" w:hAnsi="Times New Roman" w:cs="Times New Roman"/>
                <w:b w:val="0"/>
                <w:bCs/>
                <w:color w:val="auto"/>
                <w:sz w:val="24"/>
                <w:szCs w:val="24"/>
                <w:lang w:val="en-US" w:eastAsia="zh-CN"/>
              </w:rPr>
              <w:t>3-3</w:t>
            </w:r>
            <w:r>
              <w:rPr>
                <w:rFonts w:hint="default" w:ascii="Times New Roman" w:hAnsi="Times New Roman" w:eastAsia="宋体" w:cs="Times New Roman"/>
                <w:b w:val="0"/>
                <w:bCs/>
                <w:color w:val="auto"/>
                <w:sz w:val="24"/>
                <w:szCs w:val="24"/>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表3.3  项目大气环境保护目标一览表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328"/>
              <w:gridCol w:w="1186"/>
              <w:gridCol w:w="741"/>
              <w:gridCol w:w="990"/>
              <w:gridCol w:w="976"/>
              <w:gridCol w:w="885"/>
              <w:gridCol w:w="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12"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463" w:type="pct"/>
                  <w:gridSpan w:val="2"/>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31"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76"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保护内容(人)</w:t>
                  </w:r>
                </w:p>
              </w:tc>
              <w:tc>
                <w:tcPr>
                  <w:tcW w:w="568"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环境功能区</w:t>
                  </w:r>
                </w:p>
              </w:tc>
              <w:tc>
                <w:tcPr>
                  <w:tcW w:w="515"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31"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12"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773"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69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31"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76"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31"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新民乡服务中心</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106.444203</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35.325027</w:t>
                  </w:r>
                </w:p>
              </w:tc>
              <w:tc>
                <w:tcPr>
                  <w:tcW w:w="431"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568"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二类环境空气功能区</w:t>
                  </w: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cs="Times New Roman"/>
                      <w:color w:val="auto"/>
                      <w:sz w:val="21"/>
                      <w:szCs w:val="21"/>
                      <w:lang w:val="en-US" w:eastAsia="zh-CN"/>
                    </w:rPr>
                    <w:t>W</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291m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先进村</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106.443081</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35.319131</w:t>
                  </w:r>
                </w:p>
              </w:tc>
              <w:tc>
                <w:tcPr>
                  <w:tcW w:w="431" w:type="pct"/>
                  <w:tcBorders>
                    <w:tl2br w:val="nil"/>
                    <w:tr2bl w:val="nil"/>
                  </w:tcBorders>
                  <w:noWrap w:val="0"/>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1431</w:t>
                  </w: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泾源县公安局新民乡派出所</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106.445957</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35.324537</w:t>
                  </w:r>
                </w:p>
              </w:tc>
              <w:tc>
                <w:tcPr>
                  <w:tcW w:w="431" w:type="pct"/>
                  <w:tcBorders>
                    <w:tl2br w:val="nil"/>
                    <w:tr2bl w:val="nil"/>
                  </w:tcBorders>
                  <w:noWrap w:val="0"/>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273m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新民中心小学</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106.445142</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35.323753</w:t>
                  </w:r>
                </w:p>
              </w:tc>
              <w:tc>
                <w:tcPr>
                  <w:tcW w:w="431" w:type="pct"/>
                  <w:tcBorders>
                    <w:tl2br w:val="nil"/>
                    <w:tr2bl w:val="nil"/>
                  </w:tcBorders>
                  <w:noWrap w:val="0"/>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848</w:t>
                  </w: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N</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杨堡村</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106.446515</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35.321609</w:t>
                  </w:r>
                </w:p>
              </w:tc>
              <w:tc>
                <w:tcPr>
                  <w:tcW w:w="431" w:type="pct"/>
                  <w:tcBorders>
                    <w:tl2br w:val="nil"/>
                    <w:tr2bl w:val="nil"/>
                  </w:tcBorders>
                  <w:noWrap w:val="0"/>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1355</w:t>
                  </w: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新民乡卫生院</w:t>
                  </w:r>
                </w:p>
              </w:tc>
              <w:tc>
                <w:tcPr>
                  <w:tcW w:w="773"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106.444348</w:t>
                  </w:r>
                </w:p>
              </w:tc>
              <w:tc>
                <w:tcPr>
                  <w:tcW w:w="690" w:type="pct"/>
                  <w:tcBorders>
                    <w:tl2br w:val="nil"/>
                    <w:tr2bl w:val="nil"/>
                  </w:tcBorders>
                  <w:shd w:val="clear" w:color="auto" w:fill="auto"/>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35.32595</w:t>
                  </w:r>
                </w:p>
              </w:tc>
              <w:tc>
                <w:tcPr>
                  <w:tcW w:w="431" w:type="pct"/>
                  <w:tcBorders>
                    <w:tl2br w:val="nil"/>
                    <w:tr2bl w:val="nil"/>
                  </w:tcBorders>
                  <w:noWrap w:val="0"/>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w:t>
                  </w:r>
                </w:p>
              </w:tc>
              <w:tc>
                <w:tcPr>
                  <w:tcW w:w="56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w:t>
                  </w:r>
                </w:p>
              </w:tc>
              <w:tc>
                <w:tcPr>
                  <w:tcW w:w="531"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390m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pct"/>
                  <w:shd w:val="clear" w:color="auto" w:fill="auto"/>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新民乡政府</w:t>
                  </w:r>
                </w:p>
              </w:tc>
              <w:tc>
                <w:tcPr>
                  <w:tcW w:w="773" w:type="pct"/>
                  <w:shd w:val="clear" w:color="auto" w:fill="auto"/>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106.445065</w:t>
                  </w:r>
                </w:p>
              </w:tc>
              <w:tc>
                <w:tcPr>
                  <w:tcW w:w="690" w:type="pct"/>
                  <w:shd w:val="clear" w:color="auto" w:fill="auto"/>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35.326046</w:t>
                  </w:r>
                </w:p>
              </w:tc>
              <w:tc>
                <w:tcPr>
                  <w:tcW w:w="431" w:type="pct"/>
                  <w:vAlign w:val="center"/>
                </w:tcPr>
                <w:p>
                  <w:pPr>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76" w:type="pct"/>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29</w:t>
                  </w:r>
                </w:p>
              </w:tc>
              <w:tc>
                <w:tcPr>
                  <w:tcW w:w="568" w:type="pct"/>
                  <w:vMerge w:val="continue"/>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w:t>
                  </w:r>
                </w:p>
              </w:tc>
              <w:tc>
                <w:tcPr>
                  <w:tcW w:w="531" w:type="pct"/>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369m</w:t>
                  </w:r>
                </w:p>
              </w:tc>
            </w:tr>
          </w:tbl>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②声环境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本项目厂界周边50米范围内声环境保护目标</w:t>
            </w:r>
            <w:r>
              <w:rPr>
                <w:rFonts w:hint="default" w:ascii="Times New Roman" w:hAnsi="Times New Roman" w:cs="Times New Roman"/>
                <w:b w:val="0"/>
                <w:bCs/>
                <w:color w:val="auto"/>
                <w:sz w:val="24"/>
                <w:szCs w:val="24"/>
                <w:lang w:val="en-US" w:eastAsia="zh-CN"/>
              </w:rPr>
              <w:t>为杨堡村，声环境保护目标见表3-4，具体分布情况见附图3-3。</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表3-</w:t>
            </w:r>
            <w:r>
              <w:rPr>
                <w:rFonts w:hint="default" w:ascii="Times New Roman" w:hAnsi="Times New Roman" w:cs="Times New Roman"/>
                <w:color w:val="auto"/>
                <w:lang w:val="en-US" w:eastAsia="zh-CN"/>
              </w:rPr>
              <w:t>4</w:t>
            </w:r>
            <w:r>
              <w:rPr>
                <w:rFonts w:hint="default" w:ascii="Times New Roman" w:hAnsi="Times New Roman" w:eastAsia="黑体" w:cs="Times New Roman"/>
                <w:color w:val="auto"/>
                <w:lang w:val="en-US" w:eastAsia="zh-CN"/>
              </w:rPr>
              <w:t xml:space="preserve">  项目声环境保护目标分布一览表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312"/>
              <w:gridCol w:w="1254"/>
              <w:gridCol w:w="701"/>
              <w:gridCol w:w="902"/>
              <w:gridCol w:w="1465"/>
              <w:gridCol w:w="1031"/>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4"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494" w:type="pct"/>
                  <w:gridSpan w:val="2"/>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08"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25"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保护内容（人）</w:t>
                  </w:r>
                </w:p>
              </w:tc>
              <w:tc>
                <w:tcPr>
                  <w:tcW w:w="853"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环境功能区</w:t>
                  </w:r>
                </w:p>
              </w:tc>
              <w:tc>
                <w:tcPr>
                  <w:tcW w:w="600"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63"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4"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764"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73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08"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25"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853"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600"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63"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杨堡村</w:t>
                  </w:r>
                </w:p>
              </w:tc>
              <w:tc>
                <w:tcPr>
                  <w:tcW w:w="1260" w:type="dxa"/>
                  <w:tcBorders>
                    <w:tl2br w:val="nil"/>
                    <w:tr2bl w:val="nil"/>
                  </w:tcBorders>
                  <w:noWrap w:val="0"/>
                  <w:vAlign w:val="center"/>
                </w:tcPr>
                <w:p>
                  <w:pPr>
                    <w:pStyle w:val="34"/>
                    <w:spacing w:before="24" w:after="24"/>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106.446515</w:t>
                  </w:r>
                </w:p>
              </w:tc>
              <w:tc>
                <w:tcPr>
                  <w:tcW w:w="1204" w:type="dxa"/>
                  <w:tcBorders>
                    <w:tl2br w:val="nil"/>
                    <w:tr2bl w:val="nil"/>
                  </w:tcBorders>
                  <w:noWrap w:val="0"/>
                  <w:vAlign w:val="center"/>
                </w:tcPr>
                <w:p>
                  <w:pPr>
                    <w:pStyle w:val="34"/>
                    <w:spacing w:before="24" w:after="24"/>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35.321609</w:t>
                  </w:r>
                </w:p>
              </w:tc>
              <w:tc>
                <w:tcPr>
                  <w:tcW w:w="408"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2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1355</w:t>
                  </w:r>
                </w:p>
              </w:tc>
              <w:tc>
                <w:tcPr>
                  <w:tcW w:w="853"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声环境二类</w:t>
                  </w:r>
                </w:p>
              </w:tc>
              <w:tc>
                <w:tcPr>
                  <w:tcW w:w="60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E</w:t>
                  </w:r>
                </w:p>
              </w:tc>
              <w:tc>
                <w:tcPr>
                  <w:tcW w:w="563"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m</w:t>
                  </w:r>
                </w:p>
              </w:tc>
            </w:tr>
          </w:tbl>
          <w:p>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③地下水环境：厂界外500米范围内的不涉及地下水集中式饮用水水源和热水、矿泉水、温泉等特殊地下水资源；</w:t>
            </w:r>
          </w:p>
          <w:p>
            <w:pPr>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color w:val="auto"/>
                <w:sz w:val="24"/>
                <w:szCs w:val="24"/>
                <w:lang w:val="en-US" w:eastAsia="zh-CN"/>
              </w:rPr>
              <w:t>④生态环境：本项目位于固原市泾源县</w:t>
            </w:r>
            <w:r>
              <w:rPr>
                <w:rFonts w:hint="default" w:ascii="Times New Roman" w:hAnsi="Times New Roman" w:cs="Times New Roman"/>
                <w:b w:val="0"/>
                <w:bCs/>
                <w:color w:val="auto"/>
                <w:sz w:val="24"/>
                <w:szCs w:val="24"/>
                <w:lang w:val="en-US" w:eastAsia="zh-CN"/>
              </w:rPr>
              <w:t>新民乡杨堡村宁夏延龄生态农业开发有限公司</w:t>
            </w:r>
            <w:r>
              <w:rPr>
                <w:rFonts w:hint="default" w:ascii="Times New Roman" w:hAnsi="Times New Roman" w:eastAsia="宋体" w:cs="Times New Roman"/>
                <w:b w:val="0"/>
                <w:bCs/>
                <w:color w:val="auto"/>
                <w:sz w:val="24"/>
                <w:szCs w:val="24"/>
                <w:lang w:val="en-US" w:eastAsia="zh-CN"/>
              </w:rPr>
              <w:t>现有厂区内，不新增用地，不涉及生态环境保护目标。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8"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污染物排放控制标准</w:t>
            </w:r>
          </w:p>
        </w:tc>
        <w:tc>
          <w:tcPr>
            <w:tcW w:w="8492" w:type="dxa"/>
            <w:tcBorders>
              <w:tl2br w:val="nil"/>
              <w:tr2bl w:val="nil"/>
            </w:tcBorders>
            <w:noWrap w:val="0"/>
            <w:vAlign w:val="center"/>
          </w:tcPr>
          <w:p>
            <w:pPr>
              <w:pStyle w:val="5"/>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color w:val="auto"/>
                <w:sz w:val="24"/>
                <w:szCs w:val="24"/>
                <w:lang w:val="en-US" w:eastAsia="zh-CN"/>
              </w:rPr>
            </w:pPr>
            <w:bookmarkStart w:id="11" w:name="_Toc471"/>
            <w:bookmarkStart w:id="12" w:name="_Toc1769"/>
            <w:bookmarkStart w:id="13" w:name="_Toc18804"/>
            <w:bookmarkStart w:id="14" w:name="_Toc25191"/>
            <w:r>
              <w:rPr>
                <w:rFonts w:hint="default" w:ascii="Times New Roman" w:hAnsi="Times New Roman" w:eastAsia="黑体" w:cs="Times New Roman"/>
                <w:color w:val="auto"/>
                <w:sz w:val="24"/>
                <w:szCs w:val="24"/>
                <w:lang w:val="en-US" w:eastAsia="zh-CN"/>
              </w:rPr>
              <w:t>一、废气</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项目施工期扬尘执行《大气污染物综合排放标准》（GB16297-1996）表2新污染源大气污染物排放限值，</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见表3</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p>
          <w:p>
            <w:pPr>
              <w:pStyle w:val="47"/>
              <w:spacing w:before="0" w:after="0" w:line="240" w:lineRule="auto"/>
              <w:rPr>
                <w:rFonts w:hint="default" w:ascii="Times New Roman" w:hAnsi="Times New Roman" w:eastAsia="黑体" w:cs="Times New Roman"/>
                <w:bCs/>
                <w:color w:val="auto"/>
              </w:rPr>
            </w:pPr>
            <w:r>
              <w:rPr>
                <w:rFonts w:hint="default" w:ascii="Times New Roman" w:hAnsi="Times New Roman" w:eastAsia="黑体" w:cs="Times New Roman"/>
                <w:bCs/>
                <w:color w:val="auto"/>
              </w:rPr>
              <w:t>表3-</w:t>
            </w:r>
            <w:r>
              <w:rPr>
                <w:rFonts w:hint="default" w:ascii="Times New Roman" w:hAnsi="Times New Roman" w:eastAsia="黑体" w:cs="Times New Roman"/>
                <w:bCs/>
                <w:color w:val="auto"/>
                <w:lang w:val="en-US" w:eastAsia="zh-CN"/>
              </w:rPr>
              <w:t>5</w:t>
            </w:r>
            <w:r>
              <w:rPr>
                <w:rFonts w:hint="default" w:ascii="Times New Roman" w:hAnsi="Times New Roman" w:eastAsia="黑体" w:cs="Times New Roman"/>
                <w:bCs/>
                <w:color w:val="auto"/>
              </w:rPr>
              <w:t xml:space="preserve">  </w:t>
            </w:r>
            <w:r>
              <w:rPr>
                <w:rFonts w:hint="default" w:ascii="Times New Roman" w:hAnsi="Times New Roman" w:eastAsia="黑体" w:cs="Times New Roman"/>
                <w:bCs/>
                <w:color w:val="auto"/>
                <w:lang w:val="en-US" w:eastAsia="zh-CN"/>
              </w:rPr>
              <w:t>本项目施工期</w:t>
            </w:r>
            <w:r>
              <w:rPr>
                <w:rFonts w:hint="default" w:ascii="Times New Roman" w:hAnsi="Times New Roman" w:eastAsia="黑体" w:cs="Times New Roman"/>
                <w:bCs/>
                <w:color w:val="auto"/>
              </w:rPr>
              <w:t>废气排放标准</w:t>
            </w:r>
          </w:p>
          <w:tbl>
            <w:tblPr>
              <w:tblStyle w:val="25"/>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59"/>
              <w:gridCol w:w="2876"/>
              <w:gridCol w:w="4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17"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67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厂界无组织排放监控浓度限值(mg/m³)</w:t>
                  </w:r>
                </w:p>
              </w:tc>
              <w:tc>
                <w:tcPr>
                  <w:tcW w:w="270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17"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7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0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2、运营期</w:t>
            </w:r>
          </w:p>
          <w:p>
            <w:pPr>
              <w:numPr>
                <w:ilvl w:val="0"/>
                <w:numId w:val="1"/>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有组织废气</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lang w:val="en-US" w:eastAsia="zh-CN"/>
              </w:rPr>
              <w:t>本项目有组织废气主要污染物为颗粒物、氨、硫化氢及臭气浓度，其中颗粒物</w:t>
            </w:r>
            <w:r>
              <w:rPr>
                <w:rFonts w:hint="default" w:ascii="Times New Roman" w:hAnsi="Times New Roman" w:cs="Times New Roman"/>
                <w:color w:val="auto"/>
                <w:sz w:val="24"/>
                <w:szCs w:val="24"/>
              </w:rPr>
              <w:t>排放执行《大气污染物综合排放标准》（GB16297-1996）表2新污染源排放限值</w:t>
            </w:r>
            <w:r>
              <w:rPr>
                <w:rFonts w:hint="default" w:ascii="Times New Roman" w:hAnsi="Times New Roman" w:cs="Times New Roman"/>
                <w:color w:val="auto"/>
                <w:sz w:val="24"/>
                <w:szCs w:val="24"/>
                <w:lang w:val="en-US" w:eastAsia="zh-CN"/>
              </w:rPr>
              <w:t>中二级标准限值要求；氨、硫化氢及臭气浓度排放速率及浓度执行《恶臭污染物排放标准》（GB14554-93）限值要求，详见表3-6。</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3-6  有组织废气排放标准限值要求一览表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171"/>
              <w:gridCol w:w="1733"/>
              <w:gridCol w:w="1834"/>
              <w:gridCol w:w="2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排气筒高度/m</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最高允许排放速率(kg/h</w:t>
                  </w:r>
                  <w:r>
                    <w:rPr>
                      <w:rFonts w:hint="default" w:ascii="Times New Roman" w:hAnsi="Times New Roman" w:cs="Times New Roman"/>
                      <w:b/>
                      <w:bCs/>
                      <w:color w:val="auto"/>
                      <w:sz w:val="21"/>
                      <w:szCs w:val="21"/>
                      <w:vertAlign w:val="baseline"/>
                      <w:lang w:val="en-US" w:eastAsia="zh-CN"/>
                    </w:rPr>
                    <w:t>)</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82" w:type="pct"/>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w:t>
                  </w:r>
                </w:p>
              </w:tc>
              <w:tc>
                <w:tcPr>
                  <w:tcW w:w="15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硫化氢</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臭气浓度</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2000（无量纲）</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bl>
          <w:p>
            <w:pPr>
              <w:numPr>
                <w:ilvl w:val="0"/>
                <w:numId w:val="0"/>
              </w:num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sz w:val="24"/>
                <w:lang w:val="en-US" w:eastAsia="zh-CN"/>
              </w:rPr>
              <w:t>无组织废气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本项目厂界处颗粒物排放执行</w:t>
            </w:r>
            <w:r>
              <w:rPr>
                <w:rFonts w:hint="default" w:ascii="Times New Roman" w:hAnsi="Times New Roman" w:cs="Times New Roman"/>
                <w:color w:val="auto"/>
                <w:sz w:val="24"/>
                <w:szCs w:val="24"/>
              </w:rPr>
              <w:t>《大气污染物综合排放标准》（GB16297-1996）表2</w:t>
            </w:r>
            <w:r>
              <w:rPr>
                <w:rFonts w:hint="default" w:ascii="Times New Roman" w:hAnsi="Times New Roman" w:cs="Times New Roman"/>
                <w:color w:val="auto"/>
                <w:sz w:val="24"/>
                <w:szCs w:val="24"/>
                <w:lang w:val="en-US" w:eastAsia="zh-CN"/>
              </w:rPr>
              <w:t>无组织排放控制浓度限值要求；氨、硫化氢及臭气浓度执行《恶臭污染物排放标准》（GB14554-93）排放限值要求，</w:t>
            </w:r>
            <w:r>
              <w:rPr>
                <w:rFonts w:hint="default" w:ascii="Times New Roman" w:hAnsi="Times New Roman" w:cs="Times New Roman"/>
                <w:color w:val="auto"/>
                <w:sz w:val="24"/>
                <w:szCs w:val="24"/>
                <w:lang w:eastAsia="zh-CN"/>
              </w:rPr>
              <w:t>具体见</w:t>
            </w:r>
            <w:r>
              <w:rPr>
                <w:rFonts w:hint="default" w:ascii="Times New Roman" w:hAnsi="Times New Roman" w:cs="Times New Roman"/>
                <w:color w:val="auto"/>
                <w:sz w:val="24"/>
                <w:szCs w:val="24"/>
                <w:lang w:val="en-US" w:eastAsia="zh-CN"/>
              </w:rPr>
              <w:t>下表3-7</w:t>
            </w:r>
            <w:r>
              <w:rPr>
                <w:rFonts w:hint="default" w:ascii="Times New Roman" w:hAnsi="Times New Roman" w:cs="Times New Roman"/>
                <w:color w:val="auto"/>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lang w:eastAsia="zh-CN"/>
              </w:rPr>
            </w:pPr>
            <w:bookmarkStart w:id="15" w:name="_Toc27474"/>
            <w:bookmarkStart w:id="16" w:name="_Toc20458"/>
            <w:bookmarkStart w:id="17" w:name="_Toc1680"/>
            <w:bookmarkStart w:id="18" w:name="_Toc29661"/>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 xml:space="preserve">3-7  </w:t>
            </w:r>
            <w:r>
              <w:rPr>
                <w:rFonts w:hint="default" w:ascii="Times New Roman" w:hAnsi="Times New Roman" w:eastAsia="黑体" w:cs="Times New Roman"/>
                <w:color w:val="auto"/>
                <w:sz w:val="24"/>
                <w:szCs w:val="24"/>
                <w:lang w:eastAsia="zh-CN"/>
              </w:rPr>
              <w:t>无组织废气排放标准限值要求一览表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4166"/>
              <w:gridCol w:w="3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污染物</w:t>
                  </w:r>
                </w:p>
              </w:tc>
              <w:tc>
                <w:tcPr>
                  <w:tcW w:w="2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无组织排放控制浓度限值</w:t>
                  </w:r>
                  <w:r>
                    <w:rPr>
                      <w:rFonts w:hint="default" w:ascii="Times New Roman" w:hAnsi="Times New Roman" w:cs="Times New Roman"/>
                      <w:b/>
                      <w:bCs/>
                      <w:color w:val="auto"/>
                      <w:sz w:val="21"/>
                      <w:szCs w:val="21"/>
                      <w:lang w:val="en-US" w:eastAsia="zh-CN"/>
                    </w:rPr>
                    <w:t>(mg/m³</w:t>
                  </w:r>
                  <w:r>
                    <w:rPr>
                      <w:rFonts w:hint="default" w:ascii="Times New Roman" w:hAnsi="Times New Roman" w:cs="Times New Roman"/>
                      <w:b/>
                      <w:bCs/>
                      <w:color w:val="auto"/>
                      <w:sz w:val="21"/>
                      <w:szCs w:val="21"/>
                      <w:vertAlign w:val="baseline"/>
                      <w:lang w:val="en-US" w:eastAsia="zh-CN"/>
                    </w:rPr>
                    <w:t>)</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2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氨</w:t>
                  </w:r>
                </w:p>
              </w:tc>
              <w:tc>
                <w:tcPr>
                  <w:tcW w:w="2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7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硫化氢</w:t>
                  </w:r>
                </w:p>
              </w:tc>
              <w:tc>
                <w:tcPr>
                  <w:tcW w:w="2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臭气浓度</w:t>
                  </w:r>
                </w:p>
              </w:tc>
              <w:tc>
                <w:tcPr>
                  <w:tcW w:w="2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20（无量纲）</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bl>
          <w:p>
            <w:pPr>
              <w:pStyle w:val="5"/>
              <w:bidi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二、</w:t>
            </w:r>
            <w:r>
              <w:rPr>
                <w:rFonts w:hint="default" w:ascii="Times New Roman" w:hAnsi="Times New Roman" w:cs="Times New Roman"/>
                <w:color w:val="auto"/>
                <w:sz w:val="24"/>
                <w:szCs w:val="24"/>
                <w:lang w:val="en-US" w:eastAsia="zh-CN"/>
              </w:rPr>
              <w:t>废水</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本项目运营期主要为生活污水，经化粪池（8m³）处理后，交由新民乡污水处理公司统一拉运处置，不外排</w:t>
            </w:r>
            <w:r>
              <w:rPr>
                <w:rFonts w:hint="default" w:ascii="Times New Roman" w:hAnsi="Times New Roman" w:cs="Times New Roman"/>
                <w:color w:val="auto"/>
                <w:lang w:eastAsia="zh-CN"/>
              </w:rPr>
              <w:t>。</w:t>
            </w:r>
          </w:p>
          <w:bookmarkEnd w:id="15"/>
          <w:bookmarkEnd w:id="16"/>
          <w:bookmarkEnd w:id="17"/>
          <w:bookmarkEnd w:id="18"/>
          <w:p>
            <w:pPr>
              <w:pStyle w:val="5"/>
              <w:bidi w:val="0"/>
              <w:spacing w:line="360" w:lineRule="auto"/>
              <w:rPr>
                <w:rFonts w:hint="default" w:ascii="Times New Roman" w:hAnsi="Times New Roman" w:cs="Times New Roman"/>
                <w:color w:val="auto"/>
                <w:sz w:val="24"/>
                <w:szCs w:val="24"/>
              </w:rPr>
            </w:pPr>
            <w:bookmarkStart w:id="19" w:name="_Toc5614"/>
            <w:bookmarkStart w:id="20" w:name="_Toc24970"/>
            <w:bookmarkStart w:id="21" w:name="_Toc1449"/>
            <w:bookmarkStart w:id="22" w:name="_Toc26951"/>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rPr>
              <w:t>噪声</w:t>
            </w:r>
            <w:bookmarkEnd w:id="19"/>
            <w:bookmarkEnd w:id="20"/>
            <w:bookmarkEnd w:id="21"/>
            <w:bookmarkEnd w:id="22"/>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本项目施工期</w:t>
            </w:r>
            <w:r>
              <w:rPr>
                <w:rFonts w:hint="default" w:ascii="Times New Roman" w:hAnsi="Times New Roman" w:cs="Times New Roman"/>
                <w:color w:val="auto"/>
                <w:sz w:val="24"/>
                <w:szCs w:val="24"/>
              </w:rPr>
              <w:t>厂界噪声排放执行《建筑施工场界环境噪声排放标准》（GB12523-2011）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运营期厂界噪声排放执行</w:t>
            </w:r>
            <w:r>
              <w:rPr>
                <w:rFonts w:hint="default" w:ascii="Times New Roman" w:hAnsi="Times New Roman" w:cs="Times New Roman"/>
                <w:color w:val="auto"/>
                <w:sz w:val="24"/>
                <w:szCs w:val="24"/>
              </w:rPr>
              <w:t>《工业企业厂界环境噪声排放标准》（GB12348-2008）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default" w:ascii="Times New Roman" w:hAnsi="Times New Roman" w:cs="Times New Roman"/>
                <w:color w:val="auto"/>
                <w:sz w:val="24"/>
                <w:szCs w:val="24"/>
              </w:rPr>
              <w:t>，具体见表</w:t>
            </w:r>
            <w:r>
              <w:rPr>
                <w:rFonts w:hint="default" w:ascii="Times New Roman" w:hAnsi="Times New Roman" w:cs="Times New Roman"/>
                <w:color w:val="auto"/>
                <w:sz w:val="24"/>
                <w:szCs w:val="24"/>
                <w:lang w:val="en-US" w:eastAsia="zh-CN"/>
              </w:rPr>
              <w:t>3-8</w:t>
            </w:r>
            <w:r>
              <w:rPr>
                <w:rFonts w:hint="default" w:ascii="Times New Roman" w:hAnsi="Times New Roman" w:cs="Times New Roman"/>
                <w:color w:val="auto"/>
                <w:sz w:val="24"/>
                <w:szCs w:val="24"/>
              </w:rPr>
              <w:t>。</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3-8</w:t>
            </w: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lang w:val="en-US" w:eastAsia="zh-CN"/>
              </w:rPr>
              <w:t>厂界噪声</w:t>
            </w:r>
            <w:r>
              <w:rPr>
                <w:rFonts w:hint="default" w:ascii="Times New Roman" w:hAnsi="Times New Roman" w:eastAsia="黑体" w:cs="Times New Roman"/>
                <w:color w:val="auto"/>
              </w:rPr>
              <w:t>排放标准表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61"/>
              <w:gridCol w:w="3814"/>
              <w:gridCol w:w="1103"/>
              <w:gridCol w:w="878"/>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24" w:type="pct"/>
                  <w:gridSpan w:val="2"/>
                  <w:vMerge w:val="restart"/>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污染类别</w:t>
                  </w:r>
                </w:p>
              </w:tc>
              <w:tc>
                <w:tcPr>
                  <w:tcW w:w="2221" w:type="pct"/>
                  <w:vMerge w:val="restart"/>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c>
                <w:tcPr>
                  <w:tcW w:w="642" w:type="pct"/>
                  <w:vMerge w:val="restart"/>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级(类)别</w:t>
                  </w:r>
                </w:p>
              </w:tc>
              <w:tc>
                <w:tcPr>
                  <w:tcW w:w="1111" w:type="pct"/>
                  <w:gridSpan w:val="2"/>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gridSpan w:val="2"/>
                  <w:vMerge w:val="continue"/>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p>
              </w:tc>
              <w:tc>
                <w:tcPr>
                  <w:tcW w:w="2221" w:type="pct"/>
                  <w:vMerge w:val="continue"/>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p>
              </w:tc>
              <w:tc>
                <w:tcPr>
                  <w:tcW w:w="642" w:type="pct"/>
                  <w:vMerge w:val="continue"/>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p>
              </w:tc>
              <w:tc>
                <w:tcPr>
                  <w:tcW w:w="511" w:type="pct"/>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昼间</w:t>
                  </w:r>
                </w:p>
              </w:tc>
              <w:tc>
                <w:tcPr>
                  <w:tcW w:w="600" w:type="pct"/>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restart"/>
                  <w:tcBorders>
                    <w:tl2br w:val="nil"/>
                    <w:tr2bl w:val="nil"/>
                  </w:tcBorders>
                  <w:noWrap w:val="0"/>
                  <w:vAlign w:val="center"/>
                </w:tcPr>
                <w:p>
                  <w:pPr>
                    <w:pStyle w:val="58"/>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618"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施工期</w:t>
                  </w:r>
                </w:p>
              </w:tc>
              <w:tc>
                <w:tcPr>
                  <w:tcW w:w="2221"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《建筑施工场界环境噪声排放标准》GB12523-2011</w:t>
                  </w:r>
                </w:p>
              </w:tc>
              <w:tc>
                <w:tcPr>
                  <w:tcW w:w="642"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w:t>
                  </w:r>
                </w:p>
              </w:tc>
              <w:tc>
                <w:tcPr>
                  <w:tcW w:w="511"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70</w:t>
                  </w:r>
                </w:p>
              </w:tc>
              <w:tc>
                <w:tcPr>
                  <w:tcW w:w="600"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continue"/>
                  <w:tcBorders>
                    <w:tl2br w:val="nil"/>
                    <w:tr2bl w:val="nil"/>
                  </w:tcBorders>
                  <w:noWrap w:val="0"/>
                  <w:vAlign w:val="center"/>
                </w:tcPr>
                <w:p>
                  <w:pPr>
                    <w:pStyle w:val="58"/>
                    <w:bidi w:val="0"/>
                    <w:jc w:val="center"/>
                    <w:rPr>
                      <w:rFonts w:hint="default" w:ascii="Times New Roman" w:hAnsi="Times New Roman" w:eastAsia="宋体" w:cs="Times New Roman"/>
                      <w:color w:val="auto"/>
                    </w:rPr>
                  </w:pPr>
                </w:p>
              </w:tc>
              <w:tc>
                <w:tcPr>
                  <w:tcW w:w="618"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运营期</w:t>
                  </w:r>
                </w:p>
              </w:tc>
              <w:tc>
                <w:tcPr>
                  <w:tcW w:w="2221"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《工业企业厂界环境噪声排放标准》GB12348-2008</w:t>
                  </w:r>
                </w:p>
              </w:tc>
              <w:tc>
                <w:tcPr>
                  <w:tcW w:w="642"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w:t>
                  </w:r>
                </w:p>
              </w:tc>
              <w:tc>
                <w:tcPr>
                  <w:tcW w:w="511"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60</w:t>
                  </w:r>
                </w:p>
              </w:tc>
              <w:tc>
                <w:tcPr>
                  <w:tcW w:w="600"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50</w:t>
                  </w:r>
                </w:p>
              </w:tc>
            </w:tr>
          </w:tbl>
          <w:p>
            <w:pPr>
              <w:pStyle w:val="5"/>
              <w:bidi w:val="0"/>
              <w:rPr>
                <w:rFonts w:hint="default" w:ascii="Times New Roman" w:hAnsi="Times New Roman" w:cs="Times New Roman"/>
                <w:color w:val="auto"/>
                <w:sz w:val="24"/>
                <w:szCs w:val="24"/>
              </w:rPr>
            </w:pPr>
            <w:bookmarkStart w:id="23" w:name="_Toc17890"/>
            <w:bookmarkStart w:id="24" w:name="_Toc3704"/>
            <w:bookmarkStart w:id="25" w:name="_Toc11884"/>
            <w:bookmarkStart w:id="26" w:name="_Toc1952"/>
            <w:r>
              <w:rPr>
                <w:rFonts w:hint="default" w:ascii="Times New Roman" w:hAnsi="Times New Roman" w:cs="Times New Roman"/>
                <w:color w:val="auto"/>
                <w:sz w:val="24"/>
                <w:szCs w:val="24"/>
                <w:lang w:val="en-US" w:eastAsia="zh-CN"/>
              </w:rPr>
              <w:t>四、</w:t>
            </w:r>
            <w:r>
              <w:rPr>
                <w:rFonts w:hint="default" w:ascii="Times New Roman" w:hAnsi="Times New Roman" w:cs="Times New Roman"/>
                <w:color w:val="auto"/>
                <w:sz w:val="24"/>
                <w:szCs w:val="24"/>
              </w:rPr>
              <w:t>固体废物</w:t>
            </w:r>
            <w:bookmarkEnd w:id="23"/>
            <w:bookmarkEnd w:id="24"/>
            <w:bookmarkEnd w:id="25"/>
            <w:bookmarkEnd w:id="26"/>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工业固体废物处置执行《一般工业固体废物贮存和填埋污染控制标准》（GB18599-2020），其中采用库房、包装工具（罐、桶、包装袋等）贮存一般工业固体废物过程的污染控制，不适用《一般工业固体废物贮存和填埋污染控制标准》(GB18599-2020)，其贮存过程应满足相应防渗漏、防雨淋、防扬尘等环境保护要求；</w:t>
            </w:r>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（2）生活垃圾处理、处置应满足《中华人民共和国固体废物污染环境防治法》中的有关规定要求。</w:t>
            </w:r>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（3）本项目生产过程涉及危险废物的产生、收集、贮存等过程，执行《危险废物贮存污染控制标准》（GB18597-2023）及《危险废物收集 贮存 运输技术规范》（HJ2025-2012）要求。</w:t>
            </w:r>
          </w:p>
          <w:p>
            <w:pPr>
              <w:pStyle w:val="5"/>
              <w:ind w:firstLine="480" w:firstLineChars="200"/>
              <w:rPr>
                <w:rFonts w:hint="default" w:ascii="Times New Roman" w:hAnsi="Times New Roman" w:eastAsia="宋体" w:cs="Times New Roman"/>
                <w:color w:val="auto"/>
                <w:sz w:val="24"/>
                <w:szCs w:val="24"/>
                <w:lang w:val="en-US" w:eastAsia="zh-CN"/>
              </w:rPr>
            </w:pPr>
          </w:p>
          <w:p>
            <w:pPr>
              <w:pStyle w:val="5"/>
              <w:ind w:firstLine="480" w:firstLineChars="200"/>
              <w:rPr>
                <w:rFonts w:hint="default" w:ascii="Times New Roman" w:hAnsi="Times New Roman" w:eastAsia="宋体" w:cs="Times New Roman"/>
                <w:color w:val="auto"/>
                <w:sz w:val="24"/>
                <w:szCs w:val="24"/>
                <w:lang w:val="en-US" w:eastAsia="zh-CN"/>
              </w:rPr>
            </w:pPr>
          </w:p>
          <w:p>
            <w:pPr>
              <w:pStyle w:val="5"/>
              <w:ind w:firstLine="420" w:firstLineChars="200"/>
              <w:rPr>
                <w:rFonts w:hint="default" w:ascii="Times New Roman" w:hAnsi="Times New Roman"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8"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总量控制指标</w:t>
            </w:r>
          </w:p>
        </w:tc>
        <w:tc>
          <w:tcPr>
            <w:tcW w:w="8492" w:type="dxa"/>
            <w:tcBorders>
              <w:tl2br w:val="nil"/>
              <w:tr2bl w:val="nil"/>
            </w:tcBorders>
            <w:noWrap w:val="0"/>
            <w:vAlign w:val="top"/>
          </w:tcPr>
          <w:p>
            <w:pPr>
              <w:adjustRightInd w:val="0"/>
              <w:snapToGrid w:val="0"/>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根据《国务院关于印发大气污染防治行动计划的通知》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国发</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2013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37号</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，大气污染防治行动计划要求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严格实施污染物排放总量控制，将二氧化硫、氮氧化物、烟粉尘和挥发性有机物排放是否符合总量控制要求作为建设项目环境影响评价审批的前置条件</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。根据《宁夏回族自治区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十四五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主要污染物减排综合工作方案》（宁生态环保办[2021]14号）</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宁夏大气污染物排放总量控制因子为</w:t>
            </w:r>
            <w:r>
              <w:rPr>
                <w:rFonts w:hint="default" w:ascii="Times New Roman" w:hAnsi="Times New Roman" w:cs="Times New Roman"/>
                <w:color w:val="auto"/>
                <w:sz w:val="24"/>
                <w:highlight w:val="none"/>
                <w:lang w:val="en-US" w:eastAsia="zh-CN"/>
              </w:rPr>
              <w:t>SO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x</w:t>
            </w:r>
            <w:r>
              <w:rPr>
                <w:rFonts w:hint="default" w:ascii="Times New Roman" w:hAnsi="Times New Roman" w:eastAsia="宋体" w:cs="Times New Roman"/>
                <w:color w:val="auto"/>
                <w:sz w:val="24"/>
                <w:highlight w:val="none"/>
              </w:rPr>
              <w:t>、VOCs，水污染物排放总量控制因子为COD、NH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一、大气污染物排放总量指标</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根据工程分析可知，本项目大气污染物排放总量控制因子为颗粒物，颗粒物不属于总量控制指标因子，不涉及总量控制的大气污染物</w:t>
            </w:r>
            <w:r>
              <w:rPr>
                <w:rFonts w:hint="default" w:ascii="Times New Roman" w:hAnsi="Times New Roman" w:cs="Times New Roman"/>
                <w:color w:val="auto"/>
                <w:lang w:eastAsia="zh-CN"/>
              </w:rPr>
              <w:t>。</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二、水污染物排放总量指标</w:t>
            </w:r>
          </w:p>
          <w:p>
            <w:pPr>
              <w:adjustRightInd w:val="0"/>
              <w:snapToGrid w:val="0"/>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lang w:val="en-US" w:eastAsia="zh-CN"/>
              </w:rPr>
              <w:t>根据工程分析可知，项目主要为生活污水，</w:t>
            </w:r>
            <w:r>
              <w:rPr>
                <w:rFonts w:hint="default" w:ascii="Times New Roman" w:hAnsi="Times New Roman" w:cs="Times New Roman"/>
                <w:color w:val="auto"/>
                <w:sz w:val="24"/>
                <w:szCs w:val="24"/>
                <w:highlight w:val="none"/>
                <w:lang w:val="en-US" w:eastAsia="zh-CN"/>
              </w:rPr>
              <w:t>经化粪池（8m³）处理后，交由新民乡污水处理公司统一拉运处置</w:t>
            </w:r>
            <w:r>
              <w:rPr>
                <w:rFonts w:hint="default" w:ascii="Times New Roman" w:hAnsi="Times New Roman" w:cs="Times New Roman"/>
                <w:color w:val="auto"/>
                <w:sz w:val="24"/>
                <w:highlight w:val="none"/>
                <w:lang w:val="en-US" w:eastAsia="zh-CN"/>
              </w:rPr>
              <w:t>，不外排，故本项目无水污染物排放总量指标因子。</w:t>
            </w: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7" w:hRule="atLeast"/>
          <w:jc w:val="center"/>
        </w:trPr>
        <w:tc>
          <w:tcPr>
            <w:tcW w:w="399" w:type="dxa"/>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施工期环境保护措施</w:t>
            </w:r>
          </w:p>
        </w:tc>
        <w:tc>
          <w:tcPr>
            <w:tcW w:w="8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rPr>
              <w:t>本项目</w:t>
            </w:r>
            <w:r>
              <w:rPr>
                <w:rFonts w:hint="default" w:ascii="Times New Roman" w:hAnsi="Times New Roman" w:cs="Times New Roman"/>
                <w:bCs/>
                <w:color w:val="auto"/>
                <w:sz w:val="24"/>
                <w:szCs w:val="24"/>
                <w:highlight w:val="none"/>
                <w:lang w:eastAsia="zh-CN"/>
              </w:rPr>
              <w:t>施工期</w:t>
            </w:r>
            <w:r>
              <w:rPr>
                <w:rFonts w:hint="default" w:ascii="Times New Roman" w:hAnsi="Times New Roman" w:cs="Times New Roman"/>
                <w:color w:val="auto"/>
                <w:sz w:val="24"/>
                <w:szCs w:val="24"/>
                <w:lang w:val="en-US" w:eastAsia="zh-CN"/>
              </w:rPr>
              <w:t>主要为基础开挖、场地</w:t>
            </w:r>
            <w:r>
              <w:rPr>
                <w:rFonts w:hint="default" w:ascii="Times New Roman" w:hAnsi="Times New Roman" w:cs="Times New Roman"/>
                <w:color w:val="auto"/>
                <w:sz w:val="24"/>
              </w:rPr>
              <w:t>平整及配套设施</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环保设施的建设与安装</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lang w:val="en-US" w:eastAsia="zh-CN"/>
              </w:rPr>
              <w:t>雨水排水沟的建设</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施工期</w:t>
            </w:r>
            <w:r>
              <w:rPr>
                <w:rFonts w:hint="default" w:ascii="Times New Roman" w:hAnsi="Times New Roman" w:cs="Times New Roman"/>
                <w:color w:val="auto"/>
                <w:sz w:val="24"/>
                <w:szCs w:val="24"/>
                <w:lang w:val="en-US" w:eastAsia="zh-CN"/>
              </w:rPr>
              <w:t>将产生扬尘、施工噪声、建筑垃圾、施工废水及施工人员产生的生活垃圾等。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一、废气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项目施工期环境空气污染物主要为施工扬尘和施工机械尾气。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项目施工期产生的扬尘主要来自基础开挖、场地平整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为避免产生扬尘，根据《宁夏回族自治区大气污染防治条例》</w:t>
            </w:r>
            <w:r>
              <w:rPr>
                <w:rFonts w:hint="default" w:ascii="Times New Roman" w:hAnsi="Times New Roman" w:cs="Times New Roman"/>
                <w:color w:val="auto"/>
                <w:sz w:val="24"/>
                <w:szCs w:val="24"/>
                <w:highlight w:val="none"/>
                <w:lang w:val="en-US" w:eastAsia="zh-CN"/>
              </w:rPr>
              <w:t>相关要求，</w:t>
            </w:r>
            <w:r>
              <w:rPr>
                <w:rFonts w:hint="default" w:ascii="Times New Roman" w:hAnsi="Times New Roman" w:cs="Times New Roman"/>
                <w:color w:val="auto"/>
                <w:sz w:val="24"/>
              </w:rPr>
              <w:t>项目施工期大气污染防治需落实“六个百分之百”的措施</w:t>
            </w:r>
            <w:r>
              <w:rPr>
                <w:rFonts w:hint="default" w:ascii="Times New Roman" w:hAnsi="Times New Roman" w:cs="Times New Roman"/>
                <w:color w:val="auto"/>
                <w:sz w:val="24"/>
                <w:lang w:eastAsia="zh-CN"/>
              </w:rPr>
              <w:t>，</w:t>
            </w:r>
            <w:r>
              <w:rPr>
                <w:rFonts w:hint="default" w:ascii="Times New Roman" w:hAnsi="Times New Roman"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lang w:val="en-US" w:eastAsia="zh-CN"/>
              </w:rPr>
              <w:t>实施工地周边100%标准化围挡、物料堆放防尘100%覆盖、出入车辆100%冲洗、施工现场地面100%硬化、拆迁工地100%湿法作业、渣土车辆100%密闭运输。</w:t>
            </w:r>
            <w:r>
              <w:rPr>
                <w:rFonts w:hint="default" w:ascii="Times New Roman" w:hAnsi="Times New Roman" w:cs="Times New Roman"/>
                <w:color w:val="auto"/>
                <w:sz w:val="24"/>
                <w:szCs w:val="24"/>
                <w:highlight w:val="none"/>
                <w:lang w:val="en-US" w:eastAsia="zh-CN"/>
              </w:rPr>
              <w:t>具体如下：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(1)施工时设置施工标志牌，并标明扬尘防治措施责任人及环保监督电话。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(2)施工场地四周设置围挡，围挡高度不低于2.0m。围挡由金属、混凝土、塑料等硬质材料制作，并不得有明显破损的漏洞。此措施贯穿于整个施工过程，保证施工围挡100%。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(3)开挖时采取湿法作业，开挖土方集中堆放，并加盖苫布，缩小粉尘影响范围；施工结束后及时回填、压实，减少粉尘影响时间。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(4)施工过程中产生的弃料及建筑垃圾要集中堆放、及时清运。临时堆存点应覆盖防尘布，并定期喷水抑尘。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(5)施工场地每天定时洒水抑尘，施工洒水遵循少量多次的原则，施工现场每天洒水2~4次，每次洒水时控制洒水水量，以每次施工场地表面不起尘为准，派专人负责。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(6)物料运输利用周边已有道路，施工道路的清扫、运输过程产生的撒漏，拟委托环卫部门进行清理；对运输整个线路分段派专人负责，保证撒漏得到及时有效的清理。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(7)运输易产尘物料的车辆加盖苫布，运输车辆应按照交通部门核准的运输路线运行，不得超载；合理控制车速，并尽可能避免交通高峰期运输。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(8)施工过程中使用商品料，施工场地不设置现场沥青、混凝土搅拌站以及水稳拌合站。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(9)施工过程中产生的建筑垃圾应及时清运并在指定的垃圾处置场处置。不能及时清运的，应当采取封闭、遮盖等有效防尘措施。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2、施工机械尾气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项目施工机械尾气主要由吊装机、装载机、运输车辆产生的机械尾气。对项目施工期作业提出以下防治措施：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(1)为降低机械尾气排放，应加强施工机械的使用管理和保养维修，合理降低使用次数，提高机械使用效率，以达到降低废气排放目的。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(2)合理安排施工运输工作，对于施工作业中的大型构件和大量物资及余方的运输，应尽量避开交通高峰期，以缓解交通压力。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综上，采取以上措施</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rPr>
              <w:t>项目施工期废气对周边环境影响较小，措施可行。</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二</w:t>
            </w:r>
            <w:r>
              <w:rPr>
                <w:rFonts w:hint="default" w:ascii="Times New Roman" w:hAnsi="Times New Roman" w:eastAsia="黑体" w:cs="Times New Roman"/>
                <w:color w:val="auto"/>
                <w:sz w:val="24"/>
                <w:szCs w:val="24"/>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施工人员</w:t>
            </w:r>
            <w:r>
              <w:rPr>
                <w:rFonts w:hint="default" w:ascii="Times New Roman" w:hAnsi="Times New Roman" w:cs="Times New Roman"/>
                <w:color w:val="auto"/>
                <w:sz w:val="24"/>
                <w:szCs w:val="24"/>
                <w:highlight w:val="none"/>
                <w:lang w:val="en-US" w:eastAsia="zh-CN"/>
              </w:rPr>
              <w:t>为周边村民，均</w:t>
            </w:r>
            <w:r>
              <w:rPr>
                <w:rFonts w:hint="default" w:ascii="Times New Roman" w:hAnsi="Times New Roman" w:eastAsia="宋体" w:cs="Times New Roman"/>
                <w:color w:val="auto"/>
                <w:sz w:val="24"/>
                <w:szCs w:val="24"/>
                <w:highlight w:val="none"/>
                <w:lang w:val="en-US" w:eastAsia="zh-CN"/>
              </w:rPr>
              <w:t>不在厂区食宿，因此无生活污水产生</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施工期会产生车辆冲洗废水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设置</w:t>
            </w:r>
            <w:r>
              <w:rPr>
                <w:rFonts w:hint="default" w:ascii="Times New Roman" w:hAnsi="Times New Roman" w:cs="Times New Roman"/>
                <w:color w:val="auto"/>
                <w:sz w:val="24"/>
                <w:szCs w:val="24"/>
                <w:highlight w:val="none"/>
                <w:lang w:val="en-US" w:eastAsia="zh-CN"/>
              </w:rPr>
              <w:t>简易</w:t>
            </w:r>
            <w:r>
              <w:rPr>
                <w:rFonts w:hint="default" w:ascii="Times New Roman" w:hAnsi="Times New Roman" w:eastAsia="宋体" w:cs="Times New Roman"/>
                <w:color w:val="auto"/>
                <w:sz w:val="24"/>
                <w:szCs w:val="24"/>
                <w:highlight w:val="none"/>
                <w:lang w:val="en-US" w:eastAsia="zh-CN"/>
              </w:rPr>
              <w:t>沉淀池，</w:t>
            </w:r>
            <w:r>
              <w:rPr>
                <w:rFonts w:hint="default" w:ascii="Times New Roman" w:hAnsi="Times New Roman" w:cs="Times New Roman"/>
                <w:color w:val="auto"/>
                <w:sz w:val="24"/>
                <w:szCs w:val="24"/>
                <w:highlight w:val="none"/>
                <w:lang w:val="en-US" w:eastAsia="zh-CN"/>
              </w:rPr>
              <w:t>废水中主要污染物为溶解性总固体，</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cs="Times New Roman"/>
                <w:color w:val="auto"/>
                <w:sz w:val="24"/>
                <w:szCs w:val="24"/>
                <w:highlight w:val="none"/>
                <w:lang w:val="en-US" w:eastAsia="zh-CN"/>
              </w:rPr>
              <w:t>经简易</w:t>
            </w:r>
            <w:r>
              <w:rPr>
                <w:rFonts w:hint="default" w:ascii="Times New Roman" w:hAnsi="Times New Roman" w:eastAsia="宋体" w:cs="Times New Roman"/>
                <w:color w:val="auto"/>
                <w:sz w:val="24"/>
                <w:szCs w:val="24"/>
                <w:highlight w:val="none"/>
                <w:lang w:val="en-US" w:eastAsia="zh-CN"/>
              </w:rPr>
              <w:t>沉淀</w:t>
            </w:r>
            <w:r>
              <w:rPr>
                <w:rFonts w:hint="default" w:ascii="Times New Roman" w:hAnsi="Times New Roman"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lang w:val="en-US" w:eastAsia="zh-CN"/>
              </w:rPr>
              <w:t>处理后</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作为施工场地降尘及运输车辆和机械设备冲洗用水回用。</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主要为运输车辆、</w:t>
            </w:r>
            <w:r>
              <w:rPr>
                <w:rFonts w:hint="default" w:ascii="Times New Roman" w:hAnsi="Times New Roman" w:cs="Times New Roman"/>
                <w:color w:val="auto"/>
                <w:sz w:val="24"/>
                <w:szCs w:val="24"/>
                <w:highlight w:val="none"/>
                <w:lang w:val="en-US" w:eastAsia="zh-CN"/>
              </w:rPr>
              <w:t>机械</w:t>
            </w:r>
            <w:r>
              <w:rPr>
                <w:rFonts w:hint="default" w:ascii="Times New Roman" w:hAnsi="Times New Roman" w:eastAsia="宋体" w:cs="Times New Roman"/>
                <w:color w:val="auto"/>
                <w:sz w:val="24"/>
                <w:szCs w:val="24"/>
                <w:highlight w:val="none"/>
                <w:lang w:val="en-US" w:eastAsia="zh-CN"/>
              </w:rPr>
              <w:t>设备等机械噪声，经现场调查，</w:t>
            </w:r>
            <w:r>
              <w:rPr>
                <w:rFonts w:hint="default" w:ascii="Times New Roman" w:hAnsi="Times New Roman" w:cs="Times New Roman"/>
                <w:color w:val="auto"/>
                <w:sz w:val="24"/>
                <w:szCs w:val="24"/>
                <w:highlight w:val="none"/>
                <w:lang w:val="en-US" w:eastAsia="zh-CN"/>
              </w:rPr>
              <w:t>本次施工场地</w:t>
            </w:r>
            <w:r>
              <w:rPr>
                <w:rFonts w:hint="default" w:ascii="Times New Roman" w:hAnsi="Times New Roman" w:eastAsia="宋体" w:cs="Times New Roman"/>
                <w:color w:val="auto"/>
                <w:sz w:val="24"/>
                <w:szCs w:val="24"/>
                <w:highlight w:val="none"/>
                <w:lang w:val="en-US" w:eastAsia="zh-CN"/>
              </w:rPr>
              <w:t>场界外50m范围内无声环境敏感保护目标，且在施工过程中合理安排施工时间、施工机械选型时尽量选用可替代的低噪声的设备，对动力机械设备进行定期的维修、养护，避免设备因松动部件的振动或消音器的损坏而增加其工作时的声压级；设备用完后或不用时应立即关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承担原材料及建筑垃圾运输的车辆，进出施工场地及途经环境敏感点时要做到减速慢行，严禁鸣笛等减少对周围环境的影响</w:t>
            </w:r>
            <w:r>
              <w:rPr>
                <w:rFonts w:hint="default" w:ascii="Times New Roman" w:hAnsi="Times New Roman" w:cs="Times New Roman"/>
                <w:color w:val="auto"/>
                <w:sz w:val="24"/>
                <w:szCs w:val="24"/>
                <w:highlight w:val="none"/>
                <w:lang w:val="en-US" w:eastAsia="zh-CN"/>
              </w:rPr>
              <w:t>。</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四</w:t>
            </w:r>
            <w:r>
              <w:rPr>
                <w:rFonts w:hint="default" w:ascii="Times New Roman" w:hAnsi="Times New Roman" w:eastAsia="黑体" w:cs="Times New Roman"/>
                <w:color w:val="auto"/>
                <w:sz w:val="24"/>
                <w:szCs w:val="24"/>
                <w:lang w:val="en-US" w:eastAsia="zh-CN"/>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en-US" w:eastAsia="zh-CN"/>
              </w:rPr>
              <w:t>固体废物主要为</w:t>
            </w:r>
            <w:r>
              <w:rPr>
                <w:rFonts w:hint="default" w:ascii="Times New Roman" w:hAnsi="Times New Roman" w:cs="Times New Roman"/>
                <w:color w:val="auto"/>
                <w:sz w:val="24"/>
                <w:szCs w:val="24"/>
                <w:highlight w:val="none"/>
                <w:lang w:val="en-US" w:eastAsia="zh-CN"/>
              </w:rPr>
              <w:t>建筑垃圾以及废弃包装</w:t>
            </w:r>
            <w:r>
              <w:rPr>
                <w:rFonts w:hint="default" w:ascii="Times New Roman" w:hAnsi="Times New Roman" w:eastAsia="宋体" w:cs="Times New Roman"/>
                <w:color w:val="auto"/>
                <w:sz w:val="24"/>
                <w:szCs w:val="24"/>
                <w:highlight w:val="none"/>
                <w:lang w:val="en-US" w:eastAsia="zh-CN"/>
              </w:rPr>
              <w:t>，建筑垃圾应及时收集、清运，运输固体废物的车辆应当使用苫布遮挡，并且应在相关部门批准的地点妥善处置；</w:t>
            </w:r>
            <w:r>
              <w:rPr>
                <w:rFonts w:hint="default" w:ascii="Times New Roman" w:hAnsi="Times New Roman" w:cs="Times New Roman"/>
                <w:color w:val="auto"/>
                <w:sz w:val="24"/>
                <w:szCs w:val="24"/>
                <w:highlight w:val="none"/>
                <w:lang w:val="en-US" w:eastAsia="zh-CN"/>
              </w:rPr>
              <w:t>废弃包装</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cs="Times New Roman"/>
                <w:color w:val="auto"/>
                <w:sz w:val="24"/>
                <w:szCs w:val="24"/>
                <w:highlight w:val="none"/>
                <w:lang w:val="en-US" w:eastAsia="zh-CN"/>
              </w:rPr>
              <w:t>综合利用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综上，项目施工期</w:t>
            </w:r>
            <w:r>
              <w:rPr>
                <w:rFonts w:hint="default" w:ascii="Times New Roman" w:hAnsi="Times New Roman" w:eastAsia="宋体" w:cs="Times New Roman"/>
                <w:color w:val="auto"/>
                <w:sz w:val="24"/>
                <w:szCs w:val="24"/>
                <w:highlight w:val="none"/>
                <w:lang w:val="en-US" w:eastAsia="zh-CN"/>
              </w:rPr>
              <w:t>通过上述措施后对周围环境影响较小</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lang w:val="en-US" w:eastAsia="zh-CN"/>
              </w:rPr>
              <w:t>随着施工期的结束环境影响也随之结束。</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3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13592" w:type="dxa"/>
            <w:tcBorders>
              <w:tl2br w:val="nil"/>
              <w:tr2bl w:val="nil"/>
            </w:tcBorders>
            <w:noWrap w:val="0"/>
            <w:vAlign w:val="top"/>
          </w:tcPr>
          <w:p>
            <w:pPr>
              <w:pStyle w:val="5"/>
              <w:bidi w:val="0"/>
              <w:spacing w:line="360" w:lineRule="auto"/>
              <w:jc w:val="both"/>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一、废气</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1、污染源产排情况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本项目废气主要为混配废气G</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、发酵废气G</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、陈化废气G</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、粉碎废气G</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、筛分废气G</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、上料废气G</w:t>
            </w:r>
            <w:r>
              <w:rPr>
                <w:rFonts w:hint="default" w:ascii="Times New Roman" w:hAnsi="Times New Roman" w:eastAsia="宋体" w:cs="Times New Roman"/>
                <w:color w:val="auto"/>
                <w:kern w:val="2"/>
                <w:sz w:val="24"/>
                <w:szCs w:val="24"/>
                <w:vertAlign w:val="subscript"/>
                <w:lang w:val="en-US" w:eastAsia="zh-CN" w:bidi="ar-SA"/>
              </w:rPr>
              <w:t>6</w:t>
            </w:r>
            <w:r>
              <w:rPr>
                <w:rFonts w:hint="default" w:ascii="Times New Roman" w:hAnsi="Times New Roman" w:eastAsia="宋体" w:cs="Times New Roman"/>
                <w:color w:val="auto"/>
                <w:kern w:val="2"/>
                <w:sz w:val="24"/>
                <w:szCs w:val="24"/>
                <w:lang w:val="en-US" w:eastAsia="zh-CN" w:bidi="ar-SA"/>
              </w:rPr>
              <w:t>、造粒废气G</w:t>
            </w:r>
            <w:r>
              <w:rPr>
                <w:rFonts w:hint="default" w:ascii="Times New Roman" w:hAnsi="Times New Roman" w:eastAsia="宋体" w:cs="Times New Roman"/>
                <w:color w:val="auto"/>
                <w:kern w:val="2"/>
                <w:sz w:val="24"/>
                <w:szCs w:val="24"/>
                <w:vertAlign w:val="subscript"/>
                <w:lang w:val="en-US" w:eastAsia="zh-CN" w:bidi="ar-SA"/>
              </w:rPr>
              <w:t>7</w:t>
            </w:r>
            <w:r>
              <w:rPr>
                <w:rFonts w:hint="default" w:ascii="Times New Roman" w:hAnsi="Times New Roman" w:eastAsia="宋体" w:cs="Times New Roman"/>
                <w:color w:val="auto"/>
                <w:kern w:val="2"/>
                <w:sz w:val="24"/>
                <w:szCs w:val="24"/>
                <w:lang w:val="en-US" w:eastAsia="zh-CN" w:bidi="ar-SA"/>
              </w:rPr>
              <w:t>、冷却废气G</w:t>
            </w:r>
            <w:r>
              <w:rPr>
                <w:rFonts w:hint="default" w:ascii="Times New Roman" w:hAnsi="Times New Roman" w:eastAsia="宋体" w:cs="Times New Roman"/>
                <w:color w:val="auto"/>
                <w:kern w:val="2"/>
                <w:sz w:val="24"/>
                <w:szCs w:val="24"/>
                <w:vertAlign w:val="subscript"/>
                <w:lang w:val="en-US" w:eastAsia="zh-CN" w:bidi="ar-SA"/>
              </w:rPr>
              <w:t>8</w:t>
            </w:r>
            <w:r>
              <w:rPr>
                <w:rFonts w:hint="default" w:ascii="Times New Roman" w:hAnsi="Times New Roman" w:eastAsia="宋体" w:cs="Times New Roman"/>
                <w:color w:val="auto"/>
                <w:kern w:val="2"/>
                <w:sz w:val="24"/>
                <w:szCs w:val="24"/>
                <w:lang w:val="en-US" w:eastAsia="zh-CN" w:bidi="ar-SA"/>
              </w:rPr>
              <w:t>、二次筛分废气G</w:t>
            </w:r>
            <w:r>
              <w:rPr>
                <w:rFonts w:hint="default" w:ascii="Times New Roman" w:hAnsi="Times New Roman" w:eastAsia="宋体" w:cs="Times New Roman"/>
                <w:color w:val="auto"/>
                <w:kern w:val="2"/>
                <w:sz w:val="24"/>
                <w:szCs w:val="24"/>
                <w:vertAlign w:val="subscript"/>
                <w:lang w:val="en-US" w:eastAsia="zh-CN" w:bidi="ar-SA"/>
              </w:rPr>
              <w:t>9</w:t>
            </w:r>
            <w:r>
              <w:rPr>
                <w:rFonts w:hint="default" w:ascii="Times New Roman" w:hAnsi="Times New Roman" w:eastAsia="宋体" w:cs="Times New Roman"/>
                <w:color w:val="auto"/>
                <w:kern w:val="2"/>
                <w:sz w:val="24"/>
                <w:szCs w:val="24"/>
                <w:lang w:val="en-US" w:eastAsia="zh-CN" w:bidi="ar-SA"/>
              </w:rPr>
              <w:t>、包装废气G</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w:t>
            </w:r>
          </w:p>
          <w:p>
            <w:pPr>
              <w:pStyle w:val="24"/>
              <w:ind w:left="0" w:leftChars="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cs="Times New Roman"/>
                <w:color w:val="auto"/>
                <w:sz w:val="24"/>
                <w:szCs w:val="24"/>
                <w:lang w:eastAsia="zh-CN"/>
              </w:rPr>
              <w:t>有组织</w:t>
            </w:r>
            <w:r>
              <w:rPr>
                <w:rFonts w:hint="default" w:ascii="Times New Roman" w:hAnsi="Times New Roman" w:eastAsia="宋体" w:cs="Times New Roman"/>
                <w:color w:val="auto"/>
                <w:sz w:val="24"/>
                <w:szCs w:val="24"/>
              </w:rPr>
              <w:t>废气污染源强见表4-1，</w:t>
            </w:r>
            <w:r>
              <w:rPr>
                <w:rFonts w:hint="default" w:ascii="Times New Roman" w:hAnsi="Times New Roman" w:cs="Times New Roman"/>
                <w:color w:val="auto"/>
                <w:sz w:val="24"/>
                <w:szCs w:val="24"/>
                <w:lang w:eastAsia="zh-CN"/>
              </w:rPr>
              <w:t>无组织废气污染源强见表</w:t>
            </w:r>
            <w:r>
              <w:rPr>
                <w:rFonts w:hint="default" w:ascii="Times New Roman" w:hAnsi="Times New Roman" w:cs="Times New Roman"/>
                <w:color w:val="auto"/>
                <w:sz w:val="24"/>
                <w:szCs w:val="24"/>
                <w:lang w:val="en-US" w:eastAsia="zh-CN"/>
              </w:rPr>
              <w:t>4-2，</w:t>
            </w:r>
            <w:r>
              <w:rPr>
                <w:rFonts w:hint="default" w:ascii="Times New Roman" w:hAnsi="Times New Roman" w:eastAsia="宋体" w:cs="Times New Roman"/>
                <w:color w:val="auto"/>
                <w:sz w:val="24"/>
                <w:szCs w:val="24"/>
              </w:rPr>
              <w:t>排气筒设置见表4-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w:t>
            </w:r>
          </w:p>
          <w:p>
            <w:pPr>
              <w:spacing w:line="240" w:lineRule="auto"/>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 xml:space="preserve">表4-1  </w:t>
            </w:r>
            <w:r>
              <w:rPr>
                <w:rFonts w:hint="default" w:ascii="Times New Roman" w:hAnsi="Times New Roman" w:eastAsia="黑体" w:cs="Times New Roman"/>
                <w:b w:val="0"/>
                <w:bCs w:val="0"/>
                <w:color w:val="auto"/>
                <w:sz w:val="24"/>
                <w:lang w:val="en-US" w:eastAsia="zh-CN"/>
              </w:rPr>
              <w:t>本项目有组织</w:t>
            </w:r>
            <w:r>
              <w:rPr>
                <w:rFonts w:hint="default" w:ascii="Times New Roman" w:hAnsi="Times New Roman" w:eastAsia="黑体" w:cs="Times New Roman"/>
                <w:b w:val="0"/>
                <w:bCs w:val="0"/>
                <w:color w:val="auto"/>
                <w:sz w:val="24"/>
              </w:rPr>
              <w:t>废气污染物产排情况一览表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900"/>
              <w:gridCol w:w="900"/>
              <w:gridCol w:w="938"/>
              <w:gridCol w:w="992"/>
              <w:gridCol w:w="559"/>
              <w:gridCol w:w="764"/>
              <w:gridCol w:w="777"/>
              <w:gridCol w:w="625"/>
              <w:gridCol w:w="775"/>
              <w:gridCol w:w="994"/>
              <w:gridCol w:w="887"/>
              <w:gridCol w:w="1087"/>
              <w:gridCol w:w="852"/>
              <w:gridCol w:w="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337"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1060" w:type="pct"/>
                  <w:gridSpan w:val="3"/>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209"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474" w:type="pct"/>
                  <w:gridSpan w:val="5"/>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1058" w:type="pct"/>
                  <w:gridSpan w:val="3"/>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315"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排放筒</w:t>
                  </w:r>
                  <w:r>
                    <w:rPr>
                      <w:rFonts w:hint="default" w:ascii="Times New Roman" w:hAnsi="Times New Roman" w:eastAsia="宋体" w:cs="Times New Roman"/>
                      <w:b/>
                      <w:bCs/>
                      <w:color w:val="auto"/>
                      <w:sz w:val="21"/>
                      <w:szCs w:val="21"/>
                    </w:rPr>
                    <w:t>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p>
              </w:tc>
              <w:tc>
                <w:tcPr>
                  <w:tcW w:w="33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351"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71"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p>
              </w:tc>
              <w:tc>
                <w:tcPr>
                  <w:tcW w:w="286"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收集设施</w:t>
                  </w:r>
                </w:p>
              </w:tc>
              <w:tc>
                <w:tcPr>
                  <w:tcW w:w="291"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收集效率%</w:t>
                  </w:r>
                </w:p>
              </w:tc>
              <w:tc>
                <w:tcPr>
                  <w:tcW w:w="23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处理措施</w:t>
                  </w:r>
                </w:p>
              </w:tc>
              <w:tc>
                <w:tcPr>
                  <w:tcW w:w="290"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372"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是否为可行技术</w:t>
                  </w:r>
                </w:p>
              </w:tc>
              <w:tc>
                <w:tcPr>
                  <w:tcW w:w="332"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40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9"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33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0.701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467.17</w:t>
                  </w:r>
                </w:p>
              </w:tc>
              <w:tc>
                <w:tcPr>
                  <w:tcW w:w="209"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有组织</w:t>
                  </w:r>
                </w:p>
              </w:tc>
              <w:tc>
                <w:tcPr>
                  <w:tcW w:w="286"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90</w:t>
                  </w:r>
                </w:p>
              </w:tc>
              <w:tc>
                <w:tcPr>
                  <w:tcW w:w="23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生物除臭装置+布袋除尘器</w:t>
                  </w:r>
                </w:p>
              </w:tc>
              <w:tc>
                <w:tcPr>
                  <w:tcW w:w="290"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98</w:t>
                  </w:r>
                </w:p>
              </w:tc>
              <w:tc>
                <w:tcPr>
                  <w:tcW w:w="372"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0.033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0.013</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8.409</w:t>
                  </w:r>
                </w:p>
              </w:tc>
              <w:tc>
                <w:tcPr>
                  <w:tcW w:w="315"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80</w:t>
                  </w: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140.79</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微负压密闭厂房</w:t>
                  </w:r>
                </w:p>
              </w:tc>
              <w:tc>
                <w:tcPr>
                  <w:tcW w:w="291"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95</w:t>
                  </w: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98</w:t>
                  </w:r>
                </w:p>
              </w:tc>
              <w:tc>
                <w:tcPr>
                  <w:tcW w:w="372"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0.035</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0.004</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2.675</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0.0183</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0.0021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1.393</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80</w:t>
                  </w: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0.0040</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2.646</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0.0007</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0.054</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0.00002</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0.010</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337"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938"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0.701</w:t>
                  </w:r>
                </w:p>
              </w:tc>
              <w:tc>
                <w:tcPr>
                  <w:tcW w:w="99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467.17</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90</w:t>
                  </w: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98</w:t>
                  </w:r>
                </w:p>
              </w:tc>
              <w:tc>
                <w:tcPr>
                  <w:tcW w:w="372"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是</w:t>
                  </w:r>
                </w:p>
              </w:tc>
              <w:tc>
                <w:tcPr>
                  <w:tcW w:w="8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0.033</w:t>
                  </w:r>
                </w:p>
              </w:tc>
              <w:tc>
                <w:tcPr>
                  <w:tcW w:w="10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0.013</w:t>
                  </w:r>
                </w:p>
              </w:tc>
              <w:tc>
                <w:tcPr>
                  <w:tcW w:w="85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8.409</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89"/>
                      <w:rFonts w:hint="default" w:ascii="Times New Roman" w:hAnsi="Times New Roman" w:cs="Times New Roman"/>
                      <w:b/>
                      <w:bCs/>
                      <w:color w:val="auto"/>
                      <w:sz w:val="21"/>
                      <w:szCs w:val="21"/>
                      <w:lang w:val="en-US" w:eastAsia="zh-CN" w:bidi="ar"/>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5.55</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1.613</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1075.13</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291"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234"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290"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372"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0.102</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0.03</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19.49</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89"/>
                      <w:rFonts w:hint="default" w:ascii="Times New Roman" w:hAnsi="Times New Roman" w:cs="Times New Roman"/>
                      <w:b/>
                      <w:bCs/>
                      <w:color w:val="auto"/>
                      <w:sz w:val="21"/>
                      <w:szCs w:val="21"/>
                      <w:lang w:val="en-US" w:eastAsia="zh-CN" w:bidi="ar"/>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0.018</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0.0021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1.393</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0.004</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2.646</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89"/>
                      <w:rFonts w:hint="default" w:ascii="Times New Roman" w:hAnsi="Times New Roman" w:cs="Times New Roman"/>
                      <w:b/>
                      <w:bCs/>
                      <w:color w:val="auto"/>
                      <w:sz w:val="21"/>
                      <w:szCs w:val="21"/>
                      <w:lang w:val="en-US" w:eastAsia="zh-CN" w:bidi="ar"/>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0.00071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0.00008</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0.054</w:t>
                  </w:r>
                </w:p>
              </w:tc>
              <w:tc>
                <w:tcPr>
                  <w:tcW w:w="20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3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29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72"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0.00013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0.00002</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0.010</w:t>
                  </w:r>
                </w:p>
              </w:tc>
              <w:tc>
                <w:tcPr>
                  <w:tcW w:w="315"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r>
          </w:tbl>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r>
              <w:rPr>
                <w:rFonts w:hint="default" w:ascii="Times New Roman" w:hAnsi="Times New Roman" w:eastAsia="黑体" w:cs="Times New Roman"/>
                <w:b w:val="0"/>
                <w:bCs w:val="0"/>
                <w:color w:val="auto"/>
                <w:sz w:val="24"/>
                <w:lang w:val="en-US" w:eastAsia="zh-CN"/>
              </w:rPr>
              <w:t>表4-2  本项目无组织废气污染物产排情况一览表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37"/>
              <w:gridCol w:w="1199"/>
              <w:gridCol w:w="1172"/>
              <w:gridCol w:w="1172"/>
              <w:gridCol w:w="847"/>
              <w:gridCol w:w="3237"/>
              <w:gridCol w:w="1129"/>
              <w:gridCol w:w="1185"/>
              <w:gridCol w:w="13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449"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878" w:type="pct"/>
                  <w:gridSpan w:val="2"/>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317"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636" w:type="pct"/>
                  <w:gridSpan w:val="2"/>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954" w:type="pct"/>
                  <w:gridSpan w:val="2"/>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rPr>
                  </w:pPr>
                </w:p>
              </w:tc>
              <w:tc>
                <w:tcPr>
                  <w:tcW w:w="44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p>
              </w:tc>
              <w:tc>
                <w:tcPr>
                  <w:tcW w:w="439"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439"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p>
              </w:tc>
              <w:tc>
                <w:tcPr>
                  <w:tcW w:w="121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治理设施</w:t>
                  </w:r>
                </w:p>
              </w:tc>
              <w:tc>
                <w:tcPr>
                  <w:tcW w:w="42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444"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510"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0.185</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0.0701 </w:t>
                  </w:r>
                </w:p>
              </w:tc>
              <w:tc>
                <w:tcPr>
                  <w:tcW w:w="317" w:type="pct"/>
                  <w:vMerge w:val="restar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无组织</w:t>
                  </w:r>
                </w:p>
              </w:tc>
              <w:tc>
                <w:tcPr>
                  <w:tcW w:w="1213" w:type="pct"/>
                  <w:vMerge w:val="restar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密闭厂房</w:t>
                  </w: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0.093</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0.0350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0.0925</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0.0106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0.046</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0.00528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0.000915</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0.00010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0.00092</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0.00003538</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0.000004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0.000035</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4.04×10</w:t>
                  </w:r>
                  <w:r>
                    <w:rPr>
                      <w:rFonts w:hint="default" w:ascii="Times New Roman" w:hAnsi="Times New Roman" w:eastAsia="宋体" w:cs="Times New Roman"/>
                      <w:i w:val="0"/>
                      <w:iCs w:val="0"/>
                      <w:color w:val="auto"/>
                      <w:kern w:val="0"/>
                      <w:sz w:val="21"/>
                      <w:szCs w:val="21"/>
                      <w:u w:val="none"/>
                      <w:vertAlign w:val="superscript"/>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陈化废气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0.211 </w:t>
                  </w: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50</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0.925</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0.1056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0.002 </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0.00021 </w:t>
                  </w: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0.0018</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0.000209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0.00007 </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0.00001 </w:t>
                  </w: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0.000071</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0.000008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449"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0.185</w:t>
                  </w:r>
                </w:p>
              </w:tc>
              <w:tc>
                <w:tcPr>
                  <w:tcW w:w="439"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0.070 </w:t>
                  </w: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50</w:t>
                  </w:r>
                </w:p>
              </w:tc>
              <w:tc>
                <w:tcPr>
                  <w:tcW w:w="444"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w:t>
                  </w:r>
                  <w:r>
                    <w:rPr>
                      <w:rFonts w:hint="eastAsia" w:cs="Times New Roman"/>
                      <w:i w:val="0"/>
                      <w:iCs w:val="0"/>
                      <w:color w:val="auto"/>
                      <w:kern w:val="0"/>
                      <w:sz w:val="21"/>
                      <w:szCs w:val="21"/>
                      <w:u w:val="none"/>
                      <w:lang w:val="en-US" w:eastAsia="zh-CN" w:bidi="ar"/>
                    </w:rPr>
                    <w:t>3</w:t>
                  </w:r>
                </w:p>
              </w:tc>
              <w:tc>
                <w:tcPr>
                  <w:tcW w:w="510"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0.035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44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44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444"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44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2.313 </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0.362 </w:t>
                  </w:r>
                </w:p>
              </w:tc>
              <w:tc>
                <w:tcPr>
                  <w:tcW w:w="317"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121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423" w:type="pct"/>
                  <w:tcBorders>
                    <w:tl2br w:val="nil"/>
                    <w:tr2bl w:val="nil"/>
                  </w:tcBorders>
                  <w:noWrap w:val="0"/>
                  <w:tcMar>
                    <w:top w:w="0" w:type="dxa"/>
                    <w:left w:w="57" w:type="dxa"/>
                    <w:bottom w:w="0" w:type="dxa"/>
                    <w:right w:w="57"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444"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1.156</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0.181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8"/>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氨</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0.00275 </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0.00031 </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444"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0.0027 </w:t>
                  </w:r>
                </w:p>
              </w:tc>
              <w:tc>
                <w:tcPr>
                  <w:tcW w:w="510"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8"/>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硫化氢</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0.00011 </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 xml:space="preserve">0.00001 </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0" w:type="auto"/>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w:t>
                  </w:r>
                </w:p>
              </w:tc>
              <w:tc>
                <w:tcPr>
                  <w:tcW w:w="444"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0.0001 </w:t>
                  </w:r>
                </w:p>
              </w:tc>
              <w:tc>
                <w:tcPr>
                  <w:tcW w:w="510"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0.000012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rPr>
          <w:rFonts w:hint="default" w:ascii="Times New Roman" w:hAnsi="Times New Roman" w:cs="Times New Roman"/>
          <w:color w:val="auto"/>
        </w:r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4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spacing w:line="240" w:lineRule="auto"/>
              <w:jc w:val="center"/>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sz w:val="24"/>
              </w:rPr>
              <w:t>表4-</w:t>
            </w:r>
            <w:r>
              <w:rPr>
                <w:rFonts w:hint="default" w:ascii="Times New Roman" w:hAnsi="Times New Roman" w:eastAsia="黑体" w:cs="Times New Roman"/>
                <w:b w:val="0"/>
                <w:bCs w:val="0"/>
                <w:color w:val="auto"/>
                <w:sz w:val="24"/>
                <w:lang w:val="en-US" w:eastAsia="zh-CN"/>
              </w:rPr>
              <w:t>3</w:t>
            </w:r>
            <w:r>
              <w:rPr>
                <w:rFonts w:hint="default" w:ascii="Times New Roman" w:hAnsi="Times New Roman" w:eastAsia="黑体" w:cs="Times New Roman"/>
                <w:b w:val="0"/>
                <w:bCs w:val="0"/>
                <w:color w:val="auto"/>
                <w:sz w:val="24"/>
              </w:rPr>
              <w:t xml:space="preserve">  项目排气筒设置情况一览表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661"/>
              <w:gridCol w:w="628"/>
              <w:gridCol w:w="1469"/>
              <w:gridCol w:w="582"/>
              <w:gridCol w:w="567"/>
              <w:gridCol w:w="620"/>
              <w:gridCol w:w="818"/>
              <w:gridCol w:w="798"/>
              <w:gridCol w:w="717"/>
              <w:gridCol w:w="5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96"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401"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名称</w:t>
                  </w:r>
                </w:p>
              </w:tc>
              <w:tc>
                <w:tcPr>
                  <w:tcW w:w="380"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排放时长</w:t>
                  </w:r>
                </w:p>
              </w:tc>
              <w:tc>
                <w:tcPr>
                  <w:tcW w:w="889"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rPr>
                    <w:t>排气筒底部中心位置坐标</w:t>
                  </w:r>
                  <w:r>
                    <w:rPr>
                      <w:rFonts w:hint="default" w:ascii="Times New Roman" w:hAnsi="Times New Roman" w:eastAsia="宋体" w:cs="Times New Roman"/>
                      <w:b/>
                      <w:bCs/>
                      <w:color w:val="auto"/>
                      <w:lang w:val="en-US" w:eastAsia="zh-CN"/>
                    </w:rPr>
                    <w:t>/°</w:t>
                  </w:r>
                </w:p>
              </w:tc>
              <w:tc>
                <w:tcPr>
                  <w:tcW w:w="1070" w:type="pct"/>
                  <w:gridSpan w:val="3"/>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排气筒参数</w:t>
                  </w:r>
                </w:p>
              </w:tc>
              <w:tc>
                <w:tcPr>
                  <w:tcW w:w="495"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废气量m³/h</w:t>
                  </w:r>
                </w:p>
              </w:tc>
              <w:tc>
                <w:tcPr>
                  <w:tcW w:w="483"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污染物名称</w:t>
                  </w:r>
                </w:p>
              </w:tc>
              <w:tc>
                <w:tcPr>
                  <w:tcW w:w="783" w:type="pct"/>
                  <w:gridSpan w:val="2"/>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96"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401"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889"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352"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高度m</w:t>
                  </w:r>
                </w:p>
              </w:tc>
              <w:tc>
                <w:tcPr>
                  <w:tcW w:w="343"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内径m</w:t>
                  </w:r>
                </w:p>
              </w:tc>
              <w:tc>
                <w:tcPr>
                  <w:tcW w:w="374"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温度℃</w:t>
                  </w:r>
                </w:p>
              </w:tc>
              <w:tc>
                <w:tcPr>
                  <w:tcW w:w="495"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483"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rPr>
                  </w:pPr>
                </w:p>
              </w:tc>
              <w:tc>
                <w:tcPr>
                  <w:tcW w:w="434"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排放浓度</w:t>
                  </w:r>
                  <w:r>
                    <w:rPr>
                      <w:rFonts w:hint="default" w:ascii="Times New Roman" w:hAnsi="Times New Roman" w:eastAsia="宋体" w:cs="Times New Roman"/>
                      <w:b/>
                      <w:bCs/>
                      <w:color w:val="auto"/>
                    </w:rPr>
                    <w:t>mg/m³</w:t>
                  </w:r>
                </w:p>
              </w:tc>
              <w:tc>
                <w:tcPr>
                  <w:tcW w:w="349"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排放速率</w:t>
                  </w:r>
                  <w:r>
                    <w:rPr>
                      <w:rFonts w:hint="default" w:ascii="Times New Roman" w:hAnsi="Times New Roman" w:eastAsia="宋体" w:cs="Times New Roman"/>
                      <w:b/>
                      <w:bCs/>
                      <w:color w:val="auto"/>
                      <w:sz w:val="21"/>
                      <w:szCs w:val="21"/>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96"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401"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排气筒</w:t>
                  </w:r>
                </w:p>
              </w:tc>
              <w:tc>
                <w:tcPr>
                  <w:tcW w:w="380" w:type="pct"/>
                  <w:vMerge w:val="restar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24h/d</w:t>
                  </w:r>
                </w:p>
              </w:tc>
              <w:tc>
                <w:tcPr>
                  <w:tcW w:w="889" w:type="pct"/>
                  <w:vMerge w:val="restar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E:106.444494</w:t>
                  </w:r>
                </w:p>
                <w:p>
                  <w:pPr>
                    <w:pStyle w:val="58"/>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N:35.321978</w:t>
                  </w:r>
                </w:p>
              </w:tc>
              <w:tc>
                <w:tcPr>
                  <w:tcW w:w="352"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343"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374"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w:t>
                  </w:r>
                </w:p>
              </w:tc>
              <w:tc>
                <w:tcPr>
                  <w:tcW w:w="495" w:type="pct"/>
                  <w:vMerge w:val="restar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1500</w:t>
                  </w:r>
                </w:p>
              </w:tc>
              <w:tc>
                <w:tcPr>
                  <w:tcW w:w="483"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颗粒物</w:t>
                  </w:r>
                </w:p>
              </w:tc>
              <w:tc>
                <w:tcPr>
                  <w:tcW w:w="434"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49"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96"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01"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434"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96"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01"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434" w:type="pct"/>
                  <w:tcBorders>
                    <w:tl2br w:val="nil"/>
                    <w:tr2bl w:val="nil"/>
                  </w:tcBorders>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000" w:type="pct"/>
                  <w:gridSpan w:val="11"/>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根据《排污许可证申请与核发技术规范 磷肥、钾肥、复混肥料、有机肥料及微生物肥料工业》（HJ864.2-2018），DA001排气筒为一般排放口。</w:t>
                  </w:r>
                </w:p>
              </w:tc>
            </w:tr>
          </w:tbl>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2、源强分析</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（1）混配废气G</w:t>
            </w:r>
            <w:r>
              <w:rPr>
                <w:rFonts w:hint="default" w:ascii="Times New Roman" w:hAnsi="Times New Roman" w:cs="Times New Roman"/>
                <w:color w:val="auto"/>
                <w:kern w:val="2"/>
                <w:sz w:val="24"/>
                <w:szCs w:val="24"/>
                <w:vertAlign w:val="subscript"/>
                <w:lang w:val="en-US" w:eastAsia="zh-CN" w:bidi="ar-SA"/>
              </w:rPr>
              <w:t>1</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根据《排放源统计调查产排污核算方法和系数手册》-2625有机肥料及微生物肥料制造行业系数手册，本项目有机肥生产原料（牛粪、鸡粪、秸秆）先混合配料后再进行发酵等工序，故混配工序颗粒物产污系数以0.370千克/吨-产品计。本项目颗粒有机肥产能为5000t，经计算，混配废气中颗粒物产生量为1.85t/a，经集气罩收集（收集效率90%）后经布袋除尘器（处理效率98%）处理后通过1根15m高排气筒排放。其中未被收集的废气在密闭厂房降尘（降尘效果50%）处理后以无组织形式排放，则集气罩收集颗粒物量为1.665t/a，经布袋除尘器处理后的排放量为0.</w:t>
            </w:r>
            <w:r>
              <w:rPr>
                <w:rFonts w:hint="eastAsia" w:cs="Times New Roman"/>
                <w:color w:val="auto"/>
                <w:kern w:val="2"/>
                <w:sz w:val="24"/>
                <w:szCs w:val="24"/>
                <w:lang w:val="en-US" w:eastAsia="zh-CN" w:bidi="ar-SA"/>
              </w:rPr>
              <w:t>033</w:t>
            </w:r>
            <w:r>
              <w:rPr>
                <w:rFonts w:hint="default" w:ascii="Times New Roman" w:hAnsi="Times New Roman" w:cs="Times New Roman"/>
                <w:color w:val="auto"/>
                <w:kern w:val="2"/>
                <w:sz w:val="24"/>
                <w:szCs w:val="24"/>
                <w:lang w:val="en-US" w:eastAsia="zh-CN" w:bidi="ar-SA"/>
              </w:rPr>
              <w:t>t/a；未收集的颗粒物量为0.185t/a，则配料工序无组织产生量为0.185t/a，经密闭厂房降尘处理后，项目混配工序无组织排放量为0.093t/a。</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另外，根据《排放源统计调查产排污核算方法和系数手册》-2625有机肥料及微生物肥料制造行业系数手册，混配过程无相关恶臭污染物核算方法，且该过程采用人工配料，属于间歇式生产过程，工作时间为8h/d（2640h/a），故针对该过程恶臭污染物产生情况本次评价不进行定量分析，废气经一套“生物除臭装置+布袋除尘器”处理后，通过1根15m高排气筒排放。</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（2）发酵废气G</w:t>
            </w:r>
            <w:r>
              <w:rPr>
                <w:rFonts w:hint="default" w:ascii="Times New Roman" w:hAnsi="Times New Roman" w:cs="Times New Roman"/>
                <w:color w:val="auto"/>
                <w:kern w:val="2"/>
                <w:sz w:val="24"/>
                <w:szCs w:val="24"/>
                <w:vertAlign w:val="subscript"/>
                <w:lang w:val="en-US" w:eastAsia="zh-CN" w:bidi="ar-SA"/>
              </w:rPr>
              <w:t>2</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根据《排放源统计调查产排污核算方法和系数手册》-2625有机肥料及微生物肥料制造行业系数手册，本项目发酵采用翻抛机翻堆发酵，为非罐式发酵，发酵废气中颗粒物产污系数以0.370千克/吨-产品计。本项目颗粒有机肥产能为5000t，经计算，发酵废气中颗粒物产生量为1.85t/a，经微负压收集（收集效率95%）后由一套布袋除尘器（处理效率98%）处理后通过1根15m高排气筒排放。其中未被收集的废气在密闭厂房降尘（降尘效果50%）处理后以无组织形式排放，经布袋除尘器处理后的排放量为</w:t>
            </w:r>
            <w:r>
              <w:rPr>
                <w:rFonts w:hint="eastAsia" w:cs="Times New Roman"/>
                <w:color w:val="auto"/>
                <w:kern w:val="2"/>
                <w:sz w:val="24"/>
                <w:szCs w:val="24"/>
                <w:lang w:val="en-US" w:eastAsia="zh-CN" w:bidi="ar-SA"/>
              </w:rPr>
              <w:t>0.35</w:t>
            </w:r>
            <w:r>
              <w:rPr>
                <w:rFonts w:hint="default" w:ascii="Times New Roman" w:hAnsi="Times New Roman" w:cs="Times New Roman"/>
                <w:color w:val="auto"/>
                <w:kern w:val="2"/>
                <w:sz w:val="24"/>
                <w:szCs w:val="24"/>
                <w:lang w:val="en-US" w:eastAsia="zh-CN" w:bidi="ar-SA"/>
              </w:rPr>
              <w:t>t/a；未收集的颗粒物量为0.093t/a，则发酵工序无组织产生量为0.093t/a，经密闭厂房降尘处理后，本项目发酵工序无组织排放量为0.046t/a。</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粪污发酵采用的发酵工艺为好氧堆肥的工艺，发酵时间以最不利考虑，取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按1.5kg计，产生的H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S按0.058kg计，根据建设单位提供资料，本项目共处理粪便量为12200t/a，则项目发酵工序NH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的产生量为0183t/a（0.0021kg/h）、H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产生量为0.0007t/a（0.00008kg/h），废气经微负压收集（收集效率95%）引入生物除臭装置（生物滴滤法）处理由15m高排气筒排放。生物除臭装置（生物滴滤法）的处理效率一般为80%，则发酵废气经生物除臭装置（生物滴滤法）处理后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的排放量为0.0035t/a(0.0004kg/h)，H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S的排放量为0.0001t/a(0.00002kg/h)。</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（3）陈化废气G</w:t>
            </w:r>
            <w:r>
              <w:rPr>
                <w:rFonts w:hint="default" w:ascii="Times New Roman" w:hAnsi="Times New Roman" w:cs="Times New Roman"/>
                <w:color w:val="auto"/>
                <w:kern w:val="2"/>
                <w:sz w:val="24"/>
                <w:szCs w:val="24"/>
                <w:vertAlign w:val="subscript"/>
                <w:lang w:val="en-US" w:eastAsia="zh-CN" w:bidi="ar-SA"/>
              </w:rPr>
              <w:t>3</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陈化工序采用静态堆放陈化处理，目的是进一步分解剩余有机物，使物料完全腐熟，该工序主要产生污染物为颗粒物及恶臭气体。根据《排放源统计调查产排污核算方法和系数手册》-2625有机肥料及微生物肥料制造行业系数手册并结合相关文献，该工序各污染物产生量无相关文献及可参考的排污系数。根据建设单位提供资料，该工序物料含水率约为30%，并且处于静态过程，故颗粒物产生量较少，因此本次评价该工序颗粒物产生情况不进行定量分析，废气经密闭厂房降尘（降尘效果50%）处理后以无组织形式排放。</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另外，根据同类项目经验恶臭气体产生量与陈化工序占地面积及发酵废气产生量相关，结合项目特征，本次陈化过程氨、硫化氢排放量按同样面积下发酵废气产生量的10%取值，根据建设单位提供的资料，项目陈化工序占地面积同发酵工序占地面积，经计算，陈化过程氨产生量为0.00075t/a，硫化氢产生量为0.00003t/a，以无组织形式排放。</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（4）粉碎废气G</w:t>
            </w:r>
            <w:r>
              <w:rPr>
                <w:rFonts w:hint="default" w:ascii="Times New Roman" w:hAnsi="Times New Roman" w:cs="Times New Roman"/>
                <w:color w:val="auto"/>
                <w:kern w:val="2"/>
                <w:sz w:val="24"/>
                <w:szCs w:val="24"/>
                <w:vertAlign w:val="subscript"/>
                <w:lang w:val="en-US" w:eastAsia="zh-CN" w:bidi="ar-SA"/>
              </w:rPr>
              <w:t>4</w:t>
            </w:r>
            <w:r>
              <w:rPr>
                <w:rFonts w:hint="default" w:ascii="Times New Roman" w:hAnsi="Times New Roman" w:cs="Times New Roman"/>
                <w:color w:val="auto"/>
                <w:kern w:val="2"/>
                <w:sz w:val="24"/>
                <w:szCs w:val="24"/>
                <w:lang w:val="en-US" w:eastAsia="zh-CN" w:bidi="ar-SA"/>
              </w:rPr>
              <w:t>、筛分废气G</w:t>
            </w:r>
            <w:r>
              <w:rPr>
                <w:rFonts w:hint="default" w:ascii="Times New Roman" w:hAnsi="Times New Roman" w:cs="Times New Roman"/>
                <w:color w:val="auto"/>
                <w:kern w:val="2"/>
                <w:sz w:val="24"/>
                <w:szCs w:val="24"/>
                <w:vertAlign w:val="subscript"/>
                <w:lang w:val="en-US" w:eastAsia="zh-CN" w:bidi="ar-SA"/>
              </w:rPr>
              <w:t>5</w:t>
            </w:r>
            <w:r>
              <w:rPr>
                <w:rFonts w:hint="default" w:ascii="Times New Roman" w:hAnsi="Times New Roman" w:cs="Times New Roman"/>
                <w:color w:val="auto"/>
                <w:kern w:val="2"/>
                <w:sz w:val="24"/>
                <w:szCs w:val="24"/>
                <w:lang w:val="en-US" w:eastAsia="zh-CN" w:bidi="ar-SA"/>
              </w:rPr>
              <w:t>、上料废气G</w:t>
            </w:r>
            <w:r>
              <w:rPr>
                <w:rFonts w:hint="default" w:ascii="Times New Roman" w:hAnsi="Times New Roman" w:cs="Times New Roman"/>
                <w:color w:val="auto"/>
                <w:kern w:val="2"/>
                <w:sz w:val="24"/>
                <w:szCs w:val="24"/>
                <w:vertAlign w:val="subscript"/>
                <w:lang w:val="en-US" w:eastAsia="zh-CN" w:bidi="ar-SA"/>
              </w:rPr>
              <w:t>6</w:t>
            </w:r>
            <w:r>
              <w:rPr>
                <w:rFonts w:hint="default" w:ascii="Times New Roman" w:hAnsi="Times New Roman" w:cs="Times New Roman"/>
                <w:color w:val="auto"/>
                <w:kern w:val="2"/>
                <w:sz w:val="24"/>
                <w:szCs w:val="24"/>
                <w:lang w:val="en-US" w:eastAsia="zh-CN" w:bidi="ar-SA"/>
              </w:rPr>
              <w:t>、造粒废气G</w:t>
            </w:r>
            <w:r>
              <w:rPr>
                <w:rFonts w:hint="default" w:ascii="Times New Roman" w:hAnsi="Times New Roman" w:cs="Times New Roman"/>
                <w:color w:val="auto"/>
                <w:kern w:val="2"/>
                <w:sz w:val="24"/>
                <w:szCs w:val="24"/>
                <w:vertAlign w:val="subscript"/>
                <w:lang w:val="en-US" w:eastAsia="zh-CN" w:bidi="ar-SA"/>
              </w:rPr>
              <w:t>7</w:t>
            </w:r>
            <w:r>
              <w:rPr>
                <w:rFonts w:hint="default" w:ascii="Times New Roman" w:hAnsi="Times New Roman" w:cs="Times New Roman"/>
                <w:color w:val="auto"/>
                <w:kern w:val="2"/>
                <w:sz w:val="24"/>
                <w:szCs w:val="24"/>
                <w:lang w:val="en-US" w:eastAsia="zh-CN" w:bidi="ar-SA"/>
              </w:rPr>
              <w:t>、冷却废气G</w:t>
            </w:r>
            <w:r>
              <w:rPr>
                <w:rFonts w:hint="default" w:ascii="Times New Roman" w:hAnsi="Times New Roman" w:cs="Times New Roman"/>
                <w:color w:val="auto"/>
                <w:kern w:val="2"/>
                <w:sz w:val="24"/>
                <w:szCs w:val="24"/>
                <w:vertAlign w:val="subscript"/>
                <w:lang w:val="en-US" w:eastAsia="zh-CN" w:bidi="ar-SA"/>
              </w:rPr>
              <w:t>8</w:t>
            </w:r>
            <w:r>
              <w:rPr>
                <w:rFonts w:hint="default" w:ascii="Times New Roman" w:hAnsi="Times New Roman" w:cs="Times New Roman"/>
                <w:color w:val="auto"/>
                <w:kern w:val="2"/>
                <w:sz w:val="24"/>
                <w:szCs w:val="24"/>
                <w:lang w:val="en-US" w:eastAsia="zh-CN" w:bidi="ar-SA"/>
              </w:rPr>
              <w:t>、二次筛分废气G</w:t>
            </w:r>
            <w:r>
              <w:rPr>
                <w:rFonts w:hint="default" w:ascii="Times New Roman" w:hAnsi="Times New Roman" w:cs="Times New Roman"/>
                <w:color w:val="auto"/>
                <w:kern w:val="2"/>
                <w:sz w:val="24"/>
                <w:szCs w:val="24"/>
                <w:vertAlign w:val="subscript"/>
                <w:lang w:val="en-US" w:eastAsia="zh-CN" w:bidi="ar-SA"/>
              </w:rPr>
              <w:t>9</w:t>
            </w:r>
            <w:r>
              <w:rPr>
                <w:rFonts w:hint="default" w:ascii="Times New Roman" w:hAnsi="Times New Roman" w:cs="Times New Roman"/>
                <w:color w:val="auto"/>
                <w:kern w:val="2"/>
                <w:sz w:val="24"/>
                <w:szCs w:val="24"/>
                <w:lang w:val="en-US" w:eastAsia="zh-CN" w:bidi="ar-SA"/>
              </w:rPr>
              <w:t>、包装废气G</w:t>
            </w:r>
            <w:r>
              <w:rPr>
                <w:rFonts w:hint="default" w:ascii="Times New Roman" w:hAnsi="Times New Roman" w:cs="Times New Roman"/>
                <w:color w:val="auto"/>
                <w:kern w:val="2"/>
                <w:sz w:val="24"/>
                <w:szCs w:val="24"/>
                <w:vertAlign w:val="subscript"/>
                <w:lang w:val="en-US" w:eastAsia="zh-CN" w:bidi="ar-SA"/>
              </w:rPr>
              <w:t>10</w:t>
            </w:r>
          </w:p>
          <w:p>
            <w:pPr>
              <w:adjustRightInd w:val="0"/>
              <w:snapToGrid w:val="0"/>
              <w:spacing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粉碎、筛分、上料、造粒、冷却、二次筛分及包装，属于有机肥前处理、后处理过程，均在有机肥加工车间内完成，且各工序生产过程中均会产生粉尘，根据《排放源统计调查产排污核算方法和系数手册》-2625有机肥料及微生物肥料制造行业系数手册，颗粒物产污系数以0.370千克/吨-产品计。本项目颗粒有机肥年产5000t，经计算，颗粒物产生量为1.85t/a，经集气罩收集（收集效率90%）后引至一套布袋除尘器（处理效率98%）处理后通过1根15m高排气筒排放。其中未被收集的废气在密闭厂房降尘（降尘效果50%）处理后以无组织形式排放，则集气罩收集颗粒物量为1.665t/a，经布袋除尘器处理后的排放量为0.</w:t>
            </w:r>
            <w:r>
              <w:rPr>
                <w:rFonts w:hint="eastAsia" w:cs="Times New Roman"/>
                <w:color w:val="auto"/>
                <w:kern w:val="2"/>
                <w:sz w:val="24"/>
                <w:szCs w:val="24"/>
                <w:lang w:val="en-US" w:eastAsia="zh-CN" w:bidi="ar-SA"/>
              </w:rPr>
              <w:t>033</w:t>
            </w:r>
            <w:r>
              <w:rPr>
                <w:rFonts w:hint="default" w:ascii="Times New Roman" w:hAnsi="Times New Roman" w:cs="Times New Roman"/>
                <w:color w:val="auto"/>
                <w:kern w:val="2"/>
                <w:sz w:val="24"/>
                <w:szCs w:val="24"/>
                <w:lang w:val="en-US" w:eastAsia="zh-CN" w:bidi="ar-SA"/>
              </w:rPr>
              <w:t>t/a；未收集的颗粒物量为0.185t/a，则无组织产生量为0.185t/a，经密闭厂房降尘处理后，以无组织形式排放，项目无组织排放量为0.093t/a。</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3、废气污染治理措施及其可行性分析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default" w:ascii="Times New Roman" w:hAnsi="Times New Roman" w:cs="Times New Roman"/>
                <w:color w:val="auto"/>
                <w:sz w:val="24"/>
                <w:lang w:val="en-US" w:eastAsia="zh-CN"/>
              </w:rPr>
              <w:t>为</w:t>
            </w:r>
            <w:r>
              <w:rPr>
                <w:rFonts w:hint="default" w:ascii="Times New Roman" w:hAnsi="Times New Roman" w:eastAsia="宋体" w:cs="Times New Roman"/>
                <w:color w:val="auto"/>
                <w:sz w:val="24"/>
                <w:lang w:val="en-US" w:eastAsia="zh-CN"/>
              </w:rPr>
              <w:t>有机肥料</w:t>
            </w:r>
            <w:r>
              <w:rPr>
                <w:rFonts w:hint="default" w:ascii="Times New Roman" w:hAnsi="Times New Roman" w:cs="Times New Roman"/>
                <w:color w:val="auto"/>
                <w:sz w:val="24"/>
                <w:lang w:val="en-US" w:eastAsia="zh-CN"/>
              </w:rPr>
              <w:t>制造业</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val="en-US" w:eastAsia="zh-CN"/>
              </w:rPr>
              <w:t>《排污许可证申请与核发技术规范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eastAsia="宋体" w:cs="Times New Roman"/>
                <w:color w:val="auto"/>
                <w:sz w:val="24"/>
                <w:lang w:val="en-US" w:eastAsia="zh-CN"/>
              </w:rPr>
              <w:t>磷肥、钾肥、复混肥料、有机肥料及微生物肥料工业》（HJ</w:t>
            </w:r>
            <w:r>
              <w:rPr>
                <w:rFonts w:hint="default" w:ascii="Times New Roman" w:hAnsi="Times New Roman" w:cs="Times New Roman"/>
                <w:color w:val="auto"/>
                <w:sz w:val="24"/>
                <w:lang w:val="en-US" w:eastAsia="zh-CN"/>
              </w:rPr>
              <w:t>864.2</w:t>
            </w:r>
            <w:r>
              <w:rPr>
                <w:rFonts w:hint="default" w:ascii="Times New Roman" w:hAnsi="Times New Roman" w:eastAsia="宋体" w:cs="Times New Roman"/>
                <w:color w:val="auto"/>
                <w:sz w:val="24"/>
                <w:lang w:val="en-US" w:eastAsia="zh-CN"/>
              </w:rPr>
              <w:t>-2</w:t>
            </w:r>
            <w:r>
              <w:rPr>
                <w:rFonts w:hint="default" w:ascii="Times New Roman" w:hAnsi="Times New Roman" w:cs="Times New Roman"/>
                <w:color w:val="auto"/>
                <w:sz w:val="24"/>
                <w:lang w:val="en-US" w:eastAsia="zh-CN"/>
              </w:rPr>
              <w:t>018</w:t>
            </w:r>
            <w:r>
              <w:rPr>
                <w:rFonts w:hint="default" w:ascii="Times New Roman" w:hAnsi="Times New Roman" w:eastAsia="宋体" w:cs="Times New Roman"/>
                <w:color w:val="auto"/>
                <w:sz w:val="24"/>
                <w:lang w:val="en-US" w:eastAsia="zh-CN"/>
              </w:rPr>
              <w:t>）中的表</w:t>
            </w:r>
            <w:r>
              <w:rPr>
                <w:rFonts w:hint="default" w:ascii="Times New Roman" w:hAnsi="Times New Roman" w:cs="Times New Roman"/>
                <w:color w:val="auto"/>
                <w:sz w:val="24"/>
                <w:lang w:val="en-US" w:eastAsia="zh-CN"/>
              </w:rPr>
              <w:t>15有机肥料及微生物肥料工业排污单位生产单元或设施废气治理可行技术参照</w:t>
            </w:r>
            <w:r>
              <w:rPr>
                <w:rFonts w:hint="default" w:ascii="Times New Roman" w:hAnsi="Times New Roman" w:eastAsia="宋体" w:cs="Times New Roman"/>
                <w:color w:val="auto"/>
                <w:sz w:val="24"/>
                <w:lang w:val="en-US" w:eastAsia="zh-CN"/>
              </w:rPr>
              <w:t>，本项目措施可行性分析对照见下表4-</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val="en-US" w:eastAsia="zh-CN"/>
              </w:rPr>
              <w:t>表4</w:t>
            </w:r>
            <w:r>
              <w:rPr>
                <w:rFonts w:hint="default" w:ascii="Times New Roman" w:hAnsi="Times New Roman" w:eastAsia="黑体" w:cs="Times New Roman"/>
                <w:color w:val="auto"/>
              </w:rPr>
              <w:t>-</w:t>
            </w:r>
            <w:r>
              <w:rPr>
                <w:rFonts w:hint="default" w:ascii="Times New Roman" w:hAnsi="Times New Roman" w:eastAsia="黑体" w:cs="Times New Roman"/>
                <w:color w:val="auto"/>
                <w:lang w:val="en-US" w:eastAsia="zh-CN"/>
              </w:rPr>
              <w:t xml:space="preserve">4 </w:t>
            </w:r>
            <w:r>
              <w:rPr>
                <w:rFonts w:hint="default" w:ascii="Times New Roman" w:hAnsi="Times New Roman" w:eastAsia="黑体" w:cs="Times New Roman"/>
                <w:color w:val="auto"/>
              </w:rPr>
              <w:t xml:space="preserve"> 污染防治措施可行性对照表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67"/>
              <w:gridCol w:w="2761"/>
              <w:gridCol w:w="26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产污环节</w:t>
                  </w:r>
                </w:p>
              </w:tc>
              <w:tc>
                <w:tcPr>
                  <w:tcW w:w="706"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污染物</w:t>
                  </w:r>
                </w:p>
              </w:tc>
              <w:tc>
                <w:tcPr>
                  <w:tcW w:w="1670"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可行技术</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本项目拟采取治理措施</w:t>
                  </w:r>
                </w:p>
              </w:tc>
              <w:tc>
                <w:tcPr>
                  <w:tcW w:w="594"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restar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备料</w:t>
                  </w:r>
                </w:p>
              </w:tc>
              <w:tc>
                <w:tcPr>
                  <w:tcW w:w="706"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黑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continue"/>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cs="Times New Roman"/>
                      <w:color w:val="auto"/>
                    </w:rPr>
                  </w:pPr>
                </w:p>
              </w:tc>
              <w:tc>
                <w:tcPr>
                  <w:tcW w:w="706"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发酵</w:t>
                  </w:r>
                </w:p>
              </w:tc>
              <w:tc>
                <w:tcPr>
                  <w:tcW w:w="706"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bookmarkStart w:id="27" w:name="OLE_LINK1"/>
                  <w:bookmarkStart w:id="28" w:name="OLE_LINK2"/>
                  <w:r>
                    <w:rPr>
                      <w:rFonts w:hint="default" w:ascii="Times New Roman" w:hAnsi="Times New Roman" w:eastAsia="宋体" w:cs="Times New Roman"/>
                      <w:color w:val="auto"/>
                      <w:lang w:val="en-US" w:eastAsia="zh-CN"/>
                    </w:rPr>
                    <w:t>破碎</w:t>
                  </w:r>
                </w:p>
              </w:tc>
              <w:tc>
                <w:tcPr>
                  <w:tcW w:w="706"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造粒</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筛分</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冷却</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rPr>
              <w:t>由上表</w:t>
            </w:r>
            <w:r>
              <w:rPr>
                <w:rFonts w:hint="default" w:ascii="Times New Roman" w:hAnsi="Times New Roman" w:cs="Times New Roman"/>
                <w:color w:val="auto"/>
                <w:sz w:val="24"/>
                <w:szCs w:val="24"/>
                <w:lang w:eastAsia="zh-CN"/>
              </w:rPr>
              <w:t>分析</w:t>
            </w:r>
            <w:r>
              <w:rPr>
                <w:rFonts w:hint="default" w:ascii="Times New Roman" w:hAnsi="Times New Roman" w:eastAsia="宋体" w:cs="Times New Roman"/>
                <w:color w:val="auto"/>
                <w:sz w:val="24"/>
                <w:szCs w:val="24"/>
              </w:rPr>
              <w:t>可知，本项目废气治理措施为可行性技术。</w:t>
            </w:r>
            <w:bookmarkEnd w:id="27"/>
            <w:bookmarkEnd w:id="28"/>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4、监测要求及排放标准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根据《排污单位自行监测技术指南</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磷肥、钾肥、复混肥料、有机肥料和微生物肥料》（HJ</w:t>
            </w:r>
            <w:r>
              <w:rPr>
                <w:rFonts w:hint="default" w:ascii="Times New Roman" w:hAnsi="Times New Roman" w:cs="Times New Roman"/>
                <w:color w:val="auto"/>
                <w:sz w:val="24"/>
                <w:szCs w:val="24"/>
                <w:lang w:val="en-US" w:eastAsia="zh-CN"/>
              </w:rPr>
              <w:t>1088-2020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本项目运营期废气污染源</w:t>
            </w:r>
            <w:r>
              <w:rPr>
                <w:rFonts w:hint="default" w:ascii="Times New Roman" w:hAnsi="Times New Roman" w:eastAsia="宋体" w:cs="Times New Roman"/>
                <w:color w:val="auto"/>
                <w:sz w:val="24"/>
                <w:szCs w:val="24"/>
              </w:rPr>
              <w:t>监测计划</w:t>
            </w:r>
            <w:r>
              <w:rPr>
                <w:rFonts w:hint="default" w:ascii="Times New Roman" w:hAnsi="Times New Roman" w:cs="Times New Roman"/>
                <w:color w:val="auto"/>
                <w:sz w:val="24"/>
                <w:szCs w:val="24"/>
                <w:lang w:eastAsia="zh-CN"/>
              </w:rPr>
              <w:t>见表</w:t>
            </w:r>
            <w:r>
              <w:rPr>
                <w:rFonts w:hint="default" w:ascii="Times New Roman" w:hAnsi="Times New Roman" w:cs="Times New Roman"/>
                <w:color w:val="auto"/>
                <w:sz w:val="24"/>
                <w:szCs w:val="24"/>
                <w:lang w:val="en-US" w:eastAsia="zh-CN"/>
              </w:rPr>
              <w:t>4-5。</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4-5</w:t>
            </w:r>
            <w:r>
              <w:rPr>
                <w:rFonts w:hint="default" w:ascii="Times New Roman" w:hAnsi="Times New Roman" w:eastAsia="黑体" w:cs="Times New Roman"/>
                <w:color w:val="auto"/>
              </w:rPr>
              <w:t xml:space="preserve">  本项目运营期</w:t>
            </w:r>
            <w:r>
              <w:rPr>
                <w:rFonts w:hint="default" w:ascii="Times New Roman" w:hAnsi="Times New Roman" w:eastAsia="黑体" w:cs="Times New Roman"/>
                <w:color w:val="auto"/>
                <w:lang w:val="en-US" w:eastAsia="zh-CN"/>
              </w:rPr>
              <w:t>废气污染源</w:t>
            </w:r>
            <w:r>
              <w:rPr>
                <w:rFonts w:hint="default" w:ascii="Times New Roman" w:hAnsi="Times New Roman" w:eastAsia="黑体" w:cs="Times New Roman"/>
                <w:color w:val="auto"/>
              </w:rPr>
              <w:t>监测计划一览表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446"/>
              <w:gridCol w:w="835"/>
              <w:gridCol w:w="1080"/>
              <w:gridCol w:w="805"/>
              <w:gridCol w:w="1253"/>
              <w:gridCol w:w="1078"/>
              <w:gridCol w:w="23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污染因素</w:t>
                  </w:r>
                </w:p>
              </w:tc>
              <w:tc>
                <w:tcPr>
                  <w:tcW w:w="50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监测点位</w:t>
                  </w:r>
                </w:p>
              </w:tc>
              <w:tc>
                <w:tcPr>
                  <w:tcW w:w="653"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监测项目</w:t>
                  </w:r>
                </w:p>
              </w:tc>
              <w:tc>
                <w:tcPr>
                  <w:tcW w:w="487"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监测频率</w:t>
                  </w:r>
                </w:p>
              </w:tc>
              <w:tc>
                <w:tcPr>
                  <w:tcW w:w="1410" w:type="pct"/>
                  <w:gridSpan w:val="2"/>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限值要求</w:t>
                  </w:r>
                </w:p>
              </w:tc>
              <w:tc>
                <w:tcPr>
                  <w:tcW w:w="141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653"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浓度</w:t>
                  </w:r>
                  <w:r>
                    <w:rPr>
                      <w:rFonts w:hint="default" w:ascii="Times New Roman" w:hAnsi="Times New Roman" w:cs="Times New Roman" w:eastAsiaTheme="minorEastAsia"/>
                      <w:b/>
                      <w:bCs/>
                      <w:snapToGrid w:val="0"/>
                      <w:color w:val="auto"/>
                      <w:kern w:val="0"/>
                      <w:sz w:val="21"/>
                      <w:szCs w:val="21"/>
                      <w:lang w:val="en-US" w:eastAsia="zh-CN" w:bidi="ar-SA"/>
                    </w:rPr>
                    <w:t>mg/m³</w:t>
                  </w:r>
                </w:p>
              </w:tc>
              <w:tc>
                <w:tcPr>
                  <w:tcW w:w="652"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速率</w:t>
                  </w:r>
                  <w:r>
                    <w:rPr>
                      <w:rFonts w:hint="default" w:ascii="Times New Roman" w:hAnsi="Times New Roman" w:cs="Times New Roman" w:eastAsiaTheme="minorEastAsia"/>
                      <w:b/>
                      <w:bCs/>
                      <w:color w:val="auto"/>
                      <w:sz w:val="21"/>
                      <w:szCs w:val="21"/>
                      <w:lang w:val="en-US" w:eastAsia="zh-CN"/>
                    </w:rPr>
                    <w:t>kg/h</w:t>
                  </w:r>
                </w:p>
              </w:tc>
              <w:tc>
                <w:tcPr>
                  <w:tcW w:w="141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257"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废气</w:t>
                  </w:r>
                </w:p>
              </w:tc>
              <w:tc>
                <w:tcPr>
                  <w:tcW w:w="269"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无组织</w:t>
                  </w:r>
                </w:p>
              </w:tc>
              <w:tc>
                <w:tcPr>
                  <w:tcW w:w="50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厂界</w:t>
                  </w:r>
                </w:p>
              </w:tc>
              <w:tc>
                <w:tcPr>
                  <w:tcW w:w="653"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颗粒物</w:t>
                  </w:r>
                </w:p>
              </w:tc>
              <w:tc>
                <w:tcPr>
                  <w:tcW w:w="487"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1.0</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1.5</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0.06</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67"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臭气浓度</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pStyle w:val="58"/>
                    <w:bidi w:val="0"/>
                    <w:jc w:val="center"/>
                    <w:rPr>
                      <w:rFonts w:hint="default" w:ascii="Times New Roman" w:hAnsi="Times New Roman" w:cs="Times New Roman" w:eastAsiaTheme="minorEastAsia"/>
                      <w:snapToGrid/>
                      <w:color w:val="auto"/>
                      <w:kern w:val="0"/>
                      <w:sz w:val="21"/>
                      <w:szCs w:val="21"/>
                      <w:lang w:val="en-US" w:eastAsia="zh-CN" w:bidi="ar-SA"/>
                    </w:rPr>
                  </w:pPr>
                  <w:r>
                    <w:rPr>
                      <w:rFonts w:hint="default" w:ascii="Times New Roman" w:hAnsi="Times New Roman" w:cs="Times New Roman" w:eastAsiaTheme="minorEastAsia"/>
                      <w:snapToGrid/>
                      <w:color w:val="auto"/>
                      <w:kern w:val="0"/>
                      <w:sz w:val="21"/>
                      <w:szCs w:val="21"/>
                      <w:lang w:val="en-US" w:eastAsia="zh-CN" w:bidi="ar-SA"/>
                    </w:rPr>
                    <w:t>20（无量纲）</w:t>
                  </w:r>
                </w:p>
              </w:tc>
              <w:tc>
                <w:tcPr>
                  <w:tcW w:w="141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269"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50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DA001</w:t>
                  </w:r>
                </w:p>
              </w:tc>
              <w:tc>
                <w:tcPr>
                  <w:tcW w:w="653" w:type="pct"/>
                  <w:tcBorders>
                    <w:tl2br w:val="nil"/>
                    <w:tr2bl w:val="nil"/>
                  </w:tcBorders>
                  <w:noWrap w:val="0"/>
                  <w:vAlign w:val="center"/>
                </w:tcPr>
                <w:p>
                  <w:pPr>
                    <w:pStyle w:val="58"/>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颗粒物</w:t>
                  </w:r>
                </w:p>
              </w:tc>
              <w:tc>
                <w:tcPr>
                  <w:tcW w:w="487"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120</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3.5</w:t>
                  </w:r>
                </w:p>
              </w:tc>
              <w:tc>
                <w:tcPr>
                  <w:tcW w:w="1415" w:type="pc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4.9kg/h</w:t>
                  </w:r>
                </w:p>
              </w:tc>
              <w:tc>
                <w:tcPr>
                  <w:tcW w:w="1415" w:type="pct"/>
                  <w:vMerge w:val="restar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0.33kg/h</w:t>
                  </w:r>
                </w:p>
              </w:tc>
              <w:tc>
                <w:tcPr>
                  <w:tcW w:w="141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臭气浓度</w:t>
                  </w:r>
                </w:p>
              </w:tc>
              <w:tc>
                <w:tcPr>
                  <w:tcW w:w="487"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2000（无量纲）</w:t>
                  </w:r>
                </w:p>
              </w:tc>
              <w:tc>
                <w:tcPr>
                  <w:tcW w:w="1415" w:type="pct"/>
                  <w:vMerge w:val="continue"/>
                  <w:tcBorders>
                    <w:tl2br w:val="nil"/>
                    <w:tr2bl w:val="nil"/>
                  </w:tcBorders>
                  <w:noWrap w:val="0"/>
                  <w:vAlign w:val="center"/>
                </w:tcPr>
                <w:p>
                  <w:pPr>
                    <w:pStyle w:val="58"/>
                    <w:bidi w:val="0"/>
                    <w:jc w:val="center"/>
                    <w:rPr>
                      <w:rFonts w:hint="default" w:ascii="Times New Roman" w:hAnsi="Times New Roman" w:cs="Times New Roman" w:eastAsiaTheme="minorEastAsia"/>
                      <w:color w:val="auto"/>
                      <w:sz w:val="21"/>
                      <w:szCs w:val="21"/>
                      <w:lang w:val="en-US" w:eastAsia="zh-CN"/>
                    </w:rPr>
                  </w:pP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5、非正常工况</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本项目非正常工况排放主要分为两类：一类是在正常生产设备开停、</w:t>
            </w:r>
            <w:r>
              <w:rPr>
                <w:rFonts w:hint="default" w:ascii="Times New Roman" w:hAnsi="Times New Roman" w:cs="Times New Roman"/>
                <w:color w:val="auto"/>
                <w:sz w:val="24"/>
                <w:szCs w:val="24"/>
                <w:lang w:eastAsia="zh-CN"/>
              </w:rPr>
              <w:t>生产</w:t>
            </w:r>
            <w:r>
              <w:rPr>
                <w:rFonts w:hint="default" w:ascii="Times New Roman" w:hAnsi="Times New Roman" w:eastAsia="宋体" w:cs="Times New Roman"/>
                <w:color w:val="auto"/>
                <w:sz w:val="24"/>
                <w:szCs w:val="24"/>
              </w:rPr>
              <w:t>设备故障或部分设备检修时会有较大量的污染物排出，另一类是环保设施达不到设计规定的指标运行，而使正常排放的污染物经过不完全处理或不经过处理直接排放而导致的超标排放。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设备检修及开停车</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开车时，首先启动环保装置，然后再按照规程依次启动生产线上各个设备，一般不会出现超标排污的现象；停车时，则需先按照规程依次关闭生产线上的设备，然后关闭环保设备，保证污染物达标排放。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非正常工况废气污染源</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根据工程特点，项目非正常工况污染物的排放，主要为废气处理设施故障。因此本次评价主要考虑</w:t>
            </w:r>
            <w:r>
              <w:rPr>
                <w:rFonts w:hint="default" w:ascii="Times New Roman" w:hAnsi="Times New Roman" w:cs="Times New Roman"/>
                <w:color w:val="auto"/>
                <w:sz w:val="24"/>
                <w:szCs w:val="24"/>
                <w:lang w:eastAsia="zh-CN"/>
              </w:rPr>
              <w:t>生物除臭装置及</w:t>
            </w:r>
            <w:r>
              <w:rPr>
                <w:rFonts w:hint="default" w:ascii="Times New Roman" w:hAnsi="Times New Roman" w:cs="Times New Roman"/>
                <w:color w:val="auto"/>
                <w:sz w:val="24"/>
                <w:szCs w:val="24"/>
                <w:lang w:val="en-US" w:eastAsia="zh-CN"/>
              </w:rPr>
              <w:t>布袋除尘器处理器故障，对污染物去除效率为50%，</w:t>
            </w:r>
            <w:r>
              <w:rPr>
                <w:rFonts w:hint="default" w:ascii="Times New Roman" w:hAnsi="Times New Roman" w:eastAsia="宋体" w:cs="Times New Roman"/>
                <w:color w:val="auto"/>
                <w:sz w:val="24"/>
                <w:szCs w:val="24"/>
              </w:rPr>
              <w:t>大气污染物非正常工况排放。本次评价以废气处理系统处理效率</w:t>
            </w:r>
            <w:r>
              <w:rPr>
                <w:rFonts w:hint="default" w:ascii="Times New Roman" w:hAnsi="Times New Roman" w:cs="Times New Roman"/>
                <w:color w:val="auto"/>
                <w:sz w:val="24"/>
                <w:szCs w:val="24"/>
                <w:lang w:val="en-US" w:eastAsia="zh-CN"/>
              </w:rPr>
              <w:t>为50%</w:t>
            </w:r>
            <w:r>
              <w:rPr>
                <w:rFonts w:hint="default" w:ascii="Times New Roman" w:hAnsi="Times New Roman" w:eastAsia="宋体" w:cs="Times New Roman"/>
                <w:color w:val="auto"/>
                <w:sz w:val="24"/>
                <w:szCs w:val="24"/>
              </w:rPr>
              <w:t>，单次持续时间以1h计。</w:t>
            </w:r>
            <w:r>
              <w:rPr>
                <w:rFonts w:hint="default" w:ascii="Times New Roman" w:hAnsi="Times New Roman" w:eastAsia="宋体" w:cs="Times New Roman"/>
                <w:color w:val="auto"/>
                <w:sz w:val="24"/>
                <w:szCs w:val="24"/>
                <w:lang w:val="en-US" w:eastAsia="zh-CN"/>
              </w:rPr>
              <w:t>非正常工况下污染物产生及排放情况</w:t>
            </w:r>
            <w:r>
              <w:rPr>
                <w:rFonts w:hint="default" w:ascii="Times New Roman" w:hAnsi="Times New Roman" w:cs="Times New Roman"/>
                <w:color w:val="auto"/>
                <w:sz w:val="24"/>
                <w:szCs w:val="24"/>
                <w:lang w:val="en-US" w:eastAsia="zh-CN"/>
              </w:rPr>
              <w:t>见表4-6。</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表4-6  非正常工况下污染物产生及排放情况一览表</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30"/>
              <w:gridCol w:w="577"/>
              <w:gridCol w:w="1603"/>
              <w:gridCol w:w="808"/>
              <w:gridCol w:w="882"/>
              <w:gridCol w:w="823"/>
              <w:gridCol w:w="770"/>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gridSpan w:val="2"/>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349" w:type="pct"/>
                  <w:vMerge w:val="restar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处理效率</w:t>
                  </w:r>
                </w:p>
              </w:tc>
              <w:tc>
                <w:tcPr>
                  <w:tcW w:w="970" w:type="pct"/>
                  <w:vMerge w:val="restar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频次</w:t>
                  </w:r>
                </w:p>
              </w:tc>
              <w:tc>
                <w:tcPr>
                  <w:tcW w:w="1521" w:type="pct"/>
                  <w:gridSpan w:val="3"/>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1086" w:type="pct"/>
                  <w:gridSpan w:val="2"/>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563"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349" w:type="pct"/>
                  <w:vMerge w:val="continue"/>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970" w:type="pct"/>
                  <w:vMerge w:val="continue"/>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489"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排放量kg</w:t>
                  </w:r>
                </w:p>
              </w:tc>
              <w:tc>
                <w:tcPr>
                  <w:tcW w:w="534"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497"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速率kg/h</w:t>
                  </w:r>
                </w:p>
              </w:tc>
              <w:tc>
                <w:tcPr>
                  <w:tcW w:w="466"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619"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DA001</w:t>
                  </w: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89"/>
                      <w:rFonts w:hint="default" w:ascii="Times New Roman" w:hAnsi="Times New Roman" w:cs="Times New Roman"/>
                      <w:b w:val="0"/>
                      <w:bCs w:val="0"/>
                      <w:color w:val="auto"/>
                      <w:sz w:val="21"/>
                      <w:szCs w:val="21"/>
                      <w:lang w:val="en-US" w:eastAsia="zh-CN" w:bidi="ar"/>
                    </w:rPr>
                    <w:t>颗粒物</w:t>
                  </w:r>
                </w:p>
              </w:tc>
              <w:tc>
                <w:tcPr>
                  <w:tcW w:w="577" w:type="dxa"/>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0.806</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537.567</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0.806</w:t>
                  </w:r>
                </w:p>
              </w:tc>
              <w:tc>
                <w:tcPr>
                  <w:tcW w:w="466"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c>
                <w:tcPr>
                  <w:tcW w:w="619"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9" w:type="pct"/>
                  <w:vMerge w:val="continue"/>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89"/>
                      <w:rFonts w:hint="default" w:ascii="Times New Roman" w:hAnsi="Times New Roman" w:cs="Times New Roman"/>
                      <w:b w:val="0"/>
                      <w:bCs w:val="0"/>
                      <w:color w:val="auto"/>
                      <w:sz w:val="21"/>
                      <w:szCs w:val="21"/>
                      <w:lang w:val="en-US" w:eastAsia="zh-CN" w:bidi="ar"/>
                    </w:rPr>
                    <w:t>氨</w:t>
                  </w:r>
                </w:p>
              </w:tc>
              <w:tc>
                <w:tcPr>
                  <w:tcW w:w="577" w:type="dxa"/>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0.00104</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0.696</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0.00104</w:t>
                  </w:r>
                </w:p>
              </w:tc>
              <w:tc>
                <w:tcPr>
                  <w:tcW w:w="466"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89"/>
                      <w:rFonts w:hint="default" w:ascii="Times New Roman" w:hAnsi="Times New Roman" w:cs="Times New Roman"/>
                      <w:b w:val="0"/>
                      <w:bCs w:val="0"/>
                      <w:color w:val="auto"/>
                      <w:sz w:val="21"/>
                      <w:szCs w:val="21"/>
                      <w:lang w:val="en-US" w:eastAsia="zh-CN" w:bidi="ar"/>
                    </w:rPr>
                    <w:t>硫化氢</w:t>
                  </w:r>
                </w:p>
              </w:tc>
              <w:tc>
                <w:tcPr>
                  <w:tcW w:w="577" w:type="dxa"/>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0.00004</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0.027</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0.00004</w:t>
                  </w:r>
                </w:p>
              </w:tc>
              <w:tc>
                <w:tcPr>
                  <w:tcW w:w="466" w:type="pct"/>
                  <w:tcBorders>
                    <w:tl2br w:val="nil"/>
                    <w:tr2bl w:val="nil"/>
                  </w:tcBorders>
                  <w:tcMar>
                    <w:top w:w="0" w:type="dxa"/>
                    <w:left w:w="51" w:type="dxa"/>
                    <w:bottom w:w="0" w:type="dxa"/>
                    <w:right w:w="51" w:type="dxa"/>
                  </w:tcMar>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0.33</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（3）非正常工况防范措施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环保设施均属常规设施，只要建设单位重视环保设施的正常检修，加强设备的运行管理，出现事故的概率较小，可避免非正常排放对环境的影响。由表4-6可知，废气处理装置故障后，颗粒物排放浓度不满足《大气污染物综合排放标准》（GB16297-1996）中排放限值要求，为尽量避免非正常排放发生，建设单位应采取如下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①对非正常状态下排放的危害加强认识，建立完善的环保设施检修体制；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②建设单位应做好生产设备和环保设施的管理、维修工作，选用质量好的设备；派专人对易发生非正常排放的设备进行管理，出现异常，及时维修处理，定期检查；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③出现事故情况，必要时应立即停产检修，待检修完毕后再进行生产。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6、估算结果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本项目污染源有原料陈化堆放棚、有机肥加工车间及DA001排气筒，各污染源对环境保护目标处的环境影响采用AERSCREEN模式进行计算，则离散点计算结果见表4-7。</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表4-7  离散点计算结果一览表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911"/>
              <w:gridCol w:w="384"/>
              <w:gridCol w:w="177"/>
              <w:gridCol w:w="585"/>
              <w:gridCol w:w="443"/>
              <w:gridCol w:w="88"/>
              <w:gridCol w:w="263"/>
              <w:gridCol w:w="549"/>
              <w:gridCol w:w="137"/>
              <w:gridCol w:w="253"/>
              <w:gridCol w:w="658"/>
              <w:gridCol w:w="137"/>
              <w:gridCol w:w="65"/>
              <w:gridCol w:w="731"/>
              <w:gridCol w:w="795"/>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409" w:type="pct"/>
                  <w:gridSpan w:val="1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590"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原料陈化堆放棚</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新民乡服务中心</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106.444203</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35.325027</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1769.0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300.16</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0.0537</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0.0021</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27.1427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先进村</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106.443081</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35.319131</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1764.0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382.29</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0.0452</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0.0017</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22.8576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泾源县公安局新民乡派出所</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106.445957</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35.324537</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1759.0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274.08</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0.0573</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0.0022</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28.9581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新民中心小学</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106.445142</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35.323753</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164.9</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0.0827</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0.0032</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41.7686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杨堡村</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106.446515</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35.321609</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1749.0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194.57</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0.0732</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0.0028</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37.0065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新民乡卫生院</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106.444348</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35.32595</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401.32</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0.0437</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0.0017</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22.0830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新民乡政府</w:t>
                  </w:r>
                </w:p>
              </w:tc>
              <w:tc>
                <w:tcPr>
                  <w:tcW w:w="78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106.445065</w:t>
                  </w:r>
                </w:p>
              </w:tc>
              <w:tc>
                <w:tcPr>
                  <w:tcW w:w="72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35.326046</w:t>
                  </w:r>
                </w:p>
              </w:tc>
              <w:tc>
                <w:tcPr>
                  <w:tcW w:w="5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1761.0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413.84</w:t>
                  </w:r>
                </w:p>
              </w:tc>
              <w:tc>
                <w:tcPr>
                  <w:tcW w:w="5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0.0428</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0.0016</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21.6076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31" w:type="pct"/>
                  <w:gridSpan w:val="1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有机肥加工车间</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新民乡服务中心</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106.444203</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35.325027</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1769.0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356.05</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7.9668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先进村</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106.443081</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35.319131</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1764.0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316.43</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8.6634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泾源县公安局新民乡派出所</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106.445957</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35.324537</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1759.0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341.02</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8.2146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新民中心小学</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106.445142</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35.323753</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230.66</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10.8540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杨堡村</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106.446515</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35.321609</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1749.0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211.81</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11.5370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新民乡卫生院</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106.444348</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35.32595</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458.87</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6.8050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新民乡政府</w:t>
                  </w:r>
                </w:p>
              </w:tc>
              <w:tc>
                <w:tcPr>
                  <w:tcW w:w="8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106.445065</w:t>
                  </w:r>
                </w:p>
              </w:tc>
              <w:tc>
                <w:tcPr>
                  <w:tcW w:w="6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35.326046</w:t>
                  </w:r>
                </w:p>
              </w:tc>
              <w:tc>
                <w:tcPr>
                  <w:tcW w:w="57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1761.0</w:t>
                  </w:r>
                </w:p>
              </w:tc>
              <w:tc>
                <w:tcPr>
                  <w:tcW w:w="67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475.85</w:t>
                  </w:r>
                </w:p>
              </w:tc>
              <w:tc>
                <w:tcPr>
                  <w:tcW w:w="14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6.7224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010" w:type="pct"/>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989"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DA001</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10</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2.5</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新民乡服务中心</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106.444203</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35.325027</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1769.0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344.75</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0.1305</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0.0653</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0.0018</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先进村</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106.443081</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35.319131</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1764.0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338.03</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0.1258</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0.0629</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0.0017</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泾源县公安局新民乡派出所</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106.445957</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35.324537</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1759.0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317.47</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0.1089</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0.0544</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0.0015</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新民中心小学</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106.445142</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35.323753</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209.82</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0.0671</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0.0335</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0.0009</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杨堡村</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106.446515</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35.321609</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1749.0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186.04</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0.0596</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0.0298</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0.0008</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新民乡卫生院</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106.444348</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35.32595</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1766.0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446.48</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0.1692</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0.0846</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0.0023</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新民乡政府</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106.445065</w:t>
                  </w:r>
                </w:p>
              </w:tc>
              <w:tc>
                <w:tcPr>
                  <w:tcW w:w="6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35.326046</w:t>
                  </w:r>
                </w:p>
              </w:tc>
              <w:tc>
                <w:tcPr>
                  <w:tcW w:w="4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1761.0</w:t>
                  </w:r>
                </w:p>
              </w:tc>
              <w:tc>
                <w:tcPr>
                  <w:tcW w:w="5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459.67</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0.1736</w:t>
                  </w:r>
                </w:p>
              </w:tc>
              <w:tc>
                <w:tcPr>
                  <w:tcW w:w="4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0.0868</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0.0024</w:t>
                  </w:r>
                </w:p>
              </w:tc>
              <w:tc>
                <w:tcPr>
                  <w:tcW w:w="5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0.0001</w:t>
                  </w:r>
                </w:p>
              </w:tc>
            </w:tr>
          </w:tbl>
          <w:p>
            <w:pPr>
              <w:pStyle w:val="55"/>
              <w:ind w:firstLine="48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由上表分析可知，本项目</w:t>
            </w:r>
            <w:r>
              <w:rPr>
                <w:rFonts w:hint="default" w:ascii="Times New Roman" w:hAnsi="Times New Roman" w:cs="Times New Roman"/>
                <w:color w:val="auto"/>
                <w:sz w:val="24"/>
                <w:szCs w:val="24"/>
                <w:lang w:val="en-US" w:eastAsia="zh-CN"/>
              </w:rPr>
              <w:t>原料陈化堆放棚</w:t>
            </w:r>
            <w:r>
              <w:rPr>
                <w:rFonts w:hint="default" w:ascii="Times New Roman" w:hAnsi="Times New Roman" w:eastAsia="宋体" w:cs="Times New Roman"/>
                <w:color w:val="auto"/>
                <w:sz w:val="24"/>
                <w:szCs w:val="24"/>
                <w:lang w:val="en-US" w:eastAsia="zh-CN"/>
              </w:rPr>
              <w:t>排放的污染物TSP在</w:t>
            </w:r>
            <w:r>
              <w:rPr>
                <w:rFonts w:hint="default" w:ascii="Times New Roman" w:hAnsi="Times New Roman" w:cs="Times New Roman"/>
                <w:color w:val="auto"/>
                <w:sz w:val="24"/>
                <w:szCs w:val="24"/>
                <w:lang w:val="en-US" w:eastAsia="zh-CN"/>
              </w:rPr>
              <w:t>新民中心小学</w:t>
            </w:r>
            <w:r>
              <w:rPr>
                <w:rFonts w:hint="default" w:ascii="Times New Roman" w:hAnsi="Times New Roman" w:eastAsia="宋体" w:cs="Times New Roman"/>
                <w:color w:val="auto"/>
                <w:sz w:val="24"/>
                <w:szCs w:val="24"/>
                <w:lang w:val="en-US" w:eastAsia="zh-CN"/>
              </w:rPr>
              <w:t>处的最大浓度为41.7686μg/m³，远低于《环境空气质量标准》(GB3095-2012）及其2018年修改单标准</w:t>
            </w:r>
            <w:r>
              <w:rPr>
                <w:rFonts w:hint="default" w:ascii="Times New Roman" w:hAnsi="Times New Roman" w:cs="Times New Roman"/>
                <w:color w:val="auto"/>
                <w:sz w:val="24"/>
                <w:szCs w:val="24"/>
                <w:lang w:val="en-US" w:eastAsia="zh-CN"/>
              </w:rPr>
              <w:t>限值要求</w:t>
            </w:r>
            <w:r>
              <w:rPr>
                <w:rFonts w:hint="default" w:ascii="Times New Roman" w:hAnsi="Times New Roman" w:eastAsia="宋体" w:cs="Times New Roman"/>
                <w:color w:val="auto"/>
                <w:sz w:val="24"/>
                <w:szCs w:val="24"/>
                <w:lang w:val="en-US" w:eastAsia="zh-CN"/>
              </w:rPr>
              <w:t>（TSP：900μg/m³</w:t>
            </w:r>
            <w:r>
              <w:rPr>
                <w:rFonts w:hint="default" w:ascii="Times New Roman" w:hAnsi="Times New Roman" w:cs="Times New Roman"/>
                <w:color w:val="auto"/>
                <w:lang w:val="en-US" w:eastAsia="zh-CN"/>
              </w:rPr>
              <w:t>&lt;为日均值三倍&gt;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由此可见，本项目各污染源对</w:t>
            </w:r>
            <w:r>
              <w:rPr>
                <w:rFonts w:hint="default" w:ascii="Times New Roman" w:hAnsi="Times New Roman" w:cs="Times New Roman"/>
                <w:color w:val="auto"/>
                <w:sz w:val="24"/>
                <w:szCs w:val="24"/>
                <w:lang w:val="en-US" w:eastAsia="zh-CN"/>
              </w:rPr>
              <w:t>各</w:t>
            </w:r>
            <w:r>
              <w:rPr>
                <w:rFonts w:hint="default" w:ascii="Times New Roman" w:hAnsi="Times New Roman" w:eastAsia="宋体" w:cs="Times New Roman"/>
                <w:color w:val="auto"/>
                <w:sz w:val="24"/>
                <w:szCs w:val="24"/>
                <w:lang w:val="en-US" w:eastAsia="zh-CN"/>
              </w:rPr>
              <w:t>环境保护目标处的环境影响较小，也不会对区域环境质量造成影响。</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7、废气排放环境影响结论</w:t>
            </w:r>
          </w:p>
          <w:p>
            <w:pPr>
              <w:pStyle w:val="55"/>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本项目所在区域</w:t>
            </w:r>
            <w:r>
              <w:rPr>
                <w:rFonts w:hint="default" w:ascii="Times New Roman" w:hAnsi="Times New Roman" w:cs="Times New Roman"/>
                <w:color w:val="auto"/>
                <w:lang w:eastAsia="zh-CN"/>
              </w:rPr>
              <w:t>固原市</w:t>
            </w:r>
            <w:r>
              <w:rPr>
                <w:rFonts w:hint="default" w:ascii="Times New Roman" w:hAnsi="Times New Roman" w:cs="Times New Roman"/>
                <w:color w:val="auto"/>
              </w:rPr>
              <w:t>202</w:t>
            </w:r>
            <w:r>
              <w:rPr>
                <w:rFonts w:hint="default" w:ascii="Times New Roman" w:hAnsi="Times New Roman" w:cs="Times New Roman"/>
                <w:color w:val="auto"/>
                <w:lang w:val="en-US" w:eastAsia="zh-CN"/>
              </w:rPr>
              <w:t>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日最大8h滑动平均值的第90百分位数浓度值均满足《环境空气质量标准》（GB3095-2012）中标准要求</w:t>
            </w:r>
            <w:r>
              <w:rPr>
                <w:rFonts w:hint="default" w:ascii="Times New Roman" w:hAnsi="Times New Roman" w:cs="Times New Roman"/>
                <w:color w:val="auto"/>
                <w:sz w:val="24"/>
                <w:szCs w:val="24"/>
                <w:lang w:val="en-US" w:eastAsia="zh-CN"/>
              </w:rPr>
              <w:t>，属于达标区。本项目发酵废气经收集后与混配、粉碎、筛分、造粒、冷却过程中产生的废气一同进入一套“生物除臭装置+布袋除尘器”处理，最终，废气通过一根15米高的排气筒（DA001）排放。由表4-1可知，本项目DA001排气筒排放的污染物中</w:t>
            </w:r>
            <w:r>
              <w:rPr>
                <w:rFonts w:hint="default" w:ascii="Times New Roman" w:hAnsi="Times New Roman" w:cs="Times New Roman"/>
                <w:color w:val="auto"/>
                <w:sz w:val="24"/>
                <w:szCs w:val="24"/>
                <w:highlight w:val="none"/>
                <w:lang w:val="en-US" w:eastAsia="zh-CN"/>
              </w:rPr>
              <w:t>颗粒物排放浓度为</w:t>
            </w:r>
            <w:r>
              <w:rPr>
                <w:rFonts w:hint="eastAsia" w:cs="Times New Roman"/>
                <w:color w:val="auto"/>
                <w:sz w:val="24"/>
                <w:szCs w:val="24"/>
                <w:highlight w:val="none"/>
                <w:lang w:val="en-US" w:eastAsia="zh-CN"/>
              </w:rPr>
              <w:t>19.49</w:t>
            </w:r>
            <w:r>
              <w:rPr>
                <w:rFonts w:hint="default" w:ascii="Times New Roman" w:hAnsi="Times New Roman" w:cs="Times New Roman"/>
                <w:color w:val="auto"/>
                <w:sz w:val="24"/>
                <w:szCs w:val="24"/>
                <w:highlight w:val="none"/>
                <w:lang w:val="en-US" w:eastAsia="zh-CN"/>
              </w:rPr>
              <w:t>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、氨排放速率为0.00</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、硫化氢排放速率为0.000</w:t>
            </w:r>
            <w:r>
              <w:rPr>
                <w:rFonts w:hint="eastAsia" w:cs="Times New Roman"/>
                <w:color w:val="auto"/>
                <w:sz w:val="24"/>
                <w:szCs w:val="24"/>
                <w:highlight w:val="none"/>
                <w:vertAlign w:val="baseline"/>
                <w:lang w:val="en-US" w:eastAsia="zh-CN"/>
              </w:rPr>
              <w:t>02</w:t>
            </w:r>
            <w:r>
              <w:rPr>
                <w:rFonts w:hint="default" w:ascii="Times New Roman" w:hAnsi="Times New Roman" w:cs="Times New Roman"/>
                <w:color w:val="auto"/>
                <w:sz w:val="24"/>
                <w:szCs w:val="24"/>
                <w:highlight w:val="none"/>
                <w:vertAlign w:val="baseline"/>
                <w:lang w:val="en-US" w:eastAsia="zh-CN"/>
              </w:rPr>
              <w:t>kg/h，</w:t>
            </w:r>
            <w:r>
              <w:rPr>
                <w:rFonts w:hint="default" w:ascii="Times New Roman" w:hAnsi="Times New Roman" w:cs="Times New Roman"/>
                <w:color w:val="auto"/>
                <w:sz w:val="24"/>
                <w:szCs w:val="24"/>
                <w:lang w:val="en-US" w:eastAsia="zh-CN"/>
              </w:rPr>
              <w:t>废气经处理后颗粒物排放浓度满足《大气污染物综合排放标准》（GB16297-1996）中表2新污染源标准；氨、硫化氢排放速率满足《恶臭污染物排放标准》（GB14554-93）中表2恶臭污染物排放标准值</w:t>
            </w:r>
            <w:r>
              <w:rPr>
                <w:rFonts w:hint="default" w:ascii="Times New Roman" w:hAnsi="Times New Roman" w:cs="Times New Roman"/>
                <w:color w:val="auto"/>
                <w:sz w:val="24"/>
                <w:szCs w:val="24"/>
                <w:highlight w:val="none"/>
                <w:lang w:val="en-US" w:eastAsia="zh-CN"/>
              </w:rPr>
              <w:t>，同时，根据离散点估算结果可知，本项目各污染源对各环境保护目标处的环境影响较小。</w:t>
            </w:r>
          </w:p>
          <w:p>
            <w:pPr>
              <w:pStyle w:val="55"/>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综上所述，本项目各环节产生的废气均设置污染物治理措施，经处理后的各大气污染物均可实现达标排放，对周边环境</w:t>
            </w:r>
            <w:r>
              <w:rPr>
                <w:rFonts w:hint="eastAsia" w:cs="Times New Roman"/>
                <w:color w:val="auto"/>
                <w:sz w:val="24"/>
                <w:szCs w:val="24"/>
                <w:lang w:val="en-US" w:eastAsia="zh-CN"/>
              </w:rPr>
              <w:t>影响</w:t>
            </w:r>
            <w:r>
              <w:rPr>
                <w:rFonts w:hint="default" w:ascii="Times New Roman" w:hAnsi="Times New Roman" w:cs="Times New Roman"/>
                <w:color w:val="auto"/>
                <w:sz w:val="24"/>
                <w:szCs w:val="24"/>
                <w:lang w:val="en-US" w:eastAsia="zh-CN"/>
              </w:rPr>
              <w:t>较小。</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二、废水</w:t>
            </w:r>
          </w:p>
          <w:p>
            <w:pPr>
              <w:pStyle w:val="5"/>
              <w:pageBreakBefore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本项目废水主要为生活污水，经化粪池（8m³）处理后，交由新民乡污水处理公司统一拉运处置，不外排。</w:t>
            </w:r>
          </w:p>
          <w:p>
            <w:pPr>
              <w:pStyle w:val="5"/>
              <w:numPr>
                <w:ilvl w:val="0"/>
                <w:numId w:val="0"/>
              </w:numPr>
              <w:bidi w:val="0"/>
              <w:spacing w:line="360" w:lineRule="auto"/>
              <w:ind w:firstLine="0" w:firstLineChars="0"/>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kern w:val="2"/>
                <w:sz w:val="24"/>
                <w:szCs w:val="24"/>
                <w:lang w:val="en-US" w:eastAsia="zh-CN" w:bidi="ar-SA"/>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32"/>
                <w:lang w:val="en-US" w:eastAsia="zh-CN"/>
              </w:rPr>
            </w:pPr>
            <w:r>
              <w:rPr>
                <w:rFonts w:hint="default" w:ascii="Times New Roman" w:hAnsi="Times New Roman" w:eastAsia="黑体" w:cs="Times New Roman"/>
                <w:b w:val="0"/>
                <w:bCs w:val="0"/>
                <w:color w:val="auto"/>
                <w:sz w:val="24"/>
                <w:szCs w:val="32"/>
                <w:lang w:val="en-US" w:eastAsia="zh-CN"/>
              </w:rPr>
              <w:t>1、噪声源强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本项目在运营过程主要噪声源为双级粉碎机、滚筒筛、颗粒机、翻抛机、铲车及打包机等生产设备，对产生噪声的设备采取置于厂房内隔音等措施，确保厂界噪声达标。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由于本项目噪声设备基本上位于室内，根据《环境影响评价技术导则 声环境》（HJ2.4-2021），采用将室内声源等效为室外声源声功率级，再按照点声源计算衰减后进行叠加的方法来进行预测。对于室外声源，直接按照点声源对待。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室内声源等效室外声源声功率级计算方法如下：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如图4-1所示，声源位于室内，室内声源可采用等效室外声源声功率级法进行计算。设靠近开口处（或窗户）室内、室外某倍频带的声压级或A声级分别为L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和L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。若声源所在室内声场为近似扩散声场，则室外的倍频带声压级可下式公式近似求出。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drawing>
                <wp:inline distT="0" distB="0" distL="0" distR="0">
                  <wp:extent cx="1629410" cy="304165"/>
                  <wp:effectExtent l="0" t="0" r="1270" b="635"/>
                  <wp:docPr id="3" name="image1.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true"/>
                          </pic:cNvPicPr>
                        </pic:nvPicPr>
                        <pic:blipFill>
                          <a:blip r:embed="rId16" cstate="print"/>
                          <a:stretch>
                            <a:fillRect/>
                          </a:stretch>
                        </pic:blipFill>
                        <pic:spPr>
                          <a:xfrm>
                            <a:off x="0" y="0"/>
                            <a:ext cx="1629410" cy="3041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式中：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—靠近开口处（或窗户）室内某倍频带的声压级或A声级，dB；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—靠近开口处（或窗户）室外某倍频带的声压级或A声级，dB；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TL—隔墙（或窗户）倍频带或A声级的隔声量，dB。</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0" w:right="113"/>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2531745" cy="1268730"/>
                  <wp:effectExtent l="0" t="0" r="1905" b="7620"/>
                  <wp:docPr id="4" name="image2.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true"/>
                          </pic:cNvPicPr>
                        </pic:nvPicPr>
                        <pic:blipFill>
                          <a:blip r:embed="rId17" cstate="print"/>
                          <a:stretch>
                            <a:fillRect/>
                          </a:stretch>
                        </pic:blipFill>
                        <pic:spPr>
                          <a:xfrm>
                            <a:off x="0" y="0"/>
                            <a:ext cx="2531745" cy="1268730"/>
                          </a:xfrm>
                          <a:prstGeom prst="rect">
                            <a:avLst/>
                          </a:prstGeom>
                        </pic:spPr>
                      </pic:pic>
                    </a:graphicData>
                  </a:graphic>
                </wp:inline>
              </w:drawing>
            </w:r>
          </w:p>
          <w:p>
            <w:pPr>
              <w:pStyle w:val="4"/>
              <w:keepNext w:val="0"/>
              <w:keepLines w:val="0"/>
              <w:pageBreakBefore w:val="0"/>
              <w:widowControl w:val="0"/>
              <w:tabs>
                <w:tab w:val="left" w:pos="988"/>
              </w:tabs>
              <w:kinsoku/>
              <w:wordWrap/>
              <w:overflowPunct/>
              <w:topLinePunct w:val="0"/>
              <w:autoSpaceDE/>
              <w:autoSpaceDN/>
              <w:bidi w:val="0"/>
              <w:adjustRightInd w:val="0"/>
              <w:snapToGrid w:val="0"/>
              <w:spacing w:before="0" w:after="0" w:line="240" w:lineRule="auto"/>
              <w:ind w:left="0" w:hanging="431"/>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图4-</w:t>
            </w:r>
            <w:r>
              <w:rPr>
                <w:rFonts w:hint="default" w:ascii="Times New Roman" w:hAnsi="Times New Roman"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室内声源等效为室外声源图例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黑体" w:cs="Times New Roman"/>
                <w:color w:val="auto"/>
                <w:sz w:val="24"/>
                <w:szCs w:val="24"/>
              </w:rPr>
            </w:pPr>
            <w:r>
              <w:rPr>
                <w:rFonts w:hint="default" w:ascii="Times New Roman" w:hAnsi="Times New Roman" w:cs="Times New Roman"/>
                <w:color w:val="auto"/>
                <w:sz w:val="24"/>
                <w:szCs w:val="32"/>
                <w:lang w:val="en-US" w:eastAsia="zh-CN"/>
              </w:rPr>
              <w:t>企业噪声源强调查清单详见表4-8和表4-9。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表4-</w:t>
            </w:r>
            <w:r>
              <w:rPr>
                <w:rFonts w:hint="default" w:ascii="Times New Roman" w:hAnsi="Times New Roman" w:eastAsia="黑体" w:cs="Times New Roman"/>
                <w:color w:val="auto"/>
                <w:sz w:val="24"/>
                <w:szCs w:val="24"/>
                <w:lang w:val="en-US" w:eastAsia="zh-CN"/>
              </w:rPr>
              <w:t xml:space="preserve">8  </w:t>
            </w:r>
            <w:r>
              <w:rPr>
                <w:rFonts w:hint="default" w:ascii="Times New Roman" w:hAnsi="Times New Roman" w:eastAsia="黑体" w:cs="Times New Roman"/>
                <w:color w:val="auto"/>
                <w:sz w:val="24"/>
                <w:szCs w:val="24"/>
              </w:rPr>
              <w:t>主要噪声源强调查清单（室外声源）</w:t>
            </w:r>
          </w:p>
          <w:tbl>
            <w:tblPr>
              <w:tblStyle w:val="25"/>
              <w:tblW w:w="499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02"/>
              <w:gridCol w:w="1617"/>
              <w:gridCol w:w="949"/>
              <w:gridCol w:w="784"/>
              <w:gridCol w:w="669"/>
              <w:gridCol w:w="469"/>
              <w:gridCol w:w="944"/>
              <w:gridCol w:w="1324"/>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7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声源名称</w:t>
                  </w:r>
                </w:p>
              </w:tc>
              <w:tc>
                <w:tcPr>
                  <w:tcW w:w="57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w:t>
                  </w:r>
                </w:p>
              </w:tc>
              <w:tc>
                <w:tcPr>
                  <w:tcW w:w="11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空间相对位置</w:t>
                  </w:r>
                </w:p>
              </w:tc>
              <w:tc>
                <w:tcPr>
                  <w:tcW w:w="5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声功率级/dB（A）</w:t>
                  </w:r>
                </w:p>
              </w:tc>
              <w:tc>
                <w:tcPr>
                  <w:tcW w:w="8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声源控制措施</w:t>
                  </w:r>
                </w:p>
              </w:tc>
              <w:tc>
                <w:tcPr>
                  <w:tcW w:w="6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3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97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5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2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Z</w:t>
                  </w:r>
                </w:p>
              </w:tc>
              <w:tc>
                <w:tcPr>
                  <w:tcW w:w="5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8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6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3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袋式除尘器风机</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475" w:type="pct"/>
                  <w:tcBorders>
                    <w:tl2br w:val="nil"/>
                    <w:tr2bl w:val="nil"/>
                  </w:tcBorders>
                  <w:vAlign w:val="center"/>
                </w:tcPr>
                <w:p>
                  <w:pPr>
                    <w:pStyle w:val="55"/>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w w:val="100"/>
                      <w:sz w:val="21"/>
                      <w:szCs w:val="21"/>
                      <w:lang w:val="en-US" w:eastAsia="zh-CN"/>
                    </w:rPr>
                    <w:t>45</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kern w:val="2"/>
                      <w:sz w:val="21"/>
                      <w:szCs w:val="21"/>
                      <w:lang w:val="en-US" w:eastAsia="zh-CN"/>
                    </w:rPr>
                    <w:t>70</w:t>
                  </w:r>
                </w:p>
              </w:tc>
              <w:tc>
                <w:tcPr>
                  <w:tcW w:w="283" w:type="pct"/>
                  <w:tcBorders>
                    <w:tl2br w:val="nil"/>
                    <w:tr2bl w:val="nil"/>
                  </w:tcBorders>
                  <w:vAlign w:val="center"/>
                </w:tcPr>
                <w:p>
                  <w:pPr>
                    <w:pStyle w:val="55"/>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1</w:t>
                  </w:r>
                </w:p>
              </w:tc>
              <w:tc>
                <w:tcPr>
                  <w:tcW w:w="5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0</w:t>
                  </w:r>
                </w:p>
              </w:tc>
              <w:tc>
                <w:tcPr>
                  <w:tcW w:w="8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减震、隔声</w:t>
                  </w:r>
                </w:p>
              </w:tc>
              <w:tc>
                <w:tcPr>
                  <w:tcW w:w="6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白天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5000" w:type="pct"/>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b w:val="0"/>
                      <w:bCs w:val="0"/>
                      <w:color w:val="auto"/>
                      <w:sz w:val="21"/>
                      <w:szCs w:val="21"/>
                    </w:rPr>
                    <w:t>备注：以厂区</w:t>
                  </w:r>
                  <w:r>
                    <w:rPr>
                      <w:rFonts w:hint="default" w:ascii="Times New Roman" w:hAnsi="Times New Roman" w:cs="Times New Roman"/>
                      <w:b w:val="0"/>
                      <w:bCs w:val="0"/>
                      <w:color w:val="auto"/>
                      <w:sz w:val="21"/>
                      <w:szCs w:val="21"/>
                      <w:lang w:val="en-US" w:eastAsia="zh-CN"/>
                    </w:rPr>
                    <w:t>西南</w:t>
                  </w:r>
                  <w:r>
                    <w:rPr>
                      <w:rFonts w:hint="default" w:ascii="Times New Roman" w:hAnsi="Times New Roman" w:eastAsia="宋体" w:cs="Times New Roman"/>
                      <w:b w:val="0"/>
                      <w:bCs w:val="0"/>
                      <w:color w:val="auto"/>
                      <w:sz w:val="21"/>
                      <w:szCs w:val="21"/>
                    </w:rPr>
                    <w:t>角</w:t>
                  </w:r>
                  <w:r>
                    <w:rPr>
                      <w:rFonts w:hint="default" w:ascii="Times New Roman" w:hAnsi="Times New Roman" w:cs="Times New Roman"/>
                      <w:b w:val="0"/>
                      <w:bCs w:val="0"/>
                      <w:color w:val="auto"/>
                      <w:sz w:val="21"/>
                      <w:szCs w:val="21"/>
                      <w:lang w:val="en-US" w:eastAsia="zh-CN"/>
                    </w:rPr>
                    <w:t>为原点（0,0,0</w:t>
                  </w:r>
                  <w:r>
                    <w:rPr>
                      <w:rFonts w:hint="default" w:ascii="Times New Roman" w:hAnsi="Times New Roman" w:eastAsia="宋体" w:cs="Times New Roman"/>
                      <w:b w:val="0"/>
                      <w:bCs w:val="0"/>
                      <w:color w:val="auto"/>
                      <w:sz w:val="21"/>
                      <w:szCs w:val="21"/>
                    </w:rPr>
                    <w:t>）</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E:</w:t>
                  </w:r>
                  <w:r>
                    <w:rPr>
                      <w:rFonts w:hint="default" w:ascii="Times New Roman" w:hAnsi="Times New Roman" w:cs="Times New Roman"/>
                      <w:b w:val="0"/>
                      <w:bCs w:val="0"/>
                      <w:color w:val="auto"/>
                      <w:sz w:val="21"/>
                      <w:szCs w:val="21"/>
                      <w:lang w:eastAsia="zh-CN"/>
                    </w:rPr>
                    <w:t>106.443869,</w:t>
                  </w:r>
                  <w:r>
                    <w:rPr>
                      <w:rFonts w:hint="default" w:ascii="Times New Roman" w:hAnsi="Times New Roman" w:cs="Times New Roman"/>
                      <w:b w:val="0"/>
                      <w:bCs w:val="0"/>
                      <w:color w:val="auto"/>
                      <w:sz w:val="21"/>
                      <w:szCs w:val="21"/>
                      <w:lang w:val="en-US" w:eastAsia="zh-CN"/>
                    </w:rPr>
                    <w:t>N:</w:t>
                  </w:r>
                  <w:r>
                    <w:rPr>
                      <w:rFonts w:hint="default" w:ascii="Times New Roman" w:hAnsi="Times New Roman" w:cs="Times New Roman"/>
                      <w:b w:val="0"/>
                      <w:bCs w:val="0"/>
                      <w:color w:val="auto"/>
                      <w:sz w:val="21"/>
                      <w:szCs w:val="21"/>
                      <w:lang w:eastAsia="zh-CN"/>
                    </w:rPr>
                    <w:t>35.321360）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40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tcBorders>
              <w:tl2br w:val="nil"/>
              <w:tr2bl w:val="nil"/>
            </w:tcBorders>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运营期环境影响和保护措施</w:t>
            </w:r>
          </w:p>
        </w:tc>
        <w:tc>
          <w:tcPr>
            <w:tcW w:w="13586" w:type="dxa"/>
            <w:tcBorders>
              <w:tl2br w:val="nil"/>
              <w:tr2bl w:val="nil"/>
            </w:tcBorders>
            <w:noWrap w:val="0"/>
            <w:vAlign w:val="center"/>
          </w:tcPr>
          <w:p>
            <w:pPr>
              <w:pStyle w:val="4"/>
              <w:keepNext w:val="0"/>
              <w:keepLines w:val="0"/>
              <w:pageBreakBefore w:val="0"/>
              <w:widowControl w:val="0"/>
              <w:tabs>
                <w:tab w:val="left" w:pos="3088"/>
              </w:tabs>
              <w:kinsoku/>
              <w:wordWrap/>
              <w:overflowPunct/>
              <w:topLinePunct w:val="0"/>
              <w:autoSpaceDE/>
              <w:autoSpaceDN/>
              <w:bidi w:val="0"/>
              <w:adjustRightInd/>
              <w:snapToGrid/>
              <w:spacing w:before="0" w:after="20" w:line="240" w:lineRule="auto"/>
              <w:ind w:left="0"/>
              <w:jc w:val="center"/>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b w:val="0"/>
                <w:bCs/>
                <w:color w:val="auto"/>
                <w:kern w:val="2"/>
                <w:sz w:val="24"/>
                <w:szCs w:val="24"/>
                <w:highlight w:val="none"/>
                <w:lang w:val="en-US" w:eastAsia="zh-CN" w:bidi="ar-SA"/>
              </w:rPr>
              <w:t>表4-</w:t>
            </w:r>
            <w:r>
              <w:rPr>
                <w:rFonts w:hint="default" w:ascii="Times New Roman" w:hAnsi="Times New Roman" w:cs="Times New Roman"/>
                <w:b w:val="0"/>
                <w:bCs/>
                <w:color w:val="auto"/>
                <w:kern w:val="2"/>
                <w:sz w:val="24"/>
                <w:szCs w:val="24"/>
                <w:highlight w:val="none"/>
                <w:lang w:val="en-US" w:eastAsia="zh-CN" w:bidi="ar-SA"/>
              </w:rPr>
              <w:t>9</w:t>
            </w:r>
            <w:r>
              <w:rPr>
                <w:rFonts w:hint="default" w:ascii="Times New Roman" w:hAnsi="Times New Roman" w:eastAsia="黑体" w:cs="Times New Roman"/>
                <w:b w:val="0"/>
                <w:bCs/>
                <w:color w:val="auto"/>
                <w:kern w:val="2"/>
                <w:sz w:val="24"/>
                <w:szCs w:val="24"/>
                <w:highlight w:val="none"/>
                <w:lang w:val="en-US" w:eastAsia="zh-CN" w:bidi="ar-SA"/>
              </w:rPr>
              <w:t xml:space="preserve">  全厂主要噪声源强调查清单（室内声源）</w:t>
            </w:r>
          </w:p>
          <w:tbl>
            <w:tblPr>
              <w:tblStyle w:val="25"/>
              <w:tblW w:w="2593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1161"/>
              <w:gridCol w:w="1727"/>
              <w:gridCol w:w="1410"/>
              <w:gridCol w:w="793"/>
              <w:gridCol w:w="757"/>
              <w:gridCol w:w="591"/>
              <w:gridCol w:w="560"/>
              <w:gridCol w:w="461"/>
              <w:gridCol w:w="11"/>
              <w:gridCol w:w="730"/>
              <w:gridCol w:w="11"/>
              <w:gridCol w:w="1015"/>
              <w:gridCol w:w="11"/>
              <w:gridCol w:w="663"/>
              <w:gridCol w:w="11"/>
              <w:gridCol w:w="1031"/>
              <w:gridCol w:w="11"/>
              <w:gridCol w:w="881"/>
              <w:gridCol w:w="964"/>
              <w:gridCol w:w="22"/>
              <w:gridCol w:w="97"/>
              <w:gridCol w:w="900"/>
              <w:gridCol w:w="900"/>
              <w:gridCol w:w="900"/>
              <w:gridCol w:w="900"/>
              <w:gridCol w:w="900"/>
              <w:gridCol w:w="900"/>
              <w:gridCol w:w="900"/>
              <w:gridCol w:w="900"/>
              <w:gridCol w:w="900"/>
              <w:gridCol w:w="900"/>
              <w:gridCol w:w="900"/>
              <w:gridCol w:w="900"/>
              <w:gridCol w:w="900"/>
              <w:gridCol w:w="9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5"/>
                <w:wAfter w:w="2436" w:type="pct"/>
                <w:trHeight w:val="23" w:hRule="atLeast"/>
              </w:trPr>
              <w:tc>
                <w:tcPr>
                  <w:tcW w:w="8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序号</w:t>
                  </w:r>
                </w:p>
              </w:tc>
              <w:tc>
                <w:tcPr>
                  <w:tcW w:w="224"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建筑物名称</w:t>
                  </w:r>
                </w:p>
              </w:tc>
              <w:tc>
                <w:tcPr>
                  <w:tcW w:w="33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lang w:eastAsia="zh-CN"/>
                    </w:rPr>
                    <w:t>声源</w:t>
                  </w:r>
                  <w:r>
                    <w:rPr>
                      <w:rFonts w:hint="default" w:ascii="Times New Roman" w:hAnsi="Times New Roman" w:cs="Times New Roman"/>
                      <w:b/>
                      <w:color w:val="auto"/>
                      <w:kern w:val="2"/>
                      <w:sz w:val="21"/>
                      <w:szCs w:val="21"/>
                    </w:rPr>
                    <w:t>名称</w:t>
                  </w:r>
                </w:p>
              </w:tc>
              <w:tc>
                <w:tcPr>
                  <w:tcW w:w="27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eastAsia="zh-CN"/>
                    </w:rPr>
                    <w:t>型号</w:t>
                  </w:r>
                </w:p>
              </w:tc>
              <w:tc>
                <w:tcPr>
                  <w:tcW w:w="15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声功率级dB（A）</w:t>
                  </w:r>
                </w:p>
              </w:tc>
              <w:tc>
                <w:tcPr>
                  <w:tcW w:w="146"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声源控制措施</w:t>
                  </w:r>
                </w:p>
              </w:tc>
              <w:tc>
                <w:tcPr>
                  <w:tcW w:w="313" w:type="pct"/>
                  <w:gridSpan w:val="4"/>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空间相对位置</w:t>
                  </w:r>
                  <w:r>
                    <w:rPr>
                      <w:rFonts w:hint="default" w:ascii="Times New Roman" w:hAnsi="Times New Roman" w:cs="Times New Roman"/>
                      <w:b/>
                      <w:color w:val="auto"/>
                      <w:kern w:val="2"/>
                      <w:sz w:val="21"/>
                      <w:szCs w:val="21"/>
                      <w:lang w:val="en-US" w:eastAsia="zh-CN"/>
                    </w:rPr>
                    <w:t>/m</w:t>
                  </w:r>
                </w:p>
              </w:tc>
              <w:tc>
                <w:tcPr>
                  <w:tcW w:w="143"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距室内边界距离/m</w:t>
                  </w:r>
                </w:p>
              </w:tc>
              <w:tc>
                <w:tcPr>
                  <w:tcW w:w="198"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室内边界声级/dB（A）</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运行时段</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建筑物插入损失/dB（A）</w:t>
                  </w:r>
                </w:p>
              </w:tc>
              <w:tc>
                <w:tcPr>
                  <w:tcW w:w="360" w:type="pct"/>
                  <w:gridSpan w:val="3"/>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308" w:hRule="atLeast"/>
              </w:trPr>
              <w:tc>
                <w:tcPr>
                  <w:tcW w:w="8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24"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33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7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5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46"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1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X</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Y</w:t>
                  </w:r>
                </w:p>
              </w:tc>
              <w:tc>
                <w:tcPr>
                  <w:tcW w:w="8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Z</w:t>
                  </w:r>
                </w:p>
              </w:tc>
              <w:tc>
                <w:tcPr>
                  <w:tcW w:w="14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p>
              </w:tc>
              <w:tc>
                <w:tcPr>
                  <w:tcW w:w="198"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72"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声压级/dB（A）</w:t>
                  </w:r>
                </w:p>
              </w:tc>
              <w:tc>
                <w:tcPr>
                  <w:tcW w:w="186"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224"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成品加工车间</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调速喂料机</w:t>
                  </w:r>
                </w:p>
              </w:tc>
              <w:tc>
                <w:tcPr>
                  <w:tcW w:w="272"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PS-1200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w w:val="100"/>
                      <w:sz w:val="21"/>
                      <w:szCs w:val="21"/>
                      <w:lang w:val="en-US" w:eastAsia="zh-CN"/>
                    </w:rPr>
                    <w:t>75</w:t>
                  </w:r>
                </w:p>
              </w:tc>
              <w:tc>
                <w:tcPr>
                  <w:tcW w:w="146" w:type="pct"/>
                  <w:vMerge w:val="restar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sz w:val="21"/>
                      <w:szCs w:val="21"/>
                      <w:lang w:val="en-US" w:eastAsia="zh-CN"/>
                    </w:rPr>
                    <w:t>基础减震、建筑隔音，</w:t>
                  </w:r>
                  <w:r>
                    <w:rPr>
                      <w:rFonts w:hint="default" w:ascii="Times New Roman" w:hAnsi="Times New Roman" w:eastAsia="宋体" w:cs="Times New Roman"/>
                      <w:color w:val="auto"/>
                      <w:sz w:val="21"/>
                      <w:szCs w:val="21"/>
                    </w:rPr>
                    <w:t>合理布局，增加生产车间的密闭性</w:t>
                  </w: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52</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76</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白天</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86" w:type="pct"/>
                  <w:vMerge w:val="restar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调速喂料机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PS-1200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57</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73</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双级粉碎机</w:t>
                  </w:r>
                </w:p>
              </w:tc>
              <w:tc>
                <w:tcPr>
                  <w:tcW w:w="272"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SF600型</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48</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kern w:val="2"/>
                      <w:sz w:val="21"/>
                      <w:szCs w:val="21"/>
                      <w:lang w:val="en-US" w:eastAsia="zh-CN" w:bidi="ar-SA"/>
                    </w:rPr>
                    <w:t>71</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1</w:t>
                  </w:r>
                </w:p>
              </w:tc>
              <w:tc>
                <w:tcPr>
                  <w:tcW w:w="143" w:type="pct"/>
                  <w:gridSpan w:val="2"/>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滚筒筛</w:t>
                  </w:r>
                </w:p>
              </w:tc>
              <w:tc>
                <w:tcPr>
                  <w:tcW w:w="272"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GTS-160x6型</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54</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67</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2"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SZLP3-550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64</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6</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50</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60</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7</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64</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8</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50</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57</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9</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颗粒包装机</w:t>
                  </w:r>
                </w:p>
              </w:tc>
              <w:tc>
                <w:tcPr>
                  <w:tcW w:w="272"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p>
              </w:tc>
              <w:tc>
                <w:tcPr>
                  <w:tcW w:w="15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4"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42</w:t>
                  </w:r>
                </w:p>
              </w:tc>
              <w:tc>
                <w:tcPr>
                  <w:tcW w:w="108"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60</w:t>
                  </w:r>
                </w:p>
              </w:tc>
              <w:tc>
                <w:tcPr>
                  <w:tcW w:w="89"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65</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10</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造粒抛圆一体机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SZLP-400</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58</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49</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11</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造粒抛圆一体机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SZLP-400</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46</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48</w:t>
                  </w:r>
                </w:p>
              </w:tc>
              <w:tc>
                <w:tcPr>
                  <w:tcW w:w="89"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冷却机（带滚筛）</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GL1.5×10</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45</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46</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13</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DCS-50</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b/>
                      <w:bCs/>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44</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48</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14</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DCS-50</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75</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43</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46</w:t>
                  </w:r>
                </w:p>
              </w:tc>
              <w:tc>
                <w:tcPr>
                  <w:tcW w:w="89"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15</w:t>
                  </w:r>
                </w:p>
              </w:tc>
              <w:tc>
                <w:tcPr>
                  <w:tcW w:w="224"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原料陈化堆放棚</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71</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107</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7</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55</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15</w:t>
                  </w:r>
                </w:p>
              </w:tc>
              <w:tc>
                <w:tcPr>
                  <w:tcW w:w="172" w:type="pct"/>
                  <w:gridSpan w:val="2"/>
                  <w:vMerge w:val="restar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6"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16</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翻抛机</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12米轮盘</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90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69</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91</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17</w:t>
                  </w:r>
                </w:p>
              </w:tc>
              <w:tc>
                <w:tcPr>
                  <w:tcW w:w="22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272"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30型</w:t>
                  </w:r>
                </w:p>
              </w:tc>
              <w:tc>
                <w:tcPr>
                  <w:tcW w:w="153"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46" w:type="pct"/>
                  <w:vMerge w:val="continue"/>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4" w:type="pct"/>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60</w:t>
                  </w:r>
                </w:p>
              </w:tc>
              <w:tc>
                <w:tcPr>
                  <w:tcW w:w="108"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79</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72"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6"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70" w:type="pct"/>
                  <w:gridSpan w:val="22"/>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注：①以厂区西南角为原点（0,0,0）（E:106.443869,N:35.321360）；②翻抛机、铲车为移动声源，以其移动轨迹中心定点</w:t>
                  </w: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5"/>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6"/>
        <w:gridCol w:w="8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8"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2、噪声达标情况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依据建设项目环境影响报告表编制技术指南（污染影响类）（试行）中“运营期噪声环境影响评价”要求分析厂界和环境保护目标达标情况。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根据《环境影响评价技术导则 声环境》（HJ2.4-2021）8.5.2规定：本项目预测厂界噪声贡献值，评价其超标和达标情况。另外，本项目夜间不生产，昼间各预测点的噪声贡献值见表4-10。</w:t>
            </w:r>
          </w:p>
          <w:p>
            <w:pPr>
              <w:pStyle w:val="4"/>
              <w:keepNext w:val="0"/>
              <w:keepLines w:val="0"/>
              <w:pageBreakBefore w:val="0"/>
              <w:widowControl w:val="0"/>
              <w:tabs>
                <w:tab w:val="left" w:pos="3088"/>
              </w:tabs>
              <w:kinsoku/>
              <w:wordWrap/>
              <w:overflowPunct/>
              <w:topLinePunct w:val="0"/>
              <w:autoSpaceDE/>
              <w:autoSpaceDN/>
              <w:bidi w:val="0"/>
              <w:adjustRightInd/>
              <w:snapToGrid w:val="0"/>
              <w:spacing w:before="0" w:after="20" w:line="240" w:lineRule="auto"/>
              <w:ind w:left="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表4-</w:t>
            </w:r>
            <w:r>
              <w:rPr>
                <w:rFonts w:hint="default" w:ascii="Times New Roman" w:hAnsi="Times New Roman" w:eastAsia="黑体" w:cs="Times New Roman"/>
                <w:b w:val="0"/>
                <w:bCs w:val="0"/>
                <w:color w:val="auto"/>
                <w:sz w:val="24"/>
                <w:szCs w:val="24"/>
                <w:highlight w:val="none"/>
                <w:lang w:val="en-US" w:eastAsia="zh-CN"/>
              </w:rPr>
              <w:t>10</w:t>
            </w:r>
            <w:r>
              <w:rPr>
                <w:rFonts w:hint="default" w:ascii="Times New Roman" w:hAnsi="Times New Roman" w:eastAsia="黑体" w:cs="Times New Roman"/>
                <w:b w:val="0"/>
                <w:bCs w:val="0"/>
                <w:color w:val="auto"/>
                <w:sz w:val="24"/>
                <w:szCs w:val="24"/>
                <w:highlight w:val="none"/>
              </w:rPr>
              <w:t xml:space="preserve"> </w:t>
            </w:r>
            <w:r>
              <w:rPr>
                <w:rFonts w:hint="default" w:ascii="Times New Roman" w:hAnsi="Times New Roman" w:eastAsia="黑体" w:cs="Times New Roman"/>
                <w:b w:val="0"/>
                <w:bCs w:val="0"/>
                <w:color w:val="auto"/>
                <w:sz w:val="24"/>
                <w:szCs w:val="24"/>
                <w:highlight w:val="none"/>
                <w:lang w:eastAsia="zh-CN"/>
              </w:rPr>
              <w:t>厂界</w:t>
            </w:r>
            <w:r>
              <w:rPr>
                <w:rFonts w:hint="default" w:ascii="Times New Roman" w:hAnsi="Times New Roman" w:eastAsia="黑体" w:cs="Times New Roman"/>
                <w:b w:val="0"/>
                <w:bCs w:val="0"/>
                <w:color w:val="auto"/>
                <w:sz w:val="24"/>
                <w:szCs w:val="24"/>
                <w:highlight w:val="none"/>
              </w:rPr>
              <w:t>噪声</w:t>
            </w:r>
            <w:r>
              <w:rPr>
                <w:rFonts w:hint="default" w:ascii="Times New Roman" w:hAnsi="Times New Roman" w:eastAsia="黑体" w:cs="Times New Roman"/>
                <w:b w:val="0"/>
                <w:bCs w:val="0"/>
                <w:color w:val="auto"/>
                <w:sz w:val="24"/>
                <w:szCs w:val="24"/>
                <w:highlight w:val="none"/>
                <w:lang w:eastAsia="zh-CN"/>
              </w:rPr>
              <w:t>预测贡献值</w:t>
            </w:r>
            <w:r>
              <w:rPr>
                <w:rFonts w:hint="default" w:ascii="Times New Roman" w:hAnsi="Times New Roman" w:eastAsia="黑体" w:cs="Times New Roman"/>
                <w:b w:val="0"/>
                <w:bCs w:val="0"/>
                <w:color w:val="auto"/>
                <w:sz w:val="24"/>
                <w:szCs w:val="24"/>
                <w:highlight w:val="none"/>
              </w:rPr>
              <w:t>结果表  单位：dB(A)</w:t>
            </w:r>
          </w:p>
          <w:tbl>
            <w:tblPr>
              <w:tblStyle w:val="85"/>
              <w:tblW w:w="4998" w:type="pct"/>
              <w:tblInd w:w="-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988"/>
              <w:gridCol w:w="1113"/>
              <w:gridCol w:w="1160"/>
              <w:gridCol w:w="1177"/>
              <w:gridCol w:w="1007"/>
              <w:gridCol w:w="966"/>
              <w:gridCol w:w="10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1145" w:type="pct"/>
                  <w:gridSpan w:val="2"/>
                  <w:vMerge w:val="restar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厂界噪声声级</w:t>
                  </w:r>
                </w:p>
              </w:tc>
              <w:tc>
                <w:tcPr>
                  <w:tcW w:w="2670" w:type="pct"/>
                  <w:gridSpan w:val="4"/>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位置</w:t>
                  </w:r>
                </w:p>
              </w:tc>
              <w:tc>
                <w:tcPr>
                  <w:tcW w:w="579" w:type="pct"/>
                  <w:vMerge w:val="restar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w:t>
                  </w:r>
                </w:p>
              </w:tc>
              <w:tc>
                <w:tcPr>
                  <w:tcW w:w="604" w:type="pct"/>
                  <w:vMerge w:val="restar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5" w:hRule="atLeast"/>
              </w:trPr>
              <w:tc>
                <w:tcPr>
                  <w:tcW w:w="1145" w:type="pct"/>
                  <w:gridSpan w:val="2"/>
                  <w:vMerge w:val="continue"/>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p>
              </w:tc>
              <w:tc>
                <w:tcPr>
                  <w:tcW w:w="667"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东厂界</w:t>
                  </w:r>
                </w:p>
              </w:tc>
              <w:tc>
                <w:tcPr>
                  <w:tcW w:w="695"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西厂界</w:t>
                  </w:r>
                </w:p>
              </w:tc>
              <w:tc>
                <w:tcPr>
                  <w:tcW w:w="705"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南厂界</w:t>
                  </w:r>
                </w:p>
              </w:tc>
              <w:tc>
                <w:tcPr>
                  <w:tcW w:w="602"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北厂界</w:t>
                  </w:r>
                </w:p>
              </w:tc>
              <w:tc>
                <w:tcPr>
                  <w:tcW w:w="579" w:type="pct"/>
                  <w:vMerge w:val="continue"/>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p>
              </w:tc>
              <w:tc>
                <w:tcPr>
                  <w:tcW w:w="604" w:type="pct"/>
                  <w:vMerge w:val="continue"/>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53"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声级dB(A)</w:t>
                  </w:r>
                </w:p>
              </w:tc>
              <w:tc>
                <w:tcPr>
                  <w:tcW w:w="591"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昼间（dB）</w:t>
                  </w:r>
                </w:p>
              </w:tc>
              <w:tc>
                <w:tcPr>
                  <w:tcW w:w="667"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47.51</w:t>
                  </w:r>
                </w:p>
              </w:tc>
              <w:tc>
                <w:tcPr>
                  <w:tcW w:w="695"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35.52</w:t>
                  </w:r>
                </w:p>
              </w:tc>
              <w:tc>
                <w:tcPr>
                  <w:tcW w:w="705"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51.60</w:t>
                  </w:r>
                </w:p>
              </w:tc>
              <w:tc>
                <w:tcPr>
                  <w:tcW w:w="602"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50.29</w:t>
                  </w:r>
                </w:p>
              </w:tc>
              <w:tc>
                <w:tcPr>
                  <w:tcW w:w="579"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604" w:type="pct"/>
                  <w:tcBorders>
                    <w:tl2br w:val="nil"/>
                    <w:tr2bl w:val="nil"/>
                  </w:tcBorders>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根据《环境影响评价技术导则 声环境》（HJ2.4-2021）8.5.2规定：本项目预测厂界噪声贡献值，评价其超标和达标情况。另外，本项目夜间不生产，昼间各预测点的噪声贡献值本项目昼间生产设备产生的噪声经厂房隔声、距离衰减等降噪措施后，厂界噪声贡献值满足《工业企业厂界环境噪声排放标准》（GB12348-2008）2类标准要求。因此，本项目对周围声环境影响较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根据现场调查，东侧10m声环境敏感目标为杨堡村，本项目共设置两个噪声监测点位，故噪声源对环境保护目标处预测点的影响预测值见表4-11。</w:t>
            </w:r>
          </w:p>
          <w:p>
            <w:pPr>
              <w:pStyle w:val="4"/>
              <w:keepNext w:val="0"/>
              <w:keepLines w:val="0"/>
              <w:pageBreakBefore w:val="0"/>
              <w:widowControl w:val="0"/>
              <w:tabs>
                <w:tab w:val="left" w:pos="3088"/>
              </w:tabs>
              <w:kinsoku/>
              <w:wordWrap/>
              <w:overflowPunct/>
              <w:topLinePunct w:val="0"/>
              <w:autoSpaceDE/>
              <w:autoSpaceDN/>
              <w:bidi w:val="0"/>
              <w:adjustRightInd/>
              <w:snapToGrid w:val="0"/>
              <w:spacing w:before="0" w:after="20" w:line="240" w:lineRule="auto"/>
              <w:ind w:left="0"/>
              <w:jc w:val="center"/>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表4-1</w:t>
            </w:r>
            <w:r>
              <w:rPr>
                <w:rFonts w:hint="eastAsia" w:ascii="Times New Roman" w:hAnsi="Times New Roman" w:cs="Times New Roman"/>
                <w:b w:val="0"/>
                <w:bCs w:val="0"/>
                <w:color w:val="auto"/>
                <w:sz w:val="24"/>
                <w:szCs w:val="24"/>
                <w:highlight w:val="none"/>
                <w:lang w:val="en-US" w:eastAsia="zh-CN"/>
              </w:rPr>
              <w:t>1</w:t>
            </w:r>
            <w:r>
              <w:rPr>
                <w:rFonts w:hint="default" w:ascii="Times New Roman" w:hAnsi="Times New Roman" w:eastAsia="黑体" w:cs="Times New Roman"/>
                <w:b w:val="0"/>
                <w:bCs w:val="0"/>
                <w:color w:val="auto"/>
                <w:sz w:val="24"/>
                <w:szCs w:val="24"/>
                <w:highlight w:val="none"/>
                <w:lang w:val="en-US" w:eastAsia="zh-CN"/>
              </w:rPr>
              <w:t xml:space="preserve">  声环境保护目标处噪声预测结果表  单位：dB(A)</w:t>
            </w:r>
          </w:p>
          <w:tbl>
            <w:tblPr>
              <w:tblStyle w:val="2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821"/>
              <w:gridCol w:w="1821"/>
              <w:gridCol w:w="1043"/>
              <w:gridCol w:w="1043"/>
              <w:gridCol w:w="783"/>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时段</w:t>
                  </w:r>
                </w:p>
              </w:tc>
              <w:tc>
                <w:tcPr>
                  <w:tcW w:w="1091"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检测点位</w:t>
                  </w:r>
                </w:p>
              </w:tc>
              <w:tc>
                <w:tcPr>
                  <w:tcW w:w="1091"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本项目贡献值</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现状值</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预测值</w:t>
                  </w:r>
                </w:p>
              </w:tc>
              <w:tc>
                <w:tcPr>
                  <w:tcW w:w="469"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w:t>
                  </w:r>
                </w:p>
              </w:tc>
              <w:tc>
                <w:tcPr>
                  <w:tcW w:w="626"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69" w:type="pct"/>
                  <w:vMerge w:val="restar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1091"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ZS-2507-059</w:t>
                  </w:r>
                </w:p>
              </w:tc>
              <w:tc>
                <w:tcPr>
                  <w:tcW w:w="1091"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25.93</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54.06</w:t>
                  </w:r>
                </w:p>
              </w:tc>
              <w:tc>
                <w:tcPr>
                  <w:tcW w:w="469"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626"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69" w:type="pct"/>
                  <w:vMerge w:val="continue"/>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p>
              </w:tc>
              <w:tc>
                <w:tcPr>
                  <w:tcW w:w="1091"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ZS-2507-060</w:t>
                  </w:r>
                </w:p>
              </w:tc>
              <w:tc>
                <w:tcPr>
                  <w:tcW w:w="1091"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25.93</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w:t>
                  </w:r>
                </w:p>
              </w:tc>
              <w:tc>
                <w:tcPr>
                  <w:tcW w:w="625"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51.01</w:t>
                  </w:r>
                </w:p>
              </w:tc>
              <w:tc>
                <w:tcPr>
                  <w:tcW w:w="469"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626" w:type="pct"/>
                  <w:noWrap w:val="0"/>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预测，本项目敏感目标处昼间贡献值分别为25.93dB(A)，现状检测点位处监测值分别为54dB(A)、51dB(A)，经叠加后，敏感目标处预测值分别为54.06dB(A)、51.01dB(A)，满足《工业企业厂界环境噪声排放标准》（GB12348-2008）中1类区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综上，项目运营时对周围环境影响较小。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3、噪声防治措施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为了避免本项目产生的噪声对周围环境造成不利影响，对该项目的噪声源采取以下减振、隔音、降噪等噪声防治措施：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①从声源方面进行控制，选用低噪声的设备，对个别噪声较高的设备，在机座上设减震垫，减少振动源，以降低噪声。</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②合理布局生产设备，高噪声设备的安装位置尽量远离厂界。</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③加强生产管理，定期维护设备，使其处于正常运行状态。</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④建设厂区围墙，使其对噪声有一定阻隔作用。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⑤加强厂区绿化，可沿靠近</w:t>
            </w:r>
            <w:r>
              <w:rPr>
                <w:rFonts w:hint="default" w:ascii="Times New Roman" w:hAnsi="Times New Roman" w:cs="Times New Roman"/>
                <w:color w:val="auto"/>
                <w:sz w:val="24"/>
                <w:szCs w:val="24"/>
                <w:lang w:val="en-US" w:eastAsia="zh-CN"/>
              </w:rPr>
              <w:t>环境保护目标处一侧</w:t>
            </w:r>
            <w:r>
              <w:rPr>
                <w:rFonts w:hint="default" w:ascii="Times New Roman" w:hAnsi="Times New Roman" w:eastAsia="宋体" w:cs="Times New Roman"/>
                <w:color w:val="auto"/>
                <w:sz w:val="24"/>
                <w:szCs w:val="24"/>
                <w:lang w:val="en-US" w:eastAsia="zh-CN"/>
              </w:rPr>
              <w:t>围墙种植高大树木，形成防护林带，利用树木</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屏蔽作用降噪。</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经采取上述综合措施后，项目噪声再通过距离衰减，本项目厂界噪声值均能达到《工业企业厂界环境噪声排放标准》（GB12348-2008）中的</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类噪声标准。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4、运营期噪声监测要求</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rPr>
              <w:t xml:space="preserve">《排污单位自行监测技术指南 </w:t>
            </w:r>
            <w:r>
              <w:rPr>
                <w:rFonts w:hint="default" w:ascii="Times New Roman" w:hAnsi="Times New Roman" w:eastAsia="宋体" w:cs="Times New Roman"/>
                <w:color w:val="auto"/>
                <w:sz w:val="24"/>
                <w:szCs w:val="24"/>
                <w:lang w:val="en-US" w:eastAsia="zh-CN"/>
              </w:rPr>
              <w:t>总则</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z w:val="24"/>
                <w:szCs w:val="24"/>
                <w:lang w:val="en-US" w:eastAsia="zh-CN"/>
              </w:rPr>
              <w:t>819</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，本项目运营期噪声监测要求见下表4-1</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p>
          <w:p>
            <w:pPr>
              <w:pStyle w:val="47"/>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表4-1</w:t>
            </w: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运营期</w:t>
            </w:r>
            <w:r>
              <w:rPr>
                <w:rFonts w:hint="default" w:ascii="Times New Roman" w:hAnsi="Times New Roman" w:eastAsia="黑体" w:cs="Times New Roman"/>
                <w:color w:val="auto"/>
                <w:sz w:val="24"/>
                <w:szCs w:val="24"/>
              </w:rPr>
              <w:t>噪声自行监测计划</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89"/>
              <w:gridCol w:w="1185"/>
              <w:gridCol w:w="2137"/>
              <w:gridCol w:w="3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1276" w:type="dxa"/>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监测点位置</w:t>
                  </w:r>
                </w:p>
              </w:tc>
              <w:tc>
                <w:tcPr>
                  <w:tcW w:w="1173" w:type="dxa"/>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监测项目</w:t>
                  </w:r>
                </w:p>
              </w:tc>
              <w:tc>
                <w:tcPr>
                  <w:tcW w:w="2116" w:type="dxa"/>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监测频率</w:t>
                  </w:r>
                </w:p>
              </w:tc>
              <w:tc>
                <w:tcPr>
                  <w:tcW w:w="3004" w:type="dxa"/>
                  <w:tcBorders>
                    <w:tl2br w:val="nil"/>
                    <w:tr2bl w:val="nil"/>
                  </w:tcBorders>
                  <w:noWrap w:val="0"/>
                  <w:vAlign w:val="center"/>
                </w:tcPr>
                <w:p>
                  <w:pPr>
                    <w:pStyle w:val="58"/>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8"/>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276" w:type="dxa"/>
                  <w:tcBorders>
                    <w:tl2br w:val="nil"/>
                    <w:tr2bl w:val="nil"/>
                  </w:tcBorders>
                  <w:noWrap w:val="0"/>
                  <w:vAlign w:val="center"/>
                </w:tcPr>
                <w:p>
                  <w:pPr>
                    <w:pStyle w:val="58"/>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厂界四周外</w:t>
                  </w: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m处</w:t>
                  </w:r>
                </w:p>
              </w:tc>
              <w:tc>
                <w:tcPr>
                  <w:tcW w:w="1173" w:type="dxa"/>
                  <w:tcBorders>
                    <w:tl2br w:val="nil"/>
                    <w:tr2bl w:val="nil"/>
                  </w:tcBorders>
                  <w:noWrap w:val="0"/>
                  <w:vAlign w:val="center"/>
                </w:tcPr>
                <w:p>
                  <w:pPr>
                    <w:pStyle w:val="58"/>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等效连续</w:t>
                  </w:r>
                  <w:r>
                    <w:rPr>
                      <w:rFonts w:hint="default" w:ascii="Times New Roman" w:hAnsi="Times New Roman" w:eastAsia="宋体" w:cs="Times New Roman"/>
                      <w:color w:val="auto"/>
                      <w:lang w:val="en-US" w:eastAsia="zh-CN"/>
                    </w:rPr>
                    <w:t>A声级</w:t>
                  </w:r>
                </w:p>
              </w:tc>
              <w:tc>
                <w:tcPr>
                  <w:tcW w:w="2116" w:type="dxa"/>
                  <w:tcBorders>
                    <w:tl2br w:val="nil"/>
                    <w:tr2bl w:val="nil"/>
                  </w:tcBorders>
                  <w:noWrap w:val="0"/>
                  <w:vAlign w:val="center"/>
                </w:tcPr>
                <w:p>
                  <w:pPr>
                    <w:pStyle w:val="58"/>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次/季度</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昼间1个时段，连续监测2天</w:t>
                  </w:r>
                </w:p>
              </w:tc>
              <w:tc>
                <w:tcPr>
                  <w:tcW w:w="3004" w:type="dxa"/>
                  <w:tcBorders>
                    <w:tl2br w:val="nil"/>
                    <w:tr2bl w:val="nil"/>
                  </w:tcBorders>
                  <w:noWrap w:val="0"/>
                  <w:vAlign w:val="center"/>
                </w:tcPr>
                <w:p>
                  <w:pPr>
                    <w:pStyle w:val="58"/>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《工业企业厂界环境噪声排放标准》（GB</w:t>
                  </w:r>
                  <w:r>
                    <w:rPr>
                      <w:rFonts w:hint="default" w:ascii="Times New Roman" w:hAnsi="Times New Roman" w:eastAsia="宋体" w:cs="Times New Roman"/>
                      <w:color w:val="auto"/>
                      <w:lang w:eastAsia="zh-CN"/>
                    </w:rPr>
                    <w:t>12348</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2008</w:t>
                  </w:r>
                  <w:r>
                    <w:rPr>
                      <w:rFonts w:hint="default" w:ascii="Times New Roman" w:hAnsi="Times New Roman" w:eastAsia="宋体" w:cs="Times New Roman"/>
                      <w:color w:val="auto"/>
                    </w:rPr>
                    <w:t>）中的</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类标准</w:t>
                  </w:r>
                </w:p>
              </w:tc>
            </w:tr>
          </w:tbl>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四、固体废物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2"/>
                <w:sz w:val="24"/>
                <w:szCs w:val="24"/>
                <w:lang w:val="en-US" w:eastAsia="zh-CN" w:bidi="ar-SA"/>
              </w:rPr>
              <w:t>1、</w:t>
            </w:r>
            <w:r>
              <w:rPr>
                <w:rFonts w:hint="default" w:ascii="Times New Roman" w:hAnsi="Times New Roman" w:eastAsia="黑体" w:cs="Times New Roman"/>
                <w:b w:val="0"/>
                <w:bCs w:val="0"/>
                <w:color w:val="auto"/>
                <w:sz w:val="24"/>
                <w:szCs w:val="24"/>
                <w:lang w:val="en-US" w:eastAsia="zh-CN"/>
              </w:rPr>
              <w:t>固体废物产排情况</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本项目运营期固体废物包括一般工业固体废物、生活垃圾</w:t>
            </w:r>
            <w:r>
              <w:rPr>
                <w:rFonts w:hint="default" w:ascii="Times New Roman" w:hAnsi="Times New Roman" w:cs="Times New Roman"/>
                <w:b w:val="0"/>
                <w:bCs w:val="0"/>
                <w:color w:val="auto"/>
                <w:sz w:val="24"/>
                <w:szCs w:val="24"/>
                <w:lang w:val="en-US" w:eastAsia="zh-CN"/>
              </w:rPr>
              <w:t>及危险废物</w:t>
            </w:r>
            <w:r>
              <w:rPr>
                <w:rFonts w:hint="default" w:ascii="Times New Roman" w:hAnsi="Times New Roman" w:eastAsia="宋体" w:cs="Times New Roman"/>
                <w:b w:val="0"/>
                <w:bCs w:val="0"/>
                <w:color w:val="auto"/>
                <w:sz w:val="24"/>
                <w:szCs w:val="24"/>
                <w:lang w:val="en-US" w:eastAsia="zh-CN"/>
              </w:rPr>
              <w:t>。一般工业固体废物中废包装材料收集后外售综合利用，除尘灰经收集回用于生产线；生活垃圾交环卫部门处置</w:t>
            </w:r>
            <w:r>
              <w:rPr>
                <w:rFonts w:hint="default" w:ascii="Times New Roman" w:hAnsi="Times New Roman" w:cs="Times New Roman"/>
                <w:b w:val="0"/>
                <w:bCs w:val="0"/>
                <w:color w:val="auto"/>
                <w:sz w:val="24"/>
                <w:szCs w:val="24"/>
                <w:lang w:val="en-US" w:eastAsia="zh-CN"/>
              </w:rPr>
              <w:t>；危险废物为废机油及废机油桶，经收集后暂存至危废贮存点，定期交由有资质的单位处置</w:t>
            </w:r>
            <w:r>
              <w:rPr>
                <w:rFonts w:hint="default" w:ascii="Times New Roman" w:hAnsi="Times New Roman" w:eastAsia="宋体" w:cs="Times New Roman"/>
                <w:b w:val="0"/>
                <w:bCs w:val="0"/>
                <w:color w:val="auto"/>
                <w:sz w:val="24"/>
                <w:szCs w:val="24"/>
                <w:lang w:val="en-US" w:eastAsia="zh-CN"/>
              </w:rPr>
              <w:t>。项目固废产排情况见表4-1</w:t>
            </w:r>
            <w:r>
              <w:rPr>
                <w:rFonts w:hint="eastAsia"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表4-1</w:t>
            </w:r>
            <w:r>
              <w:rPr>
                <w:rFonts w:hint="eastAsia"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项目固废产排情况一览表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6"/>
              <w:gridCol w:w="573"/>
              <w:gridCol w:w="926"/>
              <w:gridCol w:w="835"/>
              <w:gridCol w:w="754"/>
              <w:gridCol w:w="1199"/>
              <w:gridCol w:w="518"/>
              <w:gridCol w:w="576"/>
              <w:gridCol w:w="457"/>
              <w:gridCol w:w="589"/>
              <w:gridCol w:w="1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pct"/>
                  <w:gridSpan w:val="2"/>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rPr>
                    <w:t>名称</w:t>
                  </w:r>
                </w:p>
              </w:tc>
              <w:tc>
                <w:tcPr>
                  <w:tcW w:w="569"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产生环节</w:t>
                  </w:r>
                </w:p>
              </w:tc>
              <w:tc>
                <w:tcPr>
                  <w:tcW w:w="51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主要有毒有害物质名称</w:t>
                  </w: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lang w:val="en-US" w:eastAsia="zh-CN"/>
                    </w:rPr>
                    <w:t>废物类别/</w:t>
                  </w:r>
                  <w:r>
                    <w:rPr>
                      <w:rFonts w:hint="default" w:ascii="Times New Roman" w:hAnsi="Times New Roman" w:cs="Times New Roman"/>
                      <w:b/>
                      <w:bCs/>
                      <w:color w:val="auto"/>
                      <w:sz w:val="21"/>
                      <w:szCs w:val="21"/>
                      <w:highlight w:val="none"/>
                    </w:rPr>
                    <w:t>危险废物类别</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固体废物/</w:t>
                  </w:r>
                  <w:r>
                    <w:rPr>
                      <w:rFonts w:hint="default" w:ascii="Times New Roman" w:hAnsi="Times New Roman" w:cs="Times New Roman"/>
                      <w:b/>
                      <w:bCs/>
                      <w:color w:val="auto"/>
                      <w:sz w:val="21"/>
                      <w:szCs w:val="21"/>
                      <w:highlight w:val="none"/>
                    </w:rPr>
                    <w:t>危险废物代码</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环境危险特性</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b/>
                      <w:bCs/>
                      <w:color w:val="auto"/>
                      <w:sz w:val="21"/>
                      <w:szCs w:val="21"/>
                      <w:highlight w:val="none"/>
                      <w:lang w:val="en-US"/>
                    </w:rPr>
                  </w:pPr>
                  <w:r>
                    <w:rPr>
                      <w:rFonts w:hint="default" w:ascii="Times New Roman" w:hAnsi="Times New Roman" w:cs="Times New Roman"/>
                      <w:b/>
                      <w:bCs/>
                      <w:color w:val="auto"/>
                      <w:sz w:val="21"/>
                      <w:szCs w:val="21"/>
                      <w:highlight w:val="none"/>
                      <w:shd w:val="clear"/>
                      <w:lang w:val="en-US" w:eastAsia="zh-CN"/>
                    </w:rPr>
                    <w:t>年产生量t/a</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物理性状</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贮存方式</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利用处置方式和去向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 w:type="pct"/>
                  <w:vMerge w:val="restar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一般工业固体废物</w:t>
                  </w:r>
                </w:p>
              </w:tc>
              <w:tc>
                <w:tcPr>
                  <w:tcW w:w="357"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废包装材料</w:t>
                  </w:r>
                </w:p>
              </w:tc>
              <w:tc>
                <w:tcPr>
                  <w:tcW w:w="569"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原辅料包装物拆除、包装</w:t>
                  </w:r>
                </w:p>
              </w:tc>
              <w:tc>
                <w:tcPr>
                  <w:tcW w:w="51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SW</w:t>
                  </w:r>
                  <w:r>
                    <w:rPr>
                      <w:rFonts w:hint="default" w:ascii="Times New Roman" w:hAnsi="Times New Roman" w:cs="Times New Roman"/>
                      <w:color w:val="auto"/>
                      <w:sz w:val="21"/>
                      <w:szCs w:val="21"/>
                      <w:highlight w:val="none"/>
                      <w:lang w:val="en-US" w:eastAsia="zh-CN"/>
                    </w:rPr>
                    <w:t>17</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900-003-S17</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58"/>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0.15</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外售</w:t>
                  </w:r>
                  <w:r>
                    <w:rPr>
                      <w:rFonts w:hint="default" w:ascii="Times New Roman" w:hAnsi="Times New Roman" w:cs="Times New Roman"/>
                      <w:color w:val="auto"/>
                      <w:sz w:val="21"/>
                      <w:szCs w:val="21"/>
                      <w:highlight w:val="none"/>
                      <w:lang w:val="en-US" w:eastAsia="zh-C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 w:type="pct"/>
                  <w:vMerge w:val="continue"/>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p>
              </w:tc>
              <w:tc>
                <w:tcPr>
                  <w:tcW w:w="357"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除尘器收尘灰</w:t>
                  </w:r>
                </w:p>
              </w:tc>
              <w:tc>
                <w:tcPr>
                  <w:tcW w:w="569"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废气处理</w:t>
                  </w:r>
                </w:p>
              </w:tc>
              <w:tc>
                <w:tcPr>
                  <w:tcW w:w="51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SW59</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900-099-S59</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58"/>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5.106</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 w:type="pct"/>
                  <w:vMerge w:val="restar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危险废</w:t>
                  </w:r>
                </w:p>
              </w:tc>
              <w:tc>
                <w:tcPr>
                  <w:tcW w:w="35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w:t>
                  </w:r>
                </w:p>
              </w:tc>
              <w:tc>
                <w:tcPr>
                  <w:tcW w:w="569" w:type="pct"/>
                  <w:vMerge w:val="restar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设备维护</w:t>
                  </w:r>
                </w:p>
              </w:tc>
              <w:tc>
                <w:tcPr>
                  <w:tcW w:w="515" w:type="pct"/>
                  <w:vMerge w:val="restar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油类物质</w:t>
                  </w: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900-214-08</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58"/>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0.05</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液态</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收集桶</w:t>
                  </w:r>
                </w:p>
              </w:tc>
              <w:tc>
                <w:tcPr>
                  <w:tcW w:w="848" w:type="pct"/>
                  <w:vMerge w:val="restar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收集后暂存至危废贮存点，定期交由有资质的单位处置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0" w:type="pct"/>
                  <w:vMerge w:val="continue"/>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p>
              </w:tc>
              <w:tc>
                <w:tcPr>
                  <w:tcW w:w="35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废机油桶</w:t>
                  </w:r>
                </w:p>
              </w:tc>
              <w:tc>
                <w:tcPr>
                  <w:tcW w:w="569" w:type="pct"/>
                  <w:vMerge w:val="continue"/>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p>
              </w:tc>
              <w:tc>
                <w:tcPr>
                  <w:tcW w:w="515" w:type="pct"/>
                  <w:vMerge w:val="continue"/>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900-249-08</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58"/>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0.004</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固体</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8" w:type="pct"/>
                  <w:vMerge w:val="continue"/>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pct"/>
                  <w:gridSpan w:val="2"/>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569"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职工生活</w:t>
                  </w:r>
                </w:p>
              </w:tc>
              <w:tc>
                <w:tcPr>
                  <w:tcW w:w="51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果皮、纸屑等</w:t>
                  </w:r>
                </w:p>
              </w:tc>
              <w:tc>
                <w:tcPr>
                  <w:tcW w:w="466"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SW</w:t>
                  </w:r>
                  <w:r>
                    <w:rPr>
                      <w:rFonts w:hint="default" w:ascii="Times New Roman" w:hAnsi="Times New Roman" w:cs="Times New Roman"/>
                      <w:color w:val="auto"/>
                      <w:sz w:val="21"/>
                      <w:szCs w:val="21"/>
                      <w:lang w:val="en-US" w:eastAsia="zh-CN"/>
                    </w:rPr>
                    <w:t>60</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58"/>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900-001-S60</w:t>
                  </w:r>
                </w:p>
              </w:tc>
              <w:tc>
                <w:tcPr>
                  <w:tcW w:w="325"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4"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1.65</w:t>
                  </w:r>
                </w:p>
              </w:tc>
              <w:tc>
                <w:tcPr>
                  <w:tcW w:w="28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7"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垃圾桶</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集中收集后交环卫部门统一处理</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一般工业固体废物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eastAsia="zh-CN"/>
              </w:rPr>
              <w:t>废包装材料</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本项目在备料、包装等工序因拆除原辅料包装会产生废包装材料，根据建设单位提供资料，每年产生量约0.15t/a，经集中收集后外售综合利用。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②除尘灰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本项目除尘灰主要来源于混配、发酵、陈化、粉碎、筛分、上料、造粒、冷却、二次筛分及包装工序。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根据本章第1节计算可知：各工序收尘灰产生总量为5.106t/a，属于一般工业固体废物，固废代码：SW59其他工业固体废物 900-099-S59，集中收集后回用于生产线。</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（2）危险废物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运营期生产设施较少，项目各类机械设备在维修保养过程中会产生一定量的废机油，采用规格为25kg/桶的桶装包装后暂存于危废贮存点，定期交由有资质的单位处置，其中废机油产生量约0.05t/a，废机油桶产生量约为0.004t/a。根据《国家危险废物名录（2025年版）》，废机油、废机油桶均属于HW08类废矿物油与含矿物油废物，废物代码分别为900-214-08、900-249-08，其中废机油为“车辆、轮船及其它机械维修过程中产生的废发动机油、制动器油、自动变速器油、齿轮油等废润滑油”类废物；废机油桶为“其他生产、销售、使用过程中产生的废矿物油及沾染矿物油的废弃包装物”类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生活垃圾</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rPr>
              <w:t>劳动</w:t>
            </w:r>
            <w:r>
              <w:rPr>
                <w:rFonts w:hint="default" w:ascii="Times New Roman" w:hAnsi="Times New Roman" w:cs="Times New Roman"/>
                <w:color w:val="auto"/>
                <w:sz w:val="24"/>
                <w:szCs w:val="24"/>
                <w:lang w:val="en-US" w:eastAsia="zh-CN"/>
              </w:rPr>
              <w:t>定员10</w:t>
            </w:r>
            <w:r>
              <w:rPr>
                <w:rFonts w:hint="default" w:ascii="Times New Roman" w:hAnsi="Times New Roman" w:eastAsia="宋体" w:cs="Times New Roman"/>
                <w:color w:val="auto"/>
                <w:sz w:val="24"/>
                <w:szCs w:val="24"/>
                <w:lang w:val="en-US" w:eastAsia="zh-CN"/>
              </w:rPr>
              <w:t>人，生活垃圾产生量按0.5kg/人·d计，</w:t>
            </w:r>
            <w:r>
              <w:rPr>
                <w:rFonts w:hint="default" w:ascii="Times New Roman" w:hAnsi="Times New Roman" w:cs="Times New Roman"/>
                <w:color w:val="auto"/>
                <w:sz w:val="24"/>
              </w:rPr>
              <w:t>年工作天数为330天，</w:t>
            </w:r>
            <w:r>
              <w:rPr>
                <w:rFonts w:hint="default" w:ascii="Times New Roman" w:hAnsi="Times New Roman" w:eastAsia="宋体" w:cs="Times New Roman"/>
                <w:color w:val="auto"/>
                <w:sz w:val="24"/>
                <w:szCs w:val="24"/>
                <w:lang w:val="en-US" w:eastAsia="zh-CN"/>
              </w:rPr>
              <w:t>则生活垃圾产生量为</w:t>
            </w:r>
            <w:r>
              <w:rPr>
                <w:rFonts w:hint="default" w:ascii="Times New Roman" w:hAnsi="Times New Roman" w:cs="Times New Roman"/>
                <w:color w:val="auto"/>
                <w:sz w:val="24"/>
                <w:szCs w:val="24"/>
                <w:lang w:val="en-US" w:eastAsia="zh-CN"/>
              </w:rPr>
              <w:t>1.65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rPr>
              <w:t>固废代码：SW6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其他垃圾</w:t>
            </w:r>
            <w:r>
              <w:rPr>
                <w:rFonts w:hint="default" w:ascii="Times New Roman" w:hAnsi="Times New Roman" w:cs="Times New Roman"/>
                <w:color w:val="auto"/>
                <w:sz w:val="24"/>
                <w:lang w:val="en-US" w:eastAsia="zh-CN"/>
              </w:rPr>
              <w:t>900-001-S60</w:t>
            </w:r>
            <w:r>
              <w:rPr>
                <w:rFonts w:hint="default" w:ascii="Times New Roman" w:hAnsi="Times New Roman" w:cs="Times New Roman"/>
                <w:color w:val="auto"/>
                <w:sz w:val="24"/>
                <w:lang w:eastAsia="zh-CN"/>
              </w:rPr>
              <w:t>，经</w:t>
            </w:r>
            <w:r>
              <w:rPr>
                <w:rFonts w:hint="default" w:ascii="Times New Roman" w:hAnsi="Times New Roman" w:eastAsia="宋体" w:cs="Times New Roman"/>
                <w:color w:val="auto"/>
                <w:sz w:val="24"/>
                <w:szCs w:val="24"/>
                <w:lang w:val="en-US" w:eastAsia="zh-CN"/>
              </w:rPr>
              <w:t>收集后交由环卫部门清运处置。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2、固废环境管理要求</w:t>
            </w:r>
          </w:p>
          <w:p>
            <w:pPr>
              <w:pStyle w:val="73"/>
              <w:ind w:firstLine="480"/>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default" w:ascii="Times New Roman" w:hAnsi="Times New Roman" w:cs="Times New Roman"/>
                <w:color w:val="auto"/>
              </w:rPr>
              <w:t>一般工业固体废物及生活垃圾</w:t>
            </w:r>
          </w:p>
          <w:p>
            <w:pPr>
              <w:pStyle w:val="73"/>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①对一般固体废物、生活垃圾从产生、运输直至最终处理实行全过程管理，加强固体废物运输过程的事故风险防范，按照《</w:t>
            </w:r>
            <w:r>
              <w:rPr>
                <w:rFonts w:hint="default" w:cs="Times New Roman"/>
                <w:color w:val="auto"/>
                <w:lang w:val="en"/>
              </w:rPr>
              <w:t>中华人民共和国固体废物污染环境防治法</w:t>
            </w:r>
            <w:r>
              <w:rPr>
                <w:rFonts w:hint="default" w:ascii="Times New Roman" w:hAnsi="Times New Roman" w:eastAsia="宋体" w:cs="Times New Roman"/>
                <w:color w:val="auto"/>
              </w:rPr>
              <w:t>》的要求，对固体废弃物全过程管理应报当地环保行政主管部门等批准。</w:t>
            </w:r>
          </w:p>
          <w:p>
            <w:pPr>
              <w:pStyle w:val="73"/>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②建设单位需设置一定数量垃圾箱，确保生活垃圾不随意丢弃，污染周边环境。生活垃圾及时清运，避免长期堆存产生二次污染。</w:t>
            </w:r>
          </w:p>
          <w:p>
            <w:pPr>
              <w:pStyle w:val="73"/>
              <w:ind w:firstLine="480"/>
              <w:rPr>
                <w:rFonts w:hint="default" w:ascii="Times New Roman" w:hAnsi="Times New Roman" w:cs="Times New Roman"/>
                <w:color w:val="auto"/>
              </w:rPr>
            </w:pPr>
            <w:r>
              <w:rPr>
                <w:rFonts w:hint="default" w:ascii="Times New Roman" w:hAnsi="Times New Roman" w:eastAsia="宋体" w:cs="Times New Roman"/>
                <w:color w:val="auto"/>
              </w:rPr>
              <w:t>③本</w:t>
            </w:r>
            <w:r>
              <w:rPr>
                <w:rFonts w:hint="default" w:ascii="Times New Roman" w:hAnsi="Times New Roman" w:cs="Times New Roman"/>
                <w:color w:val="auto"/>
              </w:rPr>
              <w:t>项目运营期应按照《排污单位自行监测技术指南</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总则》（HJ819-2017）要求记录一般工业</w:t>
            </w:r>
            <w:r>
              <w:rPr>
                <w:rFonts w:hint="default" w:ascii="Times New Roman" w:hAnsi="Times New Roman" w:cs="Times New Roman"/>
                <w:color w:val="auto"/>
                <w:lang w:eastAsia="zh-CN"/>
              </w:rPr>
              <w:t>固体废物</w:t>
            </w:r>
            <w:r>
              <w:rPr>
                <w:rFonts w:hint="default" w:ascii="Times New Roman" w:hAnsi="Times New Roman" w:cs="Times New Roman"/>
                <w:color w:val="auto"/>
              </w:rPr>
              <w:t>的产生量、综合利用量、处置量、贮存量。应详细记录其去向。</w:t>
            </w:r>
          </w:p>
          <w:p>
            <w:pPr>
              <w:pStyle w:val="73"/>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危险废物</w:t>
            </w:r>
          </w:p>
          <w:p>
            <w:pPr>
              <w:pStyle w:val="73"/>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项目产生的</w:t>
            </w:r>
            <w:r>
              <w:rPr>
                <w:rFonts w:hint="default" w:ascii="Times New Roman" w:hAnsi="Times New Roman" w:eastAsia="宋体" w:cs="Times New Roman"/>
                <w:color w:val="auto"/>
                <w:lang w:eastAsia="zh-CN"/>
              </w:rPr>
              <w:t>废机油</w:t>
            </w:r>
            <w:r>
              <w:rPr>
                <w:rFonts w:hint="default" w:ascii="Times New Roman" w:hAnsi="Times New Roman" w:eastAsia="宋体" w:cs="Times New Roman"/>
                <w:color w:val="auto"/>
              </w:rPr>
              <w:t>属于危险废物，应严格按照《危险废物贮存污染控制标准》</w:t>
            </w:r>
            <w:r>
              <w:rPr>
                <w:rFonts w:hint="default" w:ascii="Times New Roman" w:hAnsi="Times New Roman" w:eastAsia="宋体" w:cs="Times New Roman"/>
                <w:color w:val="auto"/>
                <w:lang w:eastAsia="zh-CN"/>
              </w:rPr>
              <w:t>(GB18597-20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中的有关规定，使用符合标准的专用容器盛装，设危险废物收集桶，收集桶要求表面无裂隙，危险废物的暂存要做到防风、防雨、防晒；不相容的危险废物分开存放，同时记录废物的名称、来源、数量、入库日期、存放库位、废物出库日期等。评价要求</w:t>
            </w:r>
            <w:r>
              <w:rPr>
                <w:rFonts w:hint="default" w:ascii="Times New Roman" w:hAnsi="Times New Roman" w:cs="Times New Roman"/>
                <w:color w:val="auto"/>
                <w:lang w:eastAsia="zh-CN"/>
              </w:rPr>
              <w:t>厂内</w:t>
            </w:r>
            <w:r>
              <w:rPr>
                <w:rFonts w:hint="default" w:ascii="Times New Roman" w:hAnsi="Times New Roman" w:eastAsia="宋体" w:cs="Times New Roman"/>
                <w:color w:val="auto"/>
              </w:rPr>
              <w:t>设置</w:t>
            </w:r>
            <w:r>
              <w:rPr>
                <w:rFonts w:hint="default" w:ascii="Times New Roman" w:hAnsi="Times New Roman" w:cs="Times New Roman"/>
                <w:color w:val="auto"/>
                <w:lang w:val="en-US" w:eastAsia="zh-CN"/>
              </w:rPr>
              <w:t>危废贮存点</w:t>
            </w:r>
            <w:r>
              <w:rPr>
                <w:rFonts w:hint="default" w:ascii="Times New Roman" w:hAnsi="Times New Roman" w:eastAsia="宋体" w:cs="Times New Roman"/>
                <w:color w:val="auto"/>
              </w:rPr>
              <w:t>，</w:t>
            </w:r>
            <w:r>
              <w:rPr>
                <w:rFonts w:hint="default" w:ascii="Times New Roman" w:hAnsi="Times New Roman" w:cs="Times New Roman"/>
                <w:color w:val="auto"/>
                <w:lang w:eastAsia="zh-CN"/>
              </w:rPr>
              <w:t>且贮存点</w:t>
            </w:r>
            <w:r>
              <w:rPr>
                <w:rFonts w:hint="default" w:ascii="Times New Roman" w:hAnsi="Times New Roman" w:eastAsia="宋体" w:cs="Times New Roman"/>
                <w:color w:val="auto"/>
              </w:rPr>
              <w:t>要设防渗和隔离设施及明显的警示标志，最后建立危险废物转移联单制度，定期送有资质的单位安全处理。项目危险废物贮存场所情况见表4-1</w:t>
            </w:r>
            <w:r>
              <w:rPr>
                <w:rFonts w:hint="eastAsia" w:ascii="Times New Roman" w:hAnsi="Times New Roman" w:cs="Times New Roman"/>
                <w:color w:val="auto"/>
                <w:lang w:val="en-US" w:eastAsia="zh-CN"/>
              </w:rPr>
              <w:t>4</w:t>
            </w:r>
            <w:r>
              <w:rPr>
                <w:rFonts w:hint="default" w:ascii="Times New Roman" w:hAnsi="Times New Roman" w:eastAsia="宋体" w:cs="Times New Roman"/>
                <w:color w:val="auto"/>
              </w:rPr>
              <w:t>。</w:t>
            </w:r>
          </w:p>
          <w:p>
            <w:pPr>
              <w:pStyle w:val="47"/>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表4-1</w:t>
            </w:r>
            <w:r>
              <w:rPr>
                <w:rFonts w:hint="eastAsia" w:ascii="Times New Roman" w:hAnsi="Times New Roman" w:eastAsia="黑体" w:cs="Times New Roman"/>
                <w:color w:val="auto"/>
                <w:sz w:val="24"/>
                <w:szCs w:val="24"/>
                <w:lang w:val="en-US" w:eastAsia="zh-CN"/>
              </w:rPr>
              <w:t>4</w:t>
            </w:r>
            <w:r>
              <w:rPr>
                <w:rFonts w:hint="default" w:ascii="Times New Roman" w:hAnsi="Times New Roman" w:eastAsia="黑体" w:cs="Times New Roman"/>
                <w:color w:val="auto"/>
                <w:sz w:val="24"/>
                <w:szCs w:val="24"/>
                <w:lang w:val="en-US" w:eastAsia="zh-CN"/>
              </w:rPr>
              <w:t xml:space="preserve">  建设项目危险废物贮存场所（设施）基本情况表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015"/>
              <w:gridCol w:w="1192"/>
              <w:gridCol w:w="1254"/>
              <w:gridCol w:w="1688"/>
              <w:gridCol w:w="982"/>
              <w:gridCol w:w="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贮存场所名称</w:t>
                  </w:r>
                </w:p>
              </w:tc>
              <w:tc>
                <w:tcPr>
                  <w:tcW w:w="60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危险废物名称</w:t>
                  </w:r>
                </w:p>
              </w:tc>
              <w:tc>
                <w:tcPr>
                  <w:tcW w:w="71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危险废物类别</w:t>
                  </w:r>
                </w:p>
              </w:tc>
              <w:tc>
                <w:tcPr>
                  <w:tcW w:w="75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危险废物代码</w:t>
                  </w:r>
                </w:p>
              </w:tc>
              <w:tc>
                <w:tcPr>
                  <w:tcW w:w="101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位置</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占地面积</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危废贮存点</w:t>
                  </w:r>
                </w:p>
              </w:tc>
              <w:tc>
                <w:tcPr>
                  <w:tcW w:w="608"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废机油</w:t>
                  </w:r>
                </w:p>
              </w:tc>
              <w:tc>
                <w:tcPr>
                  <w:tcW w:w="714"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HW08</w:t>
                  </w:r>
                </w:p>
              </w:tc>
              <w:tc>
                <w:tcPr>
                  <w:tcW w:w="751"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900-214-08</w:t>
                  </w:r>
                </w:p>
              </w:tc>
              <w:tc>
                <w:tcPr>
                  <w:tcW w:w="101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有机肥加工车间</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r>
          </w:tbl>
          <w:p>
            <w:pPr>
              <w:pStyle w:val="73"/>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危险废物</w:t>
            </w:r>
          </w:p>
          <w:p>
            <w:pPr>
              <w:pStyle w:val="73"/>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本项目产生的危废</w:t>
            </w:r>
            <w:r>
              <w:rPr>
                <w:rFonts w:hint="default" w:ascii="Times New Roman" w:hAnsi="Times New Roman" w:cs="Times New Roman"/>
                <w:color w:val="auto"/>
                <w:lang w:eastAsia="zh-CN"/>
              </w:rPr>
              <w:t>经收集桶收集</w:t>
            </w:r>
            <w:r>
              <w:rPr>
                <w:rFonts w:hint="default" w:ascii="Times New Roman" w:hAnsi="Times New Roman" w:eastAsia="宋体" w:cs="Times New Roman"/>
                <w:color w:val="auto"/>
                <w:lang w:eastAsia="zh-CN"/>
              </w:rPr>
              <w:t>后，由专门人员送至</w:t>
            </w:r>
            <w:r>
              <w:rPr>
                <w:rFonts w:hint="default" w:ascii="Times New Roman" w:hAnsi="Times New Roman" w:cs="Times New Roman"/>
                <w:color w:val="auto"/>
                <w:lang w:eastAsia="zh-CN"/>
              </w:rPr>
              <w:t>危废贮存点</w:t>
            </w:r>
            <w:r>
              <w:rPr>
                <w:rFonts w:hint="default" w:ascii="Times New Roman" w:hAnsi="Times New Roman" w:eastAsia="宋体" w:cs="Times New Roman"/>
                <w:color w:val="auto"/>
                <w:lang w:eastAsia="zh-CN"/>
              </w:rPr>
              <w:t>。厂内运输危废过程中可能发生泄漏或散落的情况，应启动应急预案，将危废及时收集，以减轻对周围环境的影响。厂区内运输路线地面均已进行硬化处理，泄漏物得到及时收集后，对土壤及地下水影响较小。</w:t>
            </w:r>
          </w:p>
          <w:p>
            <w:pPr>
              <w:pStyle w:val="73"/>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本项目对生产过程中产生危险废物的收集、运输、贮存、管理以及转运应严格按照《危险废物污染防治技术政策》（环发</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eastAsia="zh-CN"/>
              </w:rPr>
              <w:t>2001</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199号）、《危险废物转移管理办法》（生态环境部、公安部、交通运输部令第</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号）和《危险废物贮存污染控制标准》(GB18597-20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)实行。</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根据《危险废物贮存污染控制标准》(GB18597-20</w:t>
            </w:r>
            <w:r>
              <w:rPr>
                <w:rFonts w:hint="default" w:ascii="Times New Roman" w:hAnsi="Times New Roman" w:cs="Times New Roman"/>
                <w:color w:val="auto"/>
                <w:lang w:val="en-US" w:eastAsia="zh-CN"/>
              </w:rPr>
              <w:t>23</w:t>
            </w:r>
            <w:r>
              <w:rPr>
                <w:rFonts w:hint="default" w:ascii="Times New Roman" w:hAnsi="Times New Roman" w:cs="Times New Roman"/>
                <w:color w:val="auto"/>
                <w:lang w:eastAsia="zh-CN"/>
              </w:rPr>
              <w:t>)，危废</w:t>
            </w:r>
            <w:r>
              <w:rPr>
                <w:rFonts w:hint="default" w:ascii="Times New Roman" w:hAnsi="Times New Roman" w:eastAsia="宋体" w:cs="Times New Roman"/>
                <w:color w:val="auto"/>
                <w:lang w:val="en-US" w:eastAsia="zh-CN"/>
              </w:rPr>
              <w:t>贮存点环境管理要求</w:t>
            </w:r>
            <w:r>
              <w:rPr>
                <w:rFonts w:hint="default" w:ascii="Times New Roman" w:hAnsi="Times New Roman" w:cs="Times New Roman"/>
                <w:color w:val="auto"/>
                <w:lang w:val="en-US" w:eastAsia="zh-CN"/>
              </w:rPr>
              <w:t>如下：</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①</w:t>
            </w:r>
            <w:r>
              <w:rPr>
                <w:rFonts w:hint="default" w:ascii="Times New Roman" w:hAnsi="Times New Roman" w:eastAsia="宋体" w:cs="Times New Roman"/>
                <w:color w:val="auto"/>
                <w:lang w:eastAsia="zh-CN"/>
              </w:rPr>
              <w:t>贮存点应具有固定的区域边界，并应采取与其他区域进行隔离的措施。</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②</w:t>
            </w:r>
            <w:r>
              <w:rPr>
                <w:rFonts w:hint="default" w:ascii="Times New Roman" w:hAnsi="Times New Roman" w:eastAsia="宋体" w:cs="Times New Roman"/>
                <w:color w:val="auto"/>
                <w:lang w:eastAsia="zh-CN"/>
              </w:rPr>
              <w:t>贮存点应采取防风、防雨、防晒和防止危险废物流失、扬散等措施。</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③</w:t>
            </w:r>
            <w:r>
              <w:rPr>
                <w:rFonts w:hint="default" w:ascii="Times New Roman" w:hAnsi="Times New Roman" w:eastAsia="宋体" w:cs="Times New Roman"/>
                <w:color w:val="auto"/>
                <w:lang w:eastAsia="zh-CN"/>
              </w:rPr>
              <w:t>贮存点贮存的危险废物应置于容器或包装物中，不应直接散堆。</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④</w:t>
            </w:r>
            <w:r>
              <w:rPr>
                <w:rFonts w:hint="default" w:ascii="Times New Roman" w:hAnsi="Times New Roman" w:eastAsia="宋体" w:cs="Times New Roman"/>
                <w:color w:val="auto"/>
                <w:lang w:eastAsia="zh-CN"/>
              </w:rPr>
              <w:t>贮存点应根据危险废物的形态、物理化学性质、包装形式等，采取防渗、防漏等污染防治措施</w:t>
            </w:r>
            <w:r>
              <w:rPr>
                <w:rFonts w:hint="default" w:ascii="Times New Roman" w:hAnsi="Times New Roman" w:eastAsia="宋体" w:cs="Times New Roman"/>
                <w:color w:val="auto"/>
                <w:lang w:val="en-US" w:eastAsia="zh-CN"/>
              </w:rPr>
              <w:t>或采用具有相应功能的装置。</w:t>
            </w:r>
          </w:p>
          <w:p>
            <w:pPr>
              <w:pStyle w:val="73"/>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⑤</w:t>
            </w:r>
            <w:r>
              <w:rPr>
                <w:rFonts w:hint="default" w:ascii="Times New Roman" w:hAnsi="Times New Roman" w:eastAsia="宋体" w:cs="Times New Roman"/>
                <w:color w:val="auto"/>
                <w:lang w:val="en-US" w:eastAsia="zh-CN"/>
              </w:rPr>
              <w:t>贮存点应及时清运贮存的危险废物，实时贮存量不应超过3吨。</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五、地下水</w:t>
            </w:r>
            <w:r>
              <w:rPr>
                <w:rFonts w:hint="default" w:ascii="Times New Roman" w:hAnsi="Times New Roman" w:cs="Times New Roman"/>
                <w:color w:val="auto"/>
                <w:sz w:val="24"/>
                <w:szCs w:val="24"/>
                <w:lang w:val="en-US" w:eastAsia="zh-CN"/>
              </w:rPr>
              <w:t>、土壤环境影响分析</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根据本项目生产工艺特点、原辅材料使用等，本项目可能对地下环境造成影响的环节主要为</w:t>
            </w:r>
            <w:r>
              <w:rPr>
                <w:rFonts w:hint="default" w:ascii="Times New Roman" w:hAnsi="Times New Roman" w:cs="Times New Roman"/>
                <w:color w:val="auto"/>
                <w:sz w:val="24"/>
                <w:lang w:val="en-US" w:eastAsia="zh-CN"/>
              </w:rPr>
              <w:t>原料陈化堆放棚、危废贮存点及有机肥加工车间</w:t>
            </w:r>
            <w:r>
              <w:rPr>
                <w:rFonts w:hint="default" w:ascii="Times New Roman" w:hAnsi="Times New Roman" w:cs="Times New Roman"/>
                <w:color w:val="auto"/>
                <w:sz w:val="24"/>
              </w:rPr>
              <w:t>等</w:t>
            </w:r>
            <w:r>
              <w:rPr>
                <w:rFonts w:hint="default" w:ascii="Times New Roman" w:hAnsi="Times New Roman" w:cs="Times New Roman"/>
                <w:color w:val="auto"/>
                <w:sz w:val="24"/>
                <w:lang w:eastAsia="zh-CN"/>
              </w:rPr>
              <w:t>防渗设施</w:t>
            </w:r>
            <w:r>
              <w:rPr>
                <w:rFonts w:hint="default" w:ascii="Times New Roman" w:hAnsi="Times New Roman" w:cs="Times New Roman"/>
                <w:color w:val="auto"/>
                <w:sz w:val="24"/>
              </w:rPr>
              <w:t>发生破损泄漏，污染物进入地下水环境造成区域地下水环境污染。为防止项目发生地下水污染，将场地划分为重点污染防治区和简单防治区：</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①一般污染防治区：对地下水环境有污染的物料或污染物泄漏后，可及时发现和处理的区域或部位。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②重点污染防治区：对地下水环境有污染的物料或污染物泄漏后，不能及时发现和处理的区域或部位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③非污染防治区：一般和重点污染防治区以外的区域或部位。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分区防渗要求见表4-1</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w:t>
            </w:r>
          </w:p>
          <w:p>
            <w:pPr>
              <w:pStyle w:val="47"/>
              <w:spacing w:before="0" w:after="0" w:line="288" w:lineRule="auto"/>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表4-1</w:t>
            </w:r>
            <w:r>
              <w:rPr>
                <w:rFonts w:hint="eastAsia" w:ascii="Times New Roman" w:hAnsi="Times New Roman" w:eastAsia="黑体" w:cs="Times New Roman"/>
                <w:color w:val="auto"/>
                <w:szCs w:val="24"/>
                <w:lang w:val="en-US" w:eastAsia="zh-CN"/>
              </w:rPr>
              <w:t>5</w:t>
            </w:r>
            <w:r>
              <w:rPr>
                <w:rFonts w:hint="default" w:ascii="Times New Roman" w:hAnsi="Times New Roman" w:eastAsia="黑体" w:cs="Times New Roman"/>
                <w:color w:val="auto"/>
                <w:szCs w:val="24"/>
              </w:rPr>
              <w:t xml:space="preserve">  主要场地分区防渗一览表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631"/>
              <w:gridCol w:w="3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tcBorders>
                    <w:tl2br w:val="nil"/>
                    <w:tr2bl w:val="nil"/>
                  </w:tcBorders>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防渗级别</w:t>
                  </w:r>
                </w:p>
              </w:tc>
              <w:tc>
                <w:tcPr>
                  <w:tcW w:w="2631" w:type="dxa"/>
                  <w:tcBorders>
                    <w:tl2br w:val="nil"/>
                    <w:tr2bl w:val="nil"/>
                  </w:tcBorders>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设施名称</w:t>
                  </w:r>
                </w:p>
              </w:tc>
              <w:tc>
                <w:tcPr>
                  <w:tcW w:w="3989" w:type="dxa"/>
                  <w:tcBorders>
                    <w:tl2br w:val="nil"/>
                    <w:tr2bl w:val="nil"/>
                  </w:tcBorders>
                  <w:vAlign w:val="center"/>
                </w:tcPr>
                <w:p>
                  <w:pPr>
                    <w:pStyle w:val="58"/>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防渗要求的一般规定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26"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重点污染防治区</w:t>
                  </w:r>
                </w:p>
              </w:tc>
              <w:tc>
                <w:tcPr>
                  <w:tcW w:w="2631"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原料陈化堆放棚</w:t>
                  </w:r>
                </w:p>
              </w:tc>
              <w:tc>
                <w:tcPr>
                  <w:tcW w:w="3989"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等效黏土防渗层Mb≥6.0m，K≤1x10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26" w:type="dxa"/>
                  <w:vMerge w:val="restart"/>
                  <w:tcBorders>
                    <w:tl2br w:val="nil"/>
                    <w:tr2bl w:val="nil"/>
                  </w:tcBorders>
                  <w:vAlign w:val="center"/>
                </w:tcPr>
                <w:p>
                  <w:pPr>
                    <w:pStyle w:val="58"/>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一般污染防治区</w:t>
                  </w:r>
                </w:p>
              </w:tc>
              <w:tc>
                <w:tcPr>
                  <w:tcW w:w="2631" w:type="dxa"/>
                  <w:tcBorders>
                    <w:tl2br w:val="nil"/>
                    <w:tr2bl w:val="nil"/>
                  </w:tcBorders>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危废贮存点</w:t>
                  </w:r>
                </w:p>
              </w:tc>
              <w:tc>
                <w:tcPr>
                  <w:tcW w:w="3989" w:type="dxa"/>
                  <w:tcBorders>
                    <w:tl2br w:val="nil"/>
                    <w:tr2bl w:val="nil"/>
                  </w:tcBorders>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地面一般防渗处理，等效黏土防渗层Mb≥1.5m，K≤1×10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26" w:type="dxa"/>
                  <w:vMerge w:val="continue"/>
                  <w:tcBorders>
                    <w:tl2br w:val="nil"/>
                    <w:tr2bl w:val="nil"/>
                  </w:tcBorders>
                  <w:vAlign w:val="center"/>
                </w:tcPr>
                <w:p>
                  <w:pPr>
                    <w:pStyle w:val="58"/>
                    <w:jc w:val="center"/>
                    <w:rPr>
                      <w:rFonts w:hint="default" w:ascii="Times New Roman" w:hAnsi="Times New Roman" w:eastAsia="宋体" w:cs="Times New Roman"/>
                      <w:color w:val="auto"/>
                    </w:rPr>
                  </w:pPr>
                </w:p>
              </w:tc>
              <w:tc>
                <w:tcPr>
                  <w:tcW w:w="2631" w:type="dxa"/>
                  <w:tcBorders>
                    <w:tl2br w:val="nil"/>
                    <w:tr2bl w:val="nil"/>
                  </w:tcBorders>
                  <w:vAlign w:val="center"/>
                </w:tcPr>
                <w:p>
                  <w:pPr>
                    <w:pStyle w:val="58"/>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有机肥加工车间、成品库房</w:t>
                  </w:r>
                </w:p>
              </w:tc>
              <w:tc>
                <w:tcPr>
                  <w:tcW w:w="3989" w:type="dxa"/>
                  <w:tcBorders>
                    <w:tl2br w:val="nil"/>
                    <w:tr2bl w:val="nil"/>
                  </w:tcBorders>
                  <w:vAlign w:val="center"/>
                </w:tcPr>
                <w:p>
                  <w:pPr>
                    <w:pStyle w:val="58"/>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1"/>
                      <w:szCs w:val="21"/>
                      <w:highlight w:val="none"/>
                      <w:lang w:val="en-US" w:eastAsia="zh-CN"/>
                    </w:rPr>
                    <w:t>等效黏土防渗层Mb≥1.5m，K≤1×10</w:t>
                  </w:r>
                  <w:r>
                    <w:rPr>
                      <w:rFonts w:hint="default" w:ascii="Times New Roman" w:hAnsi="Times New Roman" w:eastAsia="宋体" w:cs="Times New Roman"/>
                      <w:color w:val="auto"/>
                      <w:kern w:val="0"/>
                      <w:sz w:val="21"/>
                      <w:szCs w:val="21"/>
                      <w:highlight w:val="none"/>
                      <w:vertAlign w:val="superscript"/>
                      <w:lang w:val="en-US" w:eastAsia="zh-CN"/>
                    </w:rPr>
                    <w:t>-7</w:t>
                  </w:r>
                  <w:r>
                    <w:rPr>
                      <w:rFonts w:hint="default" w:ascii="Times New Roman" w:hAnsi="Times New Roman" w:eastAsia="宋体" w:cs="Times New Roman"/>
                      <w:color w:val="auto"/>
                      <w:kern w:val="0"/>
                      <w:sz w:val="21"/>
                      <w:szCs w:val="21"/>
                      <w:highlight w:val="none"/>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非污染防治区</w:t>
                  </w:r>
                </w:p>
              </w:tc>
              <w:tc>
                <w:tcPr>
                  <w:tcW w:w="2631"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厂区道路</w:t>
                  </w:r>
                </w:p>
              </w:tc>
              <w:tc>
                <w:tcPr>
                  <w:tcW w:w="3989" w:type="dxa"/>
                  <w:tcBorders>
                    <w:tl2br w:val="nil"/>
                    <w:tr2bl w:val="nil"/>
                  </w:tcBorders>
                  <w:vAlign w:val="center"/>
                </w:tcPr>
                <w:p>
                  <w:pPr>
                    <w:pStyle w:val="5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地面硬化</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rPr>
              <w:t>采取以上分区防渗措施后，正常工况下可隔绝地下水、土壤污染途径，对周边地下水环境、土壤环境影响较小。</w:t>
            </w:r>
          </w:p>
          <w:p>
            <w:pPr>
              <w:spacing w:before="120" w:after="60" w:line="360" w:lineRule="auto"/>
              <w:outlineLvl w:val="2"/>
              <w:rPr>
                <w:rFonts w:hint="default" w:ascii="Times New Roman" w:hAnsi="Times New Roman" w:eastAsia="黑体" w:cs="Times New Roman"/>
                <w:color w:val="auto"/>
                <w:spacing w:val="4"/>
                <w:sz w:val="24"/>
              </w:rPr>
            </w:pPr>
            <w:r>
              <w:rPr>
                <w:rFonts w:hint="default" w:ascii="Times New Roman" w:hAnsi="Times New Roman" w:eastAsia="黑体" w:cs="Times New Roman"/>
                <w:color w:val="auto"/>
                <w:spacing w:val="4"/>
                <w:sz w:val="24"/>
              </w:rPr>
              <w:t>六、生态环境影响</w:t>
            </w:r>
          </w:p>
          <w:p>
            <w:pPr>
              <w:pStyle w:val="82"/>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固原市泾源县新民乡杨堡村宁夏延龄生态农业开发有限公司现有厂区内</w:t>
            </w:r>
            <w:r>
              <w:rPr>
                <w:rFonts w:hint="default" w:ascii="Times New Roman" w:hAnsi="Times New Roman" w:cs="Times New Roman"/>
                <w:color w:val="auto"/>
              </w:rPr>
              <w:t>，</w:t>
            </w:r>
            <w:r>
              <w:rPr>
                <w:rFonts w:hint="default" w:ascii="Times New Roman" w:hAnsi="Times New Roman" w:cs="Times New Roman"/>
                <w:color w:val="auto"/>
                <w:lang w:eastAsia="zh-CN"/>
              </w:rPr>
              <w:t>不新增占地</w:t>
            </w:r>
            <w:r>
              <w:rPr>
                <w:rFonts w:hint="default" w:ascii="Times New Roman" w:hAnsi="Times New Roman" w:cs="Times New Roman"/>
                <w:color w:val="auto"/>
              </w:rPr>
              <w:t>，</w:t>
            </w:r>
            <w:r>
              <w:rPr>
                <w:rFonts w:hint="default" w:ascii="Times New Roman" w:hAnsi="Times New Roman" w:cs="Times New Roman"/>
                <w:color w:val="auto"/>
                <w:lang w:eastAsia="zh-CN"/>
              </w:rPr>
              <w:t>且</w:t>
            </w:r>
            <w:r>
              <w:rPr>
                <w:rFonts w:hint="default" w:ascii="Times New Roman" w:hAnsi="Times New Roman" w:cs="Times New Roman"/>
                <w:color w:val="auto"/>
              </w:rPr>
              <w:t>项目占地范围内不含生态敏感目标，因此本项目不进行生态环境影响评价。</w:t>
            </w:r>
          </w:p>
          <w:p>
            <w:pPr>
              <w:keepNext w:val="0"/>
              <w:keepLines w:val="0"/>
              <w:pageBreakBefore w:val="0"/>
              <w:widowControl w:val="0"/>
              <w:kinsoku/>
              <w:wordWrap/>
              <w:overflowPunct/>
              <w:topLinePunct w:val="0"/>
              <w:autoSpaceDE/>
              <w:autoSpaceDN/>
              <w:bidi w:val="0"/>
              <w:adjustRightInd/>
              <w:snapToGrid/>
              <w:spacing w:before="120" w:after="60" w:line="360" w:lineRule="auto"/>
              <w:jc w:val="both"/>
              <w:textAlignment w:val="auto"/>
              <w:outlineLvl w:val="2"/>
              <w:rPr>
                <w:rFonts w:hint="default" w:ascii="Times New Roman" w:hAnsi="Times New Roman" w:eastAsia="黑体" w:cs="Times New Roman"/>
                <w:color w:val="auto"/>
                <w:spacing w:val="4"/>
                <w:kern w:val="2"/>
                <w:sz w:val="24"/>
                <w:szCs w:val="24"/>
                <w:highlight w:val="none"/>
                <w:lang w:val="en-US" w:eastAsia="zh-CN"/>
              </w:rPr>
            </w:pPr>
            <w:r>
              <w:rPr>
                <w:rFonts w:hint="default" w:ascii="Times New Roman" w:hAnsi="Times New Roman" w:eastAsia="黑体" w:cs="Times New Roman"/>
                <w:color w:val="auto"/>
                <w:spacing w:val="4"/>
                <w:kern w:val="2"/>
                <w:sz w:val="24"/>
                <w:szCs w:val="24"/>
                <w:highlight w:val="none"/>
                <w:lang w:val="en-US" w:eastAsia="zh-CN"/>
              </w:rPr>
              <w:t>七、环境风险影响分析</w:t>
            </w:r>
          </w:p>
          <w:p>
            <w:pPr>
              <w:pStyle w:val="82"/>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1、危险物质</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根据《建设项目环境风险评价技术导则》（HJ169-2018），项目运营中所涉及的环境风险物质主要是</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根据《建设项目环境风险评价技术导则》（HJ169-2018）中附录C中Q值公式：</w:t>
            </w:r>
          </w:p>
          <w:p>
            <w:pPr>
              <w:pStyle w:val="82"/>
              <w:ind w:firstLine="480"/>
              <w:jc w:val="center"/>
              <w:rPr>
                <w:rFonts w:hint="default" w:ascii="Times New Roman" w:hAnsi="Times New Roman" w:cs="Times New Roman"/>
                <w:color w:val="auto"/>
                <w:lang w:val="zh-CN"/>
              </w:rPr>
            </w:pPr>
            <w:r>
              <w:rPr>
                <w:rFonts w:hint="default" w:ascii="Times New Roman" w:hAnsi="Times New Roman" w:cs="Times New Roman"/>
                <w:color w:val="auto"/>
                <w:lang w:val="zh-CN"/>
              </w:rPr>
              <w:object>
                <v:shape id="_x0000_i1028" o:spt="75" type="#_x0000_t75" style="height:36pt;width:106.4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式中：q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——每种危险物质的最大存在总量，t；</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 xml:space="preserve">      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——各种危险物质的临界量，t</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当Q&lt;1时，该项目环境风险潜势为I。</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当Q≥1时，将Q值划分为：（1）1≤Q&lt;10；（2）10≤Q&lt;100；（3）Q≥100。</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eastAsia="zh-CN"/>
              </w:rPr>
              <w:t>本项目</w:t>
            </w:r>
            <w:r>
              <w:rPr>
                <w:rFonts w:hint="default" w:ascii="Times New Roman" w:hAnsi="Times New Roman" w:cs="Times New Roman"/>
                <w:color w:val="auto"/>
                <w:lang w:val="zh-CN"/>
              </w:rPr>
              <w:t>重点关注危险物质Q值计算结果见表</w:t>
            </w:r>
            <w:r>
              <w:rPr>
                <w:rFonts w:hint="default" w:ascii="Times New Roman" w:hAnsi="Times New Roman" w:cs="Times New Roman"/>
                <w:color w:val="auto"/>
                <w:lang w:val="zh-CN" w:eastAsia="zh-CN"/>
              </w:rPr>
              <w:t>4-1</w:t>
            </w:r>
            <w:r>
              <w:rPr>
                <w:rFonts w:hint="eastAsia" w:ascii="Times New Roman" w:hAnsi="Times New Roman" w:cs="Times New Roman"/>
                <w:color w:val="auto"/>
                <w:lang w:val="en-US" w:eastAsia="zh-CN"/>
              </w:rPr>
              <w:t>6</w:t>
            </w:r>
            <w:r>
              <w:rPr>
                <w:rFonts w:hint="default" w:ascii="Times New Roman" w:hAnsi="Times New Roman" w:cs="Times New Roman"/>
                <w:color w:val="auto"/>
                <w:lang w:val="zh-CN"/>
              </w:rPr>
              <w:t>。</w:t>
            </w:r>
          </w:p>
          <w:p>
            <w:pPr>
              <w:pStyle w:val="47"/>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w:t>
            </w:r>
            <w:r>
              <w:rPr>
                <w:rFonts w:hint="default" w:ascii="Times New Roman" w:hAnsi="Times New Roman" w:eastAsia="黑体" w:cs="Times New Roman"/>
                <w:color w:val="auto"/>
                <w:szCs w:val="24"/>
                <w:lang w:val="zh-CN" w:eastAsia="zh-CN"/>
              </w:rPr>
              <w:t>4-1</w:t>
            </w:r>
            <w:r>
              <w:rPr>
                <w:rFonts w:hint="eastAsia" w:ascii="Times New Roman" w:hAnsi="Times New Roman" w:eastAsia="黑体" w:cs="Times New Roman"/>
                <w:color w:val="auto"/>
                <w:szCs w:val="24"/>
                <w:lang w:val="en-US" w:eastAsia="zh-CN"/>
              </w:rPr>
              <w:t>6</w:t>
            </w:r>
            <w:r>
              <w:rPr>
                <w:rFonts w:hint="default" w:ascii="Times New Roman" w:hAnsi="Times New Roman" w:eastAsia="黑体" w:cs="Times New Roman"/>
                <w:color w:val="auto"/>
                <w:szCs w:val="24"/>
                <w:lang w:val="zh-CN"/>
              </w:rPr>
              <w:t xml:space="preserve">  本项目</w:t>
            </w:r>
            <w:r>
              <w:rPr>
                <w:rFonts w:hint="default" w:ascii="Times New Roman" w:hAnsi="Times New Roman" w:eastAsia="黑体" w:cs="Times New Roman"/>
                <w:color w:val="auto"/>
                <w:szCs w:val="24"/>
                <w:lang w:val="zh-CN" w:eastAsia="zh-CN"/>
              </w:rPr>
              <w:t>危险</w:t>
            </w:r>
            <w:r>
              <w:rPr>
                <w:rFonts w:hint="default" w:ascii="Times New Roman" w:hAnsi="Times New Roman" w:eastAsia="黑体" w:cs="Times New Roman"/>
                <w:color w:val="auto"/>
                <w:szCs w:val="24"/>
                <w:lang w:val="zh-CN"/>
              </w:rPr>
              <w:t>物质Q值计算结果一览表</w:t>
            </w:r>
          </w:p>
          <w:tbl>
            <w:tblPr>
              <w:tblStyle w:val="25"/>
              <w:tblW w:w="83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65"/>
              <w:gridCol w:w="1125"/>
              <w:gridCol w:w="1930"/>
              <w:gridCol w:w="1313"/>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9"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危险物质名称</w:t>
                  </w:r>
                </w:p>
              </w:tc>
              <w:tc>
                <w:tcPr>
                  <w:tcW w:w="1582"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主要风险物质</w:t>
                  </w:r>
                </w:p>
              </w:tc>
              <w:tc>
                <w:tcPr>
                  <w:tcW w:w="1132"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rPr>
                    <w:t>CAS号</w:t>
                  </w:r>
                </w:p>
              </w:tc>
              <w:tc>
                <w:tcPr>
                  <w:tcW w:w="1950"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最大存在总量q/t</w:t>
                  </w:r>
                </w:p>
              </w:tc>
              <w:tc>
                <w:tcPr>
                  <w:tcW w:w="1323"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临界量Q/t</w:t>
                  </w:r>
                </w:p>
              </w:tc>
              <w:tc>
                <w:tcPr>
                  <w:tcW w:w="830" w:type="dxa"/>
                  <w:tcBorders>
                    <w:tl2br w:val="nil"/>
                    <w:tr2bl w:val="nil"/>
                  </w:tcBorders>
                  <w:noWrap w:val="0"/>
                  <w:vAlign w:val="center"/>
                </w:tcPr>
                <w:p>
                  <w:pPr>
                    <w:pStyle w:val="58"/>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29" w:type="dxa"/>
                  <w:tcBorders>
                    <w:tl2br w:val="nil"/>
                    <w:tr2bl w:val="nil"/>
                  </w:tcBorders>
                  <w:noWrap w:val="0"/>
                  <w:vAlign w:val="center"/>
                </w:tcPr>
                <w:p>
                  <w:pPr>
                    <w:pStyle w:val="58"/>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eastAsia="zh-CN"/>
                    </w:rPr>
                    <w:t>废机油</w:t>
                  </w:r>
                </w:p>
              </w:tc>
              <w:tc>
                <w:tcPr>
                  <w:tcW w:w="1582" w:type="dxa"/>
                  <w:tcBorders>
                    <w:tl2br w:val="nil"/>
                    <w:tr2bl w:val="nil"/>
                  </w:tcBorders>
                  <w:noWrap w:val="0"/>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矿物油</w:t>
                  </w:r>
                </w:p>
              </w:tc>
              <w:tc>
                <w:tcPr>
                  <w:tcW w:w="1132" w:type="dxa"/>
                  <w:tcBorders>
                    <w:tl2br w:val="nil"/>
                    <w:tr2bl w:val="nil"/>
                  </w:tcBorders>
                  <w:noWrap w:val="0"/>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c>
                <w:tcPr>
                  <w:tcW w:w="1950" w:type="dxa"/>
                  <w:tcBorders>
                    <w:tl2br w:val="nil"/>
                    <w:tr2bl w:val="nil"/>
                  </w:tcBorders>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0.05</w:t>
                  </w:r>
                </w:p>
              </w:tc>
              <w:tc>
                <w:tcPr>
                  <w:tcW w:w="1323" w:type="dxa"/>
                  <w:tcBorders>
                    <w:tl2br w:val="nil"/>
                    <w:tr2bl w:val="nil"/>
                  </w:tcBorders>
                  <w:noWrap w:val="0"/>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2500</w:t>
                  </w:r>
                </w:p>
              </w:tc>
              <w:tc>
                <w:tcPr>
                  <w:tcW w:w="830" w:type="dxa"/>
                  <w:tcBorders>
                    <w:tl2br w:val="nil"/>
                    <w:tr2bl w:val="nil"/>
                  </w:tcBorders>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6" w:type="dxa"/>
                  <w:gridSpan w:val="5"/>
                  <w:tcBorders>
                    <w:tl2br w:val="nil"/>
                    <w:tr2bl w:val="nil"/>
                  </w:tcBorders>
                  <w:vAlign w:val="center"/>
                </w:tcPr>
                <w:p>
                  <w:pPr>
                    <w:pStyle w:val="58"/>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本项目Q值Σ</w:t>
                  </w:r>
                </w:p>
              </w:tc>
              <w:tc>
                <w:tcPr>
                  <w:tcW w:w="830"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0.0000</w:t>
                  </w:r>
                  <w:r>
                    <w:rPr>
                      <w:rFonts w:hint="default" w:ascii="Times New Roman" w:hAnsi="Times New Roman" w:eastAsia="宋体" w:cs="Times New Roman"/>
                      <w:color w:va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6" w:type="dxa"/>
                  <w:gridSpan w:val="6"/>
                  <w:tcBorders>
                    <w:tl2br w:val="nil"/>
                    <w:tr2bl w:val="nil"/>
                  </w:tcBorders>
                  <w:vAlign w:val="center"/>
                </w:tcPr>
                <w:p>
                  <w:pPr>
                    <w:pStyle w:val="58"/>
                    <w:jc w:val="left"/>
                    <w:rPr>
                      <w:rFonts w:hint="default" w:ascii="Times New Roman" w:hAnsi="Times New Roman" w:cs="Times New Roman"/>
                      <w:bCs/>
                      <w:color w:val="auto"/>
                      <w:kern w:val="24"/>
                      <w:szCs w:val="24"/>
                      <w:lang w:val="zh-CN"/>
                    </w:rPr>
                  </w:pPr>
                  <w:r>
                    <w:rPr>
                      <w:rFonts w:hint="default" w:ascii="Times New Roman" w:hAnsi="Times New Roman" w:eastAsia="宋体" w:cs="Times New Roman"/>
                      <w:color w:val="auto"/>
                      <w:lang w:val="zh-CN"/>
                    </w:rPr>
                    <w:t>注：①本项目涉及危险物质临界量取值依据《建设项目环境风险评价技术导则》(HJ169-2018)中附录B表B.1中相关数据；</w:t>
                  </w:r>
                </w:p>
              </w:tc>
            </w:tr>
          </w:tbl>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根据上表，项目Q=</w:t>
            </w:r>
            <w:r>
              <w:rPr>
                <w:rFonts w:hint="default" w:ascii="Times New Roman" w:hAnsi="Times New Roman" w:cs="Times New Roman"/>
                <w:color w:val="auto"/>
                <w:lang w:val="zh-CN" w:eastAsia="zh-CN"/>
              </w:rPr>
              <w:t>0.00002</w:t>
            </w:r>
            <w:r>
              <w:rPr>
                <w:rFonts w:hint="default" w:ascii="Times New Roman" w:hAnsi="Times New Roman" w:cs="Times New Roman"/>
                <w:color w:val="auto"/>
                <w:lang w:val="zh-CN"/>
              </w:rPr>
              <w:t>，Q&lt;1</w:t>
            </w:r>
            <w:r>
              <w:rPr>
                <w:rFonts w:hint="eastAsia" w:cs="Times New Roman"/>
                <w:color w:val="auto"/>
                <w:lang w:val="zh-CN"/>
              </w:rPr>
              <w:t>，</w:t>
            </w:r>
            <w:r>
              <w:rPr>
                <w:rFonts w:hint="default" w:ascii="Times New Roman" w:hAnsi="Times New Roman" w:cs="Times New Roman"/>
                <w:color w:val="auto"/>
                <w:lang w:val="zh-CN"/>
              </w:rPr>
              <w:t>本项目风险物质最大储存量未超过临界量，根据《建设项目环境影响报告表编制技术指南（污染影响类）（试行）》无需设置环境风险专项评价，只需进行简单分析。</w:t>
            </w:r>
          </w:p>
          <w:p>
            <w:pPr>
              <w:pStyle w:val="82"/>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2、理化性质</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本项目涉及的危险物质为</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，其性质及危险特性详见</w:t>
            </w:r>
            <w:r>
              <w:rPr>
                <w:rFonts w:hint="default" w:ascii="Times New Roman" w:hAnsi="Times New Roman" w:cs="Times New Roman"/>
                <w:color w:val="auto"/>
                <w:lang w:val="zh-CN" w:eastAsia="zh-CN"/>
              </w:rPr>
              <w:t>下</w:t>
            </w:r>
            <w:r>
              <w:rPr>
                <w:rFonts w:hint="default" w:ascii="Times New Roman" w:hAnsi="Times New Roman" w:cs="Times New Roman"/>
                <w:color w:val="auto"/>
                <w:lang w:val="zh-CN"/>
              </w:rPr>
              <w:t>表。</w:t>
            </w:r>
          </w:p>
          <w:p>
            <w:pPr>
              <w:pStyle w:val="47"/>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w:t>
            </w:r>
            <w:r>
              <w:rPr>
                <w:rFonts w:hint="eastAsia" w:ascii="Times New Roman" w:hAnsi="Times New Roman" w:eastAsia="黑体" w:cs="Times New Roman"/>
                <w:color w:val="auto"/>
                <w:szCs w:val="24"/>
                <w:lang w:val="en-US" w:eastAsia="zh-CN"/>
              </w:rPr>
              <w:t>7</w:t>
            </w:r>
            <w:r>
              <w:rPr>
                <w:rFonts w:hint="default" w:ascii="Times New Roman" w:hAnsi="Times New Roman" w:eastAsia="黑体" w:cs="Times New Roman"/>
                <w:color w:val="auto"/>
                <w:szCs w:val="24"/>
                <w:lang w:val="zh-CN" w:eastAsia="zh-CN"/>
              </w:rPr>
              <w:t xml:space="preserve"> </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zh-CN" w:eastAsia="zh-CN"/>
              </w:rPr>
              <w:t>润滑油（机油）理化性质一览表</w:t>
            </w:r>
          </w:p>
          <w:tbl>
            <w:tblPr>
              <w:tblStyle w:val="2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56"/>
              <w:gridCol w:w="1055"/>
              <w:gridCol w:w="1133"/>
              <w:gridCol w:w="973"/>
              <w:gridCol w:w="2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标识</w:t>
                  </w:r>
                </w:p>
              </w:tc>
              <w:tc>
                <w:tcPr>
                  <w:tcW w:w="1804"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中文名：润滑油</w:t>
                  </w:r>
                </w:p>
              </w:tc>
              <w:tc>
                <w:tcPr>
                  <w:tcW w:w="2741" w:type="pct"/>
                  <w:gridSpan w:val="3"/>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英文名：lubricating  oil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分子式：/</w:t>
                  </w:r>
                </w:p>
              </w:tc>
              <w:tc>
                <w:tcPr>
                  <w:tcW w:w="1262"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分子量：230-500</w:t>
                  </w:r>
                </w:p>
              </w:tc>
              <w:tc>
                <w:tcPr>
                  <w:tcW w:w="1478"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危规号：/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理化性质</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性状：油状液体，淡黄色至褐色，无气味或略带异味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溶解性：可混溶与醇类、乙醚等多数有机溶剂。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1172"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熔点（℃）：/</w:t>
                  </w:r>
                </w:p>
              </w:tc>
              <w:tc>
                <w:tcPr>
                  <w:tcW w:w="1310"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沸点（℃）：/</w:t>
                  </w:r>
                </w:p>
              </w:tc>
              <w:tc>
                <w:tcPr>
                  <w:tcW w:w="2062"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相对密度（水＝1）：﹤1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2483" w:type="pct"/>
                  <w:gridSpan w:val="3"/>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燃烧热（KJ/mol）：-723</w:t>
                  </w:r>
                </w:p>
              </w:tc>
              <w:tc>
                <w:tcPr>
                  <w:tcW w:w="2062"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饱和蒸汽压（</w:t>
                  </w:r>
                  <w:r>
                    <w:rPr>
                      <w:rFonts w:hint="default" w:ascii="Times New Roman" w:hAnsi="Times New Roman" w:eastAsia="宋体" w:cs="Times New Roman"/>
                      <w:color w:val="auto"/>
                      <w:lang w:val="en-US" w:eastAsia="zh-CN"/>
                    </w:rPr>
                    <w:t>k</w:t>
                  </w:r>
                  <w:r>
                    <w:rPr>
                      <w:rFonts w:hint="default" w:ascii="Times New Roman" w:hAnsi="Times New Roman" w:eastAsia="宋体" w:cs="Times New Roman"/>
                      <w:color w:val="auto"/>
                      <w:lang w:val="zh-CN" w:eastAsia="zh-CN"/>
                    </w:rPr>
                    <w:t>Pa）：12.3（20℃）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燃烧爆炸危险性</w:t>
                  </w:r>
                </w:p>
              </w:tc>
              <w:tc>
                <w:tcPr>
                  <w:tcW w:w="1804"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燃烧性：易燃</w:t>
                  </w:r>
                </w:p>
              </w:tc>
              <w:tc>
                <w:tcPr>
                  <w:tcW w:w="2741" w:type="pct"/>
                  <w:gridSpan w:val="3"/>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燃烧分解产物：一氧化碳、二氧化碳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闪点（℃）：140</w:t>
                  </w:r>
                </w:p>
              </w:tc>
              <w:tc>
                <w:tcPr>
                  <w:tcW w:w="2741" w:type="pct"/>
                  <w:gridSpan w:val="3"/>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自然温度（℃）：248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引燃温度（℃）：464</w:t>
                  </w:r>
                </w:p>
              </w:tc>
              <w:tc>
                <w:tcPr>
                  <w:tcW w:w="2741" w:type="pct"/>
                  <w:gridSpan w:val="3"/>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禁忌物：强氧化剂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危险特性：易燃。遇明火、高热能引起燃烧爆炸。与氧化剂接触发生化学反应或引起燃烧。在火场中，受热的容器有爆炸危险。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灭火方法：泡沫、二氧化碳、1211灭火剂、砂土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毒性低微，对皮肤黏膜有刺激作用，某些防锈剂可引起接触性过敏性皮炎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对人体危害</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侵入途径：吸入、食入</w:t>
                  </w:r>
                </w:p>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急性吸入可出现乏力、头晕、头痛、恶心，严重者可引起油脂性肺炎。慢接触者暴露部位可发生油性痤疮和接触性皮炎。可引起神经衰弱综合征，呼吸道和眼刺激症状及慢性油脂性肺炎。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急救</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皮肤接触：脱去污染的衣物，用大量流动清水冲洗，就医。</w:t>
                  </w:r>
                </w:p>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眼睛接触：提起眼睑，用流动清水或生理盐水冲洗。就医。</w:t>
                  </w:r>
                </w:p>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吸入：迅速脱离现场至空气新鲜处。保持呼吸道通畅。如呼吸困难，给输氧。如呼吸停止，立即进行人工呼吸。就医。</w:t>
                  </w:r>
                </w:p>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食入：饮足量温水，催吐。就医。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防护</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呼吸系统防护：可能接触其蒸气时，应该佩戴过滤式防毒面罩(半面罩)。紧急事态抢救或撤离时，建议佩戴空气呼吸器。眼睛防护：戴化学安全防护眼镜。身体防护：穿防静电工作服。手防护：戴橡胶手套。 其它：工作现场禁止吸烟、进食和饮水。工作毕，淋浴更衣。实行就业前和定期的体检。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泄漏处理</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迅速撤离泄漏污染区人员至安全区，并进行隔离，严格限制出入。切断火源。建议应急处理人员戴自给正压式呼吸器，穿防毒服。不要直接接触泄漏物。尽可能切断泄漏源，防止进入下水道、排洪沟等限制性空间。小量泄漏：用砂土或其它不燃材料吸附或吸收。也可以用大量水冲洗，洗液稀释后放入废水系统。大量泄漏：构筑围堤或挖坑收容；用泡沫覆盖，降低蒸气灾害。用防爆泵转移至槽车或专用收集器内。回收或运至废物处理场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53" w:type="pct"/>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贮运</w:t>
                  </w:r>
                </w:p>
              </w:tc>
              <w:tc>
                <w:tcPr>
                  <w:tcW w:w="4546" w:type="pct"/>
                  <w:gridSpan w:val="5"/>
                  <w:tcBorders>
                    <w:tl2br w:val="nil"/>
                    <w:tr2bl w:val="nil"/>
                  </w:tcBorders>
                  <w:noWrap w:val="0"/>
                  <w:vAlign w:val="center"/>
                </w:tcPr>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危险类别：3；UN编号：1230；包装等级：Ⅱ；包装方法：钢质气瓶；</w:t>
                  </w:r>
                </w:p>
                <w:p>
                  <w:pPr>
                    <w:pStyle w:val="58"/>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储运条件：储存于阴凉、通风良好的专用库房内，远离火种、热源。库温不宜超过37℃，保持容器密封。应与氧化剂、酸类、碱金属等分开存放，切忌混储。采用防爆型照明、通风设施。禁止使用易产生火花的机械设备和工具。储区应备有泄漏应急处理设备和合适的收容材料。</w:t>
                  </w:r>
                </w:p>
              </w:tc>
            </w:tr>
          </w:tbl>
          <w:p>
            <w:pPr>
              <w:pStyle w:val="68"/>
              <w:spacing w:line="360" w:lineRule="auto"/>
              <w:ind w:firstLine="480"/>
              <w:rPr>
                <w:rFonts w:hint="default" w:ascii="Times New Roman" w:hAnsi="Times New Roman" w:cs="Times New Roman"/>
                <w:b/>
                <w:bCs w:val="0"/>
                <w:color w:val="auto"/>
                <w:kern w:val="24"/>
                <w:szCs w:val="24"/>
                <w:lang w:val="zh-CN" w:eastAsia="zh-CN"/>
              </w:rPr>
            </w:pPr>
            <w:r>
              <w:rPr>
                <w:rFonts w:hint="default" w:ascii="Times New Roman" w:hAnsi="Times New Roman" w:cs="Times New Roman"/>
                <w:b/>
                <w:bCs w:val="0"/>
                <w:color w:val="auto"/>
                <w:kern w:val="24"/>
                <w:szCs w:val="24"/>
                <w:lang w:val="zh-CN" w:eastAsia="zh-CN"/>
              </w:rPr>
              <w:t>3、风险源分布及危险性识别</w:t>
            </w:r>
          </w:p>
          <w:p>
            <w:pPr>
              <w:pStyle w:val="68"/>
              <w:spacing w:line="360" w:lineRule="auto"/>
              <w:ind w:firstLine="480"/>
              <w:rPr>
                <w:rFonts w:hint="default" w:ascii="Times New Roman" w:hAnsi="Times New Roman" w:cs="Times New Roman"/>
                <w:bCs/>
                <w:color w:val="auto"/>
                <w:kern w:val="24"/>
                <w:szCs w:val="24"/>
                <w:lang w:val="zh-CN"/>
              </w:rPr>
            </w:pPr>
            <w:r>
              <w:rPr>
                <w:rFonts w:hint="default" w:ascii="Times New Roman" w:hAnsi="Times New Roman" w:cs="Times New Roman"/>
                <w:bCs/>
                <w:color w:val="auto"/>
                <w:kern w:val="24"/>
                <w:szCs w:val="24"/>
                <w:lang w:val="zh-CN"/>
              </w:rPr>
              <w:t>本项目</w:t>
            </w:r>
            <w:r>
              <w:rPr>
                <w:rFonts w:hint="default" w:ascii="Times New Roman" w:hAnsi="Times New Roman" w:cs="Times New Roman"/>
                <w:bCs/>
                <w:color w:val="auto"/>
                <w:kern w:val="24"/>
                <w:szCs w:val="24"/>
                <w:lang w:val="zh-CN" w:eastAsia="zh-CN"/>
              </w:rPr>
              <w:t>风险源分布及危险识别</w:t>
            </w:r>
            <w:r>
              <w:rPr>
                <w:rFonts w:hint="default" w:ascii="Times New Roman" w:hAnsi="Times New Roman" w:cs="Times New Roman"/>
                <w:bCs/>
                <w:color w:val="auto"/>
                <w:kern w:val="24"/>
                <w:szCs w:val="24"/>
                <w:lang w:val="zh-CN"/>
              </w:rPr>
              <w:t>详见表4-</w:t>
            </w:r>
            <w:r>
              <w:rPr>
                <w:rFonts w:hint="default" w:ascii="Times New Roman" w:hAnsi="Times New Roman" w:cs="Times New Roman"/>
                <w:bCs/>
                <w:color w:val="auto"/>
                <w:kern w:val="24"/>
                <w:szCs w:val="24"/>
                <w:lang w:val="en-US" w:eastAsia="zh-CN"/>
              </w:rPr>
              <w:t>1</w:t>
            </w:r>
            <w:r>
              <w:rPr>
                <w:rFonts w:hint="eastAsia" w:ascii="Times New Roman" w:hAnsi="Times New Roman" w:cs="Times New Roman"/>
                <w:bCs/>
                <w:color w:val="auto"/>
                <w:kern w:val="24"/>
                <w:szCs w:val="24"/>
                <w:lang w:val="en-US" w:eastAsia="zh-CN"/>
              </w:rPr>
              <w:t>8</w:t>
            </w:r>
            <w:r>
              <w:rPr>
                <w:rFonts w:hint="default" w:ascii="Times New Roman" w:hAnsi="Times New Roman" w:cs="Times New Roman"/>
                <w:bCs/>
                <w:color w:val="auto"/>
                <w:kern w:val="24"/>
                <w:szCs w:val="24"/>
                <w:lang w:val="zh-CN"/>
              </w:rPr>
              <w:t>。</w:t>
            </w:r>
          </w:p>
          <w:p>
            <w:pPr>
              <w:pStyle w:val="47"/>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w:t>
            </w:r>
            <w:r>
              <w:rPr>
                <w:rFonts w:hint="eastAsia" w:ascii="Times New Roman" w:hAnsi="Times New Roman" w:eastAsia="黑体" w:cs="Times New Roman"/>
                <w:color w:val="auto"/>
                <w:szCs w:val="24"/>
                <w:lang w:val="en-US" w:eastAsia="zh-CN"/>
              </w:rPr>
              <w:t>8</w:t>
            </w:r>
            <w:r>
              <w:rPr>
                <w:rFonts w:hint="default" w:ascii="Times New Roman" w:hAnsi="Times New Roman" w:eastAsia="黑体" w:cs="Times New Roman"/>
                <w:color w:val="auto"/>
                <w:szCs w:val="24"/>
                <w:lang w:val="zh-CN"/>
              </w:rPr>
              <w:t xml:space="preserve">  项目</w:t>
            </w:r>
            <w:r>
              <w:rPr>
                <w:rFonts w:hint="default" w:ascii="Times New Roman" w:hAnsi="Times New Roman" w:eastAsia="黑体" w:cs="Times New Roman"/>
                <w:color w:val="auto"/>
                <w:szCs w:val="24"/>
                <w:lang w:val="zh-CN" w:eastAsia="zh-CN"/>
              </w:rPr>
              <w:t>风险源分布及</w:t>
            </w:r>
            <w:r>
              <w:rPr>
                <w:rFonts w:hint="default" w:ascii="Times New Roman" w:hAnsi="Times New Roman" w:eastAsia="黑体" w:cs="Times New Roman"/>
                <w:color w:val="auto"/>
                <w:szCs w:val="24"/>
                <w:lang w:val="zh-CN"/>
              </w:rPr>
              <w:t>危险因素识别表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019"/>
              <w:gridCol w:w="1391"/>
              <w:gridCol w:w="2259"/>
              <w:gridCol w:w="2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物质</w:t>
                  </w:r>
                </w:p>
              </w:tc>
              <w:tc>
                <w:tcPr>
                  <w:tcW w:w="1009" w:type="dxa"/>
                  <w:tcBorders>
                    <w:tl2br w:val="nil"/>
                    <w:tr2bl w:val="nil"/>
                  </w:tcBorders>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方式</w:t>
                  </w:r>
                </w:p>
              </w:tc>
              <w:tc>
                <w:tcPr>
                  <w:tcW w:w="1377" w:type="dxa"/>
                  <w:tcBorders>
                    <w:tl2br w:val="nil"/>
                    <w:tr2bl w:val="nil"/>
                  </w:tcBorders>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分布情况</w:t>
                  </w:r>
                </w:p>
              </w:tc>
              <w:tc>
                <w:tcPr>
                  <w:tcW w:w="2237" w:type="dxa"/>
                  <w:tcBorders>
                    <w:tl2br w:val="nil"/>
                    <w:tr2bl w:val="nil"/>
                  </w:tcBorders>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原因及危险因素</w:t>
                  </w:r>
                </w:p>
              </w:tc>
              <w:tc>
                <w:tcPr>
                  <w:tcW w:w="2439" w:type="dxa"/>
                  <w:tcBorders>
                    <w:tl2br w:val="nil"/>
                    <w:tr2bl w:val="nil"/>
                  </w:tcBorders>
                  <w:vAlign w:val="center"/>
                </w:tcPr>
                <w:p>
                  <w:pPr>
                    <w:pStyle w:val="58"/>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危害性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废机油</w:t>
                  </w:r>
                </w:p>
              </w:tc>
              <w:tc>
                <w:tcPr>
                  <w:tcW w:w="1009"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桶装</w:t>
                  </w:r>
                </w:p>
              </w:tc>
              <w:tc>
                <w:tcPr>
                  <w:tcW w:w="1377"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危废贮存点</w:t>
                  </w:r>
                </w:p>
              </w:tc>
              <w:tc>
                <w:tcPr>
                  <w:tcW w:w="2237"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桶体破裂泄漏或接近热源发生火灾</w:t>
                  </w:r>
                </w:p>
              </w:tc>
              <w:tc>
                <w:tcPr>
                  <w:tcW w:w="2439" w:type="dxa"/>
                  <w:tcBorders>
                    <w:tl2br w:val="nil"/>
                    <w:tr2bl w:val="nil"/>
                  </w:tcBorders>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造成人员伤亡、环境污染及经济损失</w:t>
                  </w:r>
                </w:p>
              </w:tc>
            </w:tr>
          </w:tbl>
          <w:p>
            <w:pPr>
              <w:pStyle w:val="82"/>
              <w:ind w:firstLine="480"/>
              <w:rPr>
                <w:rFonts w:hint="default" w:ascii="Times New Roman" w:hAnsi="Times New Roman" w:cs="Times New Roman"/>
                <w:b/>
                <w:bCs/>
                <w:color w:val="auto"/>
                <w:lang w:val="zh-CN"/>
              </w:rPr>
            </w:pPr>
            <w:bookmarkStart w:id="29" w:name="_Toc8421"/>
            <w:r>
              <w:rPr>
                <w:rFonts w:hint="default" w:ascii="Times New Roman" w:hAnsi="Times New Roman" w:cs="Times New Roman"/>
                <w:b/>
                <w:bCs/>
                <w:color w:val="auto"/>
                <w:lang w:val="zh-CN" w:eastAsia="zh-CN"/>
              </w:rPr>
              <w:t>4、</w:t>
            </w:r>
            <w:r>
              <w:rPr>
                <w:rFonts w:hint="default" w:ascii="Times New Roman" w:hAnsi="Times New Roman" w:cs="Times New Roman"/>
                <w:b/>
                <w:bCs/>
                <w:color w:val="auto"/>
                <w:lang w:val="zh-CN"/>
              </w:rPr>
              <w:t>危险物质</w:t>
            </w:r>
            <w:bookmarkEnd w:id="29"/>
            <w:r>
              <w:rPr>
                <w:rFonts w:hint="default" w:ascii="Times New Roman" w:hAnsi="Times New Roman" w:cs="Times New Roman"/>
                <w:b/>
                <w:bCs/>
                <w:color w:val="auto"/>
                <w:lang w:val="zh-CN"/>
              </w:rPr>
              <w:t>污染影响途径</w:t>
            </w:r>
          </w:p>
          <w:p>
            <w:pPr>
              <w:pStyle w:val="82"/>
              <w:ind w:firstLine="480"/>
              <w:rPr>
                <w:rFonts w:hint="default" w:ascii="Times New Roman" w:hAnsi="Times New Roman" w:cs="Times New Roman"/>
                <w:color w:val="auto"/>
                <w:lang w:val="zh-CN" w:eastAsia="zh-CN"/>
              </w:rPr>
            </w:pPr>
            <w:r>
              <w:rPr>
                <w:rFonts w:hint="default" w:ascii="Times New Roman" w:hAnsi="Times New Roman" w:cs="Times New Roman"/>
                <w:color w:val="auto"/>
                <w:lang w:val="zh-CN" w:eastAsia="zh-CN"/>
              </w:rPr>
              <w:t>本</w:t>
            </w:r>
            <w:r>
              <w:rPr>
                <w:rFonts w:hint="default" w:ascii="Times New Roman" w:hAnsi="Times New Roman" w:cs="Times New Roman"/>
                <w:color w:val="auto"/>
                <w:lang w:val="zh-CN"/>
              </w:rPr>
              <w:t>项目</w:t>
            </w:r>
            <w:r>
              <w:rPr>
                <w:rFonts w:hint="default" w:ascii="Times New Roman" w:hAnsi="Times New Roman" w:cs="Times New Roman"/>
                <w:color w:val="auto"/>
                <w:lang w:val="zh-CN" w:eastAsia="zh-CN"/>
              </w:rPr>
              <w:t>废机油发生泄漏会导致挥发性物质进行大气环境对其产生污染影响，同时由于泄漏或操作不当可能引发火灾或爆炸，</w:t>
            </w:r>
            <w:r>
              <w:rPr>
                <w:rFonts w:hint="default" w:ascii="Times New Roman" w:hAnsi="Times New Roman" w:cs="Times New Roman"/>
                <w:color w:val="auto"/>
                <w:lang w:val="zh-CN"/>
              </w:rPr>
              <w:t>发生火灾</w:t>
            </w:r>
            <w:r>
              <w:rPr>
                <w:rFonts w:hint="default" w:ascii="Times New Roman" w:hAnsi="Times New Roman" w:cs="Times New Roman"/>
                <w:color w:val="auto"/>
                <w:lang w:val="zh-CN" w:eastAsia="zh-CN"/>
              </w:rPr>
              <w:t>或爆炸</w:t>
            </w:r>
            <w:r>
              <w:rPr>
                <w:rFonts w:hint="default" w:ascii="Times New Roman" w:hAnsi="Times New Roman" w:cs="Times New Roman"/>
                <w:color w:val="auto"/>
                <w:lang w:val="zh-CN"/>
              </w:rPr>
              <w:t>时伴生的CO、SO</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等废气污染物直接排放大气环境中造成大气污染。</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厂区内除了绿化用地以外，其它全部都是混凝土路面，基本没有直接裸露的土壤存在，因此，本项目发生物料泄漏时对厂界内的土壤影响有限，事故发生后及时控制并有效处置泄露物料，基本不会对厂界内的土壤造成严重污染。同时事故泄漏物料对厂区外部的土壤污染更低，其对土壤的污染主要由泄漏到大气环境中的事故污染物沉降到土壤中引起的。但是一般事故泄漏污染物总量相对较少，并且多为短期事故，通过大气沉降对厂界外土壤造成污染的可能性很小。</w:t>
            </w:r>
          </w:p>
          <w:p>
            <w:pPr>
              <w:pStyle w:val="82"/>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5、环境风险防范措施及应急要求</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项目废机油贮存于</w:t>
            </w:r>
            <w:r>
              <w:rPr>
                <w:rFonts w:hint="default" w:ascii="Times New Roman" w:hAnsi="Times New Roman" w:cs="Times New Roman"/>
                <w:color w:val="auto"/>
                <w:lang w:val="en-US" w:eastAsia="zh-CN"/>
              </w:rPr>
              <w:t>有机肥加工车间</w:t>
            </w:r>
            <w:r>
              <w:rPr>
                <w:rFonts w:hint="default" w:ascii="Times New Roman" w:hAnsi="Times New Roman" w:cs="Times New Roman"/>
                <w:color w:val="auto"/>
                <w:lang w:val="zh-CN" w:eastAsia="zh-CN"/>
              </w:rPr>
              <w:t>危废贮存点</w:t>
            </w:r>
            <w:r>
              <w:rPr>
                <w:rFonts w:hint="default" w:ascii="Times New Roman" w:hAnsi="Times New Roman" w:cs="Times New Roman"/>
                <w:color w:val="auto"/>
                <w:lang w:val="zh-CN"/>
              </w:rPr>
              <w:t>，</w:t>
            </w:r>
            <w:r>
              <w:rPr>
                <w:rFonts w:hint="default" w:ascii="Times New Roman" w:hAnsi="Times New Roman" w:cs="Times New Roman"/>
                <w:color w:val="auto"/>
                <w:lang w:val="zh-CN" w:eastAsia="zh-CN"/>
              </w:rPr>
              <w:t>对机肥加工车间</w:t>
            </w:r>
            <w:r>
              <w:rPr>
                <w:rFonts w:hint="default" w:ascii="Times New Roman" w:hAnsi="Times New Roman" w:cs="Times New Roman"/>
                <w:color w:val="auto"/>
                <w:lang w:val="zh-CN"/>
              </w:rPr>
              <w:t>进行一般防渗，同时危废贮存点设置防渗托盘，危废废物经密闭桶收集后置于该防渗托盘上。另外</w:t>
            </w:r>
            <w:r>
              <w:rPr>
                <w:rFonts w:hint="default" w:ascii="Times New Roman" w:hAnsi="Times New Roman" w:cs="Times New Roman"/>
                <w:color w:val="auto"/>
                <w:lang w:val="zh-CN" w:eastAsia="zh-CN"/>
              </w:rPr>
              <w:t>有机肥加工车间</w:t>
            </w:r>
            <w:r>
              <w:rPr>
                <w:rFonts w:hint="default" w:ascii="Times New Roman" w:hAnsi="Times New Roman" w:cs="Times New Roman"/>
                <w:color w:val="auto"/>
                <w:lang w:val="zh-CN"/>
              </w:rPr>
              <w:t>避光照和热源，同时加强运营管理，发现泄露现象及时收集、处置。在采取有效的风险防范措施前提下，项目的环境风险在可控范围内。</w:t>
            </w:r>
          </w:p>
          <w:p>
            <w:pPr>
              <w:pStyle w:val="82"/>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6、环境风险评价结论</w:t>
            </w:r>
          </w:p>
          <w:p>
            <w:pPr>
              <w:pStyle w:val="82"/>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建设单位应按照本环评报告的要求落实风险防范措施，并纳入“三同时”验收管理，将项目可能产生的环境风险降到最低。在具体落实本环评报告提出的事故应急防范措施后，可以使风险事故对环境的危害得到有效控制，环境风险程度一般，事故风险可以控制在可接受的范围内。因此本建设项目符合风险防范措施的相关要求。</w:t>
            </w:r>
          </w:p>
          <w:p>
            <w:pPr>
              <w:pStyle w:val="82"/>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综上所述，项目在采取环评提出可行的环境风险防范措施前提下，风险水平可以接受，对周围环境影响可防可控。项目环境风险简单分析内容见表4-1</w:t>
            </w:r>
            <w:r>
              <w:rPr>
                <w:rFonts w:hint="eastAsia" w:ascii="Times New Roman" w:hAnsi="Times New Roman" w:cs="Times New Roman"/>
                <w:color w:val="auto"/>
                <w:lang w:val="en-US" w:eastAsia="zh-CN"/>
              </w:rPr>
              <w:t>9</w:t>
            </w:r>
            <w:r>
              <w:rPr>
                <w:rFonts w:hint="default" w:ascii="Times New Roman" w:hAnsi="Times New Roman" w:eastAsia="宋体" w:cs="Times New Roman"/>
                <w:color w:val="auto"/>
                <w:lang w:val="en-US" w:eastAsia="zh-CN"/>
              </w:rPr>
              <w:t>。</w:t>
            </w:r>
          </w:p>
          <w:p>
            <w:pPr>
              <w:pStyle w:val="47"/>
              <w:spacing w:before="0" w:after="0" w:line="288" w:lineRule="auto"/>
              <w:rPr>
                <w:rFonts w:hint="default" w:ascii="Times New Roman" w:hAnsi="Times New Roman" w:eastAsia="黑体" w:cs="Times New Roman"/>
                <w:color w:val="auto"/>
                <w:szCs w:val="24"/>
                <w:lang w:val="en-US" w:eastAsia="zh-CN"/>
              </w:rPr>
            </w:pPr>
            <w:r>
              <w:rPr>
                <w:rFonts w:hint="default" w:ascii="Times New Roman" w:hAnsi="Times New Roman" w:eastAsia="黑体" w:cs="Times New Roman"/>
                <w:color w:val="auto"/>
                <w:szCs w:val="24"/>
                <w:lang w:val="zh-CN"/>
              </w:rPr>
              <w:t>表4-1</w:t>
            </w:r>
            <w:r>
              <w:rPr>
                <w:rFonts w:hint="eastAsia" w:ascii="Times New Roman" w:hAnsi="Times New Roman" w:eastAsia="黑体" w:cs="Times New Roman"/>
                <w:color w:val="auto"/>
                <w:szCs w:val="24"/>
                <w:lang w:val="en-US" w:eastAsia="zh-CN"/>
              </w:rPr>
              <w:t>9</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en-US" w:eastAsia="zh-CN"/>
              </w:rPr>
              <w:t>环境风险简单分析一览表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6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建设项目名称</w:t>
                  </w:r>
                </w:p>
              </w:tc>
              <w:tc>
                <w:tcPr>
                  <w:tcW w:w="4026" w:type="pct"/>
                  <w:noWrap w:val="0"/>
                  <w:vAlign w:val="center"/>
                </w:tcPr>
                <w:p>
                  <w:pPr>
                    <w:pStyle w:val="58"/>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宁夏回族自治区泾源县黄河流域农业面源污染综合治理项目（宁夏延龄生态农业开发有限公司有机肥加工厂项目）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建设地点</w:t>
                  </w:r>
                </w:p>
              </w:tc>
              <w:tc>
                <w:tcPr>
                  <w:tcW w:w="4026" w:type="pct"/>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宁夏回族自治区固原市泾源县新民乡杨堡村宁夏延龄生态农业开发有限公司现有厂区内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地理坐标</w:t>
                  </w:r>
                </w:p>
              </w:tc>
              <w:tc>
                <w:tcPr>
                  <w:tcW w:w="4026" w:type="pct"/>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106度26分40.310秒，35度19分19.595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7"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主要危险物质及分布</w:t>
                  </w:r>
                </w:p>
              </w:tc>
              <w:tc>
                <w:tcPr>
                  <w:tcW w:w="4026" w:type="pct"/>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主要危险物质为废机油，主要分布于危废贮存点。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环境影响途径及危害后果</w:t>
                  </w:r>
                </w:p>
              </w:tc>
              <w:tc>
                <w:tcPr>
                  <w:tcW w:w="4026" w:type="pct"/>
                  <w:noWrap w:val="0"/>
                  <w:vAlign w:val="center"/>
                </w:tcPr>
                <w:p>
                  <w:pPr>
                    <w:pStyle w:val="58"/>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废机油发生泄露后发生漫流或渗漏对地表水、地下水及土壤环境造成污染。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pct"/>
                  <w:noWrap w:val="0"/>
                  <w:vAlign w:val="center"/>
                </w:tcPr>
                <w:p>
                  <w:pPr>
                    <w:pStyle w:val="58"/>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风险防范措施要求</w:t>
                  </w:r>
                </w:p>
              </w:tc>
              <w:tc>
                <w:tcPr>
                  <w:tcW w:w="4026" w:type="pct"/>
                  <w:noWrap w:val="0"/>
                  <w:vAlign w:val="center"/>
                </w:tcPr>
                <w:p>
                  <w:pPr>
                    <w:pStyle w:val="58"/>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大气环境防范措施：在发生事故时，应及时组织附近人群转移，以减少对人群的伤害；</w:t>
                  </w:r>
                </w:p>
                <w:p>
                  <w:pPr>
                    <w:pStyle w:val="58"/>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防渗措施：设置危废贮存点，地面防渗处理，增加防渗托盘等；</w:t>
                  </w:r>
                </w:p>
                <w:p>
                  <w:pPr>
                    <w:pStyle w:val="58"/>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防火防爆措施：从总平面布置、建/构筑物防火、电气防火、消防系统等方面采取防火、防爆控制措施；</w:t>
                  </w:r>
                </w:p>
                <w:p>
                  <w:pPr>
                    <w:pStyle w:val="58"/>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安全管理措施：建立安全管理制度，加强人员培训，预防安全事故发生。</w:t>
                  </w:r>
                </w:p>
              </w:tc>
            </w:tr>
          </w:tbl>
          <w:p>
            <w:pPr>
              <w:pStyle w:val="82"/>
              <w:ind w:firstLine="480"/>
              <w:rPr>
                <w:rFonts w:hint="default" w:ascii="Times New Roman" w:hAnsi="Times New Roman" w:cs="Times New Roman"/>
                <w:b/>
                <w:bCs/>
                <w:color w:val="auto"/>
                <w:spacing w:val="-10"/>
                <w:sz w:val="24"/>
                <w:szCs w:val="24"/>
              </w:rPr>
            </w:pPr>
          </w:p>
        </w:tc>
      </w:tr>
    </w:tbl>
    <w:p>
      <w:pPr>
        <w:adjustRightInd w:val="0"/>
        <w:snapToGrid w:val="0"/>
        <w:spacing w:line="360" w:lineRule="auto"/>
        <w:rPr>
          <w:rFonts w:hint="default" w:ascii="Times New Roman" w:hAnsi="Times New Roman" w:cs="Times New Roman"/>
          <w:b/>
          <w:color w:val="auto"/>
          <w:kern w:val="0"/>
          <w:sz w:val="28"/>
          <w:szCs w:val="28"/>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30" w:name="_Hlk54167917"/>
      <w:r>
        <w:rPr>
          <w:rFonts w:hint="default" w:ascii="Times New Roman" w:hAnsi="Times New Roman" w:eastAsia="黑体" w:cs="Times New Roman"/>
          <w:snapToGrid w:val="0"/>
          <w:color w:val="auto"/>
          <w:sz w:val="30"/>
          <w:szCs w:val="30"/>
        </w:rPr>
        <w:t>环境保护措施监督检查清单</w:t>
      </w:r>
      <w:bookmarkEnd w:id="30"/>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185"/>
        <w:gridCol w:w="1569"/>
        <w:gridCol w:w="2928"/>
        <w:gridCol w:w="2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86" w:type="pct"/>
            <w:tcBorders>
              <w:tl2br w:val="single" w:color="auto" w:sz="4" w:space="0"/>
            </w:tcBorders>
            <w:noWrap w:val="0"/>
            <w:vAlign w:val="center"/>
          </w:tcPr>
          <w:p>
            <w:pPr>
              <w:adjustRightInd w:val="0"/>
              <w:snapToGrid w:val="0"/>
              <w:ind w:left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pPr>
              <w:adjustRightInd w:val="0"/>
              <w:snapToGrid w:val="0"/>
              <w:jc w:val="both"/>
              <w:rPr>
                <w:rFonts w:hint="default" w:ascii="Times New Roman" w:hAnsi="Times New Roman" w:cs="Times New Roman"/>
                <w:b/>
                <w:bCs/>
                <w:color w:val="auto"/>
                <w:szCs w:val="21"/>
              </w:rPr>
            </w:pPr>
            <w:r>
              <w:rPr>
                <w:rFonts w:hint="default" w:ascii="Times New Roman" w:hAnsi="Times New Roman" w:cs="Times New Roman"/>
                <w:b/>
                <w:bCs/>
                <w:color w:val="auto"/>
                <w:szCs w:val="21"/>
              </w:rPr>
              <w:t>要素</w:t>
            </w:r>
          </w:p>
        </w:tc>
        <w:tc>
          <w:tcPr>
            <w:tcW w:w="638"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排放口(编号、名称)/污染源</w:t>
            </w:r>
          </w:p>
        </w:tc>
        <w:tc>
          <w:tcPr>
            <w:tcW w:w="845"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污染物项目</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环境保护措施</w:t>
            </w:r>
          </w:p>
        </w:tc>
        <w:tc>
          <w:tcPr>
            <w:tcW w:w="1351"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大气环境</w:t>
            </w: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DA001</w:t>
            </w:r>
          </w:p>
        </w:tc>
        <w:tc>
          <w:tcPr>
            <w:tcW w:w="845"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集气罩收集/微负压收集+生物除臭装置（生物滴滤）+布袋除尘器+15m高排气筒</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cs="Times New Roman"/>
                <w:color w:val="auto"/>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cs="Times New Roman"/>
                <w:color w:val="auto"/>
              </w:rPr>
            </w:pPr>
          </w:p>
        </w:tc>
        <w:tc>
          <w:tcPr>
            <w:tcW w:w="845" w:type="pct"/>
            <w:tcBorders>
              <w:tl2br w:val="nil"/>
              <w:tr2bl w:val="nil"/>
            </w:tcBorders>
            <w:shd w:val="clear" w:color="auto" w:fill="auto"/>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restar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shd w:val="clear" w:color="auto" w:fill="auto"/>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shd w:val="clear" w:color="auto" w:fill="auto"/>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86" w:type="pct"/>
            <w:vMerge w:val="continue"/>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厂界</w:t>
            </w:r>
          </w:p>
        </w:tc>
        <w:tc>
          <w:tcPr>
            <w:tcW w:w="845"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密闭厂房+喷洒除臭剂</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cs="Times New Roman"/>
                <w:color w:val="auto"/>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cs="Times New Roman"/>
                <w:color w:val="auto"/>
              </w:rPr>
            </w:pPr>
          </w:p>
        </w:tc>
        <w:tc>
          <w:tcPr>
            <w:tcW w:w="845"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restar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77"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地表水环境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生活污水</w:t>
            </w:r>
          </w:p>
        </w:tc>
        <w:tc>
          <w:tcPr>
            <w:tcW w:w="845" w:type="pct"/>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0"/>
                <w:vertAlign w:val="baseline"/>
                <w:lang w:val="en-US" w:eastAsia="zh-CN" w:bidi="ar-SA"/>
              </w:rPr>
            </w:pPr>
            <w:r>
              <w:rPr>
                <w:rFonts w:hint="default" w:ascii="Times New Roman" w:hAnsi="Times New Roman" w:eastAsia="宋体" w:cs="Times New Roman"/>
                <w:color w:val="auto"/>
                <w:lang w:val="en-US" w:eastAsia="zh-CN"/>
              </w:rPr>
              <w:t>/</w:t>
            </w:r>
          </w:p>
        </w:tc>
        <w:tc>
          <w:tcPr>
            <w:tcW w:w="157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kern w:val="0"/>
                <w:sz w:val="21"/>
                <w:szCs w:val="21"/>
                <w:highlight w:val="none"/>
                <w:lang w:val="en-US" w:eastAsia="zh-CN"/>
              </w:rPr>
              <w:t>经化粪池（8m³）处理后，交由新民乡污水处理公司统一拉运处置</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声环境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snapToGrid w:val="0"/>
                <w:color w:val="auto"/>
                <w:kern w:val="0"/>
                <w:szCs w:val="21"/>
                <w:lang w:eastAsia="zh-CN"/>
              </w:rPr>
              <w:t>主要产噪</w:t>
            </w:r>
            <w:r>
              <w:rPr>
                <w:rFonts w:hint="default" w:ascii="Times New Roman" w:hAnsi="Times New Roman" w:eastAsia="宋体" w:cs="Times New Roman"/>
                <w:snapToGrid w:val="0"/>
                <w:color w:val="auto"/>
                <w:kern w:val="0"/>
                <w:szCs w:val="21"/>
                <w:lang w:eastAsia="zh-CN"/>
              </w:rPr>
              <w:t>设备</w:t>
            </w:r>
          </w:p>
        </w:tc>
        <w:tc>
          <w:tcPr>
            <w:tcW w:w="845" w:type="pct"/>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噪声</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生产设备位于</w:t>
            </w:r>
            <w:r>
              <w:rPr>
                <w:rFonts w:hint="default" w:ascii="Times New Roman" w:hAnsi="Times New Roman" w:cs="Times New Roman"/>
                <w:color w:val="auto"/>
                <w:szCs w:val="21"/>
                <w:lang w:eastAsia="zh-CN"/>
              </w:rPr>
              <w:t>密闭</w:t>
            </w:r>
            <w:r>
              <w:rPr>
                <w:rFonts w:hint="default" w:ascii="Times New Roman" w:hAnsi="Times New Roman" w:eastAsia="宋体" w:cs="Times New Roman"/>
                <w:color w:val="auto"/>
                <w:szCs w:val="21"/>
              </w:rPr>
              <w:t>厂房内，采用减震隔声措施</w:t>
            </w:r>
            <w:r>
              <w:rPr>
                <w:rFonts w:hint="default" w:ascii="Times New Roman" w:hAnsi="Times New Roman" w:cs="Times New Roman"/>
                <w:color w:val="auto"/>
                <w:szCs w:val="21"/>
                <w:lang w:eastAsia="zh-CN"/>
              </w:rPr>
              <w:t>、距离衰减等</w:t>
            </w:r>
            <w:r>
              <w:rPr>
                <w:rFonts w:hint="default" w:ascii="Times New Roman" w:hAnsi="Times New Roman" w:eastAsia="宋体" w:cs="Times New Roman"/>
                <w:color w:val="auto"/>
                <w:szCs w:val="21"/>
              </w:rPr>
              <w:t>降噪等措施</w:t>
            </w:r>
          </w:p>
        </w:tc>
        <w:tc>
          <w:tcPr>
            <w:tcW w:w="1351" w:type="pct"/>
            <w:tcBorders>
              <w:tl2br w:val="nil"/>
              <w:tr2bl w:val="nil"/>
            </w:tcBorders>
            <w:noWrap w:val="0"/>
            <w:vAlign w:val="center"/>
          </w:tcPr>
          <w:p>
            <w:pPr>
              <w:pStyle w:val="65"/>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snapToGrid w:val="0"/>
                <w:color w:val="auto"/>
                <w:kern w:val="0"/>
                <w:sz w:val="21"/>
                <w:szCs w:val="21"/>
              </w:rPr>
              <w:t>《工业企业厂界环境噪声排放标准》（GB12348-2008）中</w:t>
            </w: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电磁辐射</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固体废物</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生活垃圾由垃圾箱收集后交由环卫部门统一清运处理</w:t>
            </w:r>
            <w:r>
              <w:rPr>
                <w:rFonts w:hint="default" w:ascii="Times New Roman" w:hAnsi="Times New Roman" w:cs="Times New Roman"/>
                <w:color w:val="auto"/>
                <w:szCs w:val="21"/>
                <w:lang w:val="en-US" w:eastAsia="zh-CN"/>
              </w:rPr>
              <w:t>；收尘灰</w:t>
            </w:r>
            <w:r>
              <w:rPr>
                <w:rFonts w:hint="default" w:ascii="Times New Roman" w:hAnsi="Times New Roman" w:eastAsia="宋体" w:cs="Times New Roman"/>
                <w:color w:val="auto"/>
                <w:szCs w:val="21"/>
                <w:lang w:val="en-US" w:eastAsia="zh-CN"/>
              </w:rPr>
              <w:t>收集后</w:t>
            </w:r>
            <w:r>
              <w:rPr>
                <w:rFonts w:hint="default" w:ascii="Times New Roman" w:hAnsi="Times New Roman" w:cs="Times New Roman"/>
                <w:color w:val="auto"/>
                <w:szCs w:val="21"/>
                <w:lang w:val="en-US" w:eastAsia="zh-CN"/>
              </w:rPr>
              <w:t>回用于生产线</w:t>
            </w:r>
            <w:r>
              <w:rPr>
                <w:rFonts w:hint="default" w:ascii="Times New Roman" w:hAnsi="Times New Roman" w:eastAsia="宋体"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土壤及地下水污染防治措施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本厂区采取分区防渗：①发酵棚为重点防渗区，等效黏土防渗层Mb≥6.0m，K≤1x10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cm/s；②原料陈化堆放棚及成品库房为一般防渗区，等效黏土防渗层Mb≥1.5m，K≤1×10</w:t>
            </w:r>
            <w:r>
              <w:rPr>
                <w:rFonts w:hint="default" w:ascii="Times New Roman" w:hAnsi="Times New Roman" w:eastAsia="宋体" w:cs="Times New Roman"/>
                <w:color w:val="auto"/>
                <w:sz w:val="21"/>
                <w:szCs w:val="21"/>
                <w:highlight w:val="none"/>
                <w:vertAlign w:val="superscript"/>
                <w:lang w:val="en-US" w:eastAsia="zh-CN"/>
              </w:rPr>
              <w:t>-7c</w:t>
            </w:r>
            <w:r>
              <w:rPr>
                <w:rFonts w:hint="default" w:ascii="Times New Roman" w:hAnsi="Times New Roman" w:eastAsia="宋体" w:cs="Times New Roman"/>
                <w:color w:val="auto"/>
                <w:sz w:val="21"/>
                <w:szCs w:val="21"/>
                <w:highlight w:val="none"/>
                <w:lang w:val="en-US" w:eastAsia="zh-CN"/>
              </w:rPr>
              <w:t>m/s；③厂区道路为简单防渗区，地面采用混凝土硬化；④有机肥生产车间新建危废贮存点采取“地面一般防渗处理+防渗托盘+密闭油桶”方式，防止危险废物泄露污染地下水。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生态保护措施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环境风险</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防范措施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highlight w:val="none"/>
                <w:lang w:val="en-US" w:eastAsia="zh-CN"/>
              </w:rPr>
              <w:t>①加大安全、环保设施的投入；在强化安全、环保教育，提高安全、环保意识的同时，企业保证预警、监控设施到位。配备救护设备；危险作业增设监护人员并为其配备通讯、救援等设备；②建立健全突发环境事件应急预案；企业根据实际情况，不断充实和完善应急预案的各项措施，并定期组织演练。编制《突发环境事件应急预案》并取得生态环境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其他环境</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管理要求</w:t>
            </w:r>
          </w:p>
        </w:tc>
        <w:tc>
          <w:tcPr>
            <w:tcW w:w="4413" w:type="pct"/>
            <w:gridSpan w:val="4"/>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依据《固定污染源排污许可分类管理名录（2019年）》落实相关排污许可手续；规范环境管理制度等。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86" w:type="pct"/>
            <w:vMerge w:val="continue"/>
          </w:tcPr>
          <w:p>
            <w:pPr>
              <w:adjustRightInd w:val="0"/>
              <w:snapToGrid w:val="0"/>
              <w:jc w:val="center"/>
              <w:rPr>
                <w:rFonts w:hint="default" w:ascii="Times New Roman" w:hAnsi="Times New Roman" w:cs="Times New Roman"/>
                <w:b/>
                <w:bCs/>
                <w:color w:val="auto"/>
                <w:spacing w:val="-8"/>
                <w:szCs w:val="21"/>
              </w:rPr>
            </w:pPr>
          </w:p>
        </w:tc>
        <w:tc>
          <w:tcPr>
            <w:tcW w:w="4413" w:type="pct"/>
            <w:gridSpan w:val="4"/>
            <w:shd w:val="clear" w:color="auto" w:fill="auto"/>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制定环境监测计划，并严格按照监测计划定期开展废气、噪声等污染源监测。</w:t>
            </w: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center"/>
          </w:tcPr>
          <w:p>
            <w:pPr>
              <w:spacing w:line="360" w:lineRule="auto"/>
              <w:ind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综上所述，从环境保护角度</w:t>
            </w:r>
            <w:r>
              <w:rPr>
                <w:rFonts w:hint="default" w:ascii="Times New Roman" w:hAnsi="Times New Roman" w:eastAsia="宋体" w:cs="Times New Roman"/>
                <w:color w:val="auto"/>
                <w:sz w:val="24"/>
                <w:lang w:val="en-US" w:eastAsia="zh-CN"/>
              </w:rPr>
              <w:t>出发</w:t>
            </w:r>
            <w:r>
              <w:rPr>
                <w:rFonts w:hint="default" w:ascii="Times New Roman" w:hAnsi="Times New Roman" w:eastAsia="宋体" w:cs="Times New Roman"/>
                <w:color w:val="auto"/>
                <w:sz w:val="24"/>
                <w:lang w:eastAsia="zh-CN"/>
              </w:rPr>
              <w:t>，本项目环境影响可行。</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5"/>
        <w:tblW w:w="13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126"/>
        <w:gridCol w:w="1126"/>
        <w:gridCol w:w="1627"/>
        <w:gridCol w:w="1413"/>
        <w:gridCol w:w="1574"/>
        <w:gridCol w:w="1440"/>
        <w:gridCol w:w="1600"/>
        <w:gridCol w:w="1408"/>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single" w:color="auto" w:sz="4" w:space="0"/>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leftChars="300"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34"/>
              <w:keepNext w:val="0"/>
              <w:keepLines w:val="0"/>
              <w:pageBreakBefore w:val="0"/>
              <w:widowControl w:val="0"/>
              <w:kinsoku/>
              <w:wordWrap/>
              <w:overflowPunct/>
              <w:topLinePunct w:val="0"/>
              <w:autoSpaceDE/>
              <w:autoSpaceDN/>
              <w:bidi w:val="0"/>
              <w:spacing w:beforeLines="0" w:afterLines="0" w:line="240" w:lineRule="auto"/>
              <w:ind w:firstLine="198" w:firstLineChars="100"/>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2252" w:type="dxa"/>
            <w:gridSpan w:val="2"/>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627"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413"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34"/>
              <w:keepNext w:val="0"/>
              <w:keepLines w:val="0"/>
              <w:pageBreakBefore w:val="0"/>
              <w:widowControl w:val="0"/>
              <w:kinsoku/>
              <w:wordWrap/>
              <w:overflowPunct/>
              <w:topLinePunct w:val="0"/>
              <w:autoSpaceDE/>
              <w:autoSpaceDN/>
              <w:bidi w:val="0"/>
              <w:spacing w:beforeLines="0" w:afterLines="0"/>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574"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440"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600"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408"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299"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126"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有组织</w:t>
            </w: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0.102t/a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0.102t/a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0.102t/a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0.003t/a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0.00013t/a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0.00013t/a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0.00013t/a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无组织</w:t>
            </w: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1.156t/a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1.156t/a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+1.156t/a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0.2236t/a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0.0027t/a</w:t>
            </w:r>
          </w:p>
        </w:tc>
        <w:tc>
          <w:tcPr>
            <w:tcW w:w="1600"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0.2236t/a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0.2263t/a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+0.0027t/a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0.02236t/a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0.0001t/a</w:t>
            </w:r>
          </w:p>
        </w:tc>
        <w:tc>
          <w:tcPr>
            <w:tcW w:w="1600"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0.02236t/a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0.02246t/a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2252" w:type="dxa"/>
            <w:gridSpan w:val="2"/>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生活污水</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455.4m³/a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158m³/a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613.4m³/a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+158m³/a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一般工业固体废物</w:t>
            </w:r>
          </w:p>
        </w:tc>
        <w:tc>
          <w:tcPr>
            <w:tcW w:w="2252" w:type="dxa"/>
            <w:gridSpan w:val="2"/>
            <w:tcBorders>
              <w:tl2br w:val="nil"/>
              <w:tr2bl w:val="nil"/>
            </w:tcBorders>
            <w:noWrap w:val="0"/>
            <w:vAlign w:val="center"/>
          </w:tcPr>
          <w:p>
            <w:pPr>
              <w:pStyle w:val="58"/>
              <w:bidi w:val="0"/>
              <w:jc w:val="center"/>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收尘灰</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color w:val="auto"/>
                <w:sz w:val="21"/>
                <w:szCs w:val="21"/>
                <w:lang w:val="en-US" w:eastAsia="zh-CN"/>
              </w:rPr>
              <w:t>5.106</w:t>
            </w:r>
            <w:r>
              <w:rPr>
                <w:rFonts w:hint="default" w:ascii="Times New Roman" w:hAnsi="Times New Roman" w:eastAsia="宋体" w:cs="Times New Roman"/>
                <w:color w:val="auto"/>
                <w:sz w:val="21"/>
                <w:szCs w:val="21"/>
                <w:lang w:val="en-US" w:eastAsia="zh-CN"/>
              </w:rPr>
              <w:t>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5.106</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+5.106</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鸡粪</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b/>
                <w:bCs/>
                <w:snapToGrid w:val="0"/>
                <w:color w:val="auto"/>
                <w:kern w:val="21"/>
                <w:sz w:val="21"/>
                <w:szCs w:val="21"/>
                <w:lang w:val="en-US" w:eastAsia="zh-CN"/>
              </w:rPr>
            </w:pP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2252" w:type="dxa"/>
            <w:gridSpan w:val="2"/>
            <w:tcBorders>
              <w:tl2br w:val="nil"/>
              <w:tr2bl w:val="nil"/>
            </w:tcBorders>
            <w:noWrap w:val="0"/>
            <w:vAlign w:val="center"/>
          </w:tcPr>
          <w:p>
            <w:pPr>
              <w:pStyle w:val="58"/>
              <w:bidi w:val="0"/>
              <w:ind w:firstLine="0" w:firstLineChars="0"/>
              <w:jc w:val="center"/>
              <w:rPr>
                <w:rFonts w:hint="default" w:ascii="Times New Roman" w:hAnsi="Times New Roman"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废机油</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0.05t/a</w:t>
            </w:r>
          </w:p>
        </w:tc>
        <w:tc>
          <w:tcPr>
            <w:tcW w:w="1299"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2252" w:type="dxa"/>
            <w:gridSpan w:val="2"/>
            <w:tcBorders>
              <w:tl2br w:val="nil"/>
              <w:tr2bl w:val="nil"/>
            </w:tcBorders>
            <w:noWrap w:val="0"/>
            <w:vAlign w:val="center"/>
          </w:tcPr>
          <w:p>
            <w:pPr>
              <w:pStyle w:val="58"/>
              <w:bidi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废机油桶</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0.004t/a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0.004t/a</w:t>
            </w:r>
          </w:p>
        </w:tc>
        <w:tc>
          <w:tcPr>
            <w:tcW w:w="1299"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eastAsia="zh-CN"/>
              </w:rPr>
              <w:t>生活垃圾</w:t>
            </w:r>
          </w:p>
        </w:tc>
        <w:tc>
          <w:tcPr>
            <w:tcW w:w="2252" w:type="dxa"/>
            <w:gridSpan w:val="2"/>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生活垃圾</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3.795t/a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1.65t/a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5.445t/a</w:t>
            </w:r>
          </w:p>
        </w:tc>
        <w:tc>
          <w:tcPr>
            <w:tcW w:w="1299"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+1.65t/a</w:t>
            </w:r>
          </w:p>
        </w:tc>
      </w:tr>
    </w:tbl>
    <w:p>
      <w:pPr>
        <w:pStyle w:val="34"/>
        <w:spacing w:before="192" w:beforeLines="80" w:after="24"/>
        <w:jc w:val="left"/>
        <w:rPr>
          <w:rFonts w:hint="default" w:ascii="Times New Roman" w:hAnsi="Times New Roman" w:eastAsia="黑体" w:cs="Times New Roman"/>
          <w:color w:val="auto"/>
        </w:rPr>
      </w:pPr>
      <w:r>
        <w:rPr>
          <w:rFonts w:hint="default" w:ascii="Times New Roman" w:hAnsi="Times New Roman" w:cs="Times New Roman"/>
          <w:snapToGrid w:val="0"/>
          <w:color w:val="auto"/>
          <w:kern w:val="21"/>
          <w:sz w:val="24"/>
          <w:szCs w:val="24"/>
        </w:rPr>
        <w:t>注：</w:t>
      </w:r>
      <w:r>
        <w:rPr>
          <w:rFonts w:hint="default" w:ascii="Times New Roman" w:hAnsi="Times New Roman" w:cs="Times New Roman"/>
          <w:snapToGrid w:val="0"/>
          <w:color w:val="auto"/>
          <w:kern w:val="21"/>
          <w:sz w:val="24"/>
          <w:szCs w:val="24"/>
          <w:lang w:val="en-US" w:eastAsia="zh-CN"/>
        </w:rPr>
        <w:t>1.</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3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4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5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⑤</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7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⑦</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lang w:eastAsia="zh-CN"/>
        </w:rPr>
        <w:t>；</w:t>
      </w:r>
    </w:p>
    <w:sectPr>
      <w:footerReference r:id="rId7" w:type="default"/>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hint="default" w:ascii="Times New Roman" w:hAnsi="Times New Roman" w:cs="Times New Roman"/>
        <w:sz w:val="26"/>
        <w:szCs w:val="26"/>
      </w:rPr>
      <w:fldChar w:fldCharType="begin"/>
    </w:r>
    <w:r>
      <w:rPr>
        <w:rStyle w:val="29"/>
        <w:rFonts w:hint="default" w:ascii="Times New Roman" w:hAnsi="Times New Roman" w:cs="Times New Roman"/>
        <w:sz w:val="26"/>
        <w:szCs w:val="26"/>
      </w:rPr>
      <w:instrText xml:space="preserve">PAGE  </w:instrText>
    </w:r>
    <w:r>
      <w:rPr>
        <w:rStyle w:val="29"/>
        <w:rFonts w:hint="default" w:ascii="Times New Roman" w:hAnsi="Times New Roman" w:cs="Times New Roman"/>
        <w:sz w:val="26"/>
        <w:szCs w:val="26"/>
      </w:rPr>
      <w:fldChar w:fldCharType="separate"/>
    </w:r>
    <w:r>
      <w:rPr>
        <w:rStyle w:val="29"/>
        <w:rFonts w:hint="default" w:ascii="Times New Roman" w:hAnsi="Times New Roman" w:cs="Times New Roman"/>
        <w:sz w:val="26"/>
        <w:szCs w:val="26"/>
      </w:rPr>
      <w:t>9</w:t>
    </w:r>
    <w:r>
      <w:rPr>
        <w:rStyle w:val="29"/>
        <w:rFonts w:hint="default" w:ascii="Times New Roman" w:hAnsi="Times New Roman" w:cs="Times New Roman"/>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957B"/>
    <w:multiLevelType w:val="singleLevel"/>
    <w:tmpl w:val="839695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ZTY5NjM1YzkyMmY0ZmQ3MzE1ZGY3ZGM0YzZmMj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73EA"/>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8FC"/>
    <w:rsid w:val="008A2F68"/>
    <w:rsid w:val="008A7843"/>
    <w:rsid w:val="008B4FA6"/>
    <w:rsid w:val="008B5282"/>
    <w:rsid w:val="008B7C17"/>
    <w:rsid w:val="008C2D01"/>
    <w:rsid w:val="008C40E6"/>
    <w:rsid w:val="008D0F7A"/>
    <w:rsid w:val="008D313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0A36"/>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0155"/>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A5CBC"/>
    <w:rsid w:val="00FB503A"/>
    <w:rsid w:val="00FB516C"/>
    <w:rsid w:val="00FD0236"/>
    <w:rsid w:val="00FD18F4"/>
    <w:rsid w:val="00FD54DB"/>
    <w:rsid w:val="00FD619F"/>
    <w:rsid w:val="01290F7E"/>
    <w:rsid w:val="015D1E09"/>
    <w:rsid w:val="01C7395B"/>
    <w:rsid w:val="01E3068F"/>
    <w:rsid w:val="01E65B11"/>
    <w:rsid w:val="021E7E32"/>
    <w:rsid w:val="02697903"/>
    <w:rsid w:val="028E3199"/>
    <w:rsid w:val="02F96569"/>
    <w:rsid w:val="02FE79AC"/>
    <w:rsid w:val="03092820"/>
    <w:rsid w:val="03653650"/>
    <w:rsid w:val="0374413D"/>
    <w:rsid w:val="03D270B5"/>
    <w:rsid w:val="03E922F2"/>
    <w:rsid w:val="03EA6727"/>
    <w:rsid w:val="03EA7B21"/>
    <w:rsid w:val="040B7B20"/>
    <w:rsid w:val="046643CE"/>
    <w:rsid w:val="04787C5D"/>
    <w:rsid w:val="049727D9"/>
    <w:rsid w:val="04F01EE9"/>
    <w:rsid w:val="05557901"/>
    <w:rsid w:val="05D73FAE"/>
    <w:rsid w:val="05F83EAE"/>
    <w:rsid w:val="06033FB7"/>
    <w:rsid w:val="060D20A3"/>
    <w:rsid w:val="06335530"/>
    <w:rsid w:val="063E7D85"/>
    <w:rsid w:val="065E2322"/>
    <w:rsid w:val="06A411DD"/>
    <w:rsid w:val="06AE7966"/>
    <w:rsid w:val="06BC38D9"/>
    <w:rsid w:val="07293586"/>
    <w:rsid w:val="07295285"/>
    <w:rsid w:val="07636392"/>
    <w:rsid w:val="07770C56"/>
    <w:rsid w:val="07A61CBF"/>
    <w:rsid w:val="07D9342B"/>
    <w:rsid w:val="07DD46FE"/>
    <w:rsid w:val="08297BEC"/>
    <w:rsid w:val="086726B4"/>
    <w:rsid w:val="08856DEC"/>
    <w:rsid w:val="09091170"/>
    <w:rsid w:val="092217DD"/>
    <w:rsid w:val="093A7294"/>
    <w:rsid w:val="0951052A"/>
    <w:rsid w:val="09566309"/>
    <w:rsid w:val="09687829"/>
    <w:rsid w:val="097B739A"/>
    <w:rsid w:val="09DC47EA"/>
    <w:rsid w:val="09FD6311"/>
    <w:rsid w:val="0A080542"/>
    <w:rsid w:val="0A263993"/>
    <w:rsid w:val="0A2D3AC2"/>
    <w:rsid w:val="0A5225D2"/>
    <w:rsid w:val="0A8A693C"/>
    <w:rsid w:val="0AA755DF"/>
    <w:rsid w:val="0AC839D5"/>
    <w:rsid w:val="0AF83D68"/>
    <w:rsid w:val="0AFA298B"/>
    <w:rsid w:val="0B0D6D73"/>
    <w:rsid w:val="0B120D44"/>
    <w:rsid w:val="0B790461"/>
    <w:rsid w:val="0B8735CE"/>
    <w:rsid w:val="0BD27BF6"/>
    <w:rsid w:val="0BF43AE2"/>
    <w:rsid w:val="0C2A7A8F"/>
    <w:rsid w:val="0C346B5F"/>
    <w:rsid w:val="0C3B3C7D"/>
    <w:rsid w:val="0C3F0B31"/>
    <w:rsid w:val="0C6E3A9F"/>
    <w:rsid w:val="0C9A711D"/>
    <w:rsid w:val="0CAB2EAE"/>
    <w:rsid w:val="0CC865FD"/>
    <w:rsid w:val="0CCA1272"/>
    <w:rsid w:val="0CDD71F7"/>
    <w:rsid w:val="0CEE6D0E"/>
    <w:rsid w:val="0D0F2F38"/>
    <w:rsid w:val="0D3F097E"/>
    <w:rsid w:val="0D621C7D"/>
    <w:rsid w:val="0D74129E"/>
    <w:rsid w:val="0D9D24E2"/>
    <w:rsid w:val="0DCC19EB"/>
    <w:rsid w:val="0E484B44"/>
    <w:rsid w:val="0E5A5AED"/>
    <w:rsid w:val="0E645549"/>
    <w:rsid w:val="0E686F94"/>
    <w:rsid w:val="0E73034D"/>
    <w:rsid w:val="0E7F3589"/>
    <w:rsid w:val="0E955296"/>
    <w:rsid w:val="0ED1175A"/>
    <w:rsid w:val="0EE24651"/>
    <w:rsid w:val="0F13775A"/>
    <w:rsid w:val="0F526B55"/>
    <w:rsid w:val="0F5F45FE"/>
    <w:rsid w:val="0F6D0076"/>
    <w:rsid w:val="0F957915"/>
    <w:rsid w:val="0F9A112B"/>
    <w:rsid w:val="0F9C5147"/>
    <w:rsid w:val="1034712E"/>
    <w:rsid w:val="106D2F64"/>
    <w:rsid w:val="108F26EB"/>
    <w:rsid w:val="10925FEB"/>
    <w:rsid w:val="10B63710"/>
    <w:rsid w:val="10BD4A77"/>
    <w:rsid w:val="10F10820"/>
    <w:rsid w:val="111927C8"/>
    <w:rsid w:val="111C2F7A"/>
    <w:rsid w:val="113556FF"/>
    <w:rsid w:val="113B0B25"/>
    <w:rsid w:val="11665CA1"/>
    <w:rsid w:val="118539B9"/>
    <w:rsid w:val="11CA2859"/>
    <w:rsid w:val="11EE5A02"/>
    <w:rsid w:val="1245488B"/>
    <w:rsid w:val="125308C6"/>
    <w:rsid w:val="12833A99"/>
    <w:rsid w:val="1283614B"/>
    <w:rsid w:val="12B96010"/>
    <w:rsid w:val="12CE31C0"/>
    <w:rsid w:val="1318532B"/>
    <w:rsid w:val="131E5E73"/>
    <w:rsid w:val="134E704B"/>
    <w:rsid w:val="1352386D"/>
    <w:rsid w:val="13665E1A"/>
    <w:rsid w:val="137B31FF"/>
    <w:rsid w:val="13936861"/>
    <w:rsid w:val="13951726"/>
    <w:rsid w:val="13D604FC"/>
    <w:rsid w:val="13F35552"/>
    <w:rsid w:val="143148FC"/>
    <w:rsid w:val="14396509"/>
    <w:rsid w:val="146D2C0E"/>
    <w:rsid w:val="149A14C1"/>
    <w:rsid w:val="14DD2C3C"/>
    <w:rsid w:val="150D2643"/>
    <w:rsid w:val="15192D96"/>
    <w:rsid w:val="151E72AA"/>
    <w:rsid w:val="152139F9"/>
    <w:rsid w:val="1546190A"/>
    <w:rsid w:val="159863B1"/>
    <w:rsid w:val="15B348B4"/>
    <w:rsid w:val="15C745A0"/>
    <w:rsid w:val="15D41E84"/>
    <w:rsid w:val="15E44B65"/>
    <w:rsid w:val="15F56025"/>
    <w:rsid w:val="16087E1D"/>
    <w:rsid w:val="1609657E"/>
    <w:rsid w:val="16161084"/>
    <w:rsid w:val="163B0AEA"/>
    <w:rsid w:val="164002A0"/>
    <w:rsid w:val="16481B85"/>
    <w:rsid w:val="164B47E7"/>
    <w:rsid w:val="164D08F6"/>
    <w:rsid w:val="16571DC8"/>
    <w:rsid w:val="165757BC"/>
    <w:rsid w:val="16756754"/>
    <w:rsid w:val="17011D34"/>
    <w:rsid w:val="172E5E61"/>
    <w:rsid w:val="17393D38"/>
    <w:rsid w:val="17485BB5"/>
    <w:rsid w:val="176F3A0D"/>
    <w:rsid w:val="17701D14"/>
    <w:rsid w:val="17735226"/>
    <w:rsid w:val="17A43A3F"/>
    <w:rsid w:val="17A74689"/>
    <w:rsid w:val="17B117AC"/>
    <w:rsid w:val="17E07B9B"/>
    <w:rsid w:val="189F624C"/>
    <w:rsid w:val="18E66114"/>
    <w:rsid w:val="190D2C12"/>
    <w:rsid w:val="19130BD7"/>
    <w:rsid w:val="194D74B2"/>
    <w:rsid w:val="19580834"/>
    <w:rsid w:val="199565B0"/>
    <w:rsid w:val="19975756"/>
    <w:rsid w:val="19EF40C6"/>
    <w:rsid w:val="1A013972"/>
    <w:rsid w:val="1A1C2B24"/>
    <w:rsid w:val="1A1C66C0"/>
    <w:rsid w:val="1A2F0966"/>
    <w:rsid w:val="1A42393B"/>
    <w:rsid w:val="1A47322F"/>
    <w:rsid w:val="1A494B95"/>
    <w:rsid w:val="1A6665E6"/>
    <w:rsid w:val="1A6E08DD"/>
    <w:rsid w:val="1A8F43B3"/>
    <w:rsid w:val="1AAD45DE"/>
    <w:rsid w:val="1AC762B2"/>
    <w:rsid w:val="1AE57555"/>
    <w:rsid w:val="1AF84D8D"/>
    <w:rsid w:val="1B046F80"/>
    <w:rsid w:val="1B3267B5"/>
    <w:rsid w:val="1B40161D"/>
    <w:rsid w:val="1B441859"/>
    <w:rsid w:val="1B6606B1"/>
    <w:rsid w:val="1B910A48"/>
    <w:rsid w:val="1B9E5DA3"/>
    <w:rsid w:val="1C1F2DB2"/>
    <w:rsid w:val="1C3A7456"/>
    <w:rsid w:val="1C422BD3"/>
    <w:rsid w:val="1C5E7925"/>
    <w:rsid w:val="1C603EB9"/>
    <w:rsid w:val="1CFD070F"/>
    <w:rsid w:val="1D573B70"/>
    <w:rsid w:val="1D586315"/>
    <w:rsid w:val="1D5F6196"/>
    <w:rsid w:val="1D6132A5"/>
    <w:rsid w:val="1D8E56D5"/>
    <w:rsid w:val="1DA84CB7"/>
    <w:rsid w:val="1DCF493A"/>
    <w:rsid w:val="1DFC5003"/>
    <w:rsid w:val="1E195BB5"/>
    <w:rsid w:val="1E1C69F5"/>
    <w:rsid w:val="1E3B330E"/>
    <w:rsid w:val="1E5935A6"/>
    <w:rsid w:val="1E7A43DA"/>
    <w:rsid w:val="1EDC07EA"/>
    <w:rsid w:val="1F016D75"/>
    <w:rsid w:val="1F28353F"/>
    <w:rsid w:val="1F2B48C1"/>
    <w:rsid w:val="1F340F1F"/>
    <w:rsid w:val="1F346C3B"/>
    <w:rsid w:val="1FBF453A"/>
    <w:rsid w:val="1FE7539E"/>
    <w:rsid w:val="20176124"/>
    <w:rsid w:val="202148E3"/>
    <w:rsid w:val="202C6073"/>
    <w:rsid w:val="20653333"/>
    <w:rsid w:val="20671BE0"/>
    <w:rsid w:val="20963CB8"/>
    <w:rsid w:val="20A81A1B"/>
    <w:rsid w:val="20B07FB6"/>
    <w:rsid w:val="20B646FB"/>
    <w:rsid w:val="20D33571"/>
    <w:rsid w:val="21114623"/>
    <w:rsid w:val="211F1734"/>
    <w:rsid w:val="213B74B1"/>
    <w:rsid w:val="215A2310"/>
    <w:rsid w:val="21746937"/>
    <w:rsid w:val="219263AA"/>
    <w:rsid w:val="219F54FC"/>
    <w:rsid w:val="21B94263"/>
    <w:rsid w:val="21BA0C34"/>
    <w:rsid w:val="21C14E9F"/>
    <w:rsid w:val="21DE318A"/>
    <w:rsid w:val="21EF5B80"/>
    <w:rsid w:val="2223117B"/>
    <w:rsid w:val="22525B39"/>
    <w:rsid w:val="22576990"/>
    <w:rsid w:val="22827390"/>
    <w:rsid w:val="22A710BA"/>
    <w:rsid w:val="22AD4512"/>
    <w:rsid w:val="22C52798"/>
    <w:rsid w:val="22F15563"/>
    <w:rsid w:val="22F47480"/>
    <w:rsid w:val="230B6414"/>
    <w:rsid w:val="23190067"/>
    <w:rsid w:val="232B1851"/>
    <w:rsid w:val="236E2B89"/>
    <w:rsid w:val="23902475"/>
    <w:rsid w:val="23CB06AF"/>
    <w:rsid w:val="23DE1C48"/>
    <w:rsid w:val="240210CD"/>
    <w:rsid w:val="242F7EE0"/>
    <w:rsid w:val="244F40DF"/>
    <w:rsid w:val="246C1C9B"/>
    <w:rsid w:val="248F26B8"/>
    <w:rsid w:val="249E64CF"/>
    <w:rsid w:val="24BF09F7"/>
    <w:rsid w:val="24D07BBE"/>
    <w:rsid w:val="24ED08E0"/>
    <w:rsid w:val="24FB4266"/>
    <w:rsid w:val="252D53FE"/>
    <w:rsid w:val="2530507E"/>
    <w:rsid w:val="25480DB9"/>
    <w:rsid w:val="258E7C7F"/>
    <w:rsid w:val="25937029"/>
    <w:rsid w:val="25EC2D81"/>
    <w:rsid w:val="26156AEF"/>
    <w:rsid w:val="262C6D85"/>
    <w:rsid w:val="26426B14"/>
    <w:rsid w:val="26673AFF"/>
    <w:rsid w:val="2681079B"/>
    <w:rsid w:val="26855609"/>
    <w:rsid w:val="26C24016"/>
    <w:rsid w:val="26D933C3"/>
    <w:rsid w:val="26EB6016"/>
    <w:rsid w:val="276C31F9"/>
    <w:rsid w:val="277057A2"/>
    <w:rsid w:val="27820945"/>
    <w:rsid w:val="27995F16"/>
    <w:rsid w:val="27AA5AD0"/>
    <w:rsid w:val="27B0498F"/>
    <w:rsid w:val="28717ADA"/>
    <w:rsid w:val="2878768E"/>
    <w:rsid w:val="28867884"/>
    <w:rsid w:val="289538E0"/>
    <w:rsid w:val="28C3101F"/>
    <w:rsid w:val="28EA6ACC"/>
    <w:rsid w:val="29002295"/>
    <w:rsid w:val="29206EB8"/>
    <w:rsid w:val="293A2C74"/>
    <w:rsid w:val="29595666"/>
    <w:rsid w:val="2964425D"/>
    <w:rsid w:val="2976232D"/>
    <w:rsid w:val="29874881"/>
    <w:rsid w:val="29B87B9E"/>
    <w:rsid w:val="29E325E0"/>
    <w:rsid w:val="2A452503"/>
    <w:rsid w:val="2A5B583F"/>
    <w:rsid w:val="2A7F7D0B"/>
    <w:rsid w:val="2A9F38E6"/>
    <w:rsid w:val="2ACB0237"/>
    <w:rsid w:val="2AE5579D"/>
    <w:rsid w:val="2B0064CA"/>
    <w:rsid w:val="2B9C0B5D"/>
    <w:rsid w:val="2BA936A8"/>
    <w:rsid w:val="2BBE254F"/>
    <w:rsid w:val="2C1A6CB6"/>
    <w:rsid w:val="2C315A5A"/>
    <w:rsid w:val="2C4B1C25"/>
    <w:rsid w:val="2C4B5AD3"/>
    <w:rsid w:val="2CF241A1"/>
    <w:rsid w:val="2CFE66A2"/>
    <w:rsid w:val="2CFF16E5"/>
    <w:rsid w:val="2D145EC5"/>
    <w:rsid w:val="2D776454"/>
    <w:rsid w:val="2D9E56F5"/>
    <w:rsid w:val="2DAF3E40"/>
    <w:rsid w:val="2DC34492"/>
    <w:rsid w:val="2DDB7CBC"/>
    <w:rsid w:val="2DF67CC1"/>
    <w:rsid w:val="2E290396"/>
    <w:rsid w:val="2E667F96"/>
    <w:rsid w:val="2E8226AB"/>
    <w:rsid w:val="2EAE40F8"/>
    <w:rsid w:val="2ECD27D0"/>
    <w:rsid w:val="2F30484A"/>
    <w:rsid w:val="2F6B1FE9"/>
    <w:rsid w:val="2F886A0F"/>
    <w:rsid w:val="2FA2056A"/>
    <w:rsid w:val="2FAC2B80"/>
    <w:rsid w:val="2FAF583F"/>
    <w:rsid w:val="2FC260AC"/>
    <w:rsid w:val="2FC451CB"/>
    <w:rsid w:val="2FD065E6"/>
    <w:rsid w:val="2FD96870"/>
    <w:rsid w:val="2FF344B8"/>
    <w:rsid w:val="30087837"/>
    <w:rsid w:val="30580BC9"/>
    <w:rsid w:val="308E41E1"/>
    <w:rsid w:val="30BF4724"/>
    <w:rsid w:val="30E01814"/>
    <w:rsid w:val="30E91417"/>
    <w:rsid w:val="3103194F"/>
    <w:rsid w:val="311E2ED7"/>
    <w:rsid w:val="313703D4"/>
    <w:rsid w:val="315619EE"/>
    <w:rsid w:val="315C449C"/>
    <w:rsid w:val="316136A3"/>
    <w:rsid w:val="316D232D"/>
    <w:rsid w:val="318373D6"/>
    <w:rsid w:val="31AC6D75"/>
    <w:rsid w:val="31B82709"/>
    <w:rsid w:val="31D05482"/>
    <w:rsid w:val="31EC7411"/>
    <w:rsid w:val="32313FA5"/>
    <w:rsid w:val="32400B34"/>
    <w:rsid w:val="3255145A"/>
    <w:rsid w:val="325D030E"/>
    <w:rsid w:val="329E6876"/>
    <w:rsid w:val="32FF4F59"/>
    <w:rsid w:val="333015F2"/>
    <w:rsid w:val="33305A33"/>
    <w:rsid w:val="333837C9"/>
    <w:rsid w:val="334B0167"/>
    <w:rsid w:val="334B6320"/>
    <w:rsid w:val="336143E6"/>
    <w:rsid w:val="33BD7ECD"/>
    <w:rsid w:val="33D934D4"/>
    <w:rsid w:val="33E53A31"/>
    <w:rsid w:val="33FE2F6A"/>
    <w:rsid w:val="340E07E5"/>
    <w:rsid w:val="34235BF7"/>
    <w:rsid w:val="3437693D"/>
    <w:rsid w:val="344C0532"/>
    <w:rsid w:val="34784F8C"/>
    <w:rsid w:val="34E402F2"/>
    <w:rsid w:val="353B58EE"/>
    <w:rsid w:val="35645510"/>
    <w:rsid w:val="358C5FA8"/>
    <w:rsid w:val="359202CF"/>
    <w:rsid w:val="35977A46"/>
    <w:rsid w:val="35C15DF1"/>
    <w:rsid w:val="36074A7F"/>
    <w:rsid w:val="36182170"/>
    <w:rsid w:val="36923549"/>
    <w:rsid w:val="36B75FBF"/>
    <w:rsid w:val="36BD0C45"/>
    <w:rsid w:val="36CC15BF"/>
    <w:rsid w:val="36FB55FB"/>
    <w:rsid w:val="370C2303"/>
    <w:rsid w:val="378B147A"/>
    <w:rsid w:val="37E00298"/>
    <w:rsid w:val="37E15CAC"/>
    <w:rsid w:val="37F76F2F"/>
    <w:rsid w:val="383E64EC"/>
    <w:rsid w:val="386F48F8"/>
    <w:rsid w:val="388F4F9A"/>
    <w:rsid w:val="38B302F9"/>
    <w:rsid w:val="38F12CD3"/>
    <w:rsid w:val="38F94775"/>
    <w:rsid w:val="392971ED"/>
    <w:rsid w:val="39325651"/>
    <w:rsid w:val="395C2388"/>
    <w:rsid w:val="39A71B78"/>
    <w:rsid w:val="39AF48B4"/>
    <w:rsid w:val="39DE4F41"/>
    <w:rsid w:val="39E47C63"/>
    <w:rsid w:val="3A831807"/>
    <w:rsid w:val="3A872856"/>
    <w:rsid w:val="3A9F250F"/>
    <w:rsid w:val="3AF068F8"/>
    <w:rsid w:val="3B3763D1"/>
    <w:rsid w:val="3B3D75CD"/>
    <w:rsid w:val="3B4B4F17"/>
    <w:rsid w:val="3BDB32BC"/>
    <w:rsid w:val="3C2F6E1E"/>
    <w:rsid w:val="3C487928"/>
    <w:rsid w:val="3C4F64BA"/>
    <w:rsid w:val="3C8A7F52"/>
    <w:rsid w:val="3CD4751C"/>
    <w:rsid w:val="3CDA245A"/>
    <w:rsid w:val="3CF17FD1"/>
    <w:rsid w:val="3D087A3F"/>
    <w:rsid w:val="3D105C11"/>
    <w:rsid w:val="3D124D2D"/>
    <w:rsid w:val="3D1E06B7"/>
    <w:rsid w:val="3D5F5D29"/>
    <w:rsid w:val="3D8F1598"/>
    <w:rsid w:val="3DA12D0C"/>
    <w:rsid w:val="3DA26829"/>
    <w:rsid w:val="3E6F6AE4"/>
    <w:rsid w:val="3E733501"/>
    <w:rsid w:val="3E793B5F"/>
    <w:rsid w:val="3EDA0523"/>
    <w:rsid w:val="3F0D6C18"/>
    <w:rsid w:val="3F116709"/>
    <w:rsid w:val="3F39128D"/>
    <w:rsid w:val="3F7E7BDE"/>
    <w:rsid w:val="3FEF58F9"/>
    <w:rsid w:val="3FEF631E"/>
    <w:rsid w:val="40572BBE"/>
    <w:rsid w:val="406A0C9D"/>
    <w:rsid w:val="4077259B"/>
    <w:rsid w:val="407A6407"/>
    <w:rsid w:val="40BA4B7E"/>
    <w:rsid w:val="40EA7211"/>
    <w:rsid w:val="41313092"/>
    <w:rsid w:val="416C17AD"/>
    <w:rsid w:val="41A22C75"/>
    <w:rsid w:val="41C23CEA"/>
    <w:rsid w:val="4200449D"/>
    <w:rsid w:val="423A3BCC"/>
    <w:rsid w:val="424E57D2"/>
    <w:rsid w:val="425B7B1B"/>
    <w:rsid w:val="42672AE3"/>
    <w:rsid w:val="429C26DF"/>
    <w:rsid w:val="42B26C49"/>
    <w:rsid w:val="42E96C1F"/>
    <w:rsid w:val="42FF6F91"/>
    <w:rsid w:val="430640AA"/>
    <w:rsid w:val="431F5DA0"/>
    <w:rsid w:val="433A6FE6"/>
    <w:rsid w:val="43480868"/>
    <w:rsid w:val="4350713C"/>
    <w:rsid w:val="436653E0"/>
    <w:rsid w:val="437F7AF8"/>
    <w:rsid w:val="438C4CBE"/>
    <w:rsid w:val="439C056B"/>
    <w:rsid w:val="43C4431A"/>
    <w:rsid w:val="43E05076"/>
    <w:rsid w:val="43E77A38"/>
    <w:rsid w:val="4401409D"/>
    <w:rsid w:val="44223166"/>
    <w:rsid w:val="443C5153"/>
    <w:rsid w:val="447A4D50"/>
    <w:rsid w:val="44B71A34"/>
    <w:rsid w:val="44B951CC"/>
    <w:rsid w:val="44BC7116"/>
    <w:rsid w:val="44CD14E0"/>
    <w:rsid w:val="44D77AAC"/>
    <w:rsid w:val="44F20B0B"/>
    <w:rsid w:val="44FE685B"/>
    <w:rsid w:val="452E5F4C"/>
    <w:rsid w:val="45612018"/>
    <w:rsid w:val="456B28EB"/>
    <w:rsid w:val="458946E9"/>
    <w:rsid w:val="45A47C0E"/>
    <w:rsid w:val="45C37002"/>
    <w:rsid w:val="45E9378A"/>
    <w:rsid w:val="463A2A01"/>
    <w:rsid w:val="46577392"/>
    <w:rsid w:val="46577FD6"/>
    <w:rsid w:val="467E7FB4"/>
    <w:rsid w:val="46D475E9"/>
    <w:rsid w:val="46D955A7"/>
    <w:rsid w:val="46FB7DC6"/>
    <w:rsid w:val="47133957"/>
    <w:rsid w:val="47473075"/>
    <w:rsid w:val="47A07E0C"/>
    <w:rsid w:val="47BF2425"/>
    <w:rsid w:val="47C14F45"/>
    <w:rsid w:val="47DB57AF"/>
    <w:rsid w:val="47EE6640"/>
    <w:rsid w:val="48436C28"/>
    <w:rsid w:val="48531B40"/>
    <w:rsid w:val="4870272E"/>
    <w:rsid w:val="487970CD"/>
    <w:rsid w:val="48E50C36"/>
    <w:rsid w:val="48EB758F"/>
    <w:rsid w:val="491868E5"/>
    <w:rsid w:val="49320E3E"/>
    <w:rsid w:val="4942482A"/>
    <w:rsid w:val="495B713C"/>
    <w:rsid w:val="497C50C6"/>
    <w:rsid w:val="4989333F"/>
    <w:rsid w:val="49BC1967"/>
    <w:rsid w:val="49DC7715"/>
    <w:rsid w:val="4A023139"/>
    <w:rsid w:val="4A200056"/>
    <w:rsid w:val="4A7B576F"/>
    <w:rsid w:val="4AA27A5C"/>
    <w:rsid w:val="4AAB50DC"/>
    <w:rsid w:val="4AF561A9"/>
    <w:rsid w:val="4B0954F7"/>
    <w:rsid w:val="4B0D5586"/>
    <w:rsid w:val="4B20130B"/>
    <w:rsid w:val="4B236654"/>
    <w:rsid w:val="4B3B15C7"/>
    <w:rsid w:val="4BA6642B"/>
    <w:rsid w:val="4BE52CFA"/>
    <w:rsid w:val="4C2016A3"/>
    <w:rsid w:val="4C4A0649"/>
    <w:rsid w:val="4C7E5ECA"/>
    <w:rsid w:val="4C876AA5"/>
    <w:rsid w:val="4CBD4107"/>
    <w:rsid w:val="4CDB65A8"/>
    <w:rsid w:val="4CE5161E"/>
    <w:rsid w:val="4D0E00FB"/>
    <w:rsid w:val="4D176606"/>
    <w:rsid w:val="4D223028"/>
    <w:rsid w:val="4D275349"/>
    <w:rsid w:val="4D4A7E00"/>
    <w:rsid w:val="4D5F3D23"/>
    <w:rsid w:val="4D7367E0"/>
    <w:rsid w:val="4D9228C7"/>
    <w:rsid w:val="4DB7352B"/>
    <w:rsid w:val="4DEC4FB0"/>
    <w:rsid w:val="4E075D8A"/>
    <w:rsid w:val="4E402B66"/>
    <w:rsid w:val="4E4F3B34"/>
    <w:rsid w:val="4EBC7D13"/>
    <w:rsid w:val="4EC00FAD"/>
    <w:rsid w:val="4ECF4EE4"/>
    <w:rsid w:val="4ECF7A46"/>
    <w:rsid w:val="4ED97949"/>
    <w:rsid w:val="4EE80640"/>
    <w:rsid w:val="4EF94AC3"/>
    <w:rsid w:val="4F7B48BD"/>
    <w:rsid w:val="4F82686E"/>
    <w:rsid w:val="4F9843DC"/>
    <w:rsid w:val="4FA42C81"/>
    <w:rsid w:val="4FC62A8C"/>
    <w:rsid w:val="4FCB6460"/>
    <w:rsid w:val="4FD21660"/>
    <w:rsid w:val="4FE20F0D"/>
    <w:rsid w:val="4FE51552"/>
    <w:rsid w:val="503D78E7"/>
    <w:rsid w:val="50504C4B"/>
    <w:rsid w:val="50760149"/>
    <w:rsid w:val="50903205"/>
    <w:rsid w:val="509C6E7C"/>
    <w:rsid w:val="50E62A0E"/>
    <w:rsid w:val="510C7E1F"/>
    <w:rsid w:val="5145344C"/>
    <w:rsid w:val="5162104E"/>
    <w:rsid w:val="51E5607B"/>
    <w:rsid w:val="51F53C68"/>
    <w:rsid w:val="51F872B4"/>
    <w:rsid w:val="520600F2"/>
    <w:rsid w:val="5257655F"/>
    <w:rsid w:val="52614E59"/>
    <w:rsid w:val="53057EDB"/>
    <w:rsid w:val="532A4C17"/>
    <w:rsid w:val="53352145"/>
    <w:rsid w:val="534D108E"/>
    <w:rsid w:val="53530C46"/>
    <w:rsid w:val="53A039CC"/>
    <w:rsid w:val="53A1505A"/>
    <w:rsid w:val="53BA6F17"/>
    <w:rsid w:val="53DB172D"/>
    <w:rsid w:val="53E6284E"/>
    <w:rsid w:val="54063E08"/>
    <w:rsid w:val="540C7047"/>
    <w:rsid w:val="54260108"/>
    <w:rsid w:val="543437E8"/>
    <w:rsid w:val="5472334E"/>
    <w:rsid w:val="54B1566D"/>
    <w:rsid w:val="54C87412"/>
    <w:rsid w:val="54DC4C6B"/>
    <w:rsid w:val="54F73313"/>
    <w:rsid w:val="54F80955"/>
    <w:rsid w:val="55055F70"/>
    <w:rsid w:val="55257D91"/>
    <w:rsid w:val="55506C0B"/>
    <w:rsid w:val="555170A7"/>
    <w:rsid w:val="5587536D"/>
    <w:rsid w:val="558A504A"/>
    <w:rsid w:val="55970663"/>
    <w:rsid w:val="559B174B"/>
    <w:rsid w:val="559D6963"/>
    <w:rsid w:val="55C71477"/>
    <w:rsid w:val="55CE0CF4"/>
    <w:rsid w:val="56350AD7"/>
    <w:rsid w:val="5650430D"/>
    <w:rsid w:val="56664CEE"/>
    <w:rsid w:val="56A664F1"/>
    <w:rsid w:val="56AB2B47"/>
    <w:rsid w:val="56B22A9C"/>
    <w:rsid w:val="57B72A76"/>
    <w:rsid w:val="57C3426C"/>
    <w:rsid w:val="57CC79AB"/>
    <w:rsid w:val="57CE1F93"/>
    <w:rsid w:val="58155EB5"/>
    <w:rsid w:val="58800901"/>
    <w:rsid w:val="588743D1"/>
    <w:rsid w:val="5887701A"/>
    <w:rsid w:val="589046EA"/>
    <w:rsid w:val="58B14761"/>
    <w:rsid w:val="58D2085F"/>
    <w:rsid w:val="58D36385"/>
    <w:rsid w:val="58DE7204"/>
    <w:rsid w:val="59056087"/>
    <w:rsid w:val="59B52598"/>
    <w:rsid w:val="59C0439F"/>
    <w:rsid w:val="59E74C9B"/>
    <w:rsid w:val="59EC032B"/>
    <w:rsid w:val="5A280D19"/>
    <w:rsid w:val="5A2E6D2B"/>
    <w:rsid w:val="5A4C63EF"/>
    <w:rsid w:val="5A6C4CE3"/>
    <w:rsid w:val="5ABE2233"/>
    <w:rsid w:val="5AC727D6"/>
    <w:rsid w:val="5AEA5DC4"/>
    <w:rsid w:val="5AEF69A9"/>
    <w:rsid w:val="5B94004E"/>
    <w:rsid w:val="5B9B1FEF"/>
    <w:rsid w:val="5BA5225B"/>
    <w:rsid w:val="5BDF5D95"/>
    <w:rsid w:val="5BF37F1F"/>
    <w:rsid w:val="5BFE7528"/>
    <w:rsid w:val="5C1F50B0"/>
    <w:rsid w:val="5C237A35"/>
    <w:rsid w:val="5C7311C3"/>
    <w:rsid w:val="5C793BE9"/>
    <w:rsid w:val="5C967DF5"/>
    <w:rsid w:val="5D00091E"/>
    <w:rsid w:val="5D0435CC"/>
    <w:rsid w:val="5D6E35BE"/>
    <w:rsid w:val="5DE4583C"/>
    <w:rsid w:val="5E2467F1"/>
    <w:rsid w:val="5E443FAD"/>
    <w:rsid w:val="5E7A241D"/>
    <w:rsid w:val="5E960581"/>
    <w:rsid w:val="5ECA763F"/>
    <w:rsid w:val="5F1A2B43"/>
    <w:rsid w:val="5F742718"/>
    <w:rsid w:val="5FA56CCD"/>
    <w:rsid w:val="5FB837BB"/>
    <w:rsid w:val="5FED5F7E"/>
    <w:rsid w:val="5FF127B1"/>
    <w:rsid w:val="5FFFEA79"/>
    <w:rsid w:val="60140678"/>
    <w:rsid w:val="6062696C"/>
    <w:rsid w:val="60743AFD"/>
    <w:rsid w:val="607448F1"/>
    <w:rsid w:val="608A1A1F"/>
    <w:rsid w:val="608B78E2"/>
    <w:rsid w:val="60B7767B"/>
    <w:rsid w:val="60CC0B32"/>
    <w:rsid w:val="60CC405A"/>
    <w:rsid w:val="60D6798D"/>
    <w:rsid w:val="611F6668"/>
    <w:rsid w:val="613B1527"/>
    <w:rsid w:val="615E2D65"/>
    <w:rsid w:val="61B25108"/>
    <w:rsid w:val="61E215D8"/>
    <w:rsid w:val="621B3775"/>
    <w:rsid w:val="622646C1"/>
    <w:rsid w:val="62364782"/>
    <w:rsid w:val="62530E31"/>
    <w:rsid w:val="62EE2B61"/>
    <w:rsid w:val="63544033"/>
    <w:rsid w:val="6394356A"/>
    <w:rsid w:val="63A63014"/>
    <w:rsid w:val="63BA261B"/>
    <w:rsid w:val="63C61B2C"/>
    <w:rsid w:val="63D40BE9"/>
    <w:rsid w:val="63DC07E4"/>
    <w:rsid w:val="63F14E81"/>
    <w:rsid w:val="64102431"/>
    <w:rsid w:val="64180CC7"/>
    <w:rsid w:val="645B7A5E"/>
    <w:rsid w:val="647F5769"/>
    <w:rsid w:val="64A01811"/>
    <w:rsid w:val="64A5243A"/>
    <w:rsid w:val="64E572DF"/>
    <w:rsid w:val="64F531DE"/>
    <w:rsid w:val="651D625A"/>
    <w:rsid w:val="65373578"/>
    <w:rsid w:val="657109B1"/>
    <w:rsid w:val="65850E7C"/>
    <w:rsid w:val="65B66F46"/>
    <w:rsid w:val="66B07D06"/>
    <w:rsid w:val="66C739CD"/>
    <w:rsid w:val="66D44C5F"/>
    <w:rsid w:val="66FB3677"/>
    <w:rsid w:val="67112E9A"/>
    <w:rsid w:val="671F124A"/>
    <w:rsid w:val="677A33C6"/>
    <w:rsid w:val="67891D43"/>
    <w:rsid w:val="679766E8"/>
    <w:rsid w:val="679B1D79"/>
    <w:rsid w:val="67B93D66"/>
    <w:rsid w:val="680254F4"/>
    <w:rsid w:val="681F6961"/>
    <w:rsid w:val="68351F58"/>
    <w:rsid w:val="683C09C0"/>
    <w:rsid w:val="68610A2F"/>
    <w:rsid w:val="68662E2F"/>
    <w:rsid w:val="687065DC"/>
    <w:rsid w:val="68805514"/>
    <w:rsid w:val="68D979E8"/>
    <w:rsid w:val="69316E2F"/>
    <w:rsid w:val="694E2071"/>
    <w:rsid w:val="69766163"/>
    <w:rsid w:val="697A3B33"/>
    <w:rsid w:val="69CA0626"/>
    <w:rsid w:val="69D44760"/>
    <w:rsid w:val="6A520EC7"/>
    <w:rsid w:val="6AA06A0F"/>
    <w:rsid w:val="6AE939CD"/>
    <w:rsid w:val="6AF87E20"/>
    <w:rsid w:val="6B185026"/>
    <w:rsid w:val="6B322639"/>
    <w:rsid w:val="6B824366"/>
    <w:rsid w:val="6BD0334A"/>
    <w:rsid w:val="6BD44E58"/>
    <w:rsid w:val="6C1369DD"/>
    <w:rsid w:val="6C1F3963"/>
    <w:rsid w:val="6C3867D3"/>
    <w:rsid w:val="6C636C38"/>
    <w:rsid w:val="6CFC710B"/>
    <w:rsid w:val="6D4F4BB6"/>
    <w:rsid w:val="6D610AD4"/>
    <w:rsid w:val="6D710C6E"/>
    <w:rsid w:val="6D8D7B94"/>
    <w:rsid w:val="6DAC1227"/>
    <w:rsid w:val="6DB34098"/>
    <w:rsid w:val="6DB545B6"/>
    <w:rsid w:val="6DB97DE8"/>
    <w:rsid w:val="6DE02FB4"/>
    <w:rsid w:val="6DF337EC"/>
    <w:rsid w:val="6DF350A8"/>
    <w:rsid w:val="6DF826BE"/>
    <w:rsid w:val="6E151103"/>
    <w:rsid w:val="6E2C2368"/>
    <w:rsid w:val="6E514CED"/>
    <w:rsid w:val="6E7B34DD"/>
    <w:rsid w:val="6E8A7499"/>
    <w:rsid w:val="6E923646"/>
    <w:rsid w:val="6E9A19C7"/>
    <w:rsid w:val="6EA168B2"/>
    <w:rsid w:val="6EB1286D"/>
    <w:rsid w:val="6EB563D5"/>
    <w:rsid w:val="6ED92677"/>
    <w:rsid w:val="6F1C10EB"/>
    <w:rsid w:val="6F225983"/>
    <w:rsid w:val="6F697E58"/>
    <w:rsid w:val="6F7E6BF3"/>
    <w:rsid w:val="6FA83C70"/>
    <w:rsid w:val="6FDF12E8"/>
    <w:rsid w:val="6FFC5590"/>
    <w:rsid w:val="70297111"/>
    <w:rsid w:val="702F613F"/>
    <w:rsid w:val="706D1DD0"/>
    <w:rsid w:val="70856B87"/>
    <w:rsid w:val="70D527EE"/>
    <w:rsid w:val="70F3716D"/>
    <w:rsid w:val="713316EB"/>
    <w:rsid w:val="7144528C"/>
    <w:rsid w:val="715A1F5B"/>
    <w:rsid w:val="715B5300"/>
    <w:rsid w:val="716602F4"/>
    <w:rsid w:val="71991324"/>
    <w:rsid w:val="71A031CF"/>
    <w:rsid w:val="71C35371"/>
    <w:rsid w:val="71D27F8A"/>
    <w:rsid w:val="71E67ADA"/>
    <w:rsid w:val="72240627"/>
    <w:rsid w:val="72553024"/>
    <w:rsid w:val="725E4905"/>
    <w:rsid w:val="72606A84"/>
    <w:rsid w:val="727E23B0"/>
    <w:rsid w:val="729445D6"/>
    <w:rsid w:val="72A91AC3"/>
    <w:rsid w:val="72B24254"/>
    <w:rsid w:val="72E053CB"/>
    <w:rsid w:val="73085DE8"/>
    <w:rsid w:val="73122968"/>
    <w:rsid w:val="731903A4"/>
    <w:rsid w:val="731E21D2"/>
    <w:rsid w:val="731F5D5E"/>
    <w:rsid w:val="735A34D3"/>
    <w:rsid w:val="73BA21C4"/>
    <w:rsid w:val="73C51AD5"/>
    <w:rsid w:val="73CD639B"/>
    <w:rsid w:val="741E793C"/>
    <w:rsid w:val="744B7A76"/>
    <w:rsid w:val="745102B2"/>
    <w:rsid w:val="7452064E"/>
    <w:rsid w:val="7459534C"/>
    <w:rsid w:val="745E3944"/>
    <w:rsid w:val="74A4534E"/>
    <w:rsid w:val="74D50143"/>
    <w:rsid w:val="751D479F"/>
    <w:rsid w:val="753E0190"/>
    <w:rsid w:val="75471B82"/>
    <w:rsid w:val="7568637B"/>
    <w:rsid w:val="7577036C"/>
    <w:rsid w:val="75917CED"/>
    <w:rsid w:val="75976C60"/>
    <w:rsid w:val="75C97041"/>
    <w:rsid w:val="76257DC8"/>
    <w:rsid w:val="7635099D"/>
    <w:rsid w:val="76D17F50"/>
    <w:rsid w:val="772C33D8"/>
    <w:rsid w:val="7739488C"/>
    <w:rsid w:val="77762421"/>
    <w:rsid w:val="77876861"/>
    <w:rsid w:val="778925D9"/>
    <w:rsid w:val="779C40BA"/>
    <w:rsid w:val="77AD33E7"/>
    <w:rsid w:val="77B56B1F"/>
    <w:rsid w:val="77C11D73"/>
    <w:rsid w:val="77D835D3"/>
    <w:rsid w:val="780305DD"/>
    <w:rsid w:val="780F09F4"/>
    <w:rsid w:val="782F4F50"/>
    <w:rsid w:val="784C3948"/>
    <w:rsid w:val="787723BE"/>
    <w:rsid w:val="789B25C4"/>
    <w:rsid w:val="78A90480"/>
    <w:rsid w:val="78AB3568"/>
    <w:rsid w:val="78BE4192"/>
    <w:rsid w:val="78DA7590"/>
    <w:rsid w:val="795B1D53"/>
    <w:rsid w:val="797177C8"/>
    <w:rsid w:val="79945B30"/>
    <w:rsid w:val="79A2114A"/>
    <w:rsid w:val="7A0F7031"/>
    <w:rsid w:val="7A110059"/>
    <w:rsid w:val="7A2C317E"/>
    <w:rsid w:val="7A364017"/>
    <w:rsid w:val="7A8265E1"/>
    <w:rsid w:val="7AA27811"/>
    <w:rsid w:val="7ACE0D9B"/>
    <w:rsid w:val="7B205562"/>
    <w:rsid w:val="7B263147"/>
    <w:rsid w:val="7B42644C"/>
    <w:rsid w:val="7B534309"/>
    <w:rsid w:val="7B686D42"/>
    <w:rsid w:val="7B6B0973"/>
    <w:rsid w:val="7B6C0247"/>
    <w:rsid w:val="7B841746"/>
    <w:rsid w:val="7B8C08E9"/>
    <w:rsid w:val="7BC876BC"/>
    <w:rsid w:val="7BE42F85"/>
    <w:rsid w:val="7C0274A7"/>
    <w:rsid w:val="7C4720D5"/>
    <w:rsid w:val="7C6C5AC7"/>
    <w:rsid w:val="7C853395"/>
    <w:rsid w:val="7C961A20"/>
    <w:rsid w:val="7CA33D37"/>
    <w:rsid w:val="7CB579CC"/>
    <w:rsid w:val="7CC6544B"/>
    <w:rsid w:val="7CE04A49"/>
    <w:rsid w:val="7D0239FF"/>
    <w:rsid w:val="7D2E7EAA"/>
    <w:rsid w:val="7D4633F9"/>
    <w:rsid w:val="7D5E40CD"/>
    <w:rsid w:val="7D6E02A7"/>
    <w:rsid w:val="7DCD56F2"/>
    <w:rsid w:val="7DE71E07"/>
    <w:rsid w:val="7DF2712A"/>
    <w:rsid w:val="7E521BF9"/>
    <w:rsid w:val="7E6330B5"/>
    <w:rsid w:val="7E6F258B"/>
    <w:rsid w:val="7F001CE7"/>
    <w:rsid w:val="7F525CD2"/>
    <w:rsid w:val="7F5359CF"/>
    <w:rsid w:val="7F67011C"/>
    <w:rsid w:val="7F6F0306"/>
    <w:rsid w:val="7F8A15E4"/>
    <w:rsid w:val="7FD60385"/>
    <w:rsid w:val="7FE47E50"/>
    <w:rsid w:val="7FFD5912"/>
    <w:rsid w:val="BDF21CE1"/>
    <w:rsid w:val="FBAD28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adjustRightInd/>
      <w:snapToGrid/>
      <w:spacing w:line="360" w:lineRule="auto"/>
      <w:ind w:firstLine="0" w:firstLineChars="0"/>
      <w:jc w:val="left"/>
      <w:outlineLvl w:val="1"/>
    </w:pPr>
    <w:rPr>
      <w:rFonts w:ascii="Times New Roman" w:hAnsi="Times New Roman" w:eastAsia="黑体"/>
    </w:rPr>
  </w:style>
  <w:style w:type="paragraph" w:styleId="6">
    <w:name w:val="heading 3"/>
    <w:basedOn w:val="1"/>
    <w:next w:val="1"/>
    <w:qFormat/>
    <w:locked/>
    <w:uiPriority w:val="0"/>
    <w:pPr>
      <w:keepNext/>
      <w:keepLines/>
      <w:spacing w:before="260" w:after="260" w:line="416" w:lineRule="atLeast"/>
      <w:outlineLvl w:val="2"/>
    </w:pPr>
    <w:rPr>
      <w:b/>
      <w:bCs/>
      <w:sz w:val="32"/>
      <w:szCs w:val="32"/>
    </w:rPr>
  </w:style>
  <w:style w:type="paragraph" w:styleId="7">
    <w:name w:val="heading 4"/>
    <w:basedOn w:val="1"/>
    <w:next w:val="1"/>
    <w:qFormat/>
    <w:locked/>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正文（缩进）"/>
    <w:basedOn w:val="3"/>
    <w:next w:val="1"/>
    <w:qFormat/>
    <w:uiPriority w:val="99"/>
    <w:pPr>
      <w:spacing w:line="360" w:lineRule="auto"/>
      <w:ind w:firstLine="480"/>
    </w:pPr>
  </w:style>
  <w:style w:type="paragraph" w:customStyle="1" w:styleId="3">
    <w:name w:val="正文(首行缩进)"/>
    <w:basedOn w:val="1"/>
    <w:next w:val="1"/>
    <w:qFormat/>
    <w:uiPriority w:val="0"/>
    <w:pPr>
      <w:spacing w:line="460" w:lineRule="exact"/>
      <w:ind w:firstLine="560" w:firstLineChars="200"/>
    </w:pPr>
    <w:rPr>
      <w:rFonts w:ascii="宋体" w:hAnsi="宋体"/>
      <w:snapToGrid w:val="0"/>
      <w:color w:val="000000"/>
      <w:kern w:val="0"/>
      <w:sz w:val="24"/>
    </w:rPr>
  </w:style>
  <w:style w:type="paragraph" w:styleId="8">
    <w:name w:val="Normal Indent"/>
    <w:basedOn w:val="1"/>
    <w:qFormat/>
    <w:locked/>
    <w:uiPriority w:val="0"/>
    <w:pPr>
      <w:ind w:firstLine="420"/>
    </w:pPr>
    <w:rPr>
      <w:szCs w:val="20"/>
    </w:rPr>
  </w:style>
  <w:style w:type="paragraph" w:styleId="9">
    <w:name w:val="annotation text"/>
    <w:basedOn w:val="1"/>
    <w:link w:val="38"/>
    <w:semiHidden/>
    <w:qFormat/>
    <w:uiPriority w:val="0"/>
    <w:pPr>
      <w:jc w:val="left"/>
    </w:pPr>
    <w:rPr>
      <w:kern w:val="0"/>
      <w:sz w:val="24"/>
      <w:szCs w:val="20"/>
    </w:rPr>
  </w:style>
  <w:style w:type="paragraph" w:styleId="10">
    <w:name w:val="Body Text"/>
    <w:basedOn w:val="1"/>
    <w:next w:val="11"/>
    <w:link w:val="39"/>
    <w:qFormat/>
    <w:uiPriority w:val="0"/>
    <w:pPr>
      <w:widowControl/>
      <w:snapToGrid w:val="0"/>
      <w:spacing w:before="60" w:after="160" w:line="259" w:lineRule="auto"/>
      <w:ind w:right="113"/>
    </w:pPr>
    <w:rPr>
      <w:kern w:val="0"/>
      <w:sz w:val="18"/>
      <w:szCs w:val="20"/>
    </w:rPr>
  </w:style>
  <w:style w:type="paragraph" w:customStyle="1" w:styleId="11">
    <w:name w:val="Date1"/>
    <w:basedOn w:val="1"/>
    <w:next w:val="1"/>
    <w:qFormat/>
    <w:uiPriority w:val="0"/>
    <w:pPr>
      <w:adjustRightInd w:val="0"/>
      <w:jc w:val="left"/>
      <w:textAlignment w:val="baseline"/>
    </w:pPr>
    <w:rPr>
      <w:rFonts w:ascii="宋体" w:hAnsi="宋体"/>
      <w:sz w:val="28"/>
    </w:rPr>
  </w:style>
  <w:style w:type="paragraph" w:styleId="12">
    <w:name w:val="Body Text Indent"/>
    <w:basedOn w:val="1"/>
    <w:next w:val="1"/>
    <w:link w:val="40"/>
    <w:qFormat/>
    <w:uiPriority w:val="0"/>
    <w:pPr>
      <w:spacing w:after="120"/>
      <w:ind w:left="420" w:leftChars="200"/>
    </w:pPr>
    <w:rPr>
      <w:kern w:val="0"/>
      <w:sz w:val="24"/>
      <w:szCs w:val="20"/>
    </w:rPr>
  </w:style>
  <w:style w:type="paragraph" w:styleId="13">
    <w:name w:val="Date"/>
    <w:basedOn w:val="1"/>
    <w:next w:val="1"/>
    <w:link w:val="41"/>
    <w:qFormat/>
    <w:uiPriority w:val="0"/>
    <w:pPr>
      <w:ind w:left="100" w:leftChars="2500"/>
    </w:pPr>
    <w:rPr>
      <w:kern w:val="0"/>
      <w:sz w:val="24"/>
      <w:szCs w:val="20"/>
    </w:rPr>
  </w:style>
  <w:style w:type="paragraph" w:styleId="14">
    <w:name w:val="Balloon Text"/>
    <w:basedOn w:val="1"/>
    <w:link w:val="42"/>
    <w:semiHidden/>
    <w:qFormat/>
    <w:uiPriority w:val="0"/>
    <w:rPr>
      <w:kern w:val="0"/>
      <w:sz w:val="18"/>
      <w:szCs w:val="20"/>
    </w:rPr>
  </w:style>
  <w:style w:type="paragraph" w:styleId="15">
    <w:name w:val="footer"/>
    <w:basedOn w:val="1"/>
    <w:next w:val="1"/>
    <w:link w:val="43"/>
    <w:qFormat/>
    <w:uiPriority w:val="99"/>
    <w:pPr>
      <w:tabs>
        <w:tab w:val="center" w:pos="4153"/>
        <w:tab w:val="right" w:pos="8306"/>
      </w:tabs>
      <w:snapToGrid w:val="0"/>
      <w:jc w:val="left"/>
    </w:pPr>
    <w:rPr>
      <w:kern w:val="0"/>
      <w:sz w:val="18"/>
      <w:szCs w:val="20"/>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Subtitle"/>
    <w:basedOn w:val="1"/>
    <w:next w:val="1"/>
    <w:qFormat/>
    <w:locked/>
    <w:uiPriority w:val="0"/>
    <w:pPr>
      <w:adjustRightInd w:val="0"/>
      <w:snapToGrid w:val="0"/>
      <w:jc w:val="center"/>
    </w:pPr>
    <w:rPr>
      <w:rFonts w:eastAsia="黑体"/>
      <w:bCs/>
      <w:snapToGrid w:val="0"/>
      <w:kern w:val="0"/>
      <w:sz w:val="24"/>
      <w:szCs w:val="32"/>
    </w:rPr>
  </w:style>
  <w:style w:type="paragraph" w:styleId="18">
    <w:name w:val="List"/>
    <w:basedOn w:val="1"/>
    <w:qFormat/>
    <w:locked/>
    <w:uiPriority w:val="0"/>
    <w:pPr>
      <w:spacing w:line="320" w:lineRule="exact"/>
      <w:ind w:firstLine="0" w:firstLineChars="0"/>
      <w:jc w:val="center"/>
    </w:pPr>
    <w:rPr>
      <w:sz w:val="22"/>
    </w:rPr>
  </w:style>
  <w:style w:type="paragraph" w:styleId="19">
    <w:name w:val="Body Text 2"/>
    <w:basedOn w:val="1"/>
    <w:next w:val="1"/>
    <w:qFormat/>
    <w:locked/>
    <w:uiPriority w:val="0"/>
    <w:pPr>
      <w:snapToGrid w:val="0"/>
      <w:jc w:val="center"/>
    </w:pPr>
    <w:rPr>
      <w:sz w:val="28"/>
      <w:szCs w:val="20"/>
    </w:rPr>
  </w:style>
  <w:style w:type="paragraph" w:styleId="20">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link w:val="45"/>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46"/>
    <w:semiHidden/>
    <w:qFormat/>
    <w:uiPriority w:val="0"/>
    <w:rPr>
      <w:b/>
      <w:sz w:val="24"/>
      <w:szCs w:val="20"/>
    </w:rPr>
  </w:style>
  <w:style w:type="paragraph" w:styleId="23">
    <w:name w:val="Body Text First Indent"/>
    <w:basedOn w:val="10"/>
    <w:next w:val="1"/>
    <w:qFormat/>
    <w:locked/>
    <w:uiPriority w:val="0"/>
    <w:pPr>
      <w:ind w:firstLine="420"/>
    </w:pPr>
  </w:style>
  <w:style w:type="paragraph" w:styleId="24">
    <w:name w:val="Body Text First Indent 2"/>
    <w:basedOn w:val="12"/>
    <w:next w:val="1"/>
    <w:qFormat/>
    <w:locked/>
    <w:uiPriority w:val="0"/>
    <w:pPr>
      <w:ind w:firstLine="420" w:firstLineChars="200"/>
    </w:pPr>
    <w:rPr>
      <w:kern w:val="2"/>
      <w:sz w:val="21"/>
      <w:lang w:val="en-US" w:eastAsia="zh-CN"/>
    </w:rPr>
  </w:style>
  <w:style w:type="table" w:styleId="26">
    <w:name w:val="Table Grid"/>
    <w:basedOn w:val="2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0"/>
    <w:rPr>
      <w:b/>
    </w:rPr>
  </w:style>
  <w:style w:type="character" w:styleId="29">
    <w:name w:val="page number"/>
    <w:basedOn w:val="27"/>
    <w:qFormat/>
    <w:locked/>
    <w:uiPriority w:val="0"/>
  </w:style>
  <w:style w:type="character" w:styleId="30">
    <w:name w:val="Emphasis"/>
    <w:basedOn w:val="27"/>
    <w:qFormat/>
    <w:locked/>
    <w:uiPriority w:val="0"/>
    <w:rPr>
      <w:i/>
    </w:rPr>
  </w:style>
  <w:style w:type="character" w:styleId="31">
    <w:name w:val="Hyperlink"/>
    <w:basedOn w:val="27"/>
    <w:qFormat/>
    <w:locked/>
    <w:uiPriority w:val="0"/>
    <w:rPr>
      <w:color w:val="0000FF"/>
      <w:u w:val="single"/>
    </w:rPr>
  </w:style>
  <w:style w:type="character" w:styleId="32">
    <w:name w:val="annotation reference"/>
    <w:semiHidden/>
    <w:qFormat/>
    <w:uiPriority w:val="0"/>
    <w:rPr>
      <w:sz w:val="21"/>
    </w:rPr>
  </w:style>
  <w:style w:type="paragraph" w:customStyle="1" w:styleId="33">
    <w:name w:val="Plain Text1"/>
    <w:basedOn w:val="1"/>
    <w:qFormat/>
    <w:uiPriority w:val="0"/>
    <w:rPr>
      <w:rFonts w:ascii="宋体" w:hAnsi="Courier New" w:cs="Courier New"/>
      <w:szCs w:val="21"/>
    </w:rPr>
  </w:style>
  <w:style w:type="paragraph" w:customStyle="1" w:styleId="34">
    <w:name w:val="表格"/>
    <w:basedOn w:val="35"/>
    <w:next w:val="1"/>
    <w:link w:val="50"/>
    <w:qFormat/>
    <w:uiPriority w:val="0"/>
    <w:pPr>
      <w:adjustRightInd w:val="0"/>
      <w:snapToGrid w:val="0"/>
      <w:spacing w:beforeLines="10" w:afterLines="10" w:line="259" w:lineRule="auto"/>
      <w:jc w:val="center"/>
    </w:pPr>
    <w:rPr>
      <w:rFonts w:ascii="宋体"/>
      <w:kern w:val="0"/>
      <w:szCs w:val="20"/>
    </w:rPr>
  </w:style>
  <w:style w:type="paragraph" w:customStyle="1" w:styleId="35">
    <w:name w:val="Normal Indent1"/>
    <w:basedOn w:val="1"/>
    <w:qFormat/>
    <w:uiPriority w:val="0"/>
    <w:pPr>
      <w:spacing w:line="600" w:lineRule="exact"/>
      <w:ind w:firstLine="420"/>
    </w:pPr>
    <w:rPr>
      <w:rFonts w:ascii="宋体" w:cs="Times New Roman"/>
      <w:sz w:val="32"/>
      <w:szCs w:val="20"/>
    </w:rPr>
  </w:style>
  <w:style w:type="paragraph" w:customStyle="1" w:styleId="36">
    <w:name w:val="正文首行缩进2个字 Char"/>
    <w:basedOn w:val="1"/>
    <w:qFormat/>
    <w:uiPriority w:val="0"/>
    <w:pPr>
      <w:ind w:firstLine="480" w:firstLineChars="200"/>
    </w:pPr>
    <w:rPr>
      <w:rFonts w:eastAsia="楷体"/>
      <w:sz w:val="24"/>
    </w:rPr>
  </w:style>
  <w:style w:type="paragraph" w:customStyle="1" w:styleId="37">
    <w:name w:val="Body Text First Indent1"/>
    <w:basedOn w:val="10"/>
    <w:qFormat/>
    <w:uiPriority w:val="0"/>
    <w:pPr>
      <w:ind w:firstLine="420" w:firstLineChars="100"/>
    </w:pPr>
  </w:style>
  <w:style w:type="character" w:customStyle="1" w:styleId="38">
    <w:name w:val="批注文字 Char"/>
    <w:link w:val="9"/>
    <w:qFormat/>
    <w:locked/>
    <w:uiPriority w:val="0"/>
    <w:rPr>
      <w:rFonts w:ascii="Times New Roman" w:hAnsi="Times New Roman" w:eastAsia="宋体"/>
      <w:sz w:val="24"/>
    </w:rPr>
  </w:style>
  <w:style w:type="character" w:customStyle="1" w:styleId="39">
    <w:name w:val="正文文本 Char"/>
    <w:link w:val="10"/>
    <w:qFormat/>
    <w:locked/>
    <w:uiPriority w:val="0"/>
    <w:rPr>
      <w:sz w:val="18"/>
    </w:rPr>
  </w:style>
  <w:style w:type="character" w:customStyle="1" w:styleId="40">
    <w:name w:val="正文文本缩进 Char"/>
    <w:link w:val="12"/>
    <w:semiHidden/>
    <w:qFormat/>
    <w:locked/>
    <w:uiPriority w:val="0"/>
    <w:rPr>
      <w:rFonts w:ascii="Times New Roman" w:hAnsi="Times New Roman" w:eastAsia="宋体"/>
      <w:sz w:val="24"/>
    </w:rPr>
  </w:style>
  <w:style w:type="character" w:customStyle="1" w:styleId="41">
    <w:name w:val="日期 Char"/>
    <w:link w:val="13"/>
    <w:qFormat/>
    <w:locked/>
    <w:uiPriority w:val="0"/>
    <w:rPr>
      <w:rFonts w:ascii="Times New Roman" w:hAnsi="Times New Roman" w:eastAsia="宋体"/>
      <w:sz w:val="24"/>
    </w:rPr>
  </w:style>
  <w:style w:type="character" w:customStyle="1" w:styleId="42">
    <w:name w:val="批注框文本 Char"/>
    <w:link w:val="14"/>
    <w:semiHidden/>
    <w:qFormat/>
    <w:locked/>
    <w:uiPriority w:val="0"/>
    <w:rPr>
      <w:rFonts w:ascii="Times New Roman" w:hAnsi="Times New Roman" w:eastAsia="宋体"/>
      <w:sz w:val="18"/>
    </w:rPr>
  </w:style>
  <w:style w:type="character" w:customStyle="1" w:styleId="43">
    <w:name w:val="页脚 Char"/>
    <w:link w:val="15"/>
    <w:qFormat/>
    <w:locked/>
    <w:uiPriority w:val="99"/>
    <w:rPr>
      <w:sz w:val="18"/>
    </w:rPr>
  </w:style>
  <w:style w:type="character" w:customStyle="1" w:styleId="44">
    <w:name w:val="页眉 Char"/>
    <w:link w:val="16"/>
    <w:qFormat/>
    <w:locked/>
    <w:uiPriority w:val="0"/>
    <w:rPr>
      <w:sz w:val="18"/>
    </w:rPr>
  </w:style>
  <w:style w:type="character" w:customStyle="1" w:styleId="45">
    <w:name w:val="普通(网站) Char"/>
    <w:link w:val="21"/>
    <w:qFormat/>
    <w:locked/>
    <w:uiPriority w:val="0"/>
    <w:rPr>
      <w:rFonts w:ascii="宋体" w:hAnsi="宋体" w:eastAsia="宋体"/>
      <w:sz w:val="24"/>
    </w:rPr>
  </w:style>
  <w:style w:type="character" w:customStyle="1" w:styleId="46">
    <w:name w:val="批注主题 Char"/>
    <w:link w:val="22"/>
    <w:semiHidden/>
    <w:qFormat/>
    <w:locked/>
    <w:uiPriority w:val="0"/>
    <w:rPr>
      <w:rFonts w:ascii="Times New Roman" w:hAnsi="Times New Roman" w:eastAsia="宋体"/>
      <w:b/>
      <w:kern w:val="2"/>
      <w:sz w:val="24"/>
    </w:rPr>
  </w:style>
  <w:style w:type="paragraph" w:customStyle="1" w:styleId="47">
    <w:name w:val="表头"/>
    <w:basedOn w:val="18"/>
    <w:next w:val="1"/>
    <w:qFormat/>
    <w:uiPriority w:val="0"/>
    <w:pPr>
      <w:adjustRightInd w:val="0"/>
      <w:spacing w:before="80" w:after="80"/>
      <w:jc w:val="center"/>
      <w:textAlignment w:val="baseline"/>
    </w:pPr>
    <w:rPr>
      <w:rFonts w:ascii="仿宋_GB2312" w:eastAsia="仿宋_GB2312"/>
      <w:kern w:val="0"/>
      <w:sz w:val="24"/>
      <w:szCs w:val="20"/>
    </w:rPr>
  </w:style>
  <w:style w:type="character" w:customStyle="1" w:styleId="48">
    <w:name w:val="页脚 字符"/>
    <w:basedOn w:val="27"/>
    <w:qFormat/>
    <w:uiPriority w:val="99"/>
  </w:style>
  <w:style w:type="character" w:customStyle="1" w:styleId="49">
    <w:name w:val="正文文本 字符1"/>
    <w:semiHidden/>
    <w:qFormat/>
    <w:uiPriority w:val="0"/>
    <w:rPr>
      <w:rFonts w:ascii="Times New Roman" w:hAnsi="Times New Roman" w:eastAsia="宋体"/>
      <w:sz w:val="24"/>
    </w:rPr>
  </w:style>
  <w:style w:type="character" w:customStyle="1" w:styleId="50">
    <w:name w:val="表格 Char"/>
    <w:link w:val="34"/>
    <w:qFormat/>
    <w:locked/>
    <w:uiPriority w:val="0"/>
    <w:rPr>
      <w:rFonts w:ascii="宋体"/>
      <w:sz w:val="21"/>
    </w:rPr>
  </w:style>
  <w:style w:type="character" w:customStyle="1" w:styleId="51">
    <w:name w:val="日期 字符"/>
    <w:semiHidden/>
    <w:qFormat/>
    <w:uiPriority w:val="0"/>
    <w:rPr>
      <w:rFonts w:ascii="Times New Roman" w:hAnsi="Times New Roman" w:eastAsia="宋体"/>
      <w:sz w:val="24"/>
    </w:rPr>
  </w:style>
  <w:style w:type="character" w:customStyle="1" w:styleId="52">
    <w:name w:val="批注文字 字符1"/>
    <w:semiHidden/>
    <w:qFormat/>
    <w:uiPriority w:val="0"/>
    <w:rPr>
      <w:rFonts w:ascii="Times New Roman" w:hAnsi="Times New Roman" w:eastAsia="宋体"/>
      <w:sz w:val="24"/>
    </w:rPr>
  </w:style>
  <w:style w:type="paragraph" w:customStyle="1" w:styleId="5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普通(网站)2"/>
    <w:basedOn w:val="1"/>
    <w:qFormat/>
    <w:uiPriority w:val="0"/>
    <w:pPr>
      <w:widowControl/>
      <w:spacing w:before="100" w:beforeAutospacing="1" w:after="100" w:afterAutospacing="1"/>
      <w:jc w:val="left"/>
    </w:pPr>
    <w:rPr>
      <w:rFonts w:ascii="宋体" w:hAnsi="宋体"/>
      <w:sz w:val="24"/>
      <w:szCs w:val="20"/>
    </w:rPr>
  </w:style>
  <w:style w:type="paragraph" w:styleId="55">
    <w:name w:val="No Spacing"/>
    <w:basedOn w:val="1"/>
    <w:next w:val="1"/>
    <w:qFormat/>
    <w:uiPriority w:val="1"/>
    <w:pPr>
      <w:adjustRightInd w:val="0"/>
      <w:snapToGrid w:val="0"/>
      <w:spacing w:line="360" w:lineRule="auto"/>
      <w:ind w:firstLine="200" w:firstLineChars="200"/>
      <w:jc w:val="left"/>
    </w:pPr>
    <w:rPr>
      <w:snapToGrid w:val="0"/>
      <w:kern w:val="0"/>
      <w:sz w:val="24"/>
      <w:szCs w:val="22"/>
    </w:rPr>
  </w:style>
  <w:style w:type="paragraph" w:customStyle="1" w:styleId="56">
    <w:name w:val="小标题"/>
    <w:basedOn w:val="1"/>
    <w:next w:val="10"/>
    <w:qFormat/>
    <w:uiPriority w:val="0"/>
    <w:pPr>
      <w:adjustRightInd w:val="0"/>
      <w:snapToGrid w:val="0"/>
      <w:spacing w:line="360" w:lineRule="auto"/>
    </w:pPr>
    <w:rPr>
      <w:rFonts w:eastAsia="黑体"/>
      <w:snapToGrid w:val="0"/>
      <w:kern w:val="0"/>
      <w:sz w:val="24"/>
    </w:rPr>
  </w:style>
  <w:style w:type="paragraph" w:customStyle="1" w:styleId="57">
    <w:name w:val="标准正文"/>
    <w:basedOn w:val="1"/>
    <w:qFormat/>
    <w:uiPriority w:val="0"/>
    <w:pPr>
      <w:spacing w:line="360" w:lineRule="auto"/>
      <w:ind w:firstLine="480" w:firstLineChars="200"/>
      <w:jc w:val="left"/>
    </w:pPr>
    <w:rPr>
      <w:rFonts w:ascii="Times New Roman" w:hAnsi="Times New Roman"/>
      <w:sz w:val="24"/>
    </w:rPr>
  </w:style>
  <w:style w:type="paragraph" w:customStyle="1" w:styleId="58">
    <w:name w:val="表内文字"/>
    <w:basedOn w:val="59"/>
    <w:next w:val="1"/>
    <w:qFormat/>
    <w:uiPriority w:val="0"/>
    <w:pPr>
      <w:adjustRightInd w:val="0"/>
      <w:snapToGrid w:val="0"/>
    </w:pPr>
    <w:rPr>
      <w:rFonts w:cs="宋体"/>
      <w:snapToGrid w:val="0"/>
      <w:color w:val="000000"/>
      <w:kern w:val="0"/>
      <w:szCs w:val="20"/>
    </w:rPr>
  </w:style>
  <w:style w:type="paragraph" w:customStyle="1" w:styleId="59">
    <w:name w:val="表头11"/>
    <w:basedOn w:val="1"/>
    <w:next w:val="1"/>
    <w:qFormat/>
    <w:uiPriority w:val="0"/>
    <w:pPr>
      <w:adjustRightInd w:val="0"/>
      <w:snapToGrid w:val="0"/>
    </w:pPr>
    <w:rPr>
      <w:rFonts w:eastAsia="黑体"/>
    </w:rPr>
  </w:style>
  <w:style w:type="paragraph" w:customStyle="1" w:styleId="60">
    <w:name w:val="环评正文"/>
    <w:basedOn w:val="1"/>
    <w:qFormat/>
    <w:uiPriority w:val="0"/>
    <w:pPr>
      <w:spacing w:line="360" w:lineRule="auto"/>
      <w:ind w:firstLine="200" w:firstLineChars="200"/>
    </w:pPr>
    <w:rPr>
      <w:sz w:val="24"/>
    </w:rPr>
  </w:style>
  <w:style w:type="paragraph" w:customStyle="1" w:styleId="61">
    <w:name w:val="表格内容"/>
    <w:basedOn w:val="8"/>
    <w:next w:val="1"/>
    <w:qFormat/>
    <w:uiPriority w:val="0"/>
    <w:pPr>
      <w:adjustRightInd w:val="0"/>
      <w:snapToGrid w:val="0"/>
      <w:spacing w:line="240" w:lineRule="atLeast"/>
      <w:ind w:firstLine="0" w:firstLineChars="0"/>
      <w:jc w:val="center"/>
    </w:pPr>
    <w:rPr>
      <w:snapToGrid w:val="0"/>
      <w:sz w:val="21"/>
    </w:rPr>
  </w:style>
  <w:style w:type="paragraph" w:customStyle="1" w:styleId="62">
    <w:name w:val="正文（首行缩进两字）"/>
    <w:basedOn w:val="1"/>
    <w:qFormat/>
    <w:uiPriority w:val="0"/>
    <w:pPr>
      <w:spacing w:line="360" w:lineRule="auto"/>
      <w:ind w:firstLine="420"/>
    </w:pPr>
    <w:rPr>
      <w:sz w:val="28"/>
      <w:szCs w:val="21"/>
    </w:rPr>
  </w:style>
  <w:style w:type="paragraph" w:customStyle="1" w:styleId="63">
    <w:name w:val="【正文】"/>
    <w:basedOn w:val="1"/>
    <w:next w:val="1"/>
    <w:qFormat/>
    <w:uiPriority w:val="0"/>
    <w:pPr>
      <w:widowControl/>
      <w:suppressAutoHyphens/>
      <w:overflowPunct w:val="0"/>
      <w:autoSpaceDN w:val="0"/>
      <w:ind w:firstLine="200" w:firstLineChars="200"/>
      <w:jc w:val="both"/>
    </w:pPr>
    <w:rPr>
      <w:rFonts w:cs="宋体"/>
      <w:color w:val="auto"/>
      <w:sz w:val="24"/>
      <w:szCs w:val="20"/>
    </w:rPr>
  </w:style>
  <w:style w:type="paragraph" w:customStyle="1" w:styleId="64">
    <w:name w:val="预测表格"/>
    <w:basedOn w:val="1"/>
    <w:qFormat/>
    <w:uiPriority w:val="0"/>
    <w:pPr>
      <w:ind w:left="-15" w:leftChars="-15" w:right="-15" w:rightChars="-15"/>
      <w:jc w:val="center"/>
    </w:pPr>
    <w:rPr>
      <w:rFonts w:ascii="宋体" w:hAnsi="宋体"/>
      <w:spacing w:val="-5"/>
      <w:sz w:val="18"/>
      <w:szCs w:val="18"/>
    </w:rPr>
  </w:style>
  <w:style w:type="paragraph" w:customStyle="1" w:styleId="65">
    <w:name w:val="报告表正文"/>
    <w:basedOn w:val="1"/>
    <w:qFormat/>
    <w:uiPriority w:val="0"/>
    <w:pPr>
      <w:overflowPunct w:val="0"/>
      <w:adjustRightInd w:val="0"/>
      <w:snapToGrid w:val="0"/>
      <w:spacing w:line="360" w:lineRule="auto"/>
      <w:ind w:firstLine="200" w:firstLineChars="200"/>
    </w:pPr>
    <w:rPr>
      <w:rFonts w:eastAsia="仿宋_GB2312"/>
      <w:color w:val="000000"/>
      <w:kern w:val="16"/>
      <w:sz w:val="24"/>
    </w:rPr>
  </w:style>
  <w:style w:type="paragraph" w:customStyle="1" w:styleId="66">
    <w:name w:val="cucd-0"/>
    <w:qFormat/>
    <w:uiPriority w:val="0"/>
    <w:pPr>
      <w:spacing w:line="360" w:lineRule="auto"/>
      <w:ind w:firstLine="480" w:firstLineChars="200"/>
    </w:pPr>
    <w:rPr>
      <w:rFonts w:ascii="Times New Roman" w:hAnsi="Times New Roman" w:eastAsia="仿宋_GB2312" w:cs="Times New Roman"/>
      <w:sz w:val="24"/>
      <w:szCs w:val="24"/>
      <w:lang w:val="en-US" w:eastAsia="zh-CN" w:bidi="ar-SA"/>
    </w:rPr>
  </w:style>
  <w:style w:type="paragraph" w:customStyle="1" w:styleId="67">
    <w:name w:val="xl27"/>
    <w:basedOn w:val="1"/>
    <w:next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8">
    <w:name w:val="样式 样式 样式 小四 首行缩进:  2.25 字符 + 首行缩进:  2.25 字符 + 首行缩进:  2 字符"/>
    <w:basedOn w:val="69"/>
    <w:qFormat/>
    <w:uiPriority w:val="0"/>
  </w:style>
  <w:style w:type="paragraph" w:customStyle="1" w:styleId="69">
    <w:name w:val="样式 样式 小四 首行缩进:  2.25 字符 + 首行缩进:  2.25 字符"/>
    <w:basedOn w:val="70"/>
    <w:qFormat/>
    <w:uiPriority w:val="0"/>
  </w:style>
  <w:style w:type="paragraph" w:customStyle="1" w:styleId="70">
    <w:name w:val="样式 小四 首行缩进:  2.25 字符"/>
    <w:basedOn w:val="1"/>
    <w:qFormat/>
    <w:uiPriority w:val="0"/>
    <w:pPr>
      <w:spacing w:line="440" w:lineRule="exact"/>
      <w:ind w:firstLine="200" w:firstLineChars="200"/>
    </w:pPr>
    <w:rPr>
      <w:rFonts w:ascii="Times New Roman" w:hAnsi="Times New Roman" w:eastAsia="宋体"/>
      <w:sz w:val="24"/>
      <w:szCs w:val="20"/>
    </w:rPr>
  </w:style>
  <w:style w:type="paragraph" w:customStyle="1" w:styleId="71">
    <w:name w:val="表题注"/>
    <w:basedOn w:val="72"/>
    <w:qFormat/>
    <w:uiPriority w:val="0"/>
    <w:pPr>
      <w:spacing w:line="240" w:lineRule="auto"/>
    </w:pPr>
    <w:rPr>
      <w:b/>
      <w:sz w:val="24"/>
    </w:rPr>
  </w:style>
  <w:style w:type="paragraph" w:customStyle="1" w:styleId="72">
    <w:name w:val="表格样式"/>
    <w:basedOn w:val="1"/>
    <w:qFormat/>
    <w:uiPriority w:val="0"/>
    <w:pPr>
      <w:adjustRightInd w:val="0"/>
      <w:snapToGrid w:val="0"/>
      <w:spacing w:line="320" w:lineRule="exact"/>
      <w:ind w:firstLine="0" w:firstLineChars="0"/>
      <w:jc w:val="center"/>
    </w:pPr>
    <w:rPr>
      <w:sz w:val="21"/>
      <w:szCs w:val="21"/>
    </w:rPr>
  </w:style>
  <w:style w:type="paragraph" w:customStyle="1" w:styleId="73">
    <w:name w:val="文本"/>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74">
    <w:name w:val="正文001"/>
    <w:basedOn w:val="1"/>
    <w:qFormat/>
    <w:uiPriority w:val="0"/>
    <w:pPr>
      <w:adjustRightInd w:val="0"/>
      <w:snapToGrid w:val="0"/>
      <w:spacing w:line="360" w:lineRule="auto"/>
      <w:ind w:firstLine="720" w:firstLineChars="200"/>
      <w:jc w:val="both"/>
      <w:outlineLvl w:val="0"/>
    </w:pPr>
    <w:rPr>
      <w:rFonts w:ascii="Times New Roman" w:hAnsi="Times New Roman" w:eastAsia="宋体"/>
      <w:sz w:val="24"/>
    </w:rPr>
  </w:style>
  <w:style w:type="paragraph" w:customStyle="1" w:styleId="75">
    <w:name w:val="表格001"/>
    <w:basedOn w:val="1"/>
    <w:next w:val="74"/>
    <w:qFormat/>
    <w:uiPriority w:val="0"/>
    <w:pPr>
      <w:adjustRightInd w:val="0"/>
      <w:snapToGrid w:val="0"/>
      <w:spacing w:line="240" w:lineRule="auto"/>
      <w:jc w:val="center"/>
    </w:pPr>
    <w:rPr>
      <w:szCs w:val="21"/>
    </w:rPr>
  </w:style>
  <w:style w:type="paragraph" w:customStyle="1" w:styleId="76">
    <w:name w:val="Table Paragraph"/>
    <w:basedOn w:val="1"/>
    <w:qFormat/>
    <w:uiPriority w:val="0"/>
    <w:pPr>
      <w:jc w:val="left"/>
    </w:pPr>
    <w:rPr>
      <w:rFonts w:ascii="Calibri" w:hAnsi="Calibri"/>
      <w:kern w:val="0"/>
      <w:sz w:val="22"/>
      <w:szCs w:val="22"/>
    </w:rPr>
  </w:style>
  <w:style w:type="paragraph" w:customStyle="1" w:styleId="77">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Body Text First Indent"/>
    <w:basedOn w:val="10"/>
    <w:qFormat/>
    <w:uiPriority w:val="0"/>
    <w:pPr>
      <w:ind w:firstLine="420" w:firstLineChars="100"/>
    </w:pPr>
  </w:style>
  <w:style w:type="paragraph" w:styleId="80">
    <w:name w:val="Quote"/>
    <w:basedOn w:val="1"/>
    <w:next w:val="1"/>
    <w:qFormat/>
    <w:uiPriority w:val="29"/>
    <w:pPr>
      <w:spacing w:line="240" w:lineRule="auto"/>
      <w:ind w:firstLine="0" w:firstLineChars="0"/>
      <w:jc w:val="center"/>
    </w:pPr>
    <w:rPr>
      <w:iCs/>
      <w:color w:val="000000" w:themeColor="text1"/>
      <w:sz w:val="21"/>
      <w14:textFill>
        <w14:solidFill>
          <w14:schemeClr w14:val="tx1"/>
        </w14:solidFill>
      </w14:textFill>
    </w:rPr>
  </w:style>
  <w:style w:type="paragraph" w:customStyle="1" w:styleId="81">
    <w:name w:val="正文12"/>
    <w:basedOn w:val="1"/>
    <w:qFormat/>
    <w:uiPriority w:val="0"/>
    <w:pPr>
      <w:adjustRightInd w:val="0"/>
      <w:snapToGrid w:val="0"/>
      <w:spacing w:line="360" w:lineRule="auto"/>
      <w:ind w:firstLine="200" w:firstLineChars="200"/>
      <w:jc w:val="left"/>
    </w:pPr>
    <w:rPr>
      <w:kern w:val="0"/>
      <w:szCs w:val="21"/>
    </w:rPr>
  </w:style>
  <w:style w:type="paragraph" w:customStyle="1" w:styleId="82">
    <w:name w:val="001"/>
    <w:basedOn w:val="1"/>
    <w:qFormat/>
    <w:uiPriority w:val="0"/>
    <w:pPr>
      <w:adjustRightInd w:val="0"/>
      <w:snapToGrid w:val="0"/>
      <w:spacing w:line="360" w:lineRule="auto"/>
      <w:ind w:firstLine="720" w:firstLineChars="200"/>
    </w:pPr>
    <w:rPr>
      <w:rFonts w:hint="eastAsia"/>
      <w:sz w:val="24"/>
    </w:rPr>
  </w:style>
  <w:style w:type="paragraph" w:customStyle="1" w:styleId="83">
    <w:name w:val="【表头】"/>
    <w:basedOn w:val="1"/>
    <w:next w:val="1"/>
    <w:qFormat/>
    <w:uiPriority w:val="0"/>
    <w:pPr>
      <w:widowControl/>
      <w:spacing w:line="460" w:lineRule="exact"/>
      <w:jc w:val="center"/>
    </w:pPr>
    <w:rPr>
      <w:rFonts w:eastAsia="黑体" w:cs="Times New Roman"/>
      <w:snapToGrid w:val="0"/>
      <w:szCs w:val="24"/>
    </w:rPr>
  </w:style>
  <w:style w:type="paragraph" w:customStyle="1" w:styleId="84">
    <w:name w:val="正文样式"/>
    <w:basedOn w:val="1"/>
    <w:qFormat/>
    <w:uiPriority w:val="0"/>
    <w:pPr>
      <w:adjustRightInd w:val="0"/>
      <w:snapToGrid w:val="0"/>
      <w:spacing w:line="360" w:lineRule="auto"/>
      <w:ind w:firstLine="542" w:firstLineChars="225"/>
      <w:jc w:val="center"/>
    </w:pPr>
    <w:rPr>
      <w:rFonts w:ascii="Times New Roman" w:hAnsi="Times New Roman" w:eastAsia="宋体"/>
      <w:b/>
      <w:color w:val="FF0000"/>
    </w:rPr>
  </w:style>
  <w:style w:type="table" w:customStyle="1" w:styleId="85">
    <w:name w:val="Table Normal"/>
    <w:semiHidden/>
    <w:unhideWhenUsed/>
    <w:qFormat/>
    <w:uiPriority w:val="0"/>
    <w:tblPr>
      <w:tblCellMar>
        <w:top w:w="0" w:type="dxa"/>
        <w:left w:w="0" w:type="dxa"/>
        <w:bottom w:w="0" w:type="dxa"/>
        <w:right w:w="0" w:type="dxa"/>
      </w:tblCellMar>
    </w:tblPr>
  </w:style>
  <w:style w:type="character" w:customStyle="1" w:styleId="86">
    <w:name w:val="样式 小四 Char Char"/>
    <w:link w:val="87"/>
    <w:qFormat/>
    <w:uiPriority w:val="0"/>
    <w:rPr>
      <w:rFonts w:ascii="Times New Roman"/>
      <w:kern w:val="2"/>
      <w:szCs w:val="24"/>
    </w:rPr>
  </w:style>
  <w:style w:type="paragraph" w:customStyle="1" w:styleId="87">
    <w:name w:val="样式 小四 Char"/>
    <w:basedOn w:val="1"/>
    <w:link w:val="86"/>
    <w:qFormat/>
    <w:uiPriority w:val="0"/>
    <w:pPr>
      <w:spacing w:line="360" w:lineRule="auto"/>
      <w:ind w:firstLine="480" w:firstLineChars="200"/>
    </w:pPr>
    <w:rPr>
      <w:rFonts w:ascii="Times New Roman"/>
      <w:kern w:val="2"/>
      <w:szCs w:val="24"/>
    </w:rPr>
  </w:style>
  <w:style w:type="paragraph" w:styleId="88">
    <w:name w:val="List Paragraph"/>
    <w:basedOn w:val="1"/>
    <w:qFormat/>
    <w:uiPriority w:val="99"/>
    <w:pPr>
      <w:spacing w:line="520" w:lineRule="exact"/>
      <w:ind w:firstLine="420" w:firstLineChars="200"/>
    </w:pPr>
    <w:rPr>
      <w:sz w:val="24"/>
    </w:rPr>
  </w:style>
  <w:style w:type="character" w:customStyle="1" w:styleId="89">
    <w:name w:val="font31"/>
    <w:basedOn w:val="27"/>
    <w:qFormat/>
    <w:uiPriority w:val="0"/>
    <w:rPr>
      <w:rFonts w:hint="eastAsia" w:ascii="宋体" w:hAnsi="宋体" w:eastAsia="宋体" w:cs="宋体"/>
      <w:color w:val="000000"/>
      <w:sz w:val="21"/>
      <w:szCs w:val="21"/>
      <w:u w:val="none"/>
    </w:rPr>
  </w:style>
  <w:style w:type="paragraph" w:customStyle="1" w:styleId="90">
    <w:name w:val="666【正文】"/>
    <w:basedOn w:val="1"/>
    <w:qFormat/>
    <w:uiPriority w:val="0"/>
    <w:pPr>
      <w:adjustRightInd/>
      <w:snapToGrid/>
      <w:spacing w:line="240" w:lineRule="auto"/>
    </w:pPr>
    <w:rPr>
      <w:rFonts w:cs="宋体"/>
      <w:snapToGrid/>
      <w:kern w:val="2"/>
      <w:szCs w:val="20"/>
    </w:rPr>
  </w:style>
  <w:style w:type="character" w:customStyle="1" w:styleId="91">
    <w:name w:val="font21"/>
    <w:basedOn w:val="27"/>
    <w:qFormat/>
    <w:uiPriority w:val="0"/>
    <w:rPr>
      <w:rFonts w:hint="default" w:ascii="Times New Roman" w:hAnsi="Times New Roman" w:cs="Times New Roman"/>
      <w:color w:val="000000"/>
      <w:sz w:val="21"/>
      <w:szCs w:val="21"/>
      <w:u w:val="none"/>
    </w:rPr>
  </w:style>
  <w:style w:type="character" w:customStyle="1" w:styleId="92">
    <w:name w:val="font1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yuan/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51</Pages>
  <Words>6332</Words>
  <Characters>6636</Characters>
  <Lines>13</Lines>
  <Paragraphs>3</Paragraphs>
  <TotalTime>6</TotalTime>
  <ScaleCrop>false</ScaleCrop>
  <LinksUpToDate>false</LinksUpToDate>
  <CharactersWithSpaces>6703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2020-12-25T09:29:00Z</dcterms:created>
  <dc:creator>lhj</dc:creator>
  <cp:lastModifiedBy>guyuan</cp:lastModifiedBy>
  <cp:lastPrinted>2020-12-30T10:43:00Z</cp:lastPrinted>
  <dcterms:modified xsi:type="dcterms:W3CDTF">2025-10-13T10:37:14Z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DFBD3B682CBD4B52AAD71AE203B8F762_13</vt:lpwstr>
  </property>
  <property fmtid="{D5CDD505-2E9C-101B-9397-08002B2CF9AE}" pid="4" name="KSOTemplateDocerSaveRecord">
    <vt:lpwstr>eyJoZGlkIjoiMzljNGEzMmM3NjRiYjMzMjJmY2JhY2E2Y2I1OTNmM2QiLCJ1c2VySWQiOiIyMzcyMzkzODUifQ==</vt:lpwstr>
  </property>
</Properties>
</file>