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346D9D">
      <w:pPr>
        <w:rPr>
          <w:rFonts w:hint="default" w:ascii="仿宋_GB2312" w:hAnsi="仿宋_GB2312" w:eastAsia="仿宋_GB2312" w:cs="仿宋_GB2312"/>
          <w:color w:val="auto"/>
          <w:sz w:val="36"/>
          <w:szCs w:val="36"/>
          <w:highlight w:val="none"/>
          <w:lang w:val="en-US" w:eastAsia="zh-CN"/>
        </w:rPr>
      </w:pPr>
      <w:r>
        <w:rPr>
          <w:rFonts w:hint="eastAsia" w:ascii="仿宋_GB2312" w:hAnsi="仿宋_GB2312" w:eastAsia="仿宋_GB2312" w:cs="仿宋_GB2312"/>
          <w:color w:val="auto"/>
          <w:sz w:val="36"/>
          <w:szCs w:val="36"/>
          <w:highlight w:val="none"/>
          <w:lang w:val="en-US" w:eastAsia="zh-CN"/>
        </w:rPr>
        <w:t xml:space="preserve">  </w:t>
      </w:r>
    </w:p>
    <w:p w14:paraId="41A24C46">
      <w:pPr>
        <w:rPr>
          <w:rFonts w:ascii="仿宋_GB2312" w:hAnsi="仿宋_GB2312" w:eastAsia="仿宋_GB2312" w:cs="仿宋_GB2312"/>
          <w:color w:val="auto"/>
          <w:sz w:val="36"/>
          <w:szCs w:val="36"/>
          <w:highlight w:val="none"/>
        </w:rPr>
      </w:pPr>
    </w:p>
    <w:p w14:paraId="61E082BC">
      <w:pPr>
        <w:rPr>
          <w:rFonts w:ascii="仿宋_GB2312" w:hAnsi="仿宋_GB2312" w:eastAsia="仿宋_GB2312" w:cs="仿宋_GB2312"/>
          <w:color w:val="auto"/>
          <w:sz w:val="36"/>
          <w:szCs w:val="36"/>
          <w:highlight w:val="none"/>
        </w:rPr>
      </w:pPr>
    </w:p>
    <w:p w14:paraId="381B6767">
      <w:pPr>
        <w:adjustRightInd w:val="0"/>
        <w:snapToGrid w:val="0"/>
        <w:jc w:val="center"/>
        <w:outlineLvl w:val="0"/>
        <w:rPr>
          <w:rFonts w:hint="eastAsia" w:ascii="宋体" w:hAnsi="宋体" w:eastAsia="宋体" w:cs="宋体"/>
          <w:b/>
          <w:bCs w:val="0"/>
          <w:color w:val="auto"/>
          <w:sz w:val="72"/>
          <w:szCs w:val="72"/>
          <w:highlight w:val="none"/>
          <w:lang w:eastAsia="zh-CN"/>
        </w:rPr>
      </w:pPr>
      <w:r>
        <w:rPr>
          <w:rFonts w:hint="eastAsia" w:ascii="宋体" w:hAnsi="宋体" w:eastAsia="宋体" w:cs="宋体"/>
          <w:b/>
          <w:bCs w:val="0"/>
          <w:color w:val="auto"/>
          <w:sz w:val="72"/>
          <w:szCs w:val="72"/>
          <w:highlight w:val="none"/>
        </w:rPr>
        <w:t>建设项目环境影响报告表</w:t>
      </w:r>
    </w:p>
    <w:p w14:paraId="74E96154">
      <w:pPr>
        <w:adjustRightInd w:val="0"/>
        <w:snapToGrid w:val="0"/>
        <w:spacing w:before="192"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w:t>
      </w:r>
      <w:r>
        <w:rPr>
          <w:rFonts w:hint="eastAsia" w:ascii="楷体_GB2312" w:eastAsia="楷体_GB2312"/>
          <w:bCs/>
          <w:color w:val="auto"/>
          <w:sz w:val="48"/>
          <w:szCs w:val="48"/>
          <w:highlight w:val="none"/>
          <w:lang w:eastAsia="zh-CN"/>
        </w:rPr>
        <w:t>生态</w:t>
      </w:r>
      <w:r>
        <w:rPr>
          <w:rFonts w:hint="eastAsia" w:ascii="楷体_GB2312" w:eastAsia="楷体_GB2312"/>
          <w:bCs/>
          <w:color w:val="auto"/>
          <w:sz w:val="48"/>
          <w:szCs w:val="48"/>
          <w:highlight w:val="none"/>
        </w:rPr>
        <w:t>影响类）</w:t>
      </w:r>
    </w:p>
    <w:p w14:paraId="74965EAB">
      <w:pPr>
        <w:adjustRightInd w:val="0"/>
        <w:snapToGrid w:val="0"/>
        <w:spacing w:line="288" w:lineRule="auto"/>
        <w:jc w:val="center"/>
        <w:outlineLvl w:val="9"/>
        <w:rPr>
          <w:rFonts w:ascii="华文仿宋" w:hAnsi="华文仿宋" w:eastAsia="华文仿宋" w:cs="华文仿宋"/>
          <w:color w:val="auto"/>
          <w:kern w:val="44"/>
          <w:sz w:val="44"/>
          <w:szCs w:val="44"/>
          <w:highlight w:val="none"/>
        </w:rPr>
      </w:pPr>
    </w:p>
    <w:p w14:paraId="7D93CA0F">
      <w:pPr>
        <w:jc w:val="center"/>
        <w:rPr>
          <w:rFonts w:eastAsia="仿宋"/>
          <w:color w:val="auto"/>
          <w:sz w:val="52"/>
          <w:szCs w:val="52"/>
          <w:highlight w:val="none"/>
        </w:rPr>
      </w:pPr>
    </w:p>
    <w:p w14:paraId="61AC6813">
      <w:pPr>
        <w:pStyle w:val="46"/>
        <w:rPr>
          <w:rFonts w:eastAsia="仿宋"/>
          <w:color w:val="auto"/>
          <w:sz w:val="44"/>
          <w:szCs w:val="44"/>
          <w:highlight w:val="none"/>
        </w:rPr>
      </w:pPr>
    </w:p>
    <w:p w14:paraId="2869006B">
      <w:pPr>
        <w:ind w:firstLine="1040"/>
        <w:rPr>
          <w:rFonts w:eastAsia="仿宋"/>
          <w:color w:val="auto"/>
          <w:sz w:val="44"/>
          <w:szCs w:val="44"/>
          <w:highlight w:val="none"/>
        </w:rPr>
      </w:pPr>
    </w:p>
    <w:p w14:paraId="0220C1BE">
      <w:pPr>
        <w:pStyle w:val="9"/>
        <w:rPr>
          <w:rFonts w:eastAsia="仿宋"/>
          <w:color w:val="auto"/>
          <w:sz w:val="44"/>
          <w:szCs w:val="44"/>
          <w:highlight w:val="none"/>
        </w:rPr>
      </w:pPr>
    </w:p>
    <w:p w14:paraId="0D4F19F6">
      <w:pPr>
        <w:rPr>
          <w:rFonts w:eastAsia="仿宋"/>
          <w:color w:val="auto"/>
          <w:sz w:val="44"/>
          <w:szCs w:val="44"/>
          <w:highlight w:val="none"/>
        </w:rPr>
      </w:pPr>
    </w:p>
    <w:p w14:paraId="5F12E41E">
      <w:pPr>
        <w:pStyle w:val="9"/>
        <w:rPr>
          <w:color w:val="auto"/>
        </w:rPr>
      </w:pPr>
    </w:p>
    <w:p w14:paraId="0624B44A">
      <w:pPr>
        <w:rPr>
          <w:rFonts w:eastAsia="仿宋"/>
          <w:color w:val="auto"/>
          <w:sz w:val="44"/>
          <w:szCs w:val="44"/>
          <w:highlight w:val="none"/>
        </w:rPr>
      </w:pPr>
    </w:p>
    <w:p w14:paraId="510F1DF8">
      <w:pPr>
        <w:pStyle w:val="9"/>
        <w:rPr>
          <w:rFonts w:eastAsia="仿宋"/>
          <w:color w:val="auto"/>
          <w:sz w:val="44"/>
          <w:szCs w:val="44"/>
          <w:highlight w:val="none"/>
        </w:rPr>
      </w:pPr>
    </w:p>
    <w:p w14:paraId="3B9EA37D">
      <w:pPr>
        <w:rPr>
          <w:color w:val="auto"/>
          <w:highlight w:val="none"/>
        </w:rPr>
      </w:pPr>
    </w:p>
    <w:p w14:paraId="6E860876">
      <w:pPr>
        <w:adjustRightInd w:val="0"/>
        <w:snapToGrid w:val="0"/>
        <w:spacing w:line="288" w:lineRule="auto"/>
        <w:ind w:firstLine="360" w:firstLineChars="100"/>
        <w:rPr>
          <w:rFonts w:hint="default" w:eastAsia="仿宋_GB2312" w:cs="Times New Roman"/>
          <w:b w:val="0"/>
          <w:bCs w:val="0"/>
          <w:color w:val="auto"/>
          <w:sz w:val="36"/>
          <w:szCs w:val="36"/>
          <w:highlight w:val="none"/>
          <w:u w:val="single"/>
          <w:lang w:val="en-US" w:eastAsia="zh-CN"/>
        </w:rPr>
      </w:pPr>
      <w:r>
        <w:rPr>
          <w:rFonts w:hint="eastAsia" w:ascii="仿宋_GB2312" w:eastAsia="仿宋_GB2312"/>
          <w:color w:val="auto"/>
          <w:sz w:val="36"/>
          <w:szCs w:val="36"/>
          <w:highlight w:val="none"/>
        </w:rPr>
        <w:t>项目名称</w:t>
      </w:r>
      <w:r>
        <w:rPr>
          <w:rFonts w:hint="eastAsia" w:ascii="仿宋_GB2312" w:eastAsia="仿宋_GB2312"/>
          <w:color w:val="auto"/>
          <w:sz w:val="36"/>
          <w:szCs w:val="36"/>
          <w:highlight w:val="none"/>
          <w:lang w:eastAsia="zh-CN"/>
        </w:rPr>
        <w:t>：</w:t>
      </w:r>
      <w:r>
        <w:rPr>
          <w:rFonts w:hint="eastAsia" w:ascii="仿宋_GB2312" w:eastAsia="仿宋_GB2312"/>
          <w:color w:val="auto"/>
          <w:sz w:val="36"/>
          <w:szCs w:val="36"/>
          <w:highlight w:val="none"/>
          <w:u w:val="single"/>
          <w:lang w:val="en-US" w:eastAsia="zh-CN"/>
        </w:rPr>
        <w:t>泾源县中蜂中药材等林下经济产业建设项目</w:t>
      </w:r>
    </w:p>
    <w:p w14:paraId="163D4E93">
      <w:pPr>
        <w:adjustRightInd w:val="0"/>
        <w:snapToGrid w:val="0"/>
        <w:spacing w:line="288" w:lineRule="auto"/>
        <w:ind w:firstLine="360" w:firstLineChars="100"/>
        <w:rPr>
          <w:rFonts w:hint="default" w:eastAsia="仿宋_GB2312" w:cs="Times New Roman"/>
          <w:b w:val="0"/>
          <w:bCs w:val="0"/>
          <w:color w:val="auto"/>
          <w:sz w:val="36"/>
          <w:szCs w:val="36"/>
          <w:highlight w:val="none"/>
          <w:u w:val="single"/>
          <w:lang w:val="en-US" w:eastAsia="zh-CN"/>
        </w:rPr>
      </w:pPr>
      <w:r>
        <w:rPr>
          <w:rFonts w:hint="eastAsia" w:ascii="仿宋_GB2312" w:eastAsia="仿宋_GB2312"/>
          <w:color w:val="auto"/>
          <w:sz w:val="36"/>
          <w:szCs w:val="36"/>
          <w:highlight w:val="none"/>
        </w:rPr>
        <w:t>建设单位（盖章）：</w:t>
      </w:r>
      <w:r>
        <w:rPr>
          <w:rFonts w:hint="eastAsia" w:eastAsia="仿宋_GB2312" w:cs="Times New Roman"/>
          <w:b w:val="0"/>
          <w:bCs w:val="0"/>
          <w:color w:val="auto"/>
          <w:sz w:val="36"/>
          <w:szCs w:val="36"/>
          <w:highlight w:val="none"/>
          <w:u w:val="single"/>
          <w:lang w:val="en-US" w:eastAsia="zh-CN"/>
        </w:rPr>
        <w:t xml:space="preserve">   泾源县农业农村局             </w:t>
      </w:r>
    </w:p>
    <w:p w14:paraId="39452CA4">
      <w:pPr>
        <w:adjustRightInd w:val="0"/>
        <w:snapToGrid w:val="0"/>
        <w:spacing w:line="288" w:lineRule="auto"/>
        <w:ind w:firstLine="360" w:firstLineChars="100"/>
        <w:rPr>
          <w:rFonts w:hint="eastAsia" w:ascii="仿宋_GB2312" w:eastAsia="仿宋_GB2312"/>
          <w:b w:val="0"/>
          <w:bCs w:val="0"/>
          <w:color w:val="auto"/>
          <w:sz w:val="36"/>
          <w:szCs w:val="36"/>
          <w:highlight w:val="none"/>
          <w:u w:val="single"/>
          <w:lang w:val="en-US" w:eastAsia="zh-CN"/>
        </w:rPr>
      </w:pPr>
      <w:r>
        <w:rPr>
          <w:rFonts w:hint="eastAsia" w:ascii="仿宋_GB2312" w:eastAsia="仿宋_GB2312"/>
          <w:color w:val="auto"/>
          <w:sz w:val="36"/>
          <w:szCs w:val="36"/>
          <w:highlight w:val="none"/>
        </w:rPr>
        <w:t>编制日期：</w:t>
      </w:r>
      <w:r>
        <w:rPr>
          <w:rFonts w:hint="eastAsia" w:ascii="仿宋_GB2312" w:eastAsia="仿宋_GB2312"/>
          <w:b w:val="0"/>
          <w:bCs w:val="0"/>
          <w:color w:val="auto"/>
          <w:sz w:val="36"/>
          <w:szCs w:val="36"/>
          <w:highlight w:val="none"/>
          <w:u w:val="single"/>
        </w:rPr>
        <w:t xml:space="preserve"> </w:t>
      </w:r>
      <w:r>
        <w:rPr>
          <w:rFonts w:ascii="仿宋_GB2312" w:eastAsia="仿宋_GB2312"/>
          <w:b w:val="0"/>
          <w:bCs w:val="0"/>
          <w:color w:val="auto"/>
          <w:sz w:val="36"/>
          <w:szCs w:val="36"/>
          <w:highlight w:val="none"/>
          <w:u w:val="single"/>
        </w:rPr>
        <w:t xml:space="preserve">     </w:t>
      </w:r>
      <w:r>
        <w:rPr>
          <w:rFonts w:hint="default" w:ascii="Times New Roman" w:hAnsi="Times New Roman" w:eastAsia="仿宋_GB2312" w:cs="Times New Roman"/>
          <w:b w:val="0"/>
          <w:bCs w:val="0"/>
          <w:color w:val="auto"/>
          <w:sz w:val="36"/>
          <w:szCs w:val="36"/>
          <w:highlight w:val="none"/>
          <w:u w:val="single"/>
        </w:rPr>
        <w:t xml:space="preserve"> </w:t>
      </w:r>
      <w:r>
        <w:rPr>
          <w:rFonts w:hint="eastAsia" w:eastAsia="仿宋_GB2312" w:cs="Times New Roman"/>
          <w:b w:val="0"/>
          <w:bCs w:val="0"/>
          <w:color w:val="auto"/>
          <w:sz w:val="36"/>
          <w:szCs w:val="36"/>
          <w:highlight w:val="none"/>
          <w:u w:val="single"/>
          <w:lang w:val="en-US" w:eastAsia="zh-CN"/>
        </w:rPr>
        <w:t xml:space="preserve">     </w:t>
      </w:r>
      <w:r>
        <w:rPr>
          <w:rFonts w:hint="default" w:ascii="Times New Roman" w:hAnsi="Times New Roman" w:eastAsia="仿宋_GB2312" w:cs="Times New Roman"/>
          <w:b w:val="0"/>
          <w:bCs w:val="0"/>
          <w:color w:val="auto"/>
          <w:sz w:val="36"/>
          <w:szCs w:val="36"/>
          <w:highlight w:val="none"/>
          <w:u w:val="single"/>
        </w:rPr>
        <w:t>202</w:t>
      </w:r>
      <w:r>
        <w:rPr>
          <w:rFonts w:hint="eastAsia" w:eastAsia="仿宋_GB2312" w:cs="Times New Roman"/>
          <w:b w:val="0"/>
          <w:bCs w:val="0"/>
          <w:color w:val="auto"/>
          <w:sz w:val="36"/>
          <w:szCs w:val="36"/>
          <w:highlight w:val="none"/>
          <w:u w:val="single"/>
          <w:lang w:val="en-US" w:eastAsia="zh-CN"/>
        </w:rPr>
        <w:t>6</w:t>
      </w:r>
      <w:r>
        <w:rPr>
          <w:rFonts w:hint="default" w:ascii="Times New Roman" w:hAnsi="Times New Roman" w:eastAsia="仿宋_GB2312" w:cs="Times New Roman"/>
          <w:b w:val="0"/>
          <w:bCs w:val="0"/>
          <w:color w:val="auto"/>
          <w:sz w:val="36"/>
          <w:szCs w:val="36"/>
          <w:highlight w:val="none"/>
          <w:u w:val="single"/>
        </w:rPr>
        <w:t>年</w:t>
      </w:r>
      <w:r>
        <w:rPr>
          <w:rFonts w:hint="eastAsia" w:eastAsia="仿宋_GB2312" w:cs="Times New Roman"/>
          <w:b w:val="0"/>
          <w:bCs w:val="0"/>
          <w:color w:val="auto"/>
          <w:sz w:val="36"/>
          <w:szCs w:val="36"/>
          <w:highlight w:val="none"/>
          <w:u w:val="single"/>
          <w:lang w:val="en-US" w:eastAsia="zh-CN"/>
        </w:rPr>
        <w:t>1</w:t>
      </w:r>
      <w:r>
        <w:rPr>
          <w:rFonts w:hint="default" w:ascii="Times New Roman" w:hAnsi="Times New Roman" w:eastAsia="仿宋_GB2312" w:cs="Times New Roman"/>
          <w:b w:val="0"/>
          <w:bCs w:val="0"/>
          <w:color w:val="auto"/>
          <w:sz w:val="36"/>
          <w:szCs w:val="36"/>
          <w:highlight w:val="none"/>
          <w:u w:val="single"/>
        </w:rPr>
        <w:t>月</w:t>
      </w:r>
      <w:r>
        <w:rPr>
          <w:rFonts w:hint="eastAsia" w:eastAsia="仿宋_GB2312" w:cs="Times New Roman"/>
          <w:b w:val="0"/>
          <w:bCs w:val="0"/>
          <w:color w:val="auto"/>
          <w:sz w:val="36"/>
          <w:szCs w:val="36"/>
          <w:highlight w:val="none"/>
          <w:u w:val="single"/>
          <w:lang w:val="en-US" w:eastAsia="zh-CN"/>
        </w:rPr>
        <w:t xml:space="preserve">          </w:t>
      </w:r>
      <w:r>
        <w:rPr>
          <w:rFonts w:hint="default" w:ascii="Times New Roman" w:hAnsi="Times New Roman" w:eastAsia="仿宋_GB2312" w:cs="Times New Roman"/>
          <w:b w:val="0"/>
          <w:bCs w:val="0"/>
          <w:color w:val="auto"/>
          <w:sz w:val="36"/>
          <w:szCs w:val="36"/>
          <w:highlight w:val="none"/>
          <w:u w:val="single"/>
        </w:rPr>
        <w:t xml:space="preserve">  </w:t>
      </w:r>
      <w:r>
        <w:rPr>
          <w:rFonts w:ascii="仿宋_GB2312" w:eastAsia="仿宋_GB2312"/>
          <w:b w:val="0"/>
          <w:bCs w:val="0"/>
          <w:color w:val="auto"/>
          <w:sz w:val="36"/>
          <w:szCs w:val="36"/>
          <w:highlight w:val="none"/>
          <w:u w:val="single"/>
        </w:rPr>
        <w:t xml:space="preserve">   </w:t>
      </w:r>
      <w:r>
        <w:rPr>
          <w:rFonts w:hint="eastAsia" w:ascii="仿宋_GB2312" w:eastAsia="仿宋_GB2312"/>
          <w:b w:val="0"/>
          <w:bCs w:val="0"/>
          <w:color w:val="auto"/>
          <w:sz w:val="36"/>
          <w:szCs w:val="36"/>
          <w:highlight w:val="none"/>
          <w:u w:val="single"/>
          <w:lang w:val="en-US" w:eastAsia="zh-CN"/>
        </w:rPr>
        <w:t xml:space="preserve"> </w:t>
      </w:r>
    </w:p>
    <w:p w14:paraId="752399E3">
      <w:pPr>
        <w:adjustRightInd w:val="0"/>
        <w:snapToGrid w:val="0"/>
        <w:spacing w:line="288" w:lineRule="auto"/>
        <w:ind w:firstLine="1040"/>
        <w:rPr>
          <w:rFonts w:ascii="仿宋_GB2312" w:eastAsia="仿宋_GB2312"/>
          <w:color w:val="auto"/>
          <w:sz w:val="36"/>
          <w:szCs w:val="36"/>
          <w:highlight w:val="none"/>
          <w:u w:val="single"/>
        </w:rPr>
      </w:pPr>
      <w:bookmarkStart w:id="0" w:name="_Hlk57884087"/>
    </w:p>
    <w:p w14:paraId="5E717003">
      <w:pPr>
        <w:pStyle w:val="9"/>
        <w:rPr>
          <w:rFonts w:ascii="仿宋_GB2312" w:eastAsia="仿宋_GB2312"/>
          <w:color w:val="auto"/>
          <w:sz w:val="36"/>
          <w:szCs w:val="36"/>
          <w:highlight w:val="none"/>
          <w:u w:val="single"/>
        </w:rPr>
      </w:pPr>
    </w:p>
    <w:p w14:paraId="0ADDFBA4">
      <w:pPr>
        <w:pStyle w:val="9"/>
        <w:rPr>
          <w:color w:val="auto"/>
        </w:rPr>
      </w:pPr>
    </w:p>
    <w:p w14:paraId="6735EF0E">
      <w:pPr>
        <w:rPr>
          <w:rFonts w:ascii="仿宋_GB2312" w:eastAsia="仿宋_GB2312"/>
          <w:color w:val="auto"/>
          <w:sz w:val="36"/>
          <w:szCs w:val="36"/>
          <w:highlight w:val="none"/>
        </w:rPr>
      </w:pPr>
    </w:p>
    <w:bookmarkEnd w:id="0"/>
    <w:p w14:paraId="70247BA6">
      <w:pPr>
        <w:adjustRightInd w:val="0"/>
        <w:snapToGrid w:val="0"/>
        <w:spacing w:line="288" w:lineRule="auto"/>
        <w:jc w:val="center"/>
        <w:rPr>
          <w:rFonts w:ascii="仿宋_GB2312" w:eastAsia="仿宋_GB2312"/>
          <w:color w:val="auto"/>
          <w:sz w:val="36"/>
          <w:szCs w:val="36"/>
          <w:highlight w:val="none"/>
        </w:rPr>
        <w:sectPr>
          <w:headerReference r:id="rId3" w:type="default"/>
          <w:footerReference r:id="rId4" w:type="default"/>
          <w:footerReference r:id="rId5" w:type="even"/>
          <w:pgSz w:w="11906" w:h="16838"/>
          <w:pgMar w:top="1701" w:right="1417" w:bottom="1701" w:left="1417" w:header="851" w:footer="1077" w:gutter="0"/>
          <w:pgBorders>
            <w:top w:val="none" w:sz="0" w:space="0"/>
            <w:left w:val="none" w:sz="0" w:space="0"/>
            <w:bottom w:val="none" w:sz="0" w:space="0"/>
            <w:right w:val="none" w:sz="0" w:space="0"/>
          </w:pgBorders>
          <w:pgNumType w:fmt="numberInDash" w:start="3"/>
          <w:cols w:space="720" w:num="1"/>
          <w:docGrid w:linePitch="312" w:charSpace="0"/>
        </w:sectPr>
      </w:pPr>
      <w:r>
        <w:rPr>
          <w:rFonts w:hint="eastAsia" w:ascii="楷体_GB2312" w:eastAsia="楷体_GB2312"/>
          <w:color w:val="auto"/>
          <w:sz w:val="36"/>
          <w:szCs w:val="36"/>
          <w:highlight w:val="none"/>
        </w:rPr>
        <w:t>中华人民共和国生态环境部制</w:t>
      </w:r>
    </w:p>
    <w:p w14:paraId="1C33A6E6">
      <w:pPr>
        <w:keepNext w:val="0"/>
        <w:keepLines w:val="0"/>
        <w:pageBreakBefore w:val="0"/>
        <w:widowControl w:val="0"/>
        <w:kinsoku/>
        <w:wordWrap/>
        <w:overflowPunct/>
        <w:topLinePunct w:val="0"/>
        <w:autoSpaceDE/>
        <w:autoSpaceDN/>
        <w:bidi w:val="0"/>
        <w:adjustRightInd/>
        <w:snapToGrid/>
        <w:jc w:val="center"/>
        <w:textAlignment w:val="auto"/>
        <w:outlineLvl w:val="0"/>
        <w:rPr>
          <w:rFonts w:ascii="黑体" w:hAnsi="黑体" w:eastAsia="黑体"/>
          <w:snapToGrid w:val="0"/>
          <w:color w:val="auto"/>
          <w:kern w:val="0"/>
          <w:sz w:val="30"/>
          <w:szCs w:val="30"/>
          <w:highlight w:val="none"/>
        </w:rPr>
      </w:pPr>
      <w:r>
        <w:rPr>
          <w:rFonts w:hint="eastAsia" w:ascii="黑体" w:hAnsi="黑体" w:eastAsia="黑体" w:cs="Times New Roman"/>
          <w:snapToGrid w:val="0"/>
          <w:color w:val="auto"/>
          <w:kern w:val="0"/>
          <w:sz w:val="30"/>
          <w:szCs w:val="30"/>
          <w:highlight w:val="none"/>
          <w:lang w:val="en-US" w:eastAsia="zh-CN" w:bidi="ar-SA"/>
        </w:rPr>
        <w:t>一、建设项目基本情况</w:t>
      </w:r>
    </w:p>
    <w:tbl>
      <w:tblPr>
        <w:tblStyle w:val="33"/>
        <w:tblW w:w="91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27"/>
        <w:gridCol w:w="3081"/>
        <w:gridCol w:w="1581"/>
        <w:gridCol w:w="2921"/>
      </w:tblGrid>
      <w:tr w14:paraId="57A71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1527" w:type="dxa"/>
            <w:tcBorders>
              <w:tl2br w:val="nil"/>
              <w:tr2bl w:val="nil"/>
            </w:tcBorders>
            <w:tcMar>
              <w:top w:w="16" w:type="dxa"/>
              <w:left w:w="16" w:type="dxa"/>
              <w:right w:w="16" w:type="dxa"/>
            </w:tcMar>
            <w:vAlign w:val="center"/>
          </w:tcPr>
          <w:p w14:paraId="3126A87E">
            <w:pPr>
              <w:adjustRightInd w:val="0"/>
              <w:snapToGrid w:val="0"/>
              <w:spacing w:line="24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b/>
                <w:bCs/>
                <w:color w:val="auto"/>
                <w:sz w:val="24"/>
                <w:highlight w:val="none"/>
              </w:rPr>
              <w:t>建设项目名称</w:t>
            </w:r>
          </w:p>
        </w:tc>
        <w:tc>
          <w:tcPr>
            <w:tcW w:w="7583" w:type="dxa"/>
            <w:gridSpan w:val="3"/>
            <w:tcBorders>
              <w:tl2br w:val="nil"/>
              <w:tr2bl w:val="nil"/>
            </w:tcBorders>
            <w:vAlign w:val="center"/>
          </w:tcPr>
          <w:p w14:paraId="2AE8234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泾源县中蜂中药材等林下经济产业建设项目</w:t>
            </w:r>
          </w:p>
        </w:tc>
      </w:tr>
      <w:tr w14:paraId="5797B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1527" w:type="dxa"/>
            <w:tcBorders>
              <w:tl2br w:val="nil"/>
              <w:tr2bl w:val="nil"/>
            </w:tcBorders>
            <w:tcMar>
              <w:top w:w="16" w:type="dxa"/>
              <w:left w:w="16" w:type="dxa"/>
              <w:right w:w="16" w:type="dxa"/>
            </w:tcMar>
            <w:vAlign w:val="center"/>
          </w:tcPr>
          <w:p w14:paraId="777E7238">
            <w:pPr>
              <w:adjustRightInd w:val="0"/>
              <w:snapToGrid w:val="0"/>
              <w:spacing w:line="24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b/>
                <w:bCs/>
                <w:color w:val="auto"/>
                <w:sz w:val="24"/>
                <w:highlight w:val="none"/>
              </w:rPr>
              <w:t>项目代码</w:t>
            </w:r>
          </w:p>
        </w:tc>
        <w:tc>
          <w:tcPr>
            <w:tcW w:w="7583" w:type="dxa"/>
            <w:gridSpan w:val="3"/>
            <w:tcBorders>
              <w:tl2br w:val="nil"/>
              <w:tr2bl w:val="nil"/>
            </w:tcBorders>
            <w:vAlign w:val="center"/>
          </w:tcPr>
          <w:p w14:paraId="6FE68E03">
            <w:pPr>
              <w:keepNext w:val="0"/>
              <w:keepLines w:val="0"/>
              <w:widowControl/>
              <w:suppressLineNumbers w:val="0"/>
              <w:spacing w:line="240" w:lineRule="auto"/>
              <w:jc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2508-640424-</w:t>
            </w:r>
            <w:r>
              <w:rPr>
                <w:rFonts w:hint="eastAsia" w:eastAsia="仿宋_GB2312" w:cs="Times New Roman"/>
                <w:color w:val="auto"/>
                <w:sz w:val="24"/>
                <w:highlight w:val="none"/>
                <w:lang w:val="en-US" w:eastAsia="zh-CN"/>
              </w:rPr>
              <w:t>20</w:t>
            </w:r>
            <w:r>
              <w:rPr>
                <w:rFonts w:hint="default" w:ascii="Times New Roman" w:hAnsi="Times New Roman" w:eastAsia="仿宋_GB2312" w:cs="Times New Roman"/>
                <w:color w:val="auto"/>
                <w:sz w:val="24"/>
                <w:highlight w:val="none"/>
                <w:lang w:val="en-US" w:eastAsia="zh-CN"/>
              </w:rPr>
              <w:t>-01-</w:t>
            </w:r>
            <w:r>
              <w:rPr>
                <w:rFonts w:hint="eastAsia" w:eastAsia="仿宋_GB2312" w:cs="Times New Roman"/>
                <w:color w:val="auto"/>
                <w:sz w:val="24"/>
                <w:highlight w:val="none"/>
                <w:lang w:val="en-US" w:eastAsia="zh-CN"/>
              </w:rPr>
              <w:t>474857</w:t>
            </w:r>
          </w:p>
        </w:tc>
      </w:tr>
      <w:tr w14:paraId="147A9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1527" w:type="dxa"/>
            <w:tcBorders>
              <w:tl2br w:val="nil"/>
              <w:tr2bl w:val="nil"/>
            </w:tcBorders>
            <w:tcMar>
              <w:top w:w="16" w:type="dxa"/>
              <w:left w:w="16" w:type="dxa"/>
              <w:right w:w="16" w:type="dxa"/>
            </w:tcMar>
            <w:vAlign w:val="center"/>
          </w:tcPr>
          <w:p w14:paraId="1E79F437">
            <w:pPr>
              <w:adjustRightInd w:val="0"/>
              <w:snapToGrid w:val="0"/>
              <w:spacing w:line="24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b/>
                <w:bCs/>
                <w:color w:val="auto"/>
                <w:sz w:val="24"/>
                <w:highlight w:val="none"/>
              </w:rPr>
              <w:t>建设单位联系人</w:t>
            </w:r>
          </w:p>
        </w:tc>
        <w:tc>
          <w:tcPr>
            <w:tcW w:w="3081" w:type="dxa"/>
            <w:tcBorders>
              <w:tl2br w:val="nil"/>
              <w:tr2bl w:val="nil"/>
            </w:tcBorders>
            <w:vAlign w:val="center"/>
          </w:tcPr>
          <w:p w14:paraId="57DDF540">
            <w:pPr>
              <w:adjustRightInd w:val="0"/>
              <w:snapToGrid w:val="0"/>
              <w:spacing w:line="240" w:lineRule="auto"/>
              <w:jc w:val="center"/>
              <w:rPr>
                <w:rFonts w:hint="default" w:ascii="Times New Roman" w:hAnsi="Times New Roman" w:eastAsia="仿宋_GB2312" w:cs="Times New Roman"/>
                <w:color w:val="auto"/>
                <w:sz w:val="24"/>
                <w:highlight w:val="none"/>
                <w:lang w:val="en-US" w:eastAsia="zh-CN"/>
              </w:rPr>
            </w:pPr>
            <w:r>
              <w:rPr>
                <w:rFonts w:hint="eastAsia" w:eastAsia="仿宋_GB2312" w:cs="Times New Roman"/>
                <w:color w:val="auto"/>
                <w:sz w:val="24"/>
                <w:highlight w:val="none"/>
                <w:lang w:val="en-US" w:eastAsia="zh-CN"/>
              </w:rPr>
              <w:t>马建民</w:t>
            </w:r>
          </w:p>
        </w:tc>
        <w:tc>
          <w:tcPr>
            <w:tcW w:w="1581" w:type="dxa"/>
            <w:tcBorders>
              <w:tl2br w:val="nil"/>
              <w:tr2bl w:val="nil"/>
            </w:tcBorders>
            <w:vAlign w:val="center"/>
          </w:tcPr>
          <w:p w14:paraId="76E40C70">
            <w:pPr>
              <w:adjustRightInd w:val="0"/>
              <w:snapToGrid w:val="0"/>
              <w:spacing w:line="24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b/>
                <w:bCs/>
                <w:color w:val="auto"/>
                <w:sz w:val="24"/>
                <w:highlight w:val="none"/>
              </w:rPr>
              <w:t>联系方式</w:t>
            </w:r>
          </w:p>
        </w:tc>
        <w:tc>
          <w:tcPr>
            <w:tcW w:w="2921" w:type="dxa"/>
            <w:tcBorders>
              <w:tl2br w:val="nil"/>
              <w:tr2bl w:val="nil"/>
            </w:tcBorders>
            <w:vAlign w:val="center"/>
          </w:tcPr>
          <w:p w14:paraId="58BD0094">
            <w:pPr>
              <w:adjustRightInd w:val="0"/>
              <w:snapToGrid w:val="0"/>
              <w:spacing w:line="240" w:lineRule="auto"/>
              <w:jc w:val="center"/>
              <w:rPr>
                <w:rFonts w:hint="default" w:ascii="Times New Roman" w:hAnsi="Times New Roman" w:eastAsia="仿宋_GB2312" w:cs="Times New Roman"/>
                <w:color w:val="auto"/>
                <w:sz w:val="24"/>
                <w:highlight w:val="none"/>
                <w:lang w:val="en-US" w:eastAsia="zh-CN"/>
              </w:rPr>
            </w:pPr>
            <w:r>
              <w:rPr>
                <w:rFonts w:hint="default" w:eastAsia="仿宋_GB2312" w:cs="Times New Roman"/>
                <w:color w:val="auto"/>
                <w:sz w:val="24"/>
                <w:highlight w:val="none"/>
                <w:lang w:val="en-US" w:eastAsia="zh-CN"/>
              </w:rPr>
              <w:t>13649575659</w:t>
            </w:r>
          </w:p>
        </w:tc>
      </w:tr>
      <w:tr w14:paraId="2FB2A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1527" w:type="dxa"/>
            <w:tcBorders>
              <w:tl2br w:val="nil"/>
              <w:tr2bl w:val="nil"/>
            </w:tcBorders>
            <w:tcMar>
              <w:top w:w="16" w:type="dxa"/>
              <w:left w:w="16" w:type="dxa"/>
              <w:right w:w="16" w:type="dxa"/>
            </w:tcMar>
            <w:vAlign w:val="center"/>
          </w:tcPr>
          <w:p w14:paraId="40F07EDB">
            <w:pPr>
              <w:adjustRightInd w:val="0"/>
              <w:snapToGrid w:val="0"/>
              <w:spacing w:line="240" w:lineRule="auto"/>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建设地点</w:t>
            </w:r>
          </w:p>
        </w:tc>
        <w:tc>
          <w:tcPr>
            <w:tcW w:w="7583" w:type="dxa"/>
            <w:gridSpan w:val="3"/>
            <w:tcBorders>
              <w:tl2br w:val="nil"/>
              <w:tr2bl w:val="nil"/>
            </w:tcBorders>
            <w:vAlign w:val="center"/>
          </w:tcPr>
          <w:p w14:paraId="4F275068">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_GB2312" w:cs="Times New Roman"/>
                <w:color w:val="auto"/>
                <w:sz w:val="24"/>
                <w:highlight w:val="none"/>
                <w:lang w:val="en-US" w:eastAsia="zh-CN"/>
              </w:rPr>
            </w:pPr>
            <w:r>
              <w:rPr>
                <w:rFonts w:hint="eastAsia" w:eastAsia="仿宋_GB2312" w:cs="Times New Roman"/>
                <w:color w:val="auto"/>
                <w:sz w:val="24"/>
                <w:highlight w:val="none"/>
                <w:lang w:val="en-US" w:eastAsia="zh-CN"/>
              </w:rPr>
              <w:t>宁夏回族自治区固原市泾源县六盘山镇、泾河镇、大湾乡</w:t>
            </w:r>
          </w:p>
        </w:tc>
      </w:tr>
      <w:tr w14:paraId="3C3A1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08" w:hRule="atLeast"/>
          <w:jc w:val="center"/>
        </w:trPr>
        <w:tc>
          <w:tcPr>
            <w:tcW w:w="1527" w:type="dxa"/>
            <w:tcBorders>
              <w:tl2br w:val="nil"/>
              <w:tr2bl w:val="nil"/>
            </w:tcBorders>
            <w:tcMar>
              <w:top w:w="16" w:type="dxa"/>
              <w:left w:w="16" w:type="dxa"/>
              <w:right w:w="16" w:type="dxa"/>
            </w:tcMar>
            <w:vAlign w:val="center"/>
          </w:tcPr>
          <w:p w14:paraId="7CA618E5">
            <w:pPr>
              <w:adjustRightInd w:val="0"/>
              <w:snapToGrid w:val="0"/>
              <w:spacing w:line="240" w:lineRule="auto"/>
              <w:jc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b/>
                <w:bCs/>
                <w:color w:val="auto"/>
                <w:sz w:val="24"/>
                <w:highlight w:val="none"/>
                <w:lang w:val="en-US" w:eastAsia="zh-CN"/>
              </w:rPr>
              <w:t>地理坐标</w:t>
            </w:r>
          </w:p>
        </w:tc>
        <w:tc>
          <w:tcPr>
            <w:tcW w:w="7583" w:type="dxa"/>
            <w:gridSpan w:val="3"/>
            <w:tcBorders>
              <w:tl2br w:val="nil"/>
              <w:tr2bl w:val="nil"/>
            </w:tcBorders>
            <w:vAlign w:val="center"/>
          </w:tcPr>
          <w:p w14:paraId="5FBE68E7">
            <w:pPr>
              <w:snapToGrid w:val="0"/>
              <w:spacing w:line="240" w:lineRule="auto"/>
              <w:jc w:val="center"/>
              <w:rPr>
                <w:rFonts w:hint="default"/>
                <w:color w:val="auto"/>
                <w:highlight w:val="none"/>
                <w:lang w:val="en-US" w:eastAsia="zh-CN"/>
              </w:rPr>
            </w:pPr>
            <w:r>
              <w:rPr>
                <w:rFonts w:hint="eastAsia" w:ascii="黑体" w:hAnsi="黑体" w:eastAsia="黑体" w:cs="Times New Roman"/>
                <w:snapToGrid w:val="0"/>
                <w:color w:val="auto"/>
                <w:kern w:val="0"/>
                <w:sz w:val="24"/>
                <w:szCs w:val="24"/>
                <w:highlight w:val="none"/>
                <w:lang w:val="en-US" w:eastAsia="zh-CN" w:bidi="ar-SA"/>
              </w:rPr>
              <w:fldChar w:fldCharType="begin"/>
            </w:r>
            <w:r>
              <w:rPr>
                <w:rFonts w:hint="eastAsia" w:ascii="黑体" w:hAnsi="黑体" w:eastAsia="黑体" w:cs="Times New Roman"/>
                <w:snapToGrid w:val="0"/>
                <w:color w:val="auto"/>
                <w:kern w:val="0"/>
                <w:sz w:val="24"/>
                <w:szCs w:val="24"/>
                <w:highlight w:val="none"/>
                <w:lang w:val="en-US" w:eastAsia="zh-CN" w:bidi="ar-SA"/>
              </w:rPr>
              <w:instrText xml:space="preserve"> = 1 \* GB3 \* MERGEFORMAT </w:instrText>
            </w:r>
            <w:r>
              <w:rPr>
                <w:rFonts w:hint="eastAsia" w:ascii="黑体" w:hAnsi="黑体" w:eastAsia="黑体" w:cs="Times New Roman"/>
                <w:snapToGrid w:val="0"/>
                <w:color w:val="auto"/>
                <w:kern w:val="0"/>
                <w:sz w:val="24"/>
                <w:szCs w:val="24"/>
                <w:highlight w:val="none"/>
                <w:lang w:val="en-US" w:eastAsia="zh-CN" w:bidi="ar-SA"/>
              </w:rPr>
              <w:fldChar w:fldCharType="separate"/>
            </w:r>
            <w:r>
              <w:rPr>
                <w:color w:val="auto"/>
                <w:sz w:val="24"/>
                <w:szCs w:val="24"/>
              </w:rPr>
              <w:t>①</w:t>
            </w:r>
            <w:r>
              <w:rPr>
                <w:rFonts w:hint="eastAsia" w:ascii="黑体" w:hAnsi="黑体" w:eastAsia="黑体" w:cs="Times New Roman"/>
                <w:snapToGrid w:val="0"/>
                <w:color w:val="auto"/>
                <w:kern w:val="0"/>
                <w:sz w:val="24"/>
                <w:szCs w:val="24"/>
                <w:highlight w:val="none"/>
                <w:lang w:val="en-US" w:eastAsia="zh-CN" w:bidi="ar-SA"/>
              </w:rPr>
              <w:fldChar w:fldCharType="end"/>
            </w:r>
            <w:r>
              <w:rPr>
                <w:rFonts w:hint="eastAsia" w:eastAsia="仿宋_GB2312" w:cs="Times New Roman"/>
                <w:color w:val="auto"/>
                <w:sz w:val="24"/>
                <w:szCs w:val="24"/>
                <w:highlight w:val="none"/>
                <w:lang w:val="en-US" w:eastAsia="zh-CN"/>
              </w:rPr>
              <w:t>泾河源镇蜂蜜加工包装车间建设工程中心地理坐标</w:t>
            </w:r>
            <w:r>
              <w:rPr>
                <w:rFonts w:hint="default" w:ascii="Times New Roman" w:hAnsi="Times New Roman" w:eastAsia="仿宋_GB2312" w:cs="Times New Roman"/>
                <w:color w:val="auto"/>
                <w:sz w:val="24"/>
                <w:szCs w:val="24"/>
                <w:highlight w:val="none"/>
                <w:lang w:val="en-US" w:eastAsia="zh-CN"/>
              </w:rPr>
              <w:t>为东经106°17′57.466″</w:t>
            </w:r>
            <w:r>
              <w:rPr>
                <w:rFonts w:hint="eastAsia"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北纬35°39′34.877″</w:t>
            </w:r>
            <w:r>
              <w:rPr>
                <w:rFonts w:hint="eastAsia"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fldChar w:fldCharType="begin"/>
            </w:r>
            <w:r>
              <w:rPr>
                <w:rFonts w:hint="eastAsia" w:eastAsia="仿宋_GB2312" w:cs="Times New Roman"/>
                <w:color w:val="auto"/>
                <w:sz w:val="24"/>
                <w:szCs w:val="24"/>
                <w:highlight w:val="none"/>
                <w:lang w:val="en-US" w:eastAsia="zh-CN"/>
              </w:rPr>
              <w:instrText xml:space="preserve"> = 2 \* GB3 \* MERGEFORMAT </w:instrText>
            </w:r>
            <w:r>
              <w:rPr>
                <w:rFonts w:hint="eastAsia" w:eastAsia="仿宋_GB2312" w:cs="Times New Roman"/>
                <w:color w:val="auto"/>
                <w:sz w:val="24"/>
                <w:szCs w:val="24"/>
                <w:highlight w:val="none"/>
                <w:lang w:val="en-US" w:eastAsia="zh-CN"/>
              </w:rPr>
              <w:fldChar w:fldCharType="separate"/>
            </w:r>
            <w:r>
              <w:rPr>
                <w:color w:val="auto"/>
                <w:sz w:val="24"/>
                <w:szCs w:val="24"/>
              </w:rPr>
              <w:t>②</w:t>
            </w:r>
            <w:r>
              <w:rPr>
                <w:rFonts w:hint="eastAsia" w:eastAsia="仿宋_GB2312" w:cs="Times New Roman"/>
                <w:color w:val="auto"/>
                <w:sz w:val="24"/>
                <w:szCs w:val="24"/>
                <w:highlight w:val="none"/>
                <w:lang w:val="en-US" w:eastAsia="zh-CN"/>
              </w:rPr>
              <w:fldChar w:fldCharType="end"/>
            </w:r>
            <w:r>
              <w:rPr>
                <w:rFonts w:hint="eastAsia" w:eastAsia="仿宋_GB2312" w:cs="Times New Roman"/>
                <w:color w:val="auto"/>
                <w:sz w:val="24"/>
                <w:szCs w:val="24"/>
                <w:highlight w:val="none"/>
                <w:lang w:val="en-US" w:eastAsia="zh-CN"/>
              </w:rPr>
              <w:t>六盘山镇中药材种苗培育基地建设工程中心地理坐标</w:t>
            </w:r>
            <w:r>
              <w:rPr>
                <w:rFonts w:hint="default" w:ascii="Times New Roman" w:hAnsi="Times New Roman" w:eastAsia="仿宋_GB2312" w:cs="Times New Roman"/>
                <w:color w:val="auto"/>
                <w:sz w:val="24"/>
                <w:szCs w:val="24"/>
                <w:highlight w:val="none"/>
                <w:lang w:val="en-US" w:eastAsia="zh-CN"/>
              </w:rPr>
              <w:t>为东经106°17′9.920″</w:t>
            </w:r>
            <w:r>
              <w:rPr>
                <w:rFonts w:hint="eastAsia" w:eastAsia="仿宋_GB2312" w:cs="Times New Roman"/>
                <w:color w:val="auto"/>
                <w:sz w:val="24"/>
                <w:szCs w:val="24"/>
                <w:highlight w:val="none"/>
                <w:lang w:val="en-US" w:eastAsia="zh-CN"/>
              </w:rPr>
              <w:t>，北纬</w:t>
            </w:r>
            <w:r>
              <w:rPr>
                <w:rFonts w:hint="default" w:ascii="Times New Roman" w:hAnsi="Times New Roman" w:eastAsia="仿宋_GB2312" w:cs="Times New Roman"/>
                <w:color w:val="auto"/>
                <w:sz w:val="24"/>
                <w:szCs w:val="24"/>
                <w:highlight w:val="none"/>
                <w:lang w:val="en-US" w:eastAsia="zh-CN"/>
              </w:rPr>
              <w:t>35°39′39.804″</w:t>
            </w:r>
            <w:r>
              <w:rPr>
                <w:rFonts w:hint="eastAsia"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fldChar w:fldCharType="begin"/>
            </w:r>
            <w:r>
              <w:rPr>
                <w:rFonts w:hint="eastAsia" w:eastAsia="仿宋_GB2312" w:cs="Times New Roman"/>
                <w:color w:val="auto"/>
                <w:sz w:val="24"/>
                <w:szCs w:val="24"/>
                <w:highlight w:val="none"/>
                <w:lang w:val="en-US" w:eastAsia="zh-CN"/>
              </w:rPr>
              <w:instrText xml:space="preserve"> = 3 \* GB3 \* MERGEFORMAT </w:instrText>
            </w:r>
            <w:r>
              <w:rPr>
                <w:rFonts w:hint="eastAsia" w:eastAsia="仿宋_GB2312" w:cs="Times New Roman"/>
                <w:color w:val="auto"/>
                <w:sz w:val="24"/>
                <w:szCs w:val="24"/>
                <w:highlight w:val="none"/>
                <w:lang w:val="en-US" w:eastAsia="zh-CN"/>
              </w:rPr>
              <w:fldChar w:fldCharType="separate"/>
            </w:r>
            <w:r>
              <w:rPr>
                <w:color w:val="auto"/>
                <w:sz w:val="24"/>
                <w:szCs w:val="24"/>
              </w:rPr>
              <w:t>③</w:t>
            </w:r>
            <w:r>
              <w:rPr>
                <w:rFonts w:hint="eastAsia" w:eastAsia="仿宋_GB2312" w:cs="Times New Roman"/>
                <w:color w:val="auto"/>
                <w:sz w:val="24"/>
                <w:szCs w:val="24"/>
                <w:highlight w:val="none"/>
                <w:lang w:val="en-US" w:eastAsia="zh-CN"/>
              </w:rPr>
              <w:fldChar w:fldCharType="end"/>
            </w:r>
            <w:r>
              <w:rPr>
                <w:rFonts w:hint="eastAsia" w:eastAsia="仿宋_GB2312" w:cs="Times New Roman"/>
                <w:color w:val="auto"/>
                <w:sz w:val="24"/>
                <w:szCs w:val="24"/>
                <w:highlight w:val="none"/>
                <w:lang w:val="en-US" w:eastAsia="zh-CN"/>
              </w:rPr>
              <w:t>六盘山镇中药材物流中转集散地建设工程</w:t>
            </w:r>
            <w:r>
              <w:rPr>
                <w:rFonts w:hint="eastAsia" w:ascii="Times New Roman" w:hAnsi="Times New Roman" w:eastAsia="仿宋_GB2312" w:cs="Times New Roman"/>
                <w:color w:val="auto"/>
                <w:sz w:val="24"/>
                <w:highlight w:val="none"/>
                <w:lang w:val="en-US" w:eastAsia="zh-CN"/>
              </w:rPr>
              <w:t>中心地理坐标为</w:t>
            </w:r>
            <w:r>
              <w:rPr>
                <w:rFonts w:hint="eastAsia" w:eastAsia="仿宋_GB2312" w:cs="Times New Roman"/>
                <w:color w:val="auto"/>
                <w:sz w:val="24"/>
                <w:highlight w:val="none"/>
                <w:lang w:val="en-US" w:eastAsia="zh-CN"/>
              </w:rPr>
              <w:t>东经</w:t>
            </w:r>
            <w:r>
              <w:rPr>
                <w:rFonts w:hint="default" w:ascii="Times New Roman" w:hAnsi="Times New Roman" w:eastAsia="仿宋_GB2312" w:cs="Times New Roman"/>
                <w:color w:val="auto"/>
                <w:sz w:val="24"/>
                <w:szCs w:val="24"/>
                <w:highlight w:val="none"/>
                <w:lang w:val="en-US" w:eastAsia="zh-CN"/>
              </w:rPr>
              <w:t>106°17′</w:t>
            </w:r>
            <w:r>
              <w:rPr>
                <w:rFonts w:hint="eastAsia" w:eastAsia="仿宋_GB2312" w:cs="Times New Roman"/>
                <w:color w:val="auto"/>
                <w:sz w:val="24"/>
                <w:szCs w:val="24"/>
                <w:highlight w:val="none"/>
                <w:lang w:val="en-US" w:eastAsia="zh-CN"/>
              </w:rPr>
              <w:t>16.095</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w:t>
            </w:r>
            <w:r>
              <w:rPr>
                <w:rFonts w:hint="eastAsia" w:eastAsia="仿宋_GB2312" w:cs="Times New Roman"/>
                <w:color w:val="auto"/>
                <w:sz w:val="24"/>
                <w:highlight w:val="none"/>
                <w:lang w:val="en-US" w:eastAsia="zh-CN"/>
              </w:rPr>
              <w:t>北纬</w:t>
            </w:r>
            <w:r>
              <w:rPr>
                <w:rFonts w:hint="default" w:ascii="Times New Roman" w:hAnsi="Times New Roman" w:eastAsia="仿宋_GB2312" w:cs="Times New Roman"/>
                <w:color w:val="auto"/>
                <w:sz w:val="24"/>
                <w:szCs w:val="24"/>
                <w:highlight w:val="none"/>
                <w:lang w:val="en-US" w:eastAsia="zh-CN"/>
              </w:rPr>
              <w:t>35°39′39.80</w:t>
            </w:r>
            <w:r>
              <w:rPr>
                <w:rFonts w:hint="eastAsia" w:eastAsia="仿宋_GB2312" w:cs="Times New Roman"/>
                <w:color w:val="auto"/>
                <w:sz w:val="24"/>
                <w:szCs w:val="24"/>
                <w:highlight w:val="none"/>
                <w:lang w:val="en-US" w:eastAsia="zh-CN"/>
              </w:rPr>
              <w:t>9</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fldChar w:fldCharType="begin"/>
            </w:r>
            <w:r>
              <w:rPr>
                <w:rFonts w:hint="eastAsia" w:eastAsia="仿宋_GB2312" w:cs="Times New Roman"/>
                <w:color w:val="auto"/>
                <w:sz w:val="24"/>
                <w:szCs w:val="24"/>
                <w:highlight w:val="none"/>
                <w:lang w:val="en-US" w:eastAsia="zh-CN"/>
              </w:rPr>
              <w:instrText xml:space="preserve"> = 4 \* GB3 \* MERGEFORMAT </w:instrText>
            </w:r>
            <w:r>
              <w:rPr>
                <w:rFonts w:hint="eastAsia" w:eastAsia="仿宋_GB2312" w:cs="Times New Roman"/>
                <w:color w:val="auto"/>
                <w:sz w:val="24"/>
                <w:szCs w:val="24"/>
                <w:highlight w:val="none"/>
                <w:lang w:val="en-US" w:eastAsia="zh-CN"/>
              </w:rPr>
              <w:fldChar w:fldCharType="separate"/>
            </w:r>
            <w:r>
              <w:rPr>
                <w:color w:val="auto"/>
                <w:sz w:val="24"/>
                <w:szCs w:val="24"/>
              </w:rPr>
              <w:t>④</w:t>
            </w:r>
            <w:r>
              <w:rPr>
                <w:rFonts w:hint="eastAsia" w:eastAsia="仿宋_GB2312" w:cs="Times New Roman"/>
                <w:color w:val="auto"/>
                <w:sz w:val="24"/>
                <w:szCs w:val="24"/>
                <w:highlight w:val="none"/>
                <w:lang w:val="en-US" w:eastAsia="zh-CN"/>
              </w:rPr>
              <w:fldChar w:fldCharType="end"/>
            </w:r>
            <w:r>
              <w:rPr>
                <w:rFonts w:hint="eastAsia" w:eastAsia="仿宋_GB2312" w:cs="Times New Roman"/>
                <w:color w:val="auto"/>
                <w:sz w:val="24"/>
                <w:szCs w:val="24"/>
                <w:highlight w:val="none"/>
                <w:lang w:val="en-US" w:eastAsia="zh-CN"/>
              </w:rPr>
              <w:t>六盘山镇中药材分拣包装晾晒车间建设工程中心地理坐标</w:t>
            </w:r>
            <w:r>
              <w:rPr>
                <w:rFonts w:hint="default" w:ascii="Times New Roman" w:hAnsi="Times New Roman" w:eastAsia="仿宋_GB2312" w:cs="Times New Roman"/>
                <w:color w:val="auto"/>
                <w:sz w:val="24"/>
                <w:szCs w:val="24"/>
                <w:highlight w:val="none"/>
                <w:lang w:val="en-US" w:eastAsia="zh-CN"/>
              </w:rPr>
              <w:t>106°17′</w:t>
            </w:r>
            <w:r>
              <w:rPr>
                <w:rFonts w:hint="eastAsia" w:eastAsia="仿宋_GB2312" w:cs="Times New Roman"/>
                <w:color w:val="auto"/>
                <w:sz w:val="24"/>
                <w:szCs w:val="24"/>
                <w:highlight w:val="none"/>
                <w:lang w:val="en-US" w:eastAsia="zh-CN"/>
              </w:rPr>
              <w:t>15.014</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，北纬</w:t>
            </w:r>
            <w:r>
              <w:rPr>
                <w:rFonts w:hint="default" w:ascii="Times New Roman" w:hAnsi="Times New Roman" w:eastAsia="仿宋_GB2312" w:cs="Times New Roman"/>
                <w:color w:val="auto"/>
                <w:sz w:val="24"/>
                <w:szCs w:val="24"/>
                <w:highlight w:val="none"/>
                <w:lang w:val="en-US" w:eastAsia="zh-CN"/>
              </w:rPr>
              <w:t>35°39′</w:t>
            </w:r>
            <w:r>
              <w:rPr>
                <w:rFonts w:hint="eastAsia" w:eastAsia="仿宋_GB2312" w:cs="Times New Roman"/>
                <w:color w:val="auto"/>
                <w:sz w:val="24"/>
                <w:szCs w:val="24"/>
                <w:highlight w:val="none"/>
                <w:lang w:val="en-US" w:eastAsia="zh-CN"/>
              </w:rPr>
              <w:t>40.282</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fldChar w:fldCharType="begin"/>
            </w:r>
            <w:r>
              <w:rPr>
                <w:rFonts w:hint="eastAsia" w:eastAsia="仿宋_GB2312" w:cs="Times New Roman"/>
                <w:color w:val="auto"/>
                <w:sz w:val="24"/>
                <w:szCs w:val="24"/>
                <w:highlight w:val="none"/>
                <w:lang w:val="en-US" w:eastAsia="zh-CN"/>
              </w:rPr>
              <w:instrText xml:space="preserve"> = 5 \* GB3 \* MERGEFORMAT </w:instrText>
            </w:r>
            <w:r>
              <w:rPr>
                <w:rFonts w:hint="eastAsia" w:eastAsia="仿宋_GB2312" w:cs="Times New Roman"/>
                <w:color w:val="auto"/>
                <w:sz w:val="24"/>
                <w:szCs w:val="24"/>
                <w:highlight w:val="none"/>
                <w:lang w:val="en-US" w:eastAsia="zh-CN"/>
              </w:rPr>
              <w:fldChar w:fldCharType="separate"/>
            </w:r>
            <w:r>
              <w:rPr>
                <w:color w:val="auto"/>
                <w:sz w:val="24"/>
                <w:szCs w:val="24"/>
              </w:rPr>
              <w:t>⑤</w:t>
            </w:r>
            <w:r>
              <w:rPr>
                <w:rFonts w:hint="eastAsia" w:eastAsia="仿宋_GB2312" w:cs="Times New Roman"/>
                <w:color w:val="auto"/>
                <w:sz w:val="24"/>
                <w:szCs w:val="24"/>
                <w:highlight w:val="none"/>
                <w:lang w:val="en-US" w:eastAsia="zh-CN"/>
              </w:rPr>
              <w:fldChar w:fldCharType="end"/>
            </w:r>
            <w:r>
              <w:rPr>
                <w:rFonts w:hint="eastAsia" w:eastAsia="仿宋_GB2312" w:cs="Times New Roman"/>
                <w:color w:val="auto"/>
                <w:sz w:val="24"/>
                <w:szCs w:val="24"/>
                <w:highlight w:val="none"/>
                <w:lang w:val="en-US" w:eastAsia="zh-CN"/>
              </w:rPr>
              <w:t>大湾乡中药材分拣包装晾晒车间建设工程中心地理坐标东经</w:t>
            </w:r>
            <w:r>
              <w:rPr>
                <w:rFonts w:hint="default" w:ascii="Times New Roman" w:hAnsi="Times New Roman" w:eastAsia="仿宋_GB2312" w:cs="Times New Roman"/>
                <w:color w:val="auto"/>
                <w:sz w:val="24"/>
                <w:szCs w:val="24"/>
                <w:highlight w:val="none"/>
                <w:lang w:val="en-US" w:eastAsia="zh-CN"/>
              </w:rPr>
              <w:t>106°17′</w:t>
            </w:r>
            <w:r>
              <w:rPr>
                <w:rFonts w:hint="eastAsia" w:eastAsia="仿宋_GB2312" w:cs="Times New Roman"/>
                <w:color w:val="auto"/>
                <w:sz w:val="24"/>
                <w:szCs w:val="24"/>
                <w:highlight w:val="none"/>
                <w:lang w:val="en-US" w:eastAsia="zh-CN"/>
              </w:rPr>
              <w:t>8.419</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，北纬</w:t>
            </w:r>
            <w:r>
              <w:rPr>
                <w:rFonts w:hint="default" w:ascii="Times New Roman" w:hAnsi="Times New Roman" w:eastAsia="仿宋_GB2312" w:cs="Times New Roman"/>
                <w:color w:val="auto"/>
                <w:sz w:val="24"/>
                <w:szCs w:val="24"/>
                <w:highlight w:val="none"/>
                <w:lang w:val="en-US" w:eastAsia="zh-CN"/>
              </w:rPr>
              <w:t>35°39′</w:t>
            </w:r>
            <w:r>
              <w:rPr>
                <w:rFonts w:hint="eastAsia" w:eastAsia="仿宋_GB2312" w:cs="Times New Roman"/>
                <w:color w:val="auto"/>
                <w:sz w:val="24"/>
                <w:szCs w:val="24"/>
                <w:highlight w:val="none"/>
                <w:lang w:val="en-US" w:eastAsia="zh-CN"/>
              </w:rPr>
              <w:t>38.283</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w:t>
            </w:r>
          </w:p>
        </w:tc>
      </w:tr>
      <w:tr w14:paraId="49865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1527" w:type="dxa"/>
            <w:tcBorders>
              <w:tl2br w:val="nil"/>
              <w:tr2bl w:val="nil"/>
            </w:tcBorders>
            <w:tcMar>
              <w:top w:w="16" w:type="dxa"/>
              <w:left w:w="16" w:type="dxa"/>
              <w:right w:w="16" w:type="dxa"/>
            </w:tcMar>
            <w:vAlign w:val="center"/>
          </w:tcPr>
          <w:p w14:paraId="4D5E74B3">
            <w:pPr>
              <w:adjustRightInd w:val="0"/>
              <w:snapToGrid w:val="0"/>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建设项目</w:t>
            </w:r>
          </w:p>
          <w:p w14:paraId="2E41F780">
            <w:pPr>
              <w:adjustRightInd w:val="0"/>
              <w:snapToGrid w:val="0"/>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行业类别</w:t>
            </w:r>
          </w:p>
        </w:tc>
        <w:tc>
          <w:tcPr>
            <w:tcW w:w="3081" w:type="dxa"/>
            <w:tcBorders>
              <w:tl2br w:val="nil"/>
              <w:tr2bl w:val="nil"/>
            </w:tcBorders>
            <w:vAlign w:val="center"/>
          </w:tcPr>
          <w:p w14:paraId="28995B8F">
            <w:pPr>
              <w:snapToGrid w:val="0"/>
              <w:jc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一、农业01、林业02</w:t>
            </w:r>
            <w:r>
              <w:rPr>
                <w:rFonts w:hint="eastAsia" w:eastAsia="仿宋_GB2312" w:cs="Times New Roman"/>
                <w:color w:val="auto"/>
                <w:sz w:val="24"/>
                <w:highlight w:val="none"/>
                <w:lang w:val="en-US" w:eastAsia="zh-CN"/>
              </w:rPr>
              <w:t>，1.农产品基地项目（含药材基地）</w:t>
            </w:r>
          </w:p>
        </w:tc>
        <w:tc>
          <w:tcPr>
            <w:tcW w:w="1581" w:type="dxa"/>
            <w:tcBorders>
              <w:tl2br w:val="nil"/>
              <w:tr2bl w:val="nil"/>
            </w:tcBorders>
            <w:vAlign w:val="center"/>
          </w:tcPr>
          <w:p w14:paraId="38247553">
            <w:pPr>
              <w:adjustRightInd w:val="0"/>
              <w:snapToGrid w:val="0"/>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用地（用海）面积（m</w:t>
            </w:r>
            <w:r>
              <w:rPr>
                <w:rFonts w:hint="default" w:ascii="Times New Roman" w:hAnsi="Times New Roman" w:eastAsia="仿宋_GB2312" w:cs="Times New Roman"/>
                <w:b/>
                <w:bCs/>
                <w:color w:val="auto"/>
                <w:sz w:val="24"/>
                <w:highlight w:val="none"/>
                <w:vertAlign w:val="superscript"/>
              </w:rPr>
              <w:t>2</w:t>
            </w:r>
            <w:r>
              <w:rPr>
                <w:rFonts w:hint="default" w:ascii="Times New Roman" w:hAnsi="Times New Roman" w:eastAsia="仿宋_GB2312" w:cs="Times New Roman"/>
                <w:b/>
                <w:bCs/>
                <w:color w:val="auto"/>
                <w:sz w:val="24"/>
                <w:highlight w:val="none"/>
              </w:rPr>
              <w:t>）/长度（km）</w:t>
            </w:r>
          </w:p>
        </w:tc>
        <w:tc>
          <w:tcPr>
            <w:tcW w:w="2921" w:type="dxa"/>
            <w:tcBorders>
              <w:tl2br w:val="nil"/>
              <w:tr2bl w:val="nil"/>
            </w:tcBorders>
            <w:vAlign w:val="center"/>
          </w:tcPr>
          <w:p w14:paraId="0046607D">
            <w:pPr>
              <w:snapToGrid w:val="0"/>
              <w:jc w:val="center"/>
              <w:rPr>
                <w:rFonts w:hint="default" w:ascii="Times New Roman" w:hAnsi="Times New Roman" w:eastAsia="仿宋_GB2312" w:cs="Times New Roman"/>
                <w:color w:val="auto"/>
                <w:highlight w:val="none"/>
                <w:lang w:val="en-US" w:eastAsia="zh-CN"/>
              </w:rPr>
            </w:pPr>
            <w:r>
              <w:rPr>
                <w:rFonts w:hint="default" w:eastAsia="仿宋_GB2312" w:cs="Times New Roman"/>
                <w:bCs/>
                <w:color w:val="auto"/>
                <w:kern w:val="2"/>
                <w:sz w:val="24"/>
                <w:szCs w:val="24"/>
                <w:highlight w:val="none"/>
                <w:lang w:val="en-US" w:eastAsia="zh-CN" w:bidi="ar-SA"/>
              </w:rPr>
              <w:t>工程永久占地</w:t>
            </w:r>
            <w:r>
              <w:rPr>
                <w:rFonts w:hint="eastAsia" w:eastAsia="仿宋_GB2312" w:cs="Times New Roman"/>
                <w:bCs/>
                <w:color w:val="auto"/>
                <w:kern w:val="2"/>
                <w:sz w:val="24"/>
                <w:szCs w:val="24"/>
                <w:highlight w:val="none"/>
                <w:lang w:val="en-US" w:eastAsia="zh-CN" w:bidi="ar-SA"/>
              </w:rPr>
              <w:t>9538m</w:t>
            </w:r>
            <w:r>
              <w:rPr>
                <w:rFonts w:hint="eastAsia" w:eastAsia="仿宋_GB2312" w:cs="Times New Roman"/>
                <w:bCs/>
                <w:color w:val="auto"/>
                <w:kern w:val="2"/>
                <w:sz w:val="24"/>
                <w:szCs w:val="24"/>
                <w:highlight w:val="none"/>
                <w:vertAlign w:val="superscript"/>
                <w:lang w:val="en-US" w:eastAsia="zh-CN" w:bidi="ar-SA"/>
              </w:rPr>
              <w:t>2</w:t>
            </w:r>
          </w:p>
        </w:tc>
      </w:tr>
      <w:tr w14:paraId="49A57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49" w:hRule="atLeast"/>
          <w:jc w:val="center"/>
        </w:trPr>
        <w:tc>
          <w:tcPr>
            <w:tcW w:w="1527" w:type="dxa"/>
            <w:tcBorders>
              <w:tl2br w:val="nil"/>
              <w:tr2bl w:val="nil"/>
            </w:tcBorders>
            <w:tcMar>
              <w:top w:w="16" w:type="dxa"/>
              <w:left w:w="16" w:type="dxa"/>
              <w:right w:w="16" w:type="dxa"/>
            </w:tcMar>
            <w:vAlign w:val="center"/>
          </w:tcPr>
          <w:p w14:paraId="64517D0D">
            <w:pPr>
              <w:adjustRightInd w:val="0"/>
              <w:snapToGrid w:val="0"/>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建设性质</w:t>
            </w:r>
          </w:p>
        </w:tc>
        <w:tc>
          <w:tcPr>
            <w:tcW w:w="3081" w:type="dxa"/>
            <w:tcBorders>
              <w:tl2br w:val="nil"/>
              <w:tr2bl w:val="nil"/>
            </w:tcBorders>
            <w:vAlign w:val="center"/>
          </w:tcPr>
          <w:p w14:paraId="5E3C99BA">
            <w:pPr>
              <w:snapToGrid w:val="0"/>
              <w:jc w:val="left"/>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lang w:eastAsia="zh-CN"/>
              </w:rPr>
              <w:sym w:font="Wingdings 2" w:char="0052"/>
            </w:r>
            <w:r>
              <w:rPr>
                <w:rFonts w:hint="default" w:ascii="Times New Roman" w:hAnsi="Times New Roman" w:eastAsia="仿宋_GB2312" w:cs="Times New Roman"/>
                <w:color w:val="auto"/>
                <w:sz w:val="24"/>
                <w:highlight w:val="none"/>
                <w:lang w:eastAsia="zh-CN"/>
              </w:rPr>
              <w:t>新建（迁建）</w:t>
            </w:r>
          </w:p>
          <w:p w14:paraId="6EB97E1B">
            <w:pPr>
              <w:snapToGrid w:val="0"/>
              <w:jc w:val="left"/>
              <w:rPr>
                <w:rFonts w:hint="default"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lang w:eastAsia="zh-CN"/>
              </w:rPr>
              <w:t>改建</w:t>
            </w:r>
          </w:p>
          <w:p w14:paraId="67451863">
            <w:pPr>
              <w:snapToGrid w:val="0"/>
              <w:jc w:val="left"/>
              <w:rPr>
                <w:rFonts w:hint="default"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lang w:eastAsia="zh-CN"/>
              </w:rPr>
              <w:t>扩建</w:t>
            </w:r>
          </w:p>
          <w:p w14:paraId="55C4916E">
            <w:pPr>
              <w:snapToGrid w:val="0"/>
              <w:jc w:val="left"/>
              <w:rPr>
                <w:rFonts w:hint="default"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lang w:eastAsia="zh-CN"/>
              </w:rPr>
              <w:t>技术改造</w:t>
            </w:r>
          </w:p>
        </w:tc>
        <w:tc>
          <w:tcPr>
            <w:tcW w:w="1581" w:type="dxa"/>
            <w:tcBorders>
              <w:tl2br w:val="nil"/>
              <w:tr2bl w:val="nil"/>
            </w:tcBorders>
            <w:vAlign w:val="center"/>
          </w:tcPr>
          <w:p w14:paraId="1E070FBF">
            <w:pPr>
              <w:adjustRightInd w:val="0"/>
              <w:snapToGrid w:val="0"/>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建设项目</w:t>
            </w:r>
          </w:p>
          <w:p w14:paraId="21398D28">
            <w:pPr>
              <w:adjustRightInd w:val="0"/>
              <w:snapToGrid w:val="0"/>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申报情形</w:t>
            </w:r>
          </w:p>
        </w:tc>
        <w:tc>
          <w:tcPr>
            <w:tcW w:w="2921" w:type="dxa"/>
            <w:tcBorders>
              <w:tl2br w:val="nil"/>
              <w:tr2bl w:val="nil"/>
            </w:tcBorders>
            <w:vAlign w:val="center"/>
          </w:tcPr>
          <w:p w14:paraId="68F7A8F0">
            <w:pPr>
              <w:snapToGrid w:val="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lang w:eastAsia="zh-CN"/>
              </w:rPr>
              <w:sym w:font="Wingdings 2" w:char="0052"/>
            </w:r>
            <w:r>
              <w:rPr>
                <w:rFonts w:hint="default" w:ascii="Times New Roman" w:hAnsi="Times New Roman" w:eastAsia="仿宋_GB2312" w:cs="Times New Roman"/>
                <w:color w:val="auto"/>
                <w:sz w:val="24"/>
                <w:highlight w:val="none"/>
              </w:rPr>
              <w:t>首次申报项目</w:t>
            </w:r>
          </w:p>
          <w:p w14:paraId="5A46AE8A">
            <w:pPr>
              <w:snapToGrid w:val="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□不予批准后再次申报项目</w:t>
            </w:r>
          </w:p>
          <w:p w14:paraId="0E6A793B">
            <w:pPr>
              <w:snapToGrid w:val="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□超五年重新审核项目</w:t>
            </w:r>
          </w:p>
          <w:p w14:paraId="10687F91">
            <w:pPr>
              <w:snapToGrid w:val="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□重大变动重新报批项目</w:t>
            </w:r>
          </w:p>
        </w:tc>
      </w:tr>
      <w:tr w14:paraId="266C6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1527" w:type="dxa"/>
            <w:tcBorders>
              <w:tl2br w:val="nil"/>
              <w:tr2bl w:val="nil"/>
            </w:tcBorders>
            <w:tcMar>
              <w:top w:w="16" w:type="dxa"/>
              <w:left w:w="16" w:type="dxa"/>
              <w:right w:w="16" w:type="dxa"/>
            </w:tcMar>
            <w:vAlign w:val="center"/>
          </w:tcPr>
          <w:p w14:paraId="3234A3F8">
            <w:pPr>
              <w:adjustRightInd w:val="0"/>
              <w:snapToGrid w:val="0"/>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项目审批部门</w:t>
            </w:r>
          </w:p>
        </w:tc>
        <w:tc>
          <w:tcPr>
            <w:tcW w:w="3081" w:type="dxa"/>
            <w:tcBorders>
              <w:tl2br w:val="nil"/>
              <w:tr2bl w:val="nil"/>
            </w:tcBorders>
            <w:vAlign w:val="center"/>
          </w:tcPr>
          <w:p w14:paraId="77D6A578">
            <w:pPr>
              <w:adjustRightInd w:val="0"/>
              <w:snapToGrid w:val="0"/>
              <w:jc w:val="center"/>
              <w:rPr>
                <w:rFonts w:hint="default" w:ascii="Times New Roman" w:hAnsi="Times New Roman" w:eastAsia="仿宋_GB2312" w:cs="Times New Roman"/>
                <w:color w:val="auto"/>
                <w:sz w:val="24"/>
                <w:highlight w:val="none"/>
                <w:lang w:val="en-US" w:eastAsia="zh-CN"/>
              </w:rPr>
            </w:pPr>
            <w:r>
              <w:rPr>
                <w:rFonts w:hint="eastAsia" w:eastAsia="仿宋_GB2312" w:cs="Times New Roman"/>
                <w:color w:val="auto"/>
                <w:sz w:val="24"/>
                <w:highlight w:val="none"/>
                <w:lang w:val="en-US" w:eastAsia="zh-CN"/>
              </w:rPr>
              <w:t>泾源县审批服务管理局</w:t>
            </w:r>
          </w:p>
        </w:tc>
        <w:tc>
          <w:tcPr>
            <w:tcW w:w="1581" w:type="dxa"/>
            <w:tcBorders>
              <w:tl2br w:val="nil"/>
              <w:tr2bl w:val="nil"/>
            </w:tcBorders>
            <w:vAlign w:val="center"/>
          </w:tcPr>
          <w:p w14:paraId="71AA365C">
            <w:pPr>
              <w:adjustRightInd w:val="0"/>
              <w:snapToGrid w:val="0"/>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项目审批文号</w:t>
            </w:r>
          </w:p>
        </w:tc>
        <w:tc>
          <w:tcPr>
            <w:tcW w:w="2921" w:type="dxa"/>
            <w:tcBorders>
              <w:tl2br w:val="nil"/>
              <w:tr2bl w:val="nil"/>
            </w:tcBorders>
            <w:vAlign w:val="center"/>
          </w:tcPr>
          <w:p w14:paraId="58F77805">
            <w:pPr>
              <w:snapToGrid w:val="0"/>
              <w:jc w:val="center"/>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泾审批发</w:t>
            </w:r>
            <w:r>
              <w:rPr>
                <w:rFonts w:hint="eastAsia" w:ascii="仿宋_GB2312" w:hAnsi="仿宋_GB2312" w:eastAsia="仿宋_GB2312" w:cs="仿宋_GB2312"/>
                <w:color w:val="auto"/>
                <w:sz w:val="24"/>
                <w:highlight w:val="none"/>
                <w:lang w:val="en-US" w:eastAsia="zh-CN"/>
              </w:rPr>
              <w:t>〔</w:t>
            </w:r>
            <w:r>
              <w:rPr>
                <w:rFonts w:hint="default" w:ascii="Times New Roman" w:hAnsi="Times New Roman" w:eastAsia="仿宋_GB2312" w:cs="Times New Roman"/>
                <w:color w:val="auto"/>
                <w:sz w:val="24"/>
                <w:highlight w:val="none"/>
                <w:lang w:val="en-US" w:eastAsia="zh-CN"/>
              </w:rPr>
              <w:t>2025</w:t>
            </w:r>
            <w:r>
              <w:rPr>
                <w:rFonts w:hint="eastAsia" w:ascii="仿宋_GB2312" w:hAnsi="仿宋_GB2312" w:eastAsia="仿宋_GB2312" w:cs="仿宋_GB2312"/>
                <w:color w:val="auto"/>
                <w:sz w:val="24"/>
                <w:highlight w:val="none"/>
                <w:lang w:val="en-US" w:eastAsia="zh-CN"/>
              </w:rPr>
              <w:t>〕</w:t>
            </w:r>
            <w:r>
              <w:rPr>
                <w:rFonts w:hint="eastAsia" w:eastAsia="仿宋_GB2312" w:cs="Times New Roman"/>
                <w:color w:val="auto"/>
                <w:sz w:val="24"/>
                <w:highlight w:val="none"/>
                <w:lang w:val="en-US" w:eastAsia="zh-CN"/>
              </w:rPr>
              <w:t>115</w:t>
            </w:r>
            <w:r>
              <w:rPr>
                <w:rFonts w:hint="default" w:ascii="Times New Roman" w:hAnsi="Times New Roman" w:eastAsia="仿宋_GB2312" w:cs="Times New Roman"/>
                <w:color w:val="auto"/>
                <w:sz w:val="24"/>
                <w:highlight w:val="none"/>
                <w:lang w:val="en-US" w:eastAsia="zh-CN"/>
              </w:rPr>
              <w:t>号</w:t>
            </w:r>
          </w:p>
        </w:tc>
      </w:tr>
      <w:tr w14:paraId="2A533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1527" w:type="dxa"/>
            <w:tcBorders>
              <w:tl2br w:val="nil"/>
              <w:tr2bl w:val="nil"/>
            </w:tcBorders>
            <w:tcMar>
              <w:top w:w="16" w:type="dxa"/>
              <w:left w:w="16" w:type="dxa"/>
              <w:right w:w="16" w:type="dxa"/>
            </w:tcMar>
            <w:vAlign w:val="center"/>
          </w:tcPr>
          <w:p w14:paraId="194C3053">
            <w:pPr>
              <w:adjustRightInd w:val="0"/>
              <w:snapToGrid w:val="0"/>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总投资（万元）</w:t>
            </w:r>
          </w:p>
        </w:tc>
        <w:tc>
          <w:tcPr>
            <w:tcW w:w="3081" w:type="dxa"/>
            <w:tcBorders>
              <w:tl2br w:val="nil"/>
              <w:tr2bl w:val="nil"/>
            </w:tcBorders>
            <w:vAlign w:val="center"/>
          </w:tcPr>
          <w:p w14:paraId="1A4BC83A">
            <w:pPr>
              <w:keepNext w:val="0"/>
              <w:keepLines w:val="0"/>
              <w:widowControl/>
              <w:suppressLineNumbers w:val="0"/>
              <w:jc w:val="center"/>
              <w:rPr>
                <w:rFonts w:hint="default" w:ascii="Times New Roman" w:hAnsi="Times New Roman" w:eastAsia="仿宋_GB2312" w:cs="Times New Roman"/>
                <w:color w:val="auto"/>
                <w:sz w:val="24"/>
                <w:highlight w:val="none"/>
                <w:lang w:val="en-US" w:eastAsia="zh-CN"/>
              </w:rPr>
            </w:pPr>
            <w:r>
              <w:rPr>
                <w:rFonts w:hint="eastAsia" w:cs="Times New Roman"/>
                <w:color w:val="auto"/>
                <w:kern w:val="0"/>
                <w:sz w:val="24"/>
                <w:szCs w:val="24"/>
                <w:highlight w:val="none"/>
                <w:lang w:val="en-US" w:eastAsia="zh-CN" w:bidi="ar"/>
              </w:rPr>
              <w:t>3338.45</w:t>
            </w:r>
          </w:p>
        </w:tc>
        <w:tc>
          <w:tcPr>
            <w:tcW w:w="1581" w:type="dxa"/>
            <w:tcBorders>
              <w:tl2br w:val="nil"/>
              <w:tr2bl w:val="nil"/>
            </w:tcBorders>
            <w:tcMar>
              <w:top w:w="16" w:type="dxa"/>
              <w:left w:w="16" w:type="dxa"/>
              <w:right w:w="16" w:type="dxa"/>
            </w:tcMar>
            <w:vAlign w:val="center"/>
          </w:tcPr>
          <w:p w14:paraId="2E0332D9">
            <w:pPr>
              <w:adjustRightInd w:val="0"/>
              <w:snapToGrid w:val="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b/>
                <w:bCs/>
                <w:color w:val="auto"/>
                <w:sz w:val="24"/>
                <w:highlight w:val="none"/>
              </w:rPr>
              <w:t>环保投资（万元）</w:t>
            </w:r>
          </w:p>
        </w:tc>
        <w:tc>
          <w:tcPr>
            <w:tcW w:w="2921" w:type="dxa"/>
            <w:tcBorders>
              <w:tl2br w:val="nil"/>
              <w:tr2bl w:val="nil"/>
            </w:tcBorders>
            <w:vAlign w:val="center"/>
          </w:tcPr>
          <w:p w14:paraId="2EACA2D9">
            <w:pPr>
              <w:snapToGrid w:val="0"/>
              <w:jc w:val="center"/>
              <w:rPr>
                <w:rFonts w:hint="default" w:ascii="Times New Roman" w:hAnsi="Times New Roman" w:eastAsia="仿宋_GB2312" w:cs="Times New Roman"/>
                <w:color w:val="auto"/>
                <w:sz w:val="24"/>
                <w:highlight w:val="none"/>
                <w:lang w:val="en-US" w:eastAsia="zh-CN"/>
              </w:rPr>
            </w:pPr>
            <w:r>
              <w:rPr>
                <w:rFonts w:hint="eastAsia" w:eastAsia="仿宋_GB2312" w:cs="Times New Roman"/>
                <w:color w:val="auto"/>
                <w:sz w:val="24"/>
                <w:highlight w:val="none"/>
                <w:lang w:val="en-US" w:eastAsia="zh-CN"/>
              </w:rPr>
              <w:t>244.35</w:t>
            </w:r>
          </w:p>
        </w:tc>
      </w:tr>
      <w:tr w14:paraId="4F18B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1527" w:type="dxa"/>
            <w:tcBorders>
              <w:tl2br w:val="nil"/>
              <w:tr2bl w:val="nil"/>
            </w:tcBorders>
            <w:tcMar>
              <w:top w:w="16" w:type="dxa"/>
              <w:left w:w="16" w:type="dxa"/>
              <w:right w:w="16" w:type="dxa"/>
            </w:tcMar>
            <w:vAlign w:val="center"/>
          </w:tcPr>
          <w:p w14:paraId="08430C08">
            <w:pPr>
              <w:adjustRightInd w:val="0"/>
              <w:snapToGrid w:val="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b/>
                <w:bCs/>
                <w:color w:val="auto"/>
                <w:sz w:val="24"/>
                <w:highlight w:val="none"/>
              </w:rPr>
              <w:t>环保投资占比（%）</w:t>
            </w:r>
          </w:p>
        </w:tc>
        <w:tc>
          <w:tcPr>
            <w:tcW w:w="3081" w:type="dxa"/>
            <w:tcBorders>
              <w:tl2br w:val="nil"/>
              <w:tr2bl w:val="nil"/>
            </w:tcBorders>
            <w:vAlign w:val="center"/>
          </w:tcPr>
          <w:p w14:paraId="6BCC7ACB">
            <w:pPr>
              <w:adjustRightInd w:val="0"/>
              <w:snapToGrid w:val="0"/>
              <w:jc w:val="center"/>
              <w:rPr>
                <w:rFonts w:hint="default" w:ascii="Times New Roman" w:hAnsi="Times New Roman" w:eastAsia="仿宋_GB2312" w:cs="Times New Roman"/>
                <w:color w:val="auto"/>
                <w:sz w:val="24"/>
                <w:highlight w:val="none"/>
                <w:lang w:val="en-US" w:eastAsia="zh-CN"/>
              </w:rPr>
            </w:pPr>
            <w:r>
              <w:rPr>
                <w:rFonts w:hint="eastAsia" w:eastAsia="仿宋_GB2312" w:cs="Times New Roman"/>
                <w:color w:val="auto"/>
                <w:sz w:val="24"/>
                <w:highlight w:val="none"/>
                <w:lang w:val="en-US" w:eastAsia="zh-CN"/>
              </w:rPr>
              <w:t>7.32</w:t>
            </w:r>
          </w:p>
        </w:tc>
        <w:tc>
          <w:tcPr>
            <w:tcW w:w="1581" w:type="dxa"/>
            <w:tcBorders>
              <w:tl2br w:val="nil"/>
              <w:tr2bl w:val="nil"/>
            </w:tcBorders>
            <w:tcMar>
              <w:top w:w="16" w:type="dxa"/>
              <w:left w:w="16" w:type="dxa"/>
              <w:right w:w="16" w:type="dxa"/>
            </w:tcMar>
            <w:vAlign w:val="center"/>
          </w:tcPr>
          <w:p w14:paraId="3DBEA9C7">
            <w:pPr>
              <w:adjustRightInd w:val="0"/>
              <w:snapToGrid w:val="0"/>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施工工期</w:t>
            </w:r>
          </w:p>
        </w:tc>
        <w:tc>
          <w:tcPr>
            <w:tcW w:w="2921" w:type="dxa"/>
            <w:tcBorders>
              <w:tl2br w:val="nil"/>
              <w:tr2bl w:val="nil"/>
            </w:tcBorders>
            <w:vAlign w:val="center"/>
          </w:tcPr>
          <w:p w14:paraId="415DC56D">
            <w:pPr>
              <w:snapToGrid w:val="0"/>
              <w:jc w:val="center"/>
              <w:rPr>
                <w:rFonts w:hint="default" w:ascii="Times New Roman" w:hAnsi="Times New Roman" w:eastAsia="仿宋_GB2312" w:cs="Times New Roman"/>
                <w:color w:val="auto"/>
                <w:sz w:val="24"/>
                <w:highlight w:val="none"/>
                <w:lang w:val="en-US" w:eastAsia="zh-CN"/>
              </w:rPr>
            </w:pPr>
            <w:r>
              <w:rPr>
                <w:rFonts w:hint="eastAsia" w:eastAsia="仿宋_GB2312" w:cs="Times New Roman"/>
                <w:color w:val="auto"/>
                <w:sz w:val="24"/>
                <w:highlight w:val="none"/>
                <w:lang w:val="en-US" w:eastAsia="zh-CN"/>
              </w:rPr>
              <w:t>16个月</w:t>
            </w:r>
          </w:p>
        </w:tc>
      </w:tr>
      <w:tr w14:paraId="78D2B2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1527" w:type="dxa"/>
            <w:tcBorders>
              <w:tl2br w:val="nil"/>
              <w:tr2bl w:val="nil"/>
            </w:tcBorders>
            <w:tcMar>
              <w:top w:w="16" w:type="dxa"/>
              <w:left w:w="16" w:type="dxa"/>
              <w:right w:w="16" w:type="dxa"/>
            </w:tcMar>
            <w:vAlign w:val="center"/>
          </w:tcPr>
          <w:p w14:paraId="57621F05">
            <w:pPr>
              <w:adjustRightInd w:val="0"/>
              <w:snapToGrid w:val="0"/>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是否开工建设</w:t>
            </w:r>
          </w:p>
        </w:tc>
        <w:tc>
          <w:tcPr>
            <w:tcW w:w="7583" w:type="dxa"/>
            <w:gridSpan w:val="3"/>
            <w:tcBorders>
              <w:tl2br w:val="nil"/>
              <w:tr2bl w:val="nil"/>
            </w:tcBorders>
            <w:vAlign w:val="center"/>
          </w:tcPr>
          <w:p w14:paraId="443DF295">
            <w:pPr>
              <w:adjustRightInd w:val="0"/>
              <w:snapToGrid w:val="0"/>
              <w:ind w:firstLine="240" w:firstLineChars="1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sym w:font="Wingdings 2" w:char="0052"/>
            </w:r>
            <w:r>
              <w:rPr>
                <w:rFonts w:hint="default" w:ascii="Times New Roman" w:hAnsi="Times New Roman" w:eastAsia="仿宋_GB2312" w:cs="Times New Roman"/>
                <w:color w:val="auto"/>
                <w:sz w:val="24"/>
                <w:highlight w:val="none"/>
              </w:rPr>
              <w:t>否</w:t>
            </w:r>
          </w:p>
          <w:p w14:paraId="6B50856F">
            <w:pPr>
              <w:pStyle w:val="31"/>
              <w:rPr>
                <w:rFonts w:hint="default" w:ascii="Times New Roman" w:hAnsi="Times New Roman" w:eastAsia="仿宋_GB2312" w:cs="Times New Roman"/>
                <w:b/>
                <w:bCs/>
                <w:color w:val="auto"/>
                <w:highlight w:val="none"/>
                <w:u w:val="none"/>
                <w:lang w:val="en-US" w:eastAsia="zh-CN"/>
              </w:rPr>
            </w:pPr>
            <w:r>
              <w:rPr>
                <w:rFonts w:hint="default" w:ascii="Times New Roman" w:hAnsi="Times New Roman" w:eastAsia="仿宋_GB2312" w:cs="Times New Roman"/>
                <w:color w:val="auto"/>
                <w:sz w:val="24"/>
                <w:highlight w:val="none"/>
              </w:rPr>
              <w:t>□是：</w:t>
            </w:r>
            <w:r>
              <w:rPr>
                <w:rFonts w:hint="default" w:ascii="Times New Roman" w:hAnsi="Times New Roman" w:eastAsia="仿宋_GB2312" w:cs="Times New Roman"/>
                <w:color w:val="auto"/>
                <w:sz w:val="24"/>
                <w:highlight w:val="none"/>
                <w:u w:val="single"/>
                <w:lang w:val="en-US" w:eastAsia="zh-CN"/>
              </w:rPr>
              <w:t xml:space="preserve">                                               </w:t>
            </w:r>
          </w:p>
        </w:tc>
      </w:tr>
      <w:tr w14:paraId="18B6E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1527" w:type="dxa"/>
            <w:tcBorders>
              <w:tl2br w:val="nil"/>
              <w:tr2bl w:val="nil"/>
            </w:tcBorders>
            <w:vAlign w:val="center"/>
          </w:tcPr>
          <w:p w14:paraId="4CA345D0">
            <w:pPr>
              <w:autoSpaceDE w:val="0"/>
              <w:autoSpaceDN w:val="0"/>
              <w:adjustRightInd w:val="0"/>
              <w:snapToGrid w:val="0"/>
              <w:jc w:val="center"/>
              <w:rPr>
                <w:rFonts w:hint="default" w:ascii="Times New Roman" w:hAnsi="Times New Roman" w:eastAsia="仿宋_GB2312" w:cs="Times New Roman"/>
                <w:b/>
                <w:bCs/>
                <w:color w:val="auto"/>
                <w:kern w:val="0"/>
                <w:sz w:val="24"/>
                <w:highlight w:val="none"/>
              </w:rPr>
            </w:pPr>
            <w:r>
              <w:rPr>
                <w:rFonts w:hint="default" w:ascii="Times New Roman" w:hAnsi="Times New Roman" w:eastAsia="仿宋_GB2312" w:cs="Times New Roman"/>
                <w:b/>
                <w:bCs/>
                <w:color w:val="auto"/>
                <w:kern w:val="0"/>
                <w:sz w:val="24"/>
                <w:highlight w:val="none"/>
              </w:rPr>
              <w:t>专项评价设置情况</w:t>
            </w:r>
          </w:p>
        </w:tc>
        <w:tc>
          <w:tcPr>
            <w:tcW w:w="7583" w:type="dxa"/>
            <w:gridSpan w:val="3"/>
            <w:tcBorders>
              <w:tl2br w:val="nil"/>
              <w:tr2bl w:val="nil"/>
            </w:tcBorders>
            <w:vAlign w:val="center"/>
          </w:tcPr>
          <w:p w14:paraId="451992D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right="0" w:firstLine="456" w:firstLineChars="200"/>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b w:val="0"/>
                <w:bCs w:val="0"/>
                <w:color w:val="auto"/>
                <w:spacing w:val="-6"/>
                <w:kern w:val="16"/>
                <w:sz w:val="24"/>
                <w:highlight w:val="none"/>
                <w:lang w:val="en-US" w:eastAsia="zh-CN"/>
              </w:rPr>
              <w:t>根据《建设项目环境影响报告表编制技术指南（生态影响类）</w:t>
            </w:r>
            <w:r>
              <w:rPr>
                <w:rFonts w:hint="eastAsia" w:eastAsia="仿宋_GB2312" w:cs="Times New Roman"/>
                <w:b w:val="0"/>
                <w:bCs w:val="0"/>
                <w:color w:val="auto"/>
                <w:spacing w:val="-6"/>
                <w:kern w:val="16"/>
                <w:sz w:val="24"/>
                <w:highlight w:val="none"/>
                <w:lang w:val="en-US" w:eastAsia="zh-CN"/>
              </w:rPr>
              <w:t>（试行）》</w:t>
            </w:r>
            <w:r>
              <w:rPr>
                <w:rFonts w:hint="default" w:ascii="Times New Roman" w:hAnsi="Times New Roman" w:eastAsia="仿宋_GB2312" w:cs="Times New Roman"/>
                <w:b w:val="0"/>
                <w:bCs w:val="0"/>
                <w:color w:val="auto"/>
                <w:spacing w:val="-6"/>
                <w:kern w:val="16"/>
                <w:sz w:val="24"/>
                <w:highlight w:val="none"/>
                <w:lang w:val="en-US" w:eastAsia="zh-CN"/>
              </w:rPr>
              <w:t>中“表1专项评价设置原则表”：涉及环境敏感区（不包括饮用水水源保护区，以居住、医疗卫生、文化教育、科研、行政办公为主要功能的区域，以及文物保护单位）的项目需开展生态影响评价专章。</w:t>
            </w:r>
            <w:r>
              <w:rPr>
                <w:rFonts w:hint="eastAsia" w:eastAsia="仿宋_GB2312" w:cs="Times New Roman"/>
                <w:b w:val="0"/>
                <w:bCs w:val="0"/>
                <w:color w:val="auto"/>
                <w:spacing w:val="-6"/>
                <w:kern w:val="16"/>
                <w:sz w:val="24"/>
                <w:highlight w:val="none"/>
                <w:lang w:val="en-US" w:eastAsia="zh-CN"/>
              </w:rPr>
              <w:t>根据宁夏回族自治区水土流失重点防治区划分图，</w:t>
            </w:r>
            <w:r>
              <w:rPr>
                <w:rFonts w:hint="default" w:ascii="Times New Roman" w:hAnsi="Times New Roman" w:eastAsia="仿宋_GB2312" w:cs="Times New Roman"/>
                <w:b w:val="0"/>
                <w:bCs w:val="0"/>
                <w:color w:val="auto"/>
                <w:spacing w:val="-6"/>
                <w:kern w:val="16"/>
                <w:sz w:val="24"/>
                <w:highlight w:val="none"/>
                <w:lang w:val="en-US" w:eastAsia="zh-CN"/>
              </w:rPr>
              <w:t>本项目</w:t>
            </w:r>
            <w:r>
              <w:rPr>
                <w:rFonts w:hint="eastAsia" w:ascii="Times New Roman" w:hAnsi="Times New Roman" w:eastAsia="仿宋_GB2312" w:cs="Times New Roman"/>
                <w:b w:val="0"/>
                <w:bCs w:val="0"/>
                <w:color w:val="auto"/>
                <w:spacing w:val="-6"/>
                <w:kern w:val="16"/>
                <w:sz w:val="24"/>
                <w:highlight w:val="none"/>
                <w:lang w:val="en-US" w:eastAsia="zh-CN"/>
              </w:rPr>
              <w:t>涉及水土流失重点预防区和重点治理区</w:t>
            </w:r>
            <w:r>
              <w:rPr>
                <w:rFonts w:hint="default" w:ascii="Times New Roman" w:hAnsi="Times New Roman" w:eastAsia="仿宋_GB2312" w:cs="Times New Roman"/>
                <w:b w:val="0"/>
                <w:bCs w:val="0"/>
                <w:color w:val="auto"/>
                <w:spacing w:val="-6"/>
                <w:kern w:val="16"/>
                <w:sz w:val="24"/>
                <w:highlight w:val="none"/>
                <w:lang w:val="en-US" w:eastAsia="zh-CN"/>
              </w:rPr>
              <w:t>，需开展生态影响评价专章。</w:t>
            </w:r>
            <w:r>
              <w:rPr>
                <w:rFonts w:hint="eastAsia" w:eastAsia="仿宋_GB2312" w:cs="Times New Roman"/>
                <w:b w:val="0"/>
                <w:bCs w:val="0"/>
                <w:color w:val="auto"/>
                <w:spacing w:val="-6"/>
                <w:kern w:val="16"/>
                <w:sz w:val="24"/>
                <w:highlight w:val="none"/>
                <w:lang w:val="en-US" w:eastAsia="zh-CN"/>
              </w:rPr>
              <w:t>本</w:t>
            </w:r>
            <w:r>
              <w:rPr>
                <w:rFonts w:hint="default" w:ascii="Times New Roman" w:hAnsi="Times New Roman" w:eastAsia="仿宋_GB2312" w:cs="Times New Roman"/>
                <w:b w:val="0"/>
                <w:bCs w:val="0"/>
                <w:color w:val="auto"/>
                <w:spacing w:val="-6"/>
                <w:kern w:val="16"/>
                <w:sz w:val="24"/>
                <w:highlight w:val="none"/>
                <w:lang w:val="en-US" w:eastAsia="zh-CN"/>
              </w:rPr>
              <w:t>项目与宁夏回族自治区水土流失重点防治区划分图位置关系图</w:t>
            </w:r>
            <w:r>
              <w:rPr>
                <w:rFonts w:hint="eastAsia" w:eastAsia="仿宋_GB2312" w:cs="Times New Roman"/>
                <w:b w:val="0"/>
                <w:bCs w:val="0"/>
                <w:color w:val="auto"/>
                <w:spacing w:val="-6"/>
                <w:kern w:val="16"/>
                <w:sz w:val="24"/>
                <w:highlight w:val="none"/>
                <w:lang w:val="en-US" w:eastAsia="zh-CN"/>
              </w:rPr>
              <w:t>见附图0。</w:t>
            </w:r>
          </w:p>
        </w:tc>
      </w:tr>
    </w:tbl>
    <w:p w14:paraId="5A6B752D">
      <w:pPr>
        <w:rPr>
          <w:color w:val="auto"/>
        </w:rPr>
      </w:pPr>
    </w:p>
    <w:tbl>
      <w:tblPr>
        <w:tblStyle w:val="33"/>
        <w:tblW w:w="92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7941"/>
      </w:tblGrid>
      <w:tr w14:paraId="7C573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0" w:hRule="atLeast"/>
          <w:jc w:val="center"/>
        </w:trPr>
        <w:tc>
          <w:tcPr>
            <w:tcW w:w="1358" w:type="dxa"/>
            <w:tcBorders>
              <w:tl2br w:val="nil"/>
              <w:tr2bl w:val="nil"/>
            </w:tcBorders>
            <w:vAlign w:val="center"/>
          </w:tcPr>
          <w:p w14:paraId="0515764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仿宋_GB2312" w:cs="Times New Roman"/>
                <w:b/>
                <w:bCs/>
                <w:color w:val="auto"/>
                <w:spacing w:val="-6"/>
                <w:kern w:val="16"/>
                <w:sz w:val="24"/>
                <w:highlight w:val="none"/>
                <w:lang w:val="en-US" w:eastAsia="zh-CN"/>
              </w:rPr>
            </w:pPr>
            <w:r>
              <w:rPr>
                <w:rFonts w:hint="default" w:ascii="Times New Roman" w:hAnsi="Times New Roman" w:eastAsia="仿宋_GB2312" w:cs="Times New Roman"/>
                <w:b/>
                <w:bCs/>
                <w:color w:val="auto"/>
                <w:spacing w:val="-6"/>
                <w:kern w:val="16"/>
                <w:sz w:val="24"/>
                <w:highlight w:val="none"/>
                <w:lang w:val="en-US" w:eastAsia="zh-CN"/>
              </w:rPr>
              <w:t>规划情况</w:t>
            </w:r>
          </w:p>
        </w:tc>
        <w:tc>
          <w:tcPr>
            <w:tcW w:w="7941" w:type="dxa"/>
            <w:tcBorders>
              <w:tl2br w:val="nil"/>
              <w:tr2bl w:val="nil"/>
            </w:tcBorders>
            <w:vAlign w:val="center"/>
          </w:tcPr>
          <w:p w14:paraId="34414A5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36" w:lineRule="auto"/>
              <w:ind w:left="0" w:right="0" w:firstLine="0"/>
              <w:jc w:val="center"/>
              <w:textAlignment w:val="auto"/>
              <w:rPr>
                <w:rFonts w:hint="default" w:ascii="Times New Roman" w:hAnsi="Times New Roman" w:eastAsia="仿宋_GB2312" w:cs="Times New Roman"/>
                <w:b/>
                <w:bCs/>
                <w:color w:val="auto"/>
                <w:spacing w:val="-6"/>
                <w:kern w:val="16"/>
                <w:sz w:val="24"/>
                <w:highlight w:val="none"/>
                <w:lang w:val="en-US" w:eastAsia="zh-CN"/>
              </w:rPr>
            </w:pPr>
            <w:r>
              <w:rPr>
                <w:rFonts w:hint="eastAsia" w:eastAsia="仿宋_GB2312" w:cs="Times New Roman"/>
                <w:b/>
                <w:bCs/>
                <w:color w:val="auto"/>
                <w:spacing w:val="-6"/>
                <w:kern w:val="16"/>
                <w:sz w:val="24"/>
                <w:highlight w:val="none"/>
                <w:lang w:val="en-US" w:eastAsia="zh-CN"/>
              </w:rPr>
              <w:t>无</w:t>
            </w:r>
          </w:p>
        </w:tc>
      </w:tr>
      <w:tr w14:paraId="5C603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3" w:hRule="atLeast"/>
          <w:jc w:val="center"/>
        </w:trPr>
        <w:tc>
          <w:tcPr>
            <w:tcW w:w="1358" w:type="dxa"/>
            <w:tcBorders>
              <w:tl2br w:val="nil"/>
              <w:tr2bl w:val="nil"/>
            </w:tcBorders>
            <w:vAlign w:val="center"/>
          </w:tcPr>
          <w:p w14:paraId="16158AD6">
            <w:pPr>
              <w:autoSpaceDE w:val="0"/>
              <w:autoSpaceDN w:val="0"/>
              <w:adjustRightInd w:val="0"/>
              <w:snapToGrid w:val="0"/>
              <w:jc w:val="center"/>
              <w:rPr>
                <w:rFonts w:hint="default" w:ascii="Times New Roman" w:hAnsi="Times New Roman" w:eastAsia="仿宋_GB2312" w:cs="Times New Roman"/>
                <w:b/>
                <w:bCs/>
                <w:color w:val="auto"/>
                <w:kern w:val="0"/>
                <w:sz w:val="24"/>
                <w:highlight w:val="none"/>
                <w:lang w:eastAsia="zh-CN"/>
              </w:rPr>
            </w:pPr>
            <w:r>
              <w:rPr>
                <w:rFonts w:hint="default" w:ascii="Times New Roman" w:hAnsi="Times New Roman" w:eastAsia="仿宋_GB2312" w:cs="Times New Roman"/>
                <w:b/>
                <w:bCs/>
                <w:color w:val="auto"/>
                <w:kern w:val="0"/>
                <w:sz w:val="24"/>
                <w:highlight w:val="none"/>
                <w:lang w:eastAsia="zh-CN"/>
              </w:rPr>
              <w:t>规划环境影响评价情况</w:t>
            </w:r>
          </w:p>
        </w:tc>
        <w:tc>
          <w:tcPr>
            <w:tcW w:w="7941" w:type="dxa"/>
            <w:tcBorders>
              <w:tl2br w:val="nil"/>
              <w:tr2bl w:val="nil"/>
            </w:tcBorders>
            <w:vAlign w:val="center"/>
          </w:tcPr>
          <w:p w14:paraId="7A822878">
            <w:pPr>
              <w:keepNext w:val="0"/>
              <w:keepLines w:val="0"/>
              <w:pageBreakBefore w:val="0"/>
              <w:widowControl w:val="0"/>
              <w:kinsoku/>
              <w:wordWrap/>
              <w:overflowPunct/>
              <w:topLinePunct w:val="0"/>
              <w:autoSpaceDE w:val="0"/>
              <w:autoSpaceDN w:val="0"/>
              <w:bidi w:val="0"/>
              <w:adjustRightInd/>
              <w:snapToGrid/>
              <w:spacing w:line="336" w:lineRule="auto"/>
              <w:ind w:left="0" w:right="0" w:firstLine="0" w:firstLineChars="0"/>
              <w:jc w:val="center"/>
              <w:textAlignment w:val="auto"/>
              <w:rPr>
                <w:rFonts w:hint="default" w:cs="Times New Roman"/>
                <w:b w:val="0"/>
                <w:bCs w:val="0"/>
                <w:color w:val="auto"/>
                <w:kern w:val="16"/>
                <w:sz w:val="24"/>
                <w:szCs w:val="24"/>
                <w:highlight w:val="none"/>
                <w:lang w:val="en-US" w:eastAsia="zh-CN" w:bidi="ar-SA"/>
              </w:rPr>
            </w:pPr>
            <w:r>
              <w:rPr>
                <w:rFonts w:hint="eastAsia" w:eastAsia="仿宋_GB2312" w:cs="Times New Roman"/>
                <w:b/>
                <w:bCs/>
                <w:color w:val="auto"/>
                <w:spacing w:val="-6"/>
                <w:kern w:val="16"/>
                <w:sz w:val="24"/>
                <w:szCs w:val="24"/>
                <w:highlight w:val="none"/>
                <w:lang w:val="en-US" w:eastAsia="zh-CN" w:bidi="ar-SA"/>
              </w:rPr>
              <w:t>无</w:t>
            </w:r>
          </w:p>
        </w:tc>
      </w:tr>
      <w:tr w14:paraId="58149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1" w:hRule="atLeast"/>
          <w:jc w:val="center"/>
        </w:trPr>
        <w:tc>
          <w:tcPr>
            <w:tcW w:w="1358" w:type="dxa"/>
            <w:tcBorders>
              <w:tl2br w:val="nil"/>
              <w:tr2bl w:val="nil"/>
            </w:tcBorders>
            <w:vAlign w:val="center"/>
          </w:tcPr>
          <w:p w14:paraId="1F6ECE2C">
            <w:pPr>
              <w:pStyle w:val="9"/>
              <w:jc w:val="center"/>
              <w:rPr>
                <w:rFonts w:hint="default"/>
                <w:color w:val="auto"/>
                <w:highlight w:val="none"/>
                <w:lang w:eastAsia="zh-CN"/>
              </w:rPr>
            </w:pPr>
          </w:p>
          <w:p w14:paraId="09541C4D">
            <w:pPr>
              <w:autoSpaceDE w:val="0"/>
              <w:autoSpaceDN w:val="0"/>
              <w:adjustRightInd w:val="0"/>
              <w:snapToGrid w:val="0"/>
              <w:jc w:val="center"/>
              <w:rPr>
                <w:rFonts w:hint="default" w:ascii="Times New Roman" w:hAnsi="Times New Roman" w:eastAsia="仿宋_GB2312" w:cs="Times New Roman"/>
                <w:b/>
                <w:bCs/>
                <w:color w:val="auto"/>
                <w:kern w:val="0"/>
                <w:sz w:val="24"/>
                <w:highlight w:val="none"/>
                <w:lang w:eastAsia="zh-CN"/>
              </w:rPr>
            </w:pPr>
            <w:r>
              <w:rPr>
                <w:rFonts w:hint="default" w:ascii="Times New Roman" w:hAnsi="Times New Roman" w:eastAsia="仿宋_GB2312" w:cs="Times New Roman"/>
                <w:b/>
                <w:bCs/>
                <w:color w:val="auto"/>
                <w:kern w:val="0"/>
                <w:sz w:val="24"/>
                <w:highlight w:val="none"/>
                <w:lang w:eastAsia="zh-CN"/>
              </w:rPr>
              <w:t>规划及规划环境影响评价符合性分析</w:t>
            </w:r>
          </w:p>
        </w:tc>
        <w:tc>
          <w:tcPr>
            <w:tcW w:w="7941" w:type="dxa"/>
            <w:tcBorders>
              <w:tl2br w:val="nil"/>
              <w:tr2bl w:val="nil"/>
            </w:tcBorders>
            <w:vAlign w:val="center"/>
          </w:tcPr>
          <w:p w14:paraId="5572BBB9">
            <w:pPr>
              <w:keepNext w:val="0"/>
              <w:keepLines w:val="0"/>
              <w:pageBreakBefore w:val="0"/>
              <w:widowControl w:val="0"/>
              <w:kinsoku/>
              <w:wordWrap/>
              <w:overflowPunct/>
              <w:topLinePunct w:val="0"/>
              <w:autoSpaceDE w:val="0"/>
              <w:autoSpaceDN w:val="0"/>
              <w:bidi w:val="0"/>
              <w:adjustRightInd/>
              <w:snapToGrid/>
              <w:spacing w:line="336" w:lineRule="auto"/>
              <w:ind w:left="0" w:right="0" w:firstLine="0" w:firstLineChars="0"/>
              <w:jc w:val="center"/>
              <w:textAlignment w:val="auto"/>
              <w:rPr>
                <w:rFonts w:hint="default" w:ascii="Times New Roman" w:hAnsi="Times New Roman" w:eastAsia="宋体" w:cs="Times New Roman"/>
                <w:b/>
                <w:bCs/>
                <w:color w:val="auto"/>
                <w:kern w:val="0"/>
                <w:sz w:val="24"/>
                <w:szCs w:val="28"/>
                <w:highlight w:val="none"/>
                <w:lang w:val="en-US" w:eastAsia="zh-CN" w:bidi="ar-SA"/>
              </w:rPr>
            </w:pPr>
            <w:r>
              <w:rPr>
                <w:rFonts w:hint="eastAsia" w:ascii="Times New Roman" w:hAnsi="Times New Roman" w:eastAsia="仿宋_GB2312" w:cs="Times New Roman"/>
                <w:b/>
                <w:bCs/>
                <w:color w:val="auto"/>
                <w:spacing w:val="-6"/>
                <w:kern w:val="16"/>
                <w:sz w:val="24"/>
                <w:szCs w:val="24"/>
                <w:highlight w:val="none"/>
                <w:lang w:val="en-US" w:eastAsia="zh-CN" w:bidi="ar-SA"/>
              </w:rPr>
              <w:t>无</w:t>
            </w:r>
          </w:p>
        </w:tc>
      </w:tr>
    </w:tbl>
    <w:p w14:paraId="2DB9D405">
      <w:pPr>
        <w:rPr>
          <w:color w:val="auto"/>
        </w:rPr>
      </w:pPr>
    </w:p>
    <w:tbl>
      <w:tblPr>
        <w:tblStyle w:val="33"/>
        <w:tblW w:w="91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0"/>
        <w:gridCol w:w="8540"/>
      </w:tblGrid>
      <w:tr w14:paraId="1780D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7" w:hRule="atLeast"/>
          <w:jc w:val="center"/>
        </w:trPr>
        <w:tc>
          <w:tcPr>
            <w:tcW w:w="570" w:type="dxa"/>
            <w:tcBorders>
              <w:tl2br w:val="nil"/>
              <w:tr2bl w:val="nil"/>
            </w:tcBorders>
            <w:vAlign w:val="center"/>
          </w:tcPr>
          <w:p w14:paraId="4DA8D9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05CB8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7FC7A6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654B7C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0FE03C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5D3465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723A11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53CD82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25AB01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605212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6FF490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170E4B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0E2E0A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6F8F3F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3F2110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733E24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8346C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1D35EF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3E9D73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20FABE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14C0F3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1589B2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6BB07E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09BD58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r>
              <w:rPr>
                <w:rFonts w:hint="default" w:ascii="Times New Roman" w:hAnsi="Times New Roman" w:eastAsia="仿宋_GB2312" w:cs="Times New Roman"/>
                <w:b/>
                <w:bCs/>
                <w:color w:val="auto"/>
                <w:kern w:val="0"/>
                <w:sz w:val="24"/>
                <w:highlight w:val="none"/>
              </w:rPr>
              <w:t>其他符合性分析</w:t>
            </w:r>
          </w:p>
          <w:p w14:paraId="1DFC01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E30D9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B41D6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02259B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0AF23E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10FAAD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F94D7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330AA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70B25F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155B1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5FAAAC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3F5A959D">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_GB2312" w:cs="Times New Roman"/>
                <w:b/>
                <w:bCs/>
                <w:color w:val="auto"/>
                <w:kern w:val="0"/>
                <w:sz w:val="24"/>
                <w:highlight w:val="none"/>
              </w:rPr>
            </w:pPr>
          </w:p>
          <w:p w14:paraId="1E1D0C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36BD51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4EC555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435CF3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63971D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3CA3D0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3B6ABE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2A00A2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0B74E2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3B66DE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5BF351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57CB8B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4D583F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6318C6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42290E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3F27E2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450D84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3B49E8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02CE7C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7CD4E2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4A21B6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629ACC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5DF5D4C9">
            <w:pPr>
              <w:pStyle w:val="42"/>
              <w:rPr>
                <w:rFonts w:hint="default" w:ascii="Times New Roman" w:hAnsi="Times New Roman" w:eastAsia="仿宋_GB2312" w:cs="Times New Roman"/>
                <w:color w:val="auto"/>
                <w:highlight w:val="none"/>
              </w:rPr>
            </w:pPr>
          </w:p>
          <w:p w14:paraId="2D12AFB2">
            <w:pPr>
              <w:rPr>
                <w:rFonts w:hint="default" w:ascii="Times New Roman" w:hAnsi="Times New Roman" w:eastAsia="仿宋_GB2312" w:cs="Times New Roman"/>
                <w:color w:val="auto"/>
                <w:highlight w:val="none"/>
              </w:rPr>
            </w:pPr>
          </w:p>
          <w:p w14:paraId="72EDFCA7">
            <w:pPr>
              <w:pStyle w:val="42"/>
              <w:rPr>
                <w:rFonts w:hint="default" w:ascii="Times New Roman" w:hAnsi="Times New Roman" w:eastAsia="仿宋_GB2312" w:cs="Times New Roman"/>
                <w:color w:val="auto"/>
                <w:highlight w:val="none"/>
              </w:rPr>
            </w:pPr>
          </w:p>
          <w:p w14:paraId="2FBABC15">
            <w:pPr>
              <w:rPr>
                <w:rFonts w:hint="default" w:ascii="Times New Roman" w:hAnsi="Times New Roman" w:eastAsia="仿宋_GB2312" w:cs="Times New Roman"/>
                <w:color w:val="auto"/>
                <w:highlight w:val="none"/>
              </w:rPr>
            </w:pPr>
          </w:p>
          <w:p w14:paraId="32114BA2">
            <w:pPr>
              <w:pStyle w:val="42"/>
              <w:rPr>
                <w:rFonts w:hint="default" w:ascii="Times New Roman" w:hAnsi="Times New Roman" w:eastAsia="仿宋_GB2312" w:cs="Times New Roman"/>
                <w:color w:val="auto"/>
                <w:highlight w:val="none"/>
              </w:rPr>
            </w:pPr>
          </w:p>
          <w:p w14:paraId="665C5DF5">
            <w:pPr>
              <w:rPr>
                <w:rFonts w:hint="default" w:ascii="Times New Roman" w:hAnsi="Times New Roman" w:eastAsia="仿宋_GB2312" w:cs="Times New Roman"/>
                <w:color w:val="auto"/>
                <w:highlight w:val="none"/>
              </w:rPr>
            </w:pPr>
          </w:p>
          <w:p w14:paraId="1607BD90">
            <w:pPr>
              <w:pStyle w:val="42"/>
              <w:rPr>
                <w:rFonts w:hint="default" w:ascii="Times New Roman" w:hAnsi="Times New Roman" w:eastAsia="仿宋_GB2312" w:cs="Times New Roman"/>
                <w:color w:val="auto"/>
                <w:highlight w:val="none"/>
              </w:rPr>
            </w:pPr>
          </w:p>
          <w:p w14:paraId="6846429D">
            <w:pPr>
              <w:rPr>
                <w:rFonts w:hint="default" w:ascii="Times New Roman" w:hAnsi="Times New Roman" w:eastAsia="仿宋_GB2312" w:cs="Times New Roman"/>
                <w:color w:val="auto"/>
                <w:highlight w:val="none"/>
              </w:rPr>
            </w:pPr>
          </w:p>
          <w:p w14:paraId="773B34BA">
            <w:pPr>
              <w:pStyle w:val="42"/>
              <w:rPr>
                <w:rFonts w:hint="default"/>
                <w:color w:val="auto"/>
              </w:rPr>
            </w:pPr>
          </w:p>
          <w:p w14:paraId="33A774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rPr>
            </w:pPr>
          </w:p>
          <w:p w14:paraId="629357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r>
              <w:rPr>
                <w:rFonts w:hint="default" w:ascii="Times New Roman" w:hAnsi="Times New Roman" w:eastAsia="仿宋_GB2312" w:cs="Times New Roman"/>
                <w:b/>
                <w:bCs/>
                <w:color w:val="auto"/>
                <w:kern w:val="0"/>
                <w:sz w:val="24"/>
                <w:highlight w:val="none"/>
              </w:rPr>
              <w:t>其他符合性分析</w:t>
            </w:r>
          </w:p>
          <w:p w14:paraId="143A19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6B7DE8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320F72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35FA2A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C4D35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29DA24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3F9D41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5B6C5A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306249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3655ED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78A07D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6218C3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0769B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7993E6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0B5971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04C95A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2FBCDF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C0E93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2EFC1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7B334A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3CB224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170B3A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23C588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0A59C3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333697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1CCDC2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15C8AC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276EF2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15B368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543699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325168F">
            <w:pPr>
              <w:pStyle w:val="42"/>
              <w:rPr>
                <w:rFonts w:hint="eastAsia" w:eastAsia="仿宋_GB2312" w:cs="Times New Roman"/>
                <w:b/>
                <w:bCs/>
                <w:color w:val="auto"/>
                <w:kern w:val="0"/>
                <w:sz w:val="24"/>
                <w:highlight w:val="none"/>
                <w:lang w:eastAsia="zh-CN"/>
              </w:rPr>
            </w:pPr>
          </w:p>
          <w:p w14:paraId="1596E371">
            <w:pPr>
              <w:rPr>
                <w:rFonts w:hint="eastAsia"/>
                <w:color w:val="auto"/>
                <w:highlight w:val="none"/>
                <w:lang w:eastAsia="zh-CN"/>
              </w:rPr>
            </w:pPr>
          </w:p>
          <w:p w14:paraId="79F99F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7D113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02E531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31B85C77">
            <w:pPr>
              <w:pStyle w:val="42"/>
              <w:rPr>
                <w:rFonts w:hint="default" w:ascii="Times New Roman" w:hAnsi="Times New Roman" w:eastAsia="仿宋_GB2312" w:cs="Times New Roman"/>
                <w:b/>
                <w:bCs/>
                <w:color w:val="auto"/>
                <w:kern w:val="0"/>
                <w:sz w:val="24"/>
                <w:highlight w:val="none"/>
              </w:rPr>
            </w:pPr>
          </w:p>
          <w:p w14:paraId="2059CBE5">
            <w:pPr>
              <w:rPr>
                <w:rFonts w:hint="default"/>
                <w:color w:val="auto"/>
                <w:highlight w:val="none"/>
              </w:rPr>
            </w:pPr>
          </w:p>
          <w:p w14:paraId="1A3BCD62">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_GB2312" w:cs="Times New Roman"/>
                <w:b/>
                <w:bCs/>
                <w:color w:val="auto"/>
                <w:kern w:val="0"/>
                <w:sz w:val="24"/>
                <w:highlight w:val="none"/>
              </w:rPr>
            </w:pPr>
          </w:p>
          <w:p w14:paraId="577456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r>
              <w:rPr>
                <w:rFonts w:hint="default" w:ascii="Times New Roman" w:hAnsi="Times New Roman" w:eastAsia="仿宋_GB2312" w:cs="Times New Roman"/>
                <w:b/>
                <w:bCs/>
                <w:color w:val="auto"/>
                <w:kern w:val="0"/>
                <w:sz w:val="24"/>
                <w:highlight w:val="none"/>
              </w:rPr>
              <w:t>其他符合性分析</w:t>
            </w:r>
          </w:p>
          <w:p w14:paraId="70B2DB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3EE420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041748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6AED3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12AB08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7B57AE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5EF15C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5601BA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45CBA7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02A4E2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254D6EA3">
            <w:pPr>
              <w:pStyle w:val="9"/>
              <w:jc w:val="center"/>
              <w:rPr>
                <w:rFonts w:hint="default" w:ascii="Times New Roman" w:hAnsi="Times New Roman" w:eastAsia="仿宋_GB2312" w:cs="Times New Roman"/>
                <w:b/>
                <w:bCs/>
                <w:color w:val="auto"/>
                <w:kern w:val="0"/>
                <w:sz w:val="24"/>
                <w:highlight w:val="none"/>
              </w:rPr>
            </w:pPr>
          </w:p>
          <w:p w14:paraId="121783E6">
            <w:pPr>
              <w:jc w:val="center"/>
              <w:rPr>
                <w:rFonts w:hint="default"/>
                <w:color w:val="auto"/>
                <w:highlight w:val="none"/>
              </w:rPr>
            </w:pPr>
          </w:p>
          <w:p w14:paraId="05D919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auto"/>
                <w:kern w:val="0"/>
                <w:sz w:val="24"/>
                <w:highlight w:val="none"/>
              </w:rPr>
            </w:pPr>
          </w:p>
          <w:p w14:paraId="207F5760">
            <w:pPr>
              <w:pStyle w:val="9"/>
              <w:jc w:val="center"/>
              <w:rPr>
                <w:rFonts w:hint="default" w:ascii="Times New Roman" w:hAnsi="Times New Roman" w:eastAsia="仿宋_GB2312" w:cs="Times New Roman"/>
                <w:b/>
                <w:bCs/>
                <w:color w:val="auto"/>
                <w:kern w:val="0"/>
                <w:sz w:val="24"/>
                <w:highlight w:val="none"/>
              </w:rPr>
            </w:pPr>
          </w:p>
          <w:p w14:paraId="51584084">
            <w:pPr>
              <w:jc w:val="center"/>
              <w:rPr>
                <w:rFonts w:hint="default" w:ascii="Times New Roman" w:hAnsi="Times New Roman" w:eastAsia="仿宋_GB2312" w:cs="Times New Roman"/>
                <w:b/>
                <w:bCs/>
                <w:color w:val="auto"/>
                <w:kern w:val="0"/>
                <w:sz w:val="24"/>
                <w:highlight w:val="none"/>
              </w:rPr>
            </w:pPr>
          </w:p>
          <w:p w14:paraId="498C9AF0">
            <w:pPr>
              <w:pStyle w:val="9"/>
              <w:jc w:val="center"/>
              <w:rPr>
                <w:rFonts w:hint="default" w:ascii="Times New Roman" w:hAnsi="Times New Roman" w:eastAsia="仿宋_GB2312" w:cs="Times New Roman"/>
                <w:b/>
                <w:bCs/>
                <w:color w:val="auto"/>
                <w:kern w:val="0"/>
                <w:sz w:val="24"/>
                <w:highlight w:val="none"/>
              </w:rPr>
            </w:pPr>
          </w:p>
          <w:p w14:paraId="1C637F79">
            <w:pPr>
              <w:jc w:val="center"/>
              <w:rPr>
                <w:rFonts w:hint="default" w:ascii="Times New Roman" w:hAnsi="Times New Roman" w:eastAsia="仿宋_GB2312" w:cs="Times New Roman"/>
                <w:b/>
                <w:bCs/>
                <w:color w:val="auto"/>
                <w:kern w:val="0"/>
                <w:sz w:val="24"/>
                <w:highlight w:val="none"/>
              </w:rPr>
            </w:pPr>
          </w:p>
          <w:p w14:paraId="5CA63878">
            <w:pPr>
              <w:pStyle w:val="9"/>
              <w:rPr>
                <w:rFonts w:hint="default" w:ascii="Times New Roman" w:hAnsi="Times New Roman" w:eastAsia="仿宋_GB2312" w:cs="Times New Roman"/>
                <w:b/>
                <w:bCs/>
                <w:color w:val="auto"/>
                <w:kern w:val="0"/>
                <w:sz w:val="24"/>
                <w:highlight w:val="none"/>
              </w:rPr>
            </w:pPr>
          </w:p>
          <w:p w14:paraId="543C6CB2">
            <w:pPr>
              <w:rPr>
                <w:rFonts w:hint="default"/>
                <w:color w:val="auto"/>
                <w:highlight w:val="none"/>
              </w:rPr>
            </w:pPr>
          </w:p>
          <w:p w14:paraId="40523B24">
            <w:pPr>
              <w:pStyle w:val="42"/>
              <w:rPr>
                <w:rFonts w:hint="default"/>
                <w:color w:val="auto"/>
                <w:highlight w:val="none"/>
              </w:rPr>
            </w:pPr>
          </w:p>
          <w:p w14:paraId="67864485">
            <w:pPr>
              <w:rPr>
                <w:rFonts w:hint="default"/>
                <w:color w:val="auto"/>
                <w:highlight w:val="none"/>
              </w:rPr>
            </w:pPr>
          </w:p>
          <w:p w14:paraId="789811F9">
            <w:pPr>
              <w:pStyle w:val="42"/>
              <w:rPr>
                <w:rFonts w:hint="default"/>
                <w:color w:val="auto"/>
                <w:highlight w:val="none"/>
              </w:rPr>
            </w:pPr>
          </w:p>
          <w:p w14:paraId="60026222">
            <w:pPr>
              <w:rPr>
                <w:rFonts w:hint="default"/>
                <w:color w:val="auto"/>
                <w:highlight w:val="none"/>
              </w:rPr>
            </w:pPr>
          </w:p>
          <w:p w14:paraId="0A30F9DE">
            <w:pPr>
              <w:pStyle w:val="42"/>
              <w:rPr>
                <w:rFonts w:hint="default"/>
                <w:color w:val="auto"/>
                <w:highlight w:val="none"/>
              </w:rPr>
            </w:pPr>
          </w:p>
          <w:p w14:paraId="2EB51ED3">
            <w:pPr>
              <w:rPr>
                <w:rFonts w:hint="default"/>
                <w:color w:val="auto"/>
                <w:highlight w:val="none"/>
              </w:rPr>
            </w:pPr>
          </w:p>
          <w:p w14:paraId="1735EA80">
            <w:pPr>
              <w:pStyle w:val="42"/>
              <w:rPr>
                <w:rFonts w:hint="default"/>
                <w:color w:val="auto"/>
                <w:highlight w:val="none"/>
              </w:rPr>
            </w:pPr>
          </w:p>
          <w:p w14:paraId="779FAF83">
            <w:pPr>
              <w:rPr>
                <w:rFonts w:hint="default"/>
                <w:color w:val="auto"/>
                <w:highlight w:val="none"/>
              </w:rPr>
            </w:pPr>
          </w:p>
          <w:p w14:paraId="366184D9">
            <w:pPr>
              <w:pStyle w:val="42"/>
              <w:rPr>
                <w:rFonts w:hint="default"/>
                <w:color w:val="auto"/>
                <w:highlight w:val="none"/>
              </w:rPr>
            </w:pPr>
          </w:p>
          <w:p w14:paraId="32BBF18E">
            <w:pPr>
              <w:rPr>
                <w:rFonts w:hint="default"/>
                <w:color w:val="auto"/>
                <w:highlight w:val="none"/>
              </w:rPr>
            </w:pPr>
          </w:p>
          <w:p w14:paraId="0CAB69DB">
            <w:pPr>
              <w:pStyle w:val="42"/>
              <w:rPr>
                <w:rFonts w:hint="default"/>
                <w:color w:val="auto"/>
                <w:highlight w:val="none"/>
              </w:rPr>
            </w:pPr>
          </w:p>
          <w:p w14:paraId="3F2FE7AF">
            <w:pPr>
              <w:rPr>
                <w:rFonts w:hint="default"/>
                <w:color w:val="auto"/>
                <w:highlight w:val="none"/>
              </w:rPr>
            </w:pPr>
          </w:p>
          <w:p w14:paraId="1EE91E00">
            <w:pPr>
              <w:pStyle w:val="42"/>
              <w:rPr>
                <w:rFonts w:hint="default"/>
                <w:color w:val="auto"/>
                <w:highlight w:val="none"/>
              </w:rPr>
            </w:pPr>
          </w:p>
          <w:p w14:paraId="39126270">
            <w:pPr>
              <w:rPr>
                <w:rFonts w:hint="default"/>
                <w:color w:val="auto"/>
                <w:highlight w:val="none"/>
              </w:rPr>
            </w:pPr>
          </w:p>
          <w:p w14:paraId="1DE1F7CC">
            <w:pPr>
              <w:pStyle w:val="42"/>
              <w:rPr>
                <w:rFonts w:hint="default"/>
                <w:color w:val="auto"/>
                <w:highlight w:val="none"/>
              </w:rPr>
            </w:pPr>
          </w:p>
          <w:p w14:paraId="302FC9CA">
            <w:pPr>
              <w:rPr>
                <w:rFonts w:hint="default"/>
                <w:color w:val="auto"/>
                <w:highlight w:val="none"/>
              </w:rPr>
            </w:pPr>
          </w:p>
          <w:p w14:paraId="0930933B">
            <w:pPr>
              <w:rPr>
                <w:rFonts w:hint="eastAsia"/>
                <w:color w:val="auto"/>
                <w:highlight w:val="none"/>
                <w:lang w:eastAsia="zh-CN"/>
              </w:rPr>
            </w:pPr>
          </w:p>
          <w:p w14:paraId="299F4C82">
            <w:pPr>
              <w:pStyle w:val="42"/>
              <w:rPr>
                <w:rFonts w:hint="eastAsia"/>
                <w:color w:val="auto"/>
                <w:highlight w:val="none"/>
                <w:lang w:eastAsia="zh-CN"/>
              </w:rPr>
            </w:pPr>
          </w:p>
          <w:p w14:paraId="13C2D8E8">
            <w:pPr>
              <w:rPr>
                <w:rFonts w:hint="eastAsia"/>
                <w:color w:val="auto"/>
                <w:highlight w:val="none"/>
                <w:lang w:eastAsia="zh-CN"/>
              </w:rPr>
            </w:pPr>
          </w:p>
          <w:p w14:paraId="2D562778">
            <w:pPr>
              <w:pStyle w:val="42"/>
              <w:rPr>
                <w:rFonts w:hint="eastAsia"/>
                <w:color w:val="auto"/>
                <w:highlight w:val="none"/>
                <w:lang w:eastAsia="zh-CN"/>
              </w:rPr>
            </w:pPr>
          </w:p>
          <w:p w14:paraId="13F89081">
            <w:pPr>
              <w:rPr>
                <w:rFonts w:hint="eastAsia"/>
                <w:color w:val="auto"/>
                <w:highlight w:val="none"/>
                <w:lang w:eastAsia="zh-CN"/>
              </w:rPr>
            </w:pPr>
          </w:p>
          <w:p w14:paraId="4E1E86F6">
            <w:pPr>
              <w:pStyle w:val="42"/>
              <w:rPr>
                <w:rFonts w:hint="eastAsia"/>
                <w:color w:val="auto"/>
                <w:highlight w:val="none"/>
                <w:lang w:eastAsia="zh-CN"/>
              </w:rPr>
            </w:pPr>
          </w:p>
          <w:p w14:paraId="04F27CF1">
            <w:pPr>
              <w:rPr>
                <w:rFonts w:hint="eastAsia"/>
                <w:color w:val="auto"/>
                <w:highlight w:val="none"/>
                <w:lang w:eastAsia="zh-CN"/>
              </w:rPr>
            </w:pPr>
          </w:p>
          <w:p w14:paraId="28CA0572">
            <w:pPr>
              <w:pStyle w:val="42"/>
              <w:rPr>
                <w:rFonts w:hint="eastAsia"/>
                <w:color w:val="auto"/>
                <w:highlight w:val="none"/>
                <w:lang w:eastAsia="zh-CN"/>
              </w:rPr>
            </w:pPr>
          </w:p>
          <w:p w14:paraId="0D568217">
            <w:pPr>
              <w:rPr>
                <w:rFonts w:hint="eastAsia"/>
                <w:color w:val="auto"/>
                <w:highlight w:val="none"/>
                <w:lang w:eastAsia="zh-CN"/>
              </w:rPr>
            </w:pPr>
          </w:p>
          <w:p w14:paraId="37FECABD">
            <w:pPr>
              <w:pStyle w:val="42"/>
              <w:rPr>
                <w:rFonts w:hint="eastAsia"/>
                <w:color w:val="auto"/>
                <w:highlight w:val="none"/>
                <w:lang w:eastAsia="zh-CN"/>
              </w:rPr>
            </w:pPr>
          </w:p>
          <w:p w14:paraId="63709D8A">
            <w:pPr>
              <w:rPr>
                <w:rFonts w:hint="eastAsia"/>
                <w:color w:val="auto"/>
                <w:highlight w:val="none"/>
                <w:lang w:eastAsia="zh-CN"/>
              </w:rPr>
            </w:pPr>
          </w:p>
          <w:p w14:paraId="1D757B35">
            <w:pPr>
              <w:pStyle w:val="42"/>
              <w:rPr>
                <w:rFonts w:hint="eastAsia"/>
                <w:color w:val="auto"/>
                <w:highlight w:val="none"/>
                <w:lang w:eastAsia="zh-CN"/>
              </w:rPr>
            </w:pPr>
          </w:p>
          <w:p w14:paraId="3CFEB52F">
            <w:pPr>
              <w:rPr>
                <w:rFonts w:hint="eastAsia"/>
                <w:color w:val="auto"/>
                <w:highlight w:val="none"/>
                <w:lang w:eastAsia="zh-CN"/>
              </w:rPr>
            </w:pPr>
          </w:p>
          <w:p w14:paraId="371CAE3F">
            <w:pPr>
              <w:pStyle w:val="42"/>
              <w:rPr>
                <w:rFonts w:hint="eastAsia"/>
                <w:color w:val="auto"/>
                <w:highlight w:val="none"/>
                <w:lang w:eastAsia="zh-CN"/>
              </w:rPr>
            </w:pPr>
          </w:p>
          <w:p w14:paraId="0E6371AC">
            <w:pPr>
              <w:rPr>
                <w:rFonts w:hint="eastAsia"/>
                <w:color w:val="auto"/>
                <w:highlight w:val="none"/>
                <w:lang w:eastAsia="zh-CN"/>
              </w:rPr>
            </w:pPr>
          </w:p>
          <w:p w14:paraId="079AAC4E">
            <w:pPr>
              <w:pStyle w:val="42"/>
              <w:rPr>
                <w:rFonts w:hint="eastAsia"/>
                <w:color w:val="auto"/>
                <w:highlight w:val="none"/>
                <w:lang w:eastAsia="zh-CN"/>
              </w:rPr>
            </w:pPr>
          </w:p>
          <w:p w14:paraId="66C41792">
            <w:pPr>
              <w:rPr>
                <w:rFonts w:hint="eastAsia"/>
                <w:color w:val="auto"/>
                <w:highlight w:val="none"/>
                <w:lang w:eastAsia="zh-CN"/>
              </w:rPr>
            </w:pPr>
          </w:p>
          <w:p w14:paraId="5FE4D17E">
            <w:pPr>
              <w:pStyle w:val="42"/>
              <w:rPr>
                <w:rFonts w:hint="eastAsia"/>
                <w:color w:val="auto"/>
                <w:highlight w:val="none"/>
                <w:lang w:eastAsia="zh-CN"/>
              </w:rPr>
            </w:pPr>
          </w:p>
          <w:p w14:paraId="3FF07653">
            <w:pPr>
              <w:rPr>
                <w:rFonts w:hint="eastAsia"/>
                <w:color w:val="auto"/>
                <w:highlight w:val="none"/>
                <w:lang w:eastAsia="zh-CN"/>
              </w:rPr>
            </w:pPr>
          </w:p>
          <w:p w14:paraId="2C3AAE64">
            <w:pPr>
              <w:pStyle w:val="42"/>
              <w:rPr>
                <w:rFonts w:hint="eastAsia"/>
                <w:color w:val="auto"/>
                <w:highlight w:val="none"/>
                <w:lang w:eastAsia="zh-CN"/>
              </w:rPr>
            </w:pPr>
          </w:p>
          <w:p w14:paraId="25C438F9">
            <w:pPr>
              <w:rPr>
                <w:rFonts w:hint="eastAsia"/>
                <w:color w:val="auto"/>
                <w:highlight w:val="none"/>
                <w:lang w:eastAsia="zh-CN"/>
              </w:rPr>
            </w:pPr>
          </w:p>
          <w:p w14:paraId="0F9F07A8">
            <w:pPr>
              <w:pStyle w:val="42"/>
              <w:rPr>
                <w:rFonts w:hint="eastAsia"/>
                <w:color w:val="auto"/>
                <w:highlight w:val="none"/>
                <w:lang w:eastAsia="zh-CN"/>
              </w:rPr>
            </w:pPr>
          </w:p>
          <w:p w14:paraId="29A2E66D">
            <w:pPr>
              <w:rPr>
                <w:rFonts w:hint="eastAsia"/>
                <w:color w:val="auto"/>
                <w:highlight w:val="none"/>
                <w:lang w:eastAsia="zh-CN"/>
              </w:rPr>
            </w:pPr>
          </w:p>
          <w:p w14:paraId="50D6CF27">
            <w:pPr>
              <w:pStyle w:val="42"/>
              <w:rPr>
                <w:rFonts w:hint="eastAsia"/>
                <w:color w:val="auto"/>
                <w:highlight w:val="none"/>
                <w:lang w:eastAsia="zh-CN"/>
              </w:rPr>
            </w:pPr>
          </w:p>
          <w:p w14:paraId="38E1AEA6">
            <w:pPr>
              <w:rPr>
                <w:rFonts w:hint="eastAsia"/>
                <w:color w:val="auto"/>
                <w:highlight w:val="none"/>
                <w:lang w:eastAsia="zh-CN"/>
              </w:rPr>
            </w:pPr>
          </w:p>
          <w:p w14:paraId="4E1677D5">
            <w:pPr>
              <w:pStyle w:val="42"/>
              <w:rPr>
                <w:rFonts w:hint="eastAsia"/>
                <w:color w:val="auto"/>
                <w:highlight w:val="none"/>
                <w:lang w:eastAsia="zh-CN"/>
              </w:rPr>
            </w:pPr>
          </w:p>
          <w:p w14:paraId="5D690E44">
            <w:pPr>
              <w:rPr>
                <w:rFonts w:hint="eastAsia"/>
                <w:color w:val="auto"/>
                <w:highlight w:val="none"/>
                <w:lang w:eastAsia="zh-CN"/>
              </w:rPr>
            </w:pPr>
          </w:p>
          <w:p w14:paraId="010418E1">
            <w:pPr>
              <w:pStyle w:val="42"/>
              <w:rPr>
                <w:rFonts w:hint="eastAsia"/>
                <w:color w:val="auto"/>
                <w:highlight w:val="none"/>
                <w:lang w:eastAsia="zh-CN"/>
              </w:rPr>
            </w:pPr>
          </w:p>
          <w:p w14:paraId="27C6ED34">
            <w:pPr>
              <w:rPr>
                <w:rFonts w:hint="eastAsia"/>
                <w:color w:val="auto"/>
                <w:highlight w:val="none"/>
                <w:lang w:eastAsia="zh-CN"/>
              </w:rPr>
            </w:pPr>
          </w:p>
          <w:p w14:paraId="41B679D0">
            <w:pPr>
              <w:pStyle w:val="42"/>
              <w:rPr>
                <w:rFonts w:hint="eastAsia"/>
                <w:color w:val="auto"/>
                <w:highlight w:val="none"/>
                <w:lang w:eastAsia="zh-CN"/>
              </w:rPr>
            </w:pPr>
          </w:p>
          <w:p w14:paraId="40040D51">
            <w:pPr>
              <w:rPr>
                <w:rFonts w:hint="eastAsia"/>
                <w:color w:val="auto"/>
                <w:highlight w:val="none"/>
                <w:lang w:eastAsia="zh-CN"/>
              </w:rPr>
            </w:pPr>
          </w:p>
          <w:p w14:paraId="300126D3">
            <w:pPr>
              <w:pStyle w:val="42"/>
              <w:rPr>
                <w:rFonts w:hint="eastAsia"/>
                <w:color w:val="auto"/>
                <w:highlight w:val="none"/>
                <w:lang w:eastAsia="zh-CN"/>
              </w:rPr>
            </w:pPr>
          </w:p>
          <w:p w14:paraId="1D02566C">
            <w:pPr>
              <w:rPr>
                <w:rFonts w:hint="eastAsia"/>
                <w:color w:val="auto"/>
                <w:highlight w:val="none"/>
                <w:lang w:eastAsia="zh-CN"/>
              </w:rPr>
            </w:pPr>
          </w:p>
          <w:p w14:paraId="49A72AA5">
            <w:pPr>
              <w:pStyle w:val="42"/>
              <w:rPr>
                <w:rFonts w:hint="eastAsia"/>
                <w:color w:val="auto"/>
                <w:highlight w:val="none"/>
                <w:lang w:eastAsia="zh-CN"/>
              </w:rPr>
            </w:pPr>
          </w:p>
          <w:p w14:paraId="51318FB7">
            <w:pPr>
              <w:rPr>
                <w:rFonts w:hint="eastAsia"/>
                <w:color w:val="auto"/>
                <w:highlight w:val="none"/>
                <w:lang w:eastAsia="zh-CN"/>
              </w:rPr>
            </w:pPr>
          </w:p>
          <w:p w14:paraId="41B9FF36">
            <w:pPr>
              <w:pStyle w:val="42"/>
              <w:rPr>
                <w:rFonts w:hint="eastAsia"/>
                <w:color w:val="auto"/>
                <w:highlight w:val="none"/>
                <w:lang w:eastAsia="zh-CN"/>
              </w:rPr>
            </w:pPr>
          </w:p>
          <w:p w14:paraId="25C03D32">
            <w:pPr>
              <w:rPr>
                <w:rFonts w:hint="eastAsia"/>
                <w:color w:val="auto"/>
                <w:highlight w:val="none"/>
                <w:lang w:eastAsia="zh-CN"/>
              </w:rPr>
            </w:pPr>
          </w:p>
          <w:p w14:paraId="0E4F6733">
            <w:pPr>
              <w:pStyle w:val="42"/>
              <w:rPr>
                <w:rFonts w:hint="eastAsia"/>
                <w:color w:val="auto"/>
                <w:highlight w:val="none"/>
                <w:lang w:eastAsia="zh-CN"/>
              </w:rPr>
            </w:pPr>
          </w:p>
          <w:p w14:paraId="233CB6D2">
            <w:pPr>
              <w:rPr>
                <w:rFonts w:hint="eastAsia"/>
                <w:color w:val="auto"/>
                <w:highlight w:val="none"/>
                <w:lang w:eastAsia="zh-CN"/>
              </w:rPr>
            </w:pPr>
          </w:p>
          <w:p w14:paraId="4F393288">
            <w:pPr>
              <w:pStyle w:val="42"/>
              <w:rPr>
                <w:rFonts w:hint="eastAsia"/>
                <w:color w:val="auto"/>
                <w:highlight w:val="none"/>
                <w:lang w:eastAsia="zh-CN"/>
              </w:rPr>
            </w:pPr>
          </w:p>
          <w:p w14:paraId="445D2BE9">
            <w:pPr>
              <w:rPr>
                <w:rFonts w:hint="eastAsia"/>
                <w:color w:val="auto"/>
                <w:highlight w:val="none"/>
                <w:lang w:eastAsia="zh-CN"/>
              </w:rPr>
            </w:pPr>
          </w:p>
          <w:p w14:paraId="77A458C7">
            <w:pPr>
              <w:pStyle w:val="42"/>
              <w:rPr>
                <w:rFonts w:hint="eastAsia"/>
                <w:color w:val="auto"/>
                <w:highlight w:val="none"/>
                <w:lang w:eastAsia="zh-CN"/>
              </w:rPr>
            </w:pPr>
          </w:p>
          <w:p w14:paraId="61B26A42">
            <w:pPr>
              <w:rPr>
                <w:rFonts w:hint="eastAsia"/>
                <w:color w:val="auto"/>
                <w:highlight w:val="none"/>
                <w:lang w:eastAsia="zh-CN"/>
              </w:rPr>
            </w:pPr>
          </w:p>
          <w:p w14:paraId="0B23712B">
            <w:pPr>
              <w:pStyle w:val="42"/>
              <w:rPr>
                <w:rFonts w:hint="eastAsia"/>
                <w:color w:val="auto"/>
                <w:highlight w:val="none"/>
                <w:lang w:eastAsia="zh-CN"/>
              </w:rPr>
            </w:pPr>
          </w:p>
          <w:p w14:paraId="33EADF9E">
            <w:pPr>
              <w:rPr>
                <w:rFonts w:hint="eastAsia"/>
                <w:color w:val="auto"/>
                <w:highlight w:val="none"/>
                <w:lang w:eastAsia="zh-CN"/>
              </w:rPr>
            </w:pPr>
          </w:p>
          <w:p w14:paraId="687A7915">
            <w:pPr>
              <w:pStyle w:val="42"/>
              <w:rPr>
                <w:rFonts w:hint="eastAsia"/>
                <w:color w:val="auto"/>
                <w:highlight w:val="none"/>
                <w:lang w:eastAsia="zh-CN"/>
              </w:rPr>
            </w:pPr>
          </w:p>
          <w:p w14:paraId="0A5DD526">
            <w:pPr>
              <w:rPr>
                <w:rFonts w:hint="eastAsia"/>
                <w:color w:val="auto"/>
                <w:highlight w:val="none"/>
                <w:lang w:eastAsia="zh-CN"/>
              </w:rPr>
            </w:pPr>
          </w:p>
          <w:p w14:paraId="32B3BEFE">
            <w:pPr>
              <w:pStyle w:val="42"/>
              <w:rPr>
                <w:rFonts w:hint="eastAsia"/>
                <w:color w:val="auto"/>
                <w:highlight w:val="none"/>
                <w:lang w:eastAsia="zh-CN"/>
              </w:rPr>
            </w:pPr>
          </w:p>
          <w:p w14:paraId="2B58F99B">
            <w:pPr>
              <w:rPr>
                <w:rFonts w:hint="eastAsia"/>
                <w:color w:val="auto"/>
                <w:highlight w:val="none"/>
                <w:lang w:eastAsia="zh-CN"/>
              </w:rPr>
            </w:pPr>
          </w:p>
          <w:p w14:paraId="46623744">
            <w:pPr>
              <w:pStyle w:val="42"/>
              <w:rPr>
                <w:rFonts w:hint="eastAsia"/>
                <w:color w:val="auto"/>
                <w:highlight w:val="none"/>
                <w:lang w:eastAsia="zh-CN"/>
              </w:rPr>
            </w:pPr>
          </w:p>
          <w:p w14:paraId="47E20FA3">
            <w:pPr>
              <w:rPr>
                <w:rFonts w:hint="eastAsia"/>
                <w:color w:val="auto"/>
                <w:highlight w:val="none"/>
                <w:lang w:eastAsia="zh-CN"/>
              </w:rPr>
            </w:pPr>
          </w:p>
          <w:p w14:paraId="6E05E6F0">
            <w:pPr>
              <w:pStyle w:val="42"/>
              <w:rPr>
                <w:rFonts w:hint="eastAsia"/>
                <w:color w:val="auto"/>
                <w:highlight w:val="none"/>
                <w:lang w:eastAsia="zh-CN"/>
              </w:rPr>
            </w:pPr>
          </w:p>
          <w:p w14:paraId="7DFC93A5">
            <w:pPr>
              <w:rPr>
                <w:rFonts w:hint="eastAsia"/>
                <w:color w:val="auto"/>
                <w:highlight w:val="none"/>
                <w:lang w:eastAsia="zh-CN"/>
              </w:rPr>
            </w:pPr>
          </w:p>
          <w:p w14:paraId="6381F1B3">
            <w:pPr>
              <w:pStyle w:val="42"/>
              <w:rPr>
                <w:rFonts w:hint="eastAsia"/>
                <w:color w:val="auto"/>
                <w:highlight w:val="none"/>
                <w:lang w:eastAsia="zh-CN"/>
              </w:rPr>
            </w:pPr>
          </w:p>
          <w:p w14:paraId="6C11A25D">
            <w:pPr>
              <w:rPr>
                <w:rFonts w:hint="eastAsia"/>
                <w:color w:val="auto"/>
                <w:highlight w:val="none"/>
                <w:lang w:eastAsia="zh-CN"/>
              </w:rPr>
            </w:pPr>
          </w:p>
          <w:p w14:paraId="0577C6A2">
            <w:pPr>
              <w:pStyle w:val="42"/>
              <w:rPr>
                <w:rFonts w:hint="eastAsia"/>
                <w:color w:val="auto"/>
                <w:highlight w:val="none"/>
                <w:lang w:eastAsia="zh-CN"/>
              </w:rPr>
            </w:pPr>
          </w:p>
          <w:p w14:paraId="2CD717E2">
            <w:pPr>
              <w:rPr>
                <w:rFonts w:hint="eastAsia"/>
                <w:color w:val="auto"/>
                <w:highlight w:val="none"/>
                <w:lang w:eastAsia="zh-CN"/>
              </w:rPr>
            </w:pPr>
          </w:p>
          <w:p w14:paraId="5C54FBF2">
            <w:pPr>
              <w:pStyle w:val="42"/>
              <w:rPr>
                <w:rFonts w:hint="eastAsia"/>
                <w:color w:val="auto"/>
                <w:highlight w:val="none"/>
                <w:lang w:eastAsia="zh-CN"/>
              </w:rPr>
            </w:pPr>
          </w:p>
          <w:p w14:paraId="3BD00EF2">
            <w:pPr>
              <w:rPr>
                <w:rFonts w:hint="eastAsia"/>
                <w:color w:val="auto"/>
                <w:highlight w:val="none"/>
                <w:lang w:eastAsia="zh-CN"/>
              </w:rPr>
            </w:pPr>
          </w:p>
          <w:p w14:paraId="22991D59">
            <w:pPr>
              <w:pStyle w:val="42"/>
              <w:rPr>
                <w:rFonts w:hint="eastAsia"/>
                <w:color w:val="auto"/>
                <w:highlight w:val="none"/>
                <w:lang w:eastAsia="zh-CN"/>
              </w:rPr>
            </w:pPr>
          </w:p>
          <w:p w14:paraId="0FC72B44">
            <w:pPr>
              <w:rPr>
                <w:rFonts w:hint="eastAsia"/>
                <w:color w:val="auto"/>
                <w:highlight w:val="none"/>
                <w:lang w:eastAsia="zh-CN"/>
              </w:rPr>
            </w:pPr>
          </w:p>
          <w:p w14:paraId="0561B116">
            <w:pPr>
              <w:pStyle w:val="42"/>
              <w:rPr>
                <w:rFonts w:hint="eastAsia"/>
                <w:color w:val="auto"/>
                <w:highlight w:val="none"/>
                <w:lang w:eastAsia="zh-CN"/>
              </w:rPr>
            </w:pPr>
          </w:p>
          <w:p w14:paraId="5A6B9D8F">
            <w:pPr>
              <w:rPr>
                <w:rFonts w:hint="eastAsia"/>
                <w:color w:val="auto"/>
                <w:highlight w:val="none"/>
                <w:lang w:eastAsia="zh-CN"/>
              </w:rPr>
            </w:pPr>
          </w:p>
          <w:p w14:paraId="3882982D">
            <w:pPr>
              <w:pStyle w:val="42"/>
              <w:rPr>
                <w:rFonts w:hint="eastAsia"/>
                <w:color w:val="auto"/>
                <w:highlight w:val="none"/>
                <w:lang w:eastAsia="zh-CN"/>
              </w:rPr>
            </w:pPr>
          </w:p>
          <w:p w14:paraId="2C50E024">
            <w:pPr>
              <w:rPr>
                <w:rFonts w:hint="eastAsia"/>
                <w:color w:val="auto"/>
                <w:highlight w:val="none"/>
                <w:lang w:eastAsia="zh-CN"/>
              </w:rPr>
            </w:pPr>
          </w:p>
          <w:p w14:paraId="76EBEB16">
            <w:pPr>
              <w:pStyle w:val="42"/>
              <w:rPr>
                <w:rFonts w:hint="eastAsia"/>
                <w:color w:val="auto"/>
                <w:highlight w:val="none"/>
                <w:lang w:eastAsia="zh-CN"/>
              </w:rPr>
            </w:pPr>
          </w:p>
          <w:p w14:paraId="5A6DCAAE">
            <w:pPr>
              <w:rPr>
                <w:rFonts w:hint="eastAsia"/>
                <w:color w:val="auto"/>
                <w:highlight w:val="none"/>
                <w:lang w:eastAsia="zh-CN"/>
              </w:rPr>
            </w:pPr>
          </w:p>
          <w:p w14:paraId="5BED2841">
            <w:pPr>
              <w:pStyle w:val="42"/>
              <w:rPr>
                <w:rFonts w:hint="eastAsia"/>
                <w:color w:val="auto"/>
                <w:highlight w:val="none"/>
                <w:lang w:eastAsia="zh-CN"/>
              </w:rPr>
            </w:pPr>
          </w:p>
          <w:p w14:paraId="40149B37">
            <w:pPr>
              <w:rPr>
                <w:rFonts w:hint="eastAsia"/>
                <w:color w:val="auto"/>
                <w:highlight w:val="none"/>
                <w:lang w:eastAsia="zh-CN"/>
              </w:rPr>
            </w:pPr>
          </w:p>
          <w:p w14:paraId="749E203D">
            <w:pPr>
              <w:pStyle w:val="42"/>
              <w:rPr>
                <w:rFonts w:hint="eastAsia"/>
                <w:color w:val="auto"/>
                <w:highlight w:val="none"/>
                <w:lang w:eastAsia="zh-CN"/>
              </w:rPr>
            </w:pPr>
          </w:p>
          <w:p w14:paraId="01FE3ECF">
            <w:pPr>
              <w:rPr>
                <w:rFonts w:hint="eastAsia"/>
                <w:color w:val="auto"/>
                <w:highlight w:val="none"/>
                <w:lang w:eastAsia="zh-CN"/>
              </w:rPr>
            </w:pPr>
          </w:p>
          <w:p w14:paraId="14B0F4B1">
            <w:pPr>
              <w:pStyle w:val="42"/>
              <w:rPr>
                <w:rFonts w:hint="eastAsia"/>
                <w:color w:val="auto"/>
                <w:highlight w:val="none"/>
                <w:lang w:eastAsia="zh-CN"/>
              </w:rPr>
            </w:pPr>
          </w:p>
          <w:p w14:paraId="6E9EADF9">
            <w:pPr>
              <w:rPr>
                <w:rFonts w:hint="eastAsia"/>
                <w:color w:val="auto"/>
                <w:highlight w:val="none"/>
                <w:lang w:eastAsia="zh-CN"/>
              </w:rPr>
            </w:pPr>
          </w:p>
          <w:p w14:paraId="75AEAC75">
            <w:pPr>
              <w:pStyle w:val="42"/>
              <w:rPr>
                <w:rFonts w:hint="eastAsia"/>
                <w:color w:val="auto"/>
                <w:highlight w:val="none"/>
                <w:lang w:eastAsia="zh-CN"/>
              </w:rPr>
            </w:pPr>
          </w:p>
          <w:p w14:paraId="21C16506">
            <w:pPr>
              <w:rPr>
                <w:rFonts w:hint="eastAsia"/>
                <w:color w:val="auto"/>
                <w:highlight w:val="none"/>
                <w:lang w:eastAsia="zh-CN"/>
              </w:rPr>
            </w:pPr>
          </w:p>
          <w:p w14:paraId="41F8675F">
            <w:pPr>
              <w:pStyle w:val="42"/>
              <w:rPr>
                <w:rFonts w:hint="eastAsia"/>
                <w:color w:val="auto"/>
                <w:highlight w:val="none"/>
                <w:lang w:eastAsia="zh-CN"/>
              </w:rPr>
            </w:pPr>
          </w:p>
          <w:p w14:paraId="60756EE3">
            <w:pPr>
              <w:rPr>
                <w:rFonts w:hint="eastAsia"/>
                <w:color w:val="auto"/>
                <w:highlight w:val="none"/>
                <w:lang w:eastAsia="zh-CN"/>
              </w:rPr>
            </w:pPr>
          </w:p>
          <w:p w14:paraId="5E9D6F21">
            <w:pPr>
              <w:pStyle w:val="42"/>
              <w:rPr>
                <w:rFonts w:hint="eastAsia"/>
                <w:color w:val="auto"/>
                <w:highlight w:val="none"/>
                <w:lang w:eastAsia="zh-CN"/>
              </w:rPr>
            </w:pPr>
          </w:p>
          <w:p w14:paraId="7704E00F">
            <w:pPr>
              <w:rPr>
                <w:rFonts w:hint="eastAsia"/>
                <w:color w:val="auto"/>
                <w:highlight w:val="none"/>
                <w:lang w:eastAsia="zh-CN"/>
              </w:rPr>
            </w:pPr>
          </w:p>
          <w:p w14:paraId="30E6F1A6">
            <w:pPr>
              <w:pStyle w:val="42"/>
              <w:rPr>
                <w:rFonts w:hint="eastAsia"/>
                <w:color w:val="auto"/>
                <w:highlight w:val="none"/>
                <w:lang w:eastAsia="zh-CN"/>
              </w:rPr>
            </w:pPr>
          </w:p>
          <w:p w14:paraId="0DC0E76B">
            <w:pPr>
              <w:rPr>
                <w:rFonts w:hint="eastAsia"/>
                <w:color w:val="auto"/>
                <w:highlight w:val="none"/>
                <w:lang w:eastAsia="zh-CN"/>
              </w:rPr>
            </w:pPr>
          </w:p>
          <w:p w14:paraId="75246B01">
            <w:pPr>
              <w:pStyle w:val="42"/>
              <w:rPr>
                <w:rFonts w:hint="eastAsia"/>
                <w:color w:val="auto"/>
                <w:highlight w:val="none"/>
                <w:lang w:eastAsia="zh-CN"/>
              </w:rPr>
            </w:pPr>
          </w:p>
          <w:p w14:paraId="48020096">
            <w:pPr>
              <w:rPr>
                <w:rFonts w:hint="eastAsia"/>
                <w:color w:val="auto"/>
                <w:highlight w:val="none"/>
                <w:lang w:eastAsia="zh-CN"/>
              </w:rPr>
            </w:pPr>
          </w:p>
          <w:p w14:paraId="4D551938">
            <w:pPr>
              <w:pStyle w:val="42"/>
              <w:rPr>
                <w:rFonts w:hint="eastAsia"/>
                <w:color w:val="auto"/>
                <w:highlight w:val="none"/>
                <w:lang w:eastAsia="zh-CN"/>
              </w:rPr>
            </w:pPr>
          </w:p>
          <w:p w14:paraId="604ADF13">
            <w:pPr>
              <w:rPr>
                <w:rFonts w:hint="eastAsia"/>
                <w:color w:val="auto"/>
                <w:highlight w:val="none"/>
                <w:lang w:eastAsia="zh-CN"/>
              </w:rPr>
            </w:pPr>
          </w:p>
          <w:p w14:paraId="236D5792">
            <w:pPr>
              <w:pStyle w:val="42"/>
              <w:rPr>
                <w:rFonts w:hint="eastAsia"/>
                <w:color w:val="auto"/>
                <w:highlight w:val="none"/>
                <w:lang w:eastAsia="zh-CN"/>
              </w:rPr>
            </w:pPr>
          </w:p>
          <w:p w14:paraId="3AD76001">
            <w:pPr>
              <w:rPr>
                <w:rFonts w:hint="eastAsia"/>
                <w:color w:val="auto"/>
                <w:highlight w:val="none"/>
                <w:lang w:eastAsia="zh-CN"/>
              </w:rPr>
            </w:pPr>
          </w:p>
          <w:p w14:paraId="6EE6A659">
            <w:pPr>
              <w:pStyle w:val="42"/>
              <w:rPr>
                <w:rFonts w:hint="eastAsia"/>
                <w:color w:val="auto"/>
                <w:highlight w:val="none"/>
                <w:lang w:eastAsia="zh-CN"/>
              </w:rPr>
            </w:pPr>
          </w:p>
          <w:p w14:paraId="62B60E02">
            <w:pPr>
              <w:rPr>
                <w:rFonts w:hint="eastAsia"/>
                <w:color w:val="auto"/>
                <w:highlight w:val="none"/>
                <w:lang w:eastAsia="zh-CN"/>
              </w:rPr>
            </w:pPr>
          </w:p>
          <w:p w14:paraId="6A586E90">
            <w:pPr>
              <w:pStyle w:val="42"/>
              <w:rPr>
                <w:rFonts w:hint="eastAsia"/>
                <w:color w:val="auto"/>
                <w:highlight w:val="none"/>
                <w:lang w:eastAsia="zh-CN"/>
              </w:rPr>
            </w:pPr>
          </w:p>
          <w:p w14:paraId="637BFD17">
            <w:pPr>
              <w:rPr>
                <w:rFonts w:hint="eastAsia"/>
                <w:color w:val="auto"/>
                <w:highlight w:val="none"/>
                <w:lang w:eastAsia="zh-CN"/>
              </w:rPr>
            </w:pPr>
          </w:p>
          <w:p w14:paraId="59D370B1">
            <w:pPr>
              <w:pStyle w:val="42"/>
              <w:rPr>
                <w:rFonts w:hint="eastAsia"/>
                <w:color w:val="auto"/>
                <w:highlight w:val="none"/>
                <w:lang w:eastAsia="zh-CN"/>
              </w:rPr>
            </w:pPr>
          </w:p>
          <w:p w14:paraId="5069D31E">
            <w:pPr>
              <w:rPr>
                <w:rFonts w:hint="eastAsia"/>
                <w:color w:val="auto"/>
                <w:highlight w:val="none"/>
                <w:lang w:eastAsia="zh-CN"/>
              </w:rPr>
            </w:pPr>
          </w:p>
          <w:p w14:paraId="578D236E">
            <w:pPr>
              <w:pStyle w:val="42"/>
              <w:rPr>
                <w:rFonts w:hint="eastAsia"/>
                <w:color w:val="auto"/>
                <w:highlight w:val="none"/>
                <w:lang w:eastAsia="zh-CN"/>
              </w:rPr>
            </w:pPr>
          </w:p>
          <w:p w14:paraId="0C7CE1F7">
            <w:pPr>
              <w:rPr>
                <w:rFonts w:hint="eastAsia"/>
                <w:color w:val="auto"/>
                <w:highlight w:val="none"/>
                <w:lang w:eastAsia="zh-CN"/>
              </w:rPr>
            </w:pPr>
          </w:p>
          <w:p w14:paraId="5A2843C7">
            <w:pPr>
              <w:pStyle w:val="42"/>
              <w:rPr>
                <w:rFonts w:hint="eastAsia"/>
                <w:color w:val="auto"/>
                <w:highlight w:val="none"/>
                <w:lang w:eastAsia="zh-CN"/>
              </w:rPr>
            </w:pPr>
          </w:p>
          <w:p w14:paraId="17817260">
            <w:pPr>
              <w:rPr>
                <w:rFonts w:hint="eastAsia"/>
                <w:color w:val="auto"/>
                <w:highlight w:val="none"/>
                <w:lang w:eastAsia="zh-CN"/>
              </w:rPr>
            </w:pPr>
          </w:p>
          <w:p w14:paraId="505A7212">
            <w:pPr>
              <w:pStyle w:val="42"/>
              <w:rPr>
                <w:rFonts w:hint="eastAsia"/>
                <w:color w:val="auto"/>
                <w:highlight w:val="none"/>
                <w:lang w:eastAsia="zh-CN"/>
              </w:rPr>
            </w:pPr>
          </w:p>
          <w:p w14:paraId="4B0275D7">
            <w:pPr>
              <w:rPr>
                <w:rFonts w:hint="eastAsia"/>
                <w:color w:val="auto"/>
                <w:highlight w:val="none"/>
                <w:lang w:eastAsia="zh-CN"/>
              </w:rPr>
            </w:pPr>
          </w:p>
          <w:p w14:paraId="40745C74">
            <w:pPr>
              <w:pStyle w:val="42"/>
              <w:rPr>
                <w:rFonts w:hint="eastAsia"/>
                <w:color w:val="auto"/>
                <w:highlight w:val="none"/>
                <w:lang w:eastAsia="zh-CN"/>
              </w:rPr>
            </w:pPr>
          </w:p>
          <w:p w14:paraId="1896EF65">
            <w:pPr>
              <w:rPr>
                <w:rFonts w:hint="eastAsia"/>
                <w:color w:val="auto"/>
                <w:highlight w:val="none"/>
                <w:lang w:eastAsia="zh-CN"/>
              </w:rPr>
            </w:pPr>
          </w:p>
          <w:p w14:paraId="17500B1B">
            <w:pPr>
              <w:pStyle w:val="42"/>
              <w:rPr>
                <w:rFonts w:hint="eastAsia"/>
                <w:color w:val="auto"/>
                <w:highlight w:val="none"/>
                <w:lang w:eastAsia="zh-CN"/>
              </w:rPr>
            </w:pPr>
          </w:p>
          <w:p w14:paraId="33C223ED">
            <w:pPr>
              <w:rPr>
                <w:rFonts w:hint="eastAsia"/>
                <w:color w:val="auto"/>
                <w:highlight w:val="none"/>
                <w:lang w:eastAsia="zh-CN"/>
              </w:rPr>
            </w:pPr>
          </w:p>
          <w:p w14:paraId="16148772">
            <w:pPr>
              <w:pStyle w:val="42"/>
              <w:rPr>
                <w:rFonts w:hint="eastAsia"/>
                <w:color w:val="auto"/>
                <w:highlight w:val="none"/>
                <w:lang w:eastAsia="zh-CN"/>
              </w:rPr>
            </w:pPr>
          </w:p>
          <w:p w14:paraId="292D00EC">
            <w:pPr>
              <w:rPr>
                <w:rFonts w:hint="eastAsia"/>
                <w:color w:val="auto"/>
                <w:highlight w:val="none"/>
                <w:lang w:eastAsia="zh-CN"/>
              </w:rPr>
            </w:pPr>
          </w:p>
          <w:p w14:paraId="70E35826">
            <w:pPr>
              <w:pStyle w:val="42"/>
              <w:rPr>
                <w:rFonts w:hint="eastAsia"/>
                <w:color w:val="auto"/>
                <w:highlight w:val="none"/>
                <w:lang w:eastAsia="zh-CN"/>
              </w:rPr>
            </w:pPr>
          </w:p>
          <w:p w14:paraId="3B39B7A7">
            <w:pPr>
              <w:rPr>
                <w:rFonts w:hint="eastAsia"/>
                <w:color w:val="auto"/>
                <w:highlight w:val="none"/>
                <w:lang w:eastAsia="zh-CN"/>
              </w:rPr>
            </w:pPr>
          </w:p>
          <w:p w14:paraId="0811FA75">
            <w:pPr>
              <w:pStyle w:val="42"/>
              <w:rPr>
                <w:rFonts w:hint="eastAsia"/>
                <w:color w:val="auto"/>
                <w:highlight w:val="none"/>
                <w:lang w:eastAsia="zh-CN"/>
              </w:rPr>
            </w:pPr>
          </w:p>
          <w:p w14:paraId="7EE608A5">
            <w:pPr>
              <w:rPr>
                <w:rFonts w:hint="eastAsia"/>
                <w:color w:val="auto"/>
                <w:highlight w:val="none"/>
                <w:lang w:eastAsia="zh-CN"/>
              </w:rPr>
            </w:pPr>
          </w:p>
          <w:p w14:paraId="1842581C">
            <w:pPr>
              <w:pStyle w:val="42"/>
              <w:rPr>
                <w:rFonts w:hint="eastAsia"/>
                <w:color w:val="auto"/>
                <w:highlight w:val="none"/>
                <w:lang w:eastAsia="zh-CN"/>
              </w:rPr>
            </w:pPr>
          </w:p>
          <w:p w14:paraId="0D304A0C">
            <w:pPr>
              <w:rPr>
                <w:rFonts w:hint="eastAsia"/>
                <w:color w:val="auto"/>
                <w:highlight w:val="none"/>
                <w:lang w:eastAsia="zh-CN"/>
              </w:rPr>
            </w:pPr>
          </w:p>
          <w:p w14:paraId="5844999B">
            <w:pPr>
              <w:pStyle w:val="42"/>
              <w:rPr>
                <w:rFonts w:hint="eastAsia"/>
                <w:color w:val="auto"/>
                <w:highlight w:val="none"/>
                <w:lang w:eastAsia="zh-CN"/>
              </w:rPr>
            </w:pPr>
          </w:p>
          <w:p w14:paraId="2A6E619E">
            <w:pPr>
              <w:rPr>
                <w:rFonts w:hint="eastAsia"/>
                <w:color w:val="auto"/>
                <w:highlight w:val="none"/>
                <w:lang w:eastAsia="zh-CN"/>
              </w:rPr>
            </w:pPr>
          </w:p>
          <w:p w14:paraId="4E856190">
            <w:pPr>
              <w:pStyle w:val="42"/>
              <w:rPr>
                <w:rFonts w:hint="eastAsia"/>
                <w:color w:val="auto"/>
                <w:highlight w:val="none"/>
                <w:lang w:eastAsia="zh-CN"/>
              </w:rPr>
            </w:pPr>
          </w:p>
          <w:p w14:paraId="69F1A8CC">
            <w:pPr>
              <w:rPr>
                <w:rFonts w:hint="eastAsia"/>
                <w:color w:val="auto"/>
                <w:highlight w:val="none"/>
                <w:lang w:eastAsia="zh-CN"/>
              </w:rPr>
            </w:pPr>
          </w:p>
          <w:p w14:paraId="562D7793">
            <w:pPr>
              <w:pStyle w:val="42"/>
              <w:rPr>
                <w:rFonts w:hint="eastAsia"/>
                <w:color w:val="auto"/>
                <w:highlight w:val="none"/>
                <w:lang w:eastAsia="zh-CN"/>
              </w:rPr>
            </w:pPr>
          </w:p>
          <w:p w14:paraId="6D0F6010">
            <w:pPr>
              <w:rPr>
                <w:rFonts w:hint="eastAsia"/>
                <w:color w:val="auto"/>
                <w:highlight w:val="none"/>
                <w:lang w:eastAsia="zh-CN"/>
              </w:rPr>
            </w:pPr>
          </w:p>
          <w:p w14:paraId="5A76AA84">
            <w:pPr>
              <w:pStyle w:val="42"/>
              <w:rPr>
                <w:rFonts w:hint="eastAsia"/>
                <w:color w:val="auto"/>
                <w:highlight w:val="none"/>
                <w:lang w:eastAsia="zh-CN"/>
              </w:rPr>
            </w:pPr>
          </w:p>
          <w:p w14:paraId="27FD64D5">
            <w:pPr>
              <w:rPr>
                <w:rFonts w:hint="eastAsia"/>
                <w:color w:val="auto"/>
                <w:highlight w:val="none"/>
                <w:lang w:eastAsia="zh-CN"/>
              </w:rPr>
            </w:pPr>
          </w:p>
          <w:p w14:paraId="56B9AC0C">
            <w:pPr>
              <w:pStyle w:val="42"/>
              <w:rPr>
                <w:rFonts w:hint="eastAsia"/>
                <w:color w:val="auto"/>
                <w:highlight w:val="none"/>
                <w:lang w:eastAsia="zh-CN"/>
              </w:rPr>
            </w:pPr>
          </w:p>
          <w:p w14:paraId="084BDE0F">
            <w:pPr>
              <w:rPr>
                <w:rFonts w:hint="eastAsia"/>
                <w:color w:val="auto"/>
                <w:highlight w:val="none"/>
                <w:lang w:eastAsia="zh-CN"/>
              </w:rPr>
            </w:pPr>
          </w:p>
          <w:p w14:paraId="1D3D9B4A">
            <w:pPr>
              <w:pStyle w:val="42"/>
              <w:rPr>
                <w:rFonts w:hint="eastAsia"/>
                <w:color w:val="auto"/>
                <w:highlight w:val="none"/>
                <w:lang w:eastAsia="zh-CN"/>
              </w:rPr>
            </w:pPr>
          </w:p>
          <w:p w14:paraId="73176A6D">
            <w:pPr>
              <w:rPr>
                <w:rFonts w:hint="eastAsia"/>
                <w:color w:val="auto"/>
                <w:highlight w:val="none"/>
                <w:lang w:eastAsia="zh-CN"/>
              </w:rPr>
            </w:pPr>
          </w:p>
          <w:p w14:paraId="4C1A1424">
            <w:pPr>
              <w:pStyle w:val="42"/>
              <w:rPr>
                <w:rFonts w:hint="eastAsia"/>
                <w:color w:val="auto"/>
                <w:highlight w:val="none"/>
                <w:lang w:eastAsia="zh-CN"/>
              </w:rPr>
            </w:pPr>
          </w:p>
          <w:p w14:paraId="03FAA370">
            <w:pPr>
              <w:rPr>
                <w:rFonts w:hint="eastAsia"/>
                <w:color w:val="auto"/>
                <w:highlight w:val="none"/>
                <w:lang w:eastAsia="zh-CN"/>
              </w:rPr>
            </w:pPr>
          </w:p>
          <w:p w14:paraId="10A47871">
            <w:pPr>
              <w:pStyle w:val="42"/>
              <w:rPr>
                <w:rFonts w:hint="eastAsia"/>
                <w:color w:val="auto"/>
                <w:highlight w:val="none"/>
                <w:lang w:eastAsia="zh-CN"/>
              </w:rPr>
            </w:pPr>
          </w:p>
          <w:p w14:paraId="3379A96D">
            <w:pPr>
              <w:rPr>
                <w:rFonts w:hint="eastAsia"/>
                <w:color w:val="auto"/>
                <w:highlight w:val="none"/>
                <w:lang w:eastAsia="zh-CN"/>
              </w:rPr>
            </w:pPr>
          </w:p>
          <w:p w14:paraId="57B3CCBC">
            <w:pPr>
              <w:pStyle w:val="42"/>
              <w:rPr>
                <w:rFonts w:hint="eastAsia"/>
                <w:color w:val="auto"/>
                <w:highlight w:val="none"/>
                <w:lang w:eastAsia="zh-CN"/>
              </w:rPr>
            </w:pPr>
          </w:p>
          <w:p w14:paraId="700ECE00">
            <w:pPr>
              <w:rPr>
                <w:rFonts w:hint="eastAsia"/>
                <w:color w:val="auto"/>
                <w:highlight w:val="none"/>
                <w:lang w:eastAsia="zh-CN"/>
              </w:rPr>
            </w:pPr>
          </w:p>
          <w:p w14:paraId="5CEB8795">
            <w:pPr>
              <w:pStyle w:val="42"/>
              <w:rPr>
                <w:rFonts w:hint="eastAsia"/>
                <w:color w:val="auto"/>
                <w:lang w:eastAsia="zh-CN"/>
              </w:rPr>
            </w:pPr>
          </w:p>
        </w:tc>
        <w:tc>
          <w:tcPr>
            <w:tcW w:w="8540" w:type="dxa"/>
            <w:tcBorders>
              <w:tl2br w:val="nil"/>
              <w:tr2bl w:val="nil"/>
            </w:tcBorders>
          </w:tcPr>
          <w:p w14:paraId="267B249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仿宋_GB2312" w:cs="Times New Roman"/>
                <w:b/>
                <w:bCs/>
                <w:color w:val="auto"/>
                <w:sz w:val="24"/>
                <w:szCs w:val="24"/>
                <w:highlight w:val="none"/>
              </w:rPr>
            </w:pPr>
            <w:r>
              <w:rPr>
                <w:rFonts w:hint="eastAsia" w:eastAsia="仿宋_GB2312" w:cs="Times New Roman"/>
                <w:b/>
                <w:bCs/>
                <w:color w:val="auto"/>
                <w:sz w:val="24"/>
                <w:szCs w:val="24"/>
                <w:highlight w:val="none"/>
                <w:lang w:eastAsia="zh-CN"/>
              </w:rPr>
              <w:t>1.</w:t>
            </w:r>
            <w:r>
              <w:rPr>
                <w:rFonts w:hint="default" w:ascii="Times New Roman" w:hAnsi="Times New Roman" w:eastAsia="仿宋_GB2312" w:cs="Times New Roman"/>
                <w:b/>
                <w:bCs/>
                <w:color w:val="auto"/>
                <w:sz w:val="24"/>
                <w:szCs w:val="24"/>
                <w:highlight w:val="none"/>
              </w:rPr>
              <w:t>产业政策符合性分析</w:t>
            </w:r>
          </w:p>
          <w:p w14:paraId="60F7BF33">
            <w:pPr>
              <w:pStyle w:val="89"/>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宋体" w:hAnsi="宋体" w:eastAsia="宋体" w:cs="宋体"/>
                <w:color w:val="auto"/>
                <w:kern w:val="0"/>
                <w:sz w:val="24"/>
                <w:szCs w:val="28"/>
                <w:highlight w:val="none"/>
                <w:lang w:val="en-US" w:eastAsia="zh-CN" w:bidi="ar-SA"/>
              </w:rPr>
            </w:pPr>
            <w:r>
              <w:rPr>
                <w:rFonts w:hint="default" w:ascii="Times New Roman" w:hAnsi="Times New Roman" w:eastAsia="仿宋_GB2312" w:cs="Times New Roman"/>
                <w:color w:val="auto"/>
                <w:kern w:val="0"/>
                <w:sz w:val="24"/>
                <w:szCs w:val="28"/>
                <w:highlight w:val="none"/>
                <w:lang w:val="en-US" w:eastAsia="zh-CN" w:bidi="ar-SA"/>
              </w:rPr>
              <w:t>本</w:t>
            </w:r>
            <w:r>
              <w:rPr>
                <w:rFonts w:hint="eastAsia" w:ascii="Times New Roman" w:hAnsi="Times New Roman" w:eastAsia="仿宋_GB2312" w:cs="Times New Roman"/>
                <w:color w:val="auto"/>
                <w:kern w:val="0"/>
                <w:sz w:val="24"/>
                <w:szCs w:val="28"/>
                <w:highlight w:val="none"/>
                <w:lang w:val="en-US" w:eastAsia="zh-CN" w:bidi="ar-SA"/>
              </w:rPr>
              <w:t>项目为</w:t>
            </w:r>
            <w:r>
              <w:rPr>
                <w:rFonts w:hint="eastAsia" w:eastAsia="仿宋_GB2312" w:cs="Times New Roman"/>
                <w:color w:val="auto"/>
                <w:sz w:val="24"/>
                <w:highlight w:val="none"/>
                <w:lang w:val="en-US" w:eastAsia="zh-CN"/>
              </w:rPr>
              <w:t>农产品基地项目</w:t>
            </w:r>
            <w:r>
              <w:rPr>
                <w:rFonts w:hint="eastAsia" w:ascii="Times New Roman" w:hAnsi="Times New Roman" w:eastAsia="仿宋_GB2312" w:cs="Times New Roman"/>
                <w:color w:val="auto"/>
                <w:kern w:val="0"/>
                <w:sz w:val="24"/>
                <w:szCs w:val="28"/>
                <w:highlight w:val="none"/>
                <w:lang w:val="en-US" w:eastAsia="zh-CN" w:bidi="ar-SA"/>
              </w:rPr>
              <w:t>，</w:t>
            </w:r>
            <w:r>
              <w:rPr>
                <w:rFonts w:hint="default" w:ascii="Times New Roman" w:hAnsi="Times New Roman" w:eastAsia="仿宋_GB2312" w:cs="Times New Roman"/>
                <w:color w:val="auto"/>
                <w:kern w:val="0"/>
                <w:sz w:val="24"/>
                <w:szCs w:val="28"/>
                <w:highlight w:val="none"/>
                <w:lang w:val="en-US" w:eastAsia="zh-CN" w:bidi="ar-SA"/>
              </w:rPr>
              <w:t>根据《产业结构调整指导目录（</w:t>
            </w:r>
            <w:r>
              <w:rPr>
                <w:rFonts w:hint="eastAsia" w:ascii="Times New Roman" w:hAnsi="Times New Roman" w:eastAsia="仿宋_GB2312" w:cs="Times New Roman"/>
                <w:color w:val="auto"/>
                <w:kern w:val="0"/>
                <w:sz w:val="24"/>
                <w:szCs w:val="28"/>
                <w:highlight w:val="none"/>
                <w:lang w:val="en-US" w:eastAsia="zh-CN" w:bidi="ar-SA"/>
              </w:rPr>
              <w:t>2024</w:t>
            </w:r>
            <w:r>
              <w:rPr>
                <w:rFonts w:hint="default" w:ascii="Times New Roman" w:hAnsi="Times New Roman" w:eastAsia="仿宋_GB2312" w:cs="Times New Roman"/>
                <w:color w:val="auto"/>
                <w:kern w:val="0"/>
                <w:sz w:val="24"/>
                <w:szCs w:val="28"/>
                <w:highlight w:val="none"/>
                <w:lang w:val="en-US" w:eastAsia="zh-CN" w:bidi="ar-SA"/>
              </w:rPr>
              <w:t>年本）》，</w:t>
            </w:r>
            <w:r>
              <w:rPr>
                <w:rFonts w:hint="eastAsia" w:ascii="Times New Roman" w:hAnsi="Times New Roman" w:eastAsia="仿宋_GB2312" w:cs="Times New Roman"/>
                <w:color w:val="auto"/>
                <w:kern w:val="0"/>
                <w:sz w:val="24"/>
                <w:szCs w:val="28"/>
                <w:highlight w:val="none"/>
                <w:lang w:val="en-US" w:eastAsia="zh-CN" w:bidi="ar-SA"/>
              </w:rPr>
              <w:t>本项目第一类“鼓励类”中的“一、生态农业”</w:t>
            </w:r>
            <w:r>
              <w:rPr>
                <w:rFonts w:hint="default" w:ascii="Times New Roman" w:hAnsi="Times New Roman" w:eastAsia="仿宋_GB2312" w:cs="Times New Roman"/>
                <w:color w:val="auto"/>
                <w:kern w:val="0"/>
                <w:sz w:val="24"/>
                <w:szCs w:val="28"/>
                <w:highlight w:val="none"/>
                <w:lang w:val="en-US" w:eastAsia="zh-CN" w:bidi="ar-SA"/>
              </w:rPr>
              <w:t>，属于</w:t>
            </w:r>
            <w:r>
              <w:rPr>
                <w:rFonts w:hint="eastAsia" w:ascii="Times New Roman" w:hAnsi="Times New Roman" w:eastAsia="仿宋_GB2312" w:cs="Times New Roman"/>
                <w:color w:val="auto"/>
                <w:kern w:val="0"/>
                <w:sz w:val="24"/>
                <w:szCs w:val="28"/>
                <w:highlight w:val="none"/>
                <w:lang w:val="en-US" w:eastAsia="zh-CN" w:bidi="ar-SA"/>
              </w:rPr>
              <w:t>鼓励</w:t>
            </w:r>
            <w:r>
              <w:rPr>
                <w:rFonts w:hint="default" w:ascii="Times New Roman" w:hAnsi="Times New Roman" w:eastAsia="仿宋_GB2312" w:cs="Times New Roman"/>
                <w:color w:val="auto"/>
                <w:kern w:val="0"/>
                <w:sz w:val="24"/>
                <w:szCs w:val="28"/>
                <w:highlight w:val="none"/>
                <w:lang w:val="en-US" w:eastAsia="zh-CN" w:bidi="ar-SA"/>
              </w:rPr>
              <w:t>类</w:t>
            </w:r>
            <w:r>
              <w:rPr>
                <w:rFonts w:hint="eastAsia" w:ascii="Times New Roman" w:hAnsi="Times New Roman" w:eastAsia="仿宋_GB2312" w:cs="Times New Roman"/>
                <w:color w:val="auto"/>
                <w:kern w:val="0"/>
                <w:sz w:val="24"/>
                <w:szCs w:val="28"/>
                <w:highlight w:val="none"/>
                <w:lang w:val="en-US" w:eastAsia="zh-CN" w:bidi="ar-SA"/>
              </w:rPr>
              <w:t>项目</w:t>
            </w:r>
            <w:r>
              <w:rPr>
                <w:rFonts w:hint="default" w:ascii="Times New Roman" w:hAnsi="Times New Roman" w:eastAsia="仿宋_GB2312" w:cs="Times New Roman"/>
                <w:color w:val="auto"/>
                <w:kern w:val="0"/>
                <w:sz w:val="24"/>
                <w:szCs w:val="28"/>
                <w:highlight w:val="none"/>
                <w:lang w:val="en-US" w:eastAsia="zh-CN" w:bidi="ar-SA"/>
              </w:rPr>
              <w:t>。符合国家产业政策要求。</w:t>
            </w:r>
          </w:p>
          <w:p w14:paraId="6637F293">
            <w:pPr>
              <w:pStyle w:val="79"/>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baseline"/>
              <w:rPr>
                <w:rFonts w:hint="default" w:ascii="Times New Roman" w:hAnsi="Times New Roman" w:eastAsia="仿宋_GB2312" w:cs="Times New Roman"/>
                <w:color w:val="auto"/>
                <w:highlight w:val="none"/>
              </w:rPr>
            </w:pPr>
            <w:r>
              <w:rPr>
                <w:rFonts w:hint="eastAsia"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eastAsia="zh-CN"/>
              </w:rPr>
              <w:t>项目</w:t>
            </w:r>
            <w:r>
              <w:rPr>
                <w:rFonts w:hint="eastAsia" w:eastAsia="仿宋_GB2312" w:cs="Times New Roman"/>
                <w:color w:val="auto"/>
                <w:highlight w:val="none"/>
                <w:lang w:val="en-US" w:eastAsia="zh-CN"/>
              </w:rPr>
              <w:t>与固原市</w:t>
            </w:r>
            <w:r>
              <w:rPr>
                <w:rFonts w:hint="default" w:ascii="Times New Roman" w:hAnsi="Times New Roman" w:eastAsia="仿宋_GB2312" w:cs="Times New Roman"/>
                <w:color w:val="auto"/>
                <w:highlight w:val="none"/>
                <w:lang w:val="en-US" w:eastAsia="zh-CN"/>
              </w:rPr>
              <w:t>生态环境分区管控符合性分析</w:t>
            </w:r>
          </w:p>
          <w:p w14:paraId="6A17FB26">
            <w:pPr>
              <w:pStyle w:val="75"/>
              <w:keepNext w:val="0"/>
              <w:keepLines w:val="0"/>
              <w:pageBreakBefore w:val="0"/>
              <w:widowControl w:val="0"/>
              <w:kinsoku/>
              <w:wordWrap/>
              <w:overflowPunct w:val="0"/>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default" w:ascii="Times New Roman" w:hAnsi="Times New Roman" w:eastAsia="仿宋_GB2312" w:cs="Times New Roman"/>
                <w:b/>
                <w:bCs/>
                <w:color w:val="auto"/>
                <w:kern w:val="2"/>
                <w:sz w:val="24"/>
                <w:szCs w:val="24"/>
                <w:highlight w:val="none"/>
                <w:lang w:val="en-US" w:eastAsia="zh-CN" w:bidi="ar-SA"/>
              </w:rPr>
              <w:t>⑴生态保护红线及生态分区管控</w:t>
            </w:r>
          </w:p>
          <w:p w14:paraId="4DC9EE8A">
            <w:pPr>
              <w:autoSpaceDE w:val="0"/>
              <w:autoSpaceDN w:val="0"/>
              <w:adjustRightInd w:val="0"/>
              <w:snapToGrid w:val="0"/>
              <w:spacing w:before="0" w:after="0" w:line="360" w:lineRule="auto"/>
              <w:ind w:left="0" w:right="0" w:firstLine="480" w:firstLineChars="200"/>
              <w:rPr>
                <w:rFonts w:hint="default" w:ascii="Times New Roman" w:hAnsi="Times New Roman" w:eastAsia="仿宋_GB2312" w:cs="Times New Roman"/>
                <w:b w:val="0"/>
                <w:bCs/>
                <w:color w:val="auto"/>
                <w:spacing w:val="0"/>
                <w:kern w:val="0"/>
                <w:sz w:val="24"/>
                <w:szCs w:val="24"/>
                <w:lang w:val="en-US" w:eastAsia="zh-CN" w:bidi="ar-SA"/>
              </w:rPr>
            </w:pPr>
            <w:r>
              <w:rPr>
                <w:rFonts w:hint="default" w:ascii="Times New Roman" w:hAnsi="Times New Roman" w:eastAsia="仿宋_GB2312" w:cs="Times New Roman"/>
                <w:b w:val="0"/>
                <w:bCs/>
                <w:color w:val="auto"/>
                <w:spacing w:val="0"/>
                <w:kern w:val="0"/>
                <w:sz w:val="24"/>
                <w:szCs w:val="24"/>
                <w:highlight w:val="none"/>
                <w:lang w:val="en-US" w:eastAsia="zh-CN" w:bidi="ar-SA"/>
              </w:rPr>
              <w:t>本项目</w:t>
            </w:r>
            <w:r>
              <w:rPr>
                <w:rFonts w:hint="eastAsia" w:ascii="Times New Roman" w:hAnsi="Times New Roman" w:eastAsia="仿宋_GB2312" w:cs="Times New Roman"/>
                <w:b w:val="0"/>
                <w:bCs/>
                <w:color w:val="auto"/>
                <w:spacing w:val="0"/>
                <w:kern w:val="0"/>
                <w:sz w:val="24"/>
                <w:szCs w:val="24"/>
                <w:highlight w:val="none"/>
                <w:lang w:val="en-US" w:eastAsia="zh-CN" w:bidi="ar-SA"/>
              </w:rPr>
              <w:t>位</w:t>
            </w:r>
            <w:r>
              <w:rPr>
                <w:rFonts w:hint="default" w:ascii="Times New Roman" w:hAnsi="Times New Roman" w:eastAsia="仿宋_GB2312" w:cs="Times New Roman"/>
                <w:b w:val="0"/>
                <w:bCs/>
                <w:color w:val="auto"/>
                <w:spacing w:val="0"/>
                <w:kern w:val="0"/>
                <w:sz w:val="24"/>
                <w:szCs w:val="24"/>
                <w:highlight w:val="none"/>
                <w:lang w:val="en-US" w:eastAsia="zh-CN" w:bidi="ar-SA"/>
              </w:rPr>
              <w:t>于</w:t>
            </w:r>
            <w:r>
              <w:rPr>
                <w:rFonts w:hint="eastAsia" w:eastAsia="仿宋_GB2312" w:cs="Times New Roman"/>
                <w:b w:val="0"/>
                <w:bCs/>
                <w:color w:val="auto"/>
                <w:spacing w:val="0"/>
                <w:kern w:val="0"/>
                <w:sz w:val="24"/>
                <w:szCs w:val="24"/>
                <w:highlight w:val="none"/>
                <w:lang w:val="en-US" w:eastAsia="zh-CN" w:bidi="ar-SA"/>
              </w:rPr>
              <w:t>宁夏回族自治区固原市泾源县</w:t>
            </w:r>
            <w:r>
              <w:rPr>
                <w:rFonts w:hint="default" w:ascii="Times New Roman" w:hAnsi="Times New Roman" w:eastAsia="仿宋_GB2312" w:cs="Times New Roman"/>
                <w:b w:val="0"/>
                <w:bCs/>
                <w:color w:val="auto"/>
                <w:spacing w:val="0"/>
                <w:kern w:val="0"/>
                <w:sz w:val="24"/>
                <w:szCs w:val="24"/>
                <w:highlight w:val="none"/>
                <w:lang w:val="en-US" w:eastAsia="zh-CN" w:bidi="ar-SA"/>
              </w:rPr>
              <w:t>六盘山镇、泾河镇、大湾乡。</w:t>
            </w:r>
            <w:r>
              <w:rPr>
                <w:rFonts w:hint="default" w:ascii="Times New Roman" w:hAnsi="Times New Roman" w:eastAsia="仿宋_GB2312" w:cs="Times New Roman"/>
                <w:b w:val="0"/>
                <w:bCs/>
                <w:color w:val="auto"/>
                <w:spacing w:val="0"/>
                <w:kern w:val="0"/>
                <w:sz w:val="24"/>
                <w:szCs w:val="24"/>
                <w:lang w:val="en-US" w:eastAsia="zh-CN" w:bidi="ar-SA"/>
              </w:rPr>
              <w:t>根据《固原市生态环境分区管控实施方案》（固政发</w:t>
            </w:r>
            <w:r>
              <w:rPr>
                <w:rFonts w:hint="eastAsia" w:eastAsia="仿宋_GB2312" w:cs="Times New Roman"/>
                <w:b w:val="0"/>
                <w:bCs/>
                <w:color w:val="auto"/>
                <w:spacing w:val="0"/>
                <w:kern w:val="0"/>
                <w:sz w:val="24"/>
                <w:szCs w:val="24"/>
                <w:lang w:val="en-US" w:eastAsia="zh-CN" w:bidi="ar-SA"/>
              </w:rPr>
              <w:t>〔2024〕28号</w:t>
            </w:r>
            <w:r>
              <w:rPr>
                <w:rFonts w:hint="default" w:ascii="Times New Roman" w:hAnsi="Times New Roman" w:eastAsia="仿宋_GB2312" w:cs="Times New Roman"/>
                <w:b w:val="0"/>
                <w:bCs/>
                <w:color w:val="auto"/>
                <w:spacing w:val="0"/>
                <w:kern w:val="0"/>
                <w:sz w:val="24"/>
                <w:szCs w:val="24"/>
                <w:lang w:val="en-US" w:eastAsia="zh-CN" w:bidi="ar-SA"/>
              </w:rPr>
              <w:t>）中附件，本项目与“固原市生态环境分区管控方案文本”符合性分析见表</w:t>
            </w:r>
            <w:r>
              <w:rPr>
                <w:rFonts w:hint="eastAsia" w:eastAsia="仿宋_GB2312" w:cs="Times New Roman"/>
                <w:b w:val="0"/>
                <w:bCs/>
                <w:color w:val="auto"/>
                <w:spacing w:val="0"/>
                <w:kern w:val="0"/>
                <w:sz w:val="24"/>
                <w:szCs w:val="24"/>
                <w:lang w:val="en-US" w:eastAsia="zh-CN" w:bidi="ar-SA"/>
              </w:rPr>
              <w:t>1</w:t>
            </w:r>
            <w:r>
              <w:rPr>
                <w:rFonts w:hint="default" w:ascii="Times New Roman" w:hAnsi="Times New Roman" w:eastAsia="仿宋_GB2312" w:cs="Times New Roman"/>
                <w:b w:val="0"/>
                <w:bCs/>
                <w:color w:val="auto"/>
                <w:spacing w:val="0"/>
                <w:kern w:val="0"/>
                <w:sz w:val="24"/>
                <w:szCs w:val="24"/>
                <w:lang w:val="en-US" w:eastAsia="zh-CN" w:bidi="ar-SA"/>
              </w:rPr>
              <w:t>。</w:t>
            </w:r>
          </w:p>
          <w:p w14:paraId="647CD942">
            <w:pPr>
              <w:adjustRightInd w:val="0"/>
              <w:ind w:firstLine="480"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表</w:t>
            </w:r>
            <w:r>
              <w:rPr>
                <w:rFonts w:hint="eastAsia" w:ascii="Times New Roman" w:hAnsi="Times New Roman"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 xml:space="preserve"> 项目与固原市</w:t>
            </w:r>
            <w:r>
              <w:rPr>
                <w:rFonts w:hint="eastAsia" w:ascii="Times New Roman" w:hAnsi="Times New Roman" w:eastAsia="宋体" w:cs="Times New Roman"/>
                <w:b/>
                <w:bCs/>
                <w:color w:val="auto"/>
                <w:sz w:val="24"/>
                <w:szCs w:val="24"/>
                <w:highlight w:val="none"/>
                <w:lang w:val="en-US" w:eastAsia="zh-CN"/>
              </w:rPr>
              <w:t>生态环境分区管控</w:t>
            </w:r>
            <w:r>
              <w:rPr>
                <w:rFonts w:hint="default" w:ascii="Times New Roman" w:hAnsi="Times New Roman" w:eastAsia="宋体" w:cs="Times New Roman"/>
                <w:b/>
                <w:bCs/>
                <w:color w:val="auto"/>
                <w:sz w:val="24"/>
                <w:szCs w:val="24"/>
                <w:highlight w:val="none"/>
                <w:lang w:val="en-US" w:eastAsia="zh-CN"/>
              </w:rPr>
              <w:t>文本符合性一览表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439"/>
              <w:gridCol w:w="3678"/>
              <w:gridCol w:w="2721"/>
              <w:gridCol w:w="722"/>
            </w:tblGrid>
            <w:tr w14:paraId="22294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23" w:type="pct"/>
                  <w:gridSpan w:val="3"/>
                  <w:noWrap w:val="0"/>
                  <w:vAlign w:val="center"/>
                </w:tcPr>
                <w:p w14:paraId="77ECEE22">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“固原市生态环境分区管控方案文本”要求</w:t>
                  </w:r>
                </w:p>
              </w:tc>
              <w:tc>
                <w:tcPr>
                  <w:tcW w:w="1640" w:type="pct"/>
                  <w:noWrap w:val="0"/>
                  <w:vAlign w:val="center"/>
                </w:tcPr>
                <w:p w14:paraId="0759A1FB">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本项目情况</w:t>
                  </w:r>
                </w:p>
              </w:tc>
              <w:tc>
                <w:tcPr>
                  <w:tcW w:w="435" w:type="pct"/>
                  <w:noWrap w:val="0"/>
                  <w:vAlign w:val="center"/>
                </w:tcPr>
                <w:p w14:paraId="1C3C881A">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符合性</w:t>
                  </w:r>
                </w:p>
              </w:tc>
            </w:tr>
            <w:tr w14:paraId="786DB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noWrap w:val="0"/>
                  <w:vAlign w:val="center"/>
                </w:tcPr>
                <w:p w14:paraId="15863D88">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cs="Times New Roman"/>
                      <w:b/>
                      <w:bCs/>
                      <w:color w:val="auto"/>
                      <w:kern w:val="0"/>
                      <w:sz w:val="21"/>
                      <w:szCs w:val="21"/>
                    </w:rPr>
                    <w:t>生态保护红线与生态</w:t>
                  </w:r>
                  <w:r>
                    <w:rPr>
                      <w:rFonts w:hint="default" w:ascii="Times New Roman" w:hAnsi="Times New Roman" w:cs="Times New Roman"/>
                      <w:b/>
                      <w:bCs/>
                      <w:color w:val="auto"/>
                      <w:kern w:val="0"/>
                      <w:sz w:val="21"/>
                      <w:szCs w:val="21"/>
                      <w:lang w:eastAsia="zh-CN"/>
                    </w:rPr>
                    <w:t>分区管控</w:t>
                  </w:r>
                </w:p>
              </w:tc>
            </w:tr>
            <w:tr w14:paraId="320B0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23" w:type="pct"/>
                  <w:gridSpan w:val="3"/>
                  <w:noWrap w:val="0"/>
                  <w:vAlign w:val="center"/>
                </w:tcPr>
                <w:p w14:paraId="68021323">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lang w:eastAsia="zh-CN"/>
                    </w:rPr>
                    <w:t>生态分区管控要求</w:t>
                  </w:r>
                  <w:r>
                    <w:rPr>
                      <w:rFonts w:hint="default" w:ascii="Times New Roman" w:hAnsi="Times New Roman" w:cs="Times New Roman"/>
                      <w:b w:val="0"/>
                      <w:bCs w:val="0"/>
                      <w:color w:val="auto"/>
                      <w:kern w:val="0"/>
                      <w:sz w:val="21"/>
                      <w:szCs w:val="21"/>
                      <w:lang w:eastAsia="zh-CN"/>
                    </w:rPr>
                    <w:t>：生态保护红线原则上按禁止开发区域的要求进行管理。严禁不符合主体功能定位的各类开发活动，严禁任意改变用途，确保生态保护红线内“生态功能不降低，面积不减少，性质不改变”。一般生态空间原则上按照限制开发区域的要求进行管理。严格控制新增建设用地占用一般生态空间。符合区域准入条件的建设项目，涉及占用生态空间中的林地、草原等，按有关法律法规规定办理；涉及占用生态空间中其他未作明确规定的用地，应当加强论证和管理。严格限制农业开发占用生态保护红线之外的生态空间，符合条件的农业开发项目，须依法由市县级及以上地方人民政府统筹安排。有序引导生态空间用途之间的相互转变，鼓励向有利于生态功能提升的方向转变，严格禁止不符合生态保护要求或有损生态功能的相互转换。</w:t>
                  </w:r>
                </w:p>
              </w:tc>
              <w:tc>
                <w:tcPr>
                  <w:tcW w:w="1640" w:type="pct"/>
                  <w:noWrap w:val="0"/>
                  <w:vAlign w:val="center"/>
                </w:tcPr>
                <w:p w14:paraId="2506A892">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rPr>
                    <w:t>对照</w:t>
                  </w:r>
                  <w:r>
                    <w:rPr>
                      <w:rFonts w:hint="default" w:ascii="Times New Roman" w:hAnsi="Times New Roman" w:cs="Times New Roman"/>
                      <w:color w:val="auto"/>
                      <w:kern w:val="0"/>
                      <w:sz w:val="21"/>
                      <w:szCs w:val="21"/>
                      <w:lang w:eastAsia="zh-CN"/>
                    </w:rPr>
                    <w:t>固原市</w:t>
                  </w:r>
                  <w:r>
                    <w:rPr>
                      <w:rFonts w:hint="eastAsia" w:cs="Times New Roman"/>
                      <w:color w:val="auto"/>
                      <w:kern w:val="0"/>
                      <w:sz w:val="21"/>
                      <w:szCs w:val="21"/>
                      <w:lang w:val="en-US" w:eastAsia="zh-CN"/>
                    </w:rPr>
                    <w:t>生态环境分区管控</w:t>
                  </w:r>
                  <w:r>
                    <w:rPr>
                      <w:rFonts w:hint="default" w:ascii="Times New Roman" w:hAnsi="Times New Roman" w:cs="Times New Roman"/>
                      <w:color w:val="auto"/>
                      <w:kern w:val="0"/>
                      <w:sz w:val="21"/>
                      <w:szCs w:val="21"/>
                    </w:rPr>
                    <w:t>图集</w:t>
                  </w:r>
                  <w:r>
                    <w:rPr>
                      <w:rFonts w:hint="default" w:ascii="Times New Roman" w:hAnsi="Times New Roman" w:cs="Times New Roman"/>
                      <w:color w:val="auto"/>
                      <w:kern w:val="0"/>
                      <w:sz w:val="21"/>
                      <w:szCs w:val="21"/>
                      <w:lang w:val="en-US" w:eastAsia="zh-CN"/>
                    </w:rPr>
                    <w:t>中生态保护红线图可知</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因</w:t>
                  </w:r>
                  <w:r>
                    <w:rPr>
                      <w:rFonts w:hint="eastAsia" w:cs="Times New Roman"/>
                      <w:color w:val="auto"/>
                      <w:kern w:val="0"/>
                      <w:sz w:val="21"/>
                      <w:szCs w:val="21"/>
                      <w:lang w:val="en-US" w:eastAsia="zh-CN"/>
                    </w:rPr>
                    <w:t>项目所在区域不涉及生态保护红线。</w:t>
                  </w:r>
                </w:p>
                <w:p w14:paraId="1196F553">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项目与</w:t>
                  </w:r>
                  <w:r>
                    <w:rPr>
                      <w:rFonts w:hint="default" w:ascii="Times New Roman" w:hAnsi="Times New Roman" w:cs="Times New Roman"/>
                      <w:color w:val="auto"/>
                      <w:kern w:val="0"/>
                      <w:sz w:val="21"/>
                      <w:szCs w:val="21"/>
                      <w:lang w:eastAsia="zh-CN"/>
                    </w:rPr>
                    <w:t>固原市</w:t>
                  </w:r>
                  <w:r>
                    <w:rPr>
                      <w:rFonts w:hint="default" w:ascii="Times New Roman" w:hAnsi="Times New Roman" w:cs="Times New Roman"/>
                      <w:color w:val="auto"/>
                      <w:kern w:val="0"/>
                      <w:sz w:val="21"/>
                      <w:szCs w:val="21"/>
                    </w:rPr>
                    <w:t>生态</w:t>
                  </w:r>
                  <w:r>
                    <w:rPr>
                      <w:rFonts w:hint="default" w:ascii="Times New Roman" w:hAnsi="Times New Roman" w:cs="Times New Roman"/>
                      <w:color w:val="auto"/>
                      <w:kern w:val="0"/>
                      <w:sz w:val="21"/>
                      <w:szCs w:val="21"/>
                      <w:lang w:eastAsia="zh-CN"/>
                    </w:rPr>
                    <w:t>保护</w:t>
                  </w:r>
                  <w:r>
                    <w:rPr>
                      <w:rFonts w:hint="default" w:ascii="Times New Roman" w:hAnsi="Times New Roman" w:cs="Times New Roman"/>
                      <w:color w:val="auto"/>
                      <w:kern w:val="0"/>
                      <w:sz w:val="21"/>
                      <w:szCs w:val="21"/>
                    </w:rPr>
                    <w:t>红线</w:t>
                  </w:r>
                  <w:r>
                    <w:rPr>
                      <w:rFonts w:hint="default" w:ascii="Times New Roman" w:hAnsi="Times New Roman" w:cs="Times New Roman"/>
                      <w:color w:val="auto"/>
                      <w:kern w:val="0"/>
                      <w:sz w:val="21"/>
                      <w:szCs w:val="21"/>
                      <w:lang w:eastAsia="zh-CN"/>
                    </w:rPr>
                    <w:t>图</w:t>
                  </w:r>
                  <w:r>
                    <w:rPr>
                      <w:rFonts w:hint="default" w:ascii="Times New Roman" w:hAnsi="Times New Roman" w:cs="Times New Roman"/>
                      <w:color w:val="auto"/>
                      <w:kern w:val="0"/>
                      <w:sz w:val="21"/>
                      <w:szCs w:val="21"/>
                    </w:rPr>
                    <w:t>位置关系见附图</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rPr>
                    <w:t>。</w:t>
                  </w:r>
                </w:p>
              </w:tc>
              <w:tc>
                <w:tcPr>
                  <w:tcW w:w="435" w:type="pct"/>
                  <w:noWrap w:val="0"/>
                  <w:vAlign w:val="center"/>
                </w:tcPr>
                <w:p w14:paraId="6768AE0D">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2C2F1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noWrap w:val="0"/>
                  <w:vAlign w:val="center"/>
                </w:tcPr>
                <w:p w14:paraId="18EED76B">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环境质量底线及分区管控</w:t>
                  </w:r>
                </w:p>
              </w:tc>
            </w:tr>
            <w:tr w14:paraId="40B1A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vMerge w:val="restart"/>
                  <w:noWrap w:val="0"/>
                  <w:vAlign w:val="center"/>
                </w:tcPr>
                <w:p w14:paraId="5A89E736">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水环境分区管控</w:t>
                  </w:r>
                </w:p>
              </w:tc>
              <w:tc>
                <w:tcPr>
                  <w:tcW w:w="2482" w:type="pct"/>
                  <w:gridSpan w:val="2"/>
                  <w:noWrap w:val="0"/>
                  <w:vAlign w:val="center"/>
                </w:tcPr>
                <w:p w14:paraId="473F2B71">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以水环境控制单元为基本单元，分析各控制单元的功能定位，结合水质超标区域分布，基于水环境系统评价结果，得到固原市水环境管控分区。固原市水环境管控分区共分为三大类：水环境优先保护区、水环境重点管控区</w:t>
                  </w:r>
                  <w:r>
                    <w:rPr>
                      <w:rFonts w:hint="eastAsia" w:cs="Times New Roman"/>
                      <w:color w:val="auto"/>
                      <w:kern w:val="0"/>
                      <w:sz w:val="21"/>
                      <w:szCs w:val="21"/>
                      <w:lang w:val="en-US" w:eastAsia="zh-CN" w:bidi="ar-SA"/>
                    </w:rPr>
                    <w:t>（</w:t>
                  </w:r>
                  <w:r>
                    <w:rPr>
                      <w:rFonts w:hint="default" w:ascii="Times New Roman" w:hAnsi="Times New Roman" w:cs="Times New Roman"/>
                      <w:color w:val="auto"/>
                      <w:kern w:val="0"/>
                      <w:sz w:val="21"/>
                      <w:szCs w:val="21"/>
                      <w:lang w:val="en-US" w:eastAsia="zh-CN" w:bidi="ar-SA"/>
                    </w:rPr>
                    <w:t>含水环境工业污染源重点管控区、水环境农业污染源重点管控区、水环境城镇生活污染源重点管控区</w:t>
                  </w:r>
                  <w:r>
                    <w:rPr>
                      <w:rFonts w:hint="eastAsia" w:cs="Times New Roman"/>
                      <w:color w:val="auto"/>
                      <w:kern w:val="0"/>
                      <w:sz w:val="21"/>
                      <w:szCs w:val="21"/>
                      <w:lang w:val="en-US" w:eastAsia="zh-CN" w:bidi="ar-SA"/>
                    </w:rPr>
                    <w:t>）</w:t>
                  </w:r>
                  <w:r>
                    <w:rPr>
                      <w:rFonts w:hint="default" w:ascii="Times New Roman" w:hAnsi="Times New Roman" w:cs="Times New Roman"/>
                      <w:color w:val="auto"/>
                      <w:kern w:val="0"/>
                      <w:sz w:val="21"/>
                      <w:szCs w:val="21"/>
                      <w:lang w:val="en-US" w:eastAsia="zh-CN" w:bidi="ar-SA"/>
                    </w:rPr>
                    <w:t>和水环境一般管控区。</w:t>
                  </w:r>
                </w:p>
              </w:tc>
              <w:tc>
                <w:tcPr>
                  <w:tcW w:w="1640" w:type="pct"/>
                  <w:noWrap w:val="0"/>
                  <w:vAlign w:val="center"/>
                </w:tcPr>
                <w:p w14:paraId="32A6163B">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对照固原市</w:t>
                  </w:r>
                  <w:r>
                    <w:rPr>
                      <w:rFonts w:hint="eastAsia" w:cs="Times New Roman"/>
                      <w:color w:val="auto"/>
                      <w:kern w:val="0"/>
                      <w:sz w:val="21"/>
                      <w:szCs w:val="21"/>
                      <w:lang w:val="en-US" w:eastAsia="zh-CN"/>
                    </w:rPr>
                    <w:t>生态环境分区管控</w:t>
                  </w:r>
                  <w:r>
                    <w:rPr>
                      <w:rFonts w:hint="default" w:ascii="Times New Roman" w:hAnsi="Times New Roman" w:cs="Times New Roman"/>
                      <w:color w:val="auto"/>
                      <w:kern w:val="0"/>
                      <w:sz w:val="21"/>
                      <w:szCs w:val="21"/>
                      <w:lang w:val="en-US" w:eastAsia="zh-CN"/>
                    </w:rPr>
                    <w:t>图集中水环境分区管控图可知，项目处于</w:t>
                  </w:r>
                  <w:r>
                    <w:rPr>
                      <w:rFonts w:hint="eastAsia" w:cs="Times New Roman"/>
                      <w:color w:val="auto"/>
                      <w:kern w:val="0"/>
                      <w:sz w:val="21"/>
                      <w:szCs w:val="21"/>
                      <w:lang w:val="en-US" w:eastAsia="zh-CN"/>
                    </w:rPr>
                    <w:t>优先</w:t>
                  </w:r>
                  <w:r>
                    <w:rPr>
                      <w:rFonts w:hint="default" w:ascii="Times New Roman" w:hAnsi="Times New Roman" w:cs="Times New Roman"/>
                      <w:color w:val="auto"/>
                      <w:kern w:val="0"/>
                      <w:sz w:val="21"/>
                      <w:szCs w:val="21"/>
                      <w:lang w:val="en-US" w:eastAsia="zh-CN"/>
                    </w:rPr>
                    <w:t>管控区。</w:t>
                  </w:r>
                  <w:r>
                    <w:rPr>
                      <w:rFonts w:hint="default" w:ascii="Times New Roman" w:hAnsi="Times New Roman" w:cs="Times New Roman"/>
                      <w:color w:val="auto"/>
                      <w:kern w:val="0"/>
                      <w:sz w:val="21"/>
                      <w:szCs w:val="21"/>
                    </w:rPr>
                    <w:t>项目与</w:t>
                  </w:r>
                  <w:r>
                    <w:rPr>
                      <w:rFonts w:hint="default" w:ascii="Times New Roman" w:hAnsi="Times New Roman" w:cs="Times New Roman"/>
                      <w:color w:val="auto"/>
                      <w:kern w:val="0"/>
                      <w:sz w:val="21"/>
                      <w:szCs w:val="21"/>
                      <w:lang w:eastAsia="zh-CN"/>
                    </w:rPr>
                    <w:t>固原市</w:t>
                  </w:r>
                  <w:r>
                    <w:rPr>
                      <w:rFonts w:hint="default" w:ascii="Times New Roman" w:hAnsi="Times New Roman" w:cs="Times New Roman"/>
                      <w:color w:val="auto"/>
                      <w:kern w:val="0"/>
                      <w:sz w:val="21"/>
                      <w:szCs w:val="21"/>
                    </w:rPr>
                    <w:t>水环境管控</w:t>
                  </w:r>
                  <w:r>
                    <w:rPr>
                      <w:rFonts w:hint="default" w:ascii="Times New Roman" w:hAnsi="Times New Roman" w:cs="Times New Roman"/>
                      <w:color w:val="auto"/>
                      <w:kern w:val="0"/>
                      <w:sz w:val="21"/>
                      <w:szCs w:val="21"/>
                      <w:lang w:eastAsia="zh-CN"/>
                    </w:rPr>
                    <w:t>分区</w:t>
                  </w:r>
                  <w:r>
                    <w:rPr>
                      <w:rFonts w:hint="default" w:ascii="Times New Roman" w:hAnsi="Times New Roman" w:cs="Times New Roman"/>
                      <w:color w:val="auto"/>
                      <w:kern w:val="0"/>
                      <w:sz w:val="21"/>
                      <w:szCs w:val="21"/>
                    </w:rPr>
                    <w:t>位置关系见附图</w:t>
                  </w:r>
                  <w:r>
                    <w:rPr>
                      <w:rFonts w:hint="default"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w:t>
                  </w:r>
                </w:p>
              </w:tc>
              <w:tc>
                <w:tcPr>
                  <w:tcW w:w="435" w:type="pct"/>
                  <w:vMerge w:val="restart"/>
                  <w:noWrap w:val="0"/>
                  <w:vAlign w:val="center"/>
                </w:tcPr>
                <w:p w14:paraId="77F369CD">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04FE4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vMerge w:val="continue"/>
                  <w:noWrap w:val="0"/>
                  <w:vAlign w:val="center"/>
                </w:tcPr>
                <w:p w14:paraId="2B3B442C">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lang w:eastAsia="zh-CN"/>
                    </w:rPr>
                  </w:pPr>
                </w:p>
              </w:tc>
              <w:tc>
                <w:tcPr>
                  <w:tcW w:w="2482" w:type="pct"/>
                  <w:gridSpan w:val="2"/>
                  <w:noWrap w:val="0"/>
                  <w:vAlign w:val="center"/>
                </w:tcPr>
                <w:p w14:paraId="6E1FDE9D">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eastAsia" w:cs="Times New Roman"/>
                      <w:b/>
                      <w:bCs/>
                      <w:color w:val="auto"/>
                      <w:kern w:val="0"/>
                      <w:sz w:val="21"/>
                      <w:szCs w:val="21"/>
                      <w:lang w:val="en-US" w:eastAsia="zh-CN"/>
                    </w:rPr>
                    <w:t>优先</w:t>
                  </w:r>
                  <w:r>
                    <w:rPr>
                      <w:rFonts w:hint="default" w:ascii="Times New Roman" w:hAnsi="Times New Roman" w:cs="Times New Roman"/>
                      <w:b/>
                      <w:bCs/>
                      <w:color w:val="auto"/>
                      <w:kern w:val="0"/>
                      <w:sz w:val="21"/>
                      <w:szCs w:val="21"/>
                      <w:lang w:eastAsia="zh-CN"/>
                    </w:rPr>
                    <w:t>管控</w:t>
                  </w:r>
                  <w:r>
                    <w:rPr>
                      <w:rFonts w:hint="eastAsia" w:cs="Times New Roman"/>
                      <w:b/>
                      <w:bCs/>
                      <w:color w:val="auto"/>
                      <w:kern w:val="0"/>
                      <w:sz w:val="21"/>
                      <w:szCs w:val="21"/>
                      <w:lang w:eastAsia="zh-CN"/>
                    </w:rPr>
                    <w:t>区</w:t>
                  </w:r>
                  <w:r>
                    <w:rPr>
                      <w:rFonts w:hint="default" w:ascii="Times New Roman" w:hAnsi="Times New Roman" w:cs="Times New Roman"/>
                      <w:b/>
                      <w:bCs/>
                      <w:color w:val="auto"/>
                      <w:kern w:val="0"/>
                      <w:sz w:val="21"/>
                      <w:szCs w:val="21"/>
                    </w:rPr>
                    <w:t>要求：</w:t>
                  </w:r>
                  <w:r>
                    <w:rPr>
                      <w:rFonts w:hint="default" w:ascii="Times New Roman" w:hAnsi="Times New Roman" w:cs="Times New Roman"/>
                      <w:b w:val="0"/>
                      <w:bCs w:val="0"/>
                      <w:color w:val="auto"/>
                      <w:kern w:val="0"/>
                      <w:sz w:val="21"/>
                      <w:szCs w:val="21"/>
                    </w:rPr>
                    <w:t>严格落实《中华人民共和国水污染防治法</w:t>
                  </w:r>
                  <w:r>
                    <w:rPr>
                      <w:rFonts w:hint="eastAsia" w:cs="Times New Roman"/>
                      <w:b w:val="0"/>
                      <w:bCs w:val="0"/>
                      <w:color w:val="auto"/>
                      <w:kern w:val="0"/>
                      <w:sz w:val="21"/>
                      <w:szCs w:val="21"/>
                      <w:lang w:eastAsia="zh-CN"/>
                    </w:rPr>
                    <w:t>》《</w:t>
                  </w:r>
                  <w:r>
                    <w:rPr>
                      <w:rFonts w:hint="default" w:ascii="Times New Roman" w:hAnsi="Times New Roman" w:cs="Times New Roman"/>
                      <w:b w:val="0"/>
                      <w:bCs w:val="0"/>
                      <w:color w:val="auto"/>
                      <w:kern w:val="0"/>
                      <w:sz w:val="21"/>
                      <w:szCs w:val="21"/>
                    </w:rPr>
                    <w:t>饮用水水源保护区污染防治管理规定》(原环境保护部令第16号</w:t>
                  </w:r>
                  <w:r>
                    <w:rPr>
                      <w:rFonts w:hint="eastAsia" w:cs="Times New Roman"/>
                      <w:b w:val="0"/>
                      <w:bCs w:val="0"/>
                      <w:color w:val="auto"/>
                      <w:kern w:val="0"/>
                      <w:sz w:val="21"/>
                      <w:szCs w:val="21"/>
                      <w:lang w:eastAsia="zh-CN"/>
                    </w:rPr>
                    <w:t>）</w:t>
                  </w:r>
                  <w:r>
                    <w:rPr>
                      <w:rFonts w:hint="default" w:ascii="Times New Roman" w:hAnsi="Times New Roman" w:cs="Times New Roman"/>
                      <w:b w:val="0"/>
                      <w:bCs w:val="0"/>
                      <w:color w:val="auto"/>
                      <w:kern w:val="0"/>
                      <w:sz w:val="21"/>
                      <w:szCs w:val="21"/>
                    </w:rPr>
                    <w:t>及其他有关法律法规对饮用水水源保护区的管理要求。在饮用水水源保护区内，禁止设置排污口。禁止在饮用水水源一级保护区内新建改建、扩建与供水设施和保护水源无关的建设项目</w:t>
                  </w:r>
                  <w:r>
                    <w:rPr>
                      <w:rFonts w:hint="eastAsia" w:cs="Times New Roman"/>
                      <w:b w:val="0"/>
                      <w:bCs w:val="0"/>
                      <w:color w:val="auto"/>
                      <w:kern w:val="0"/>
                      <w:sz w:val="21"/>
                      <w:szCs w:val="21"/>
                      <w:lang w:eastAsia="zh-CN"/>
                    </w:rPr>
                    <w:t>；</w:t>
                  </w:r>
                  <w:r>
                    <w:rPr>
                      <w:rFonts w:hint="default" w:ascii="Times New Roman" w:hAnsi="Times New Roman" w:cs="Times New Roman"/>
                      <w:b w:val="0"/>
                      <w:bCs w:val="0"/>
                      <w:color w:val="auto"/>
                      <w:kern w:val="0"/>
                      <w:sz w:val="21"/>
                      <w:szCs w:val="21"/>
                    </w:rPr>
                    <w:t>已建成的与供水设施和保护水源无关的建设项目，由县级以上人民政府责令拆除或者关闭。禁止在饮用水水源二级保护区内新建、改建、扩建排放污染物的建设项目</w:t>
                  </w:r>
                  <w:r>
                    <w:rPr>
                      <w:rFonts w:hint="eastAsia" w:cs="Times New Roman"/>
                      <w:b w:val="0"/>
                      <w:bCs w:val="0"/>
                      <w:color w:val="auto"/>
                      <w:kern w:val="0"/>
                      <w:sz w:val="21"/>
                      <w:szCs w:val="21"/>
                      <w:lang w:eastAsia="zh-CN"/>
                    </w:rPr>
                    <w:t>；</w:t>
                  </w:r>
                  <w:r>
                    <w:rPr>
                      <w:rFonts w:hint="default" w:ascii="Times New Roman" w:hAnsi="Times New Roman" w:cs="Times New Roman"/>
                      <w:b w:val="0"/>
                      <w:bCs w:val="0"/>
                      <w:color w:val="auto"/>
                      <w:kern w:val="0"/>
                      <w:sz w:val="21"/>
                      <w:szCs w:val="21"/>
                    </w:rPr>
                    <w:t>已建成的排放污染物的建设项目，由县级以上人民政府责令拆除或者关闭。禁止在饮用水水源准保护区内新建、扩建对水体污染严重的建设项目</w:t>
                  </w:r>
                  <w:r>
                    <w:rPr>
                      <w:rFonts w:hint="eastAsia" w:cs="Times New Roman"/>
                      <w:b w:val="0"/>
                      <w:bCs w:val="0"/>
                      <w:color w:val="auto"/>
                      <w:kern w:val="0"/>
                      <w:sz w:val="21"/>
                      <w:szCs w:val="21"/>
                      <w:lang w:eastAsia="zh-CN"/>
                    </w:rPr>
                    <w:t>：</w:t>
                  </w:r>
                  <w:r>
                    <w:rPr>
                      <w:rFonts w:hint="default" w:ascii="Times New Roman" w:hAnsi="Times New Roman" w:cs="Times New Roman"/>
                      <w:b w:val="0"/>
                      <w:bCs w:val="0"/>
                      <w:color w:val="auto"/>
                      <w:kern w:val="0"/>
                      <w:sz w:val="21"/>
                      <w:szCs w:val="21"/>
                    </w:rPr>
                    <w:t>改建建设项目，不得增加排污量。严格落实《中华人民共和国自然保护区条例</w:t>
                  </w:r>
                  <w:r>
                    <w:rPr>
                      <w:rFonts w:hint="eastAsia" w:cs="Times New Roman"/>
                      <w:b w:val="0"/>
                      <w:bCs w:val="0"/>
                      <w:color w:val="auto"/>
                      <w:kern w:val="0"/>
                      <w:sz w:val="21"/>
                      <w:szCs w:val="21"/>
                      <w:lang w:eastAsia="zh-CN"/>
                    </w:rPr>
                    <w:t>》《</w:t>
                  </w:r>
                  <w:r>
                    <w:rPr>
                      <w:rFonts w:hint="default" w:ascii="Times New Roman" w:hAnsi="Times New Roman" w:cs="Times New Roman"/>
                      <w:b w:val="0"/>
                      <w:bCs w:val="0"/>
                      <w:color w:val="auto"/>
                      <w:kern w:val="0"/>
                      <w:sz w:val="21"/>
                      <w:szCs w:val="21"/>
                    </w:rPr>
                    <w:t>湿地保护管理规定》</w:t>
                  </w:r>
                  <w:r>
                    <w:rPr>
                      <w:rFonts w:hint="eastAsia" w:cs="Times New Roman"/>
                      <w:b w:val="0"/>
                      <w:bCs w:val="0"/>
                      <w:color w:val="auto"/>
                      <w:kern w:val="0"/>
                      <w:sz w:val="21"/>
                      <w:szCs w:val="21"/>
                      <w:lang w:eastAsia="zh-CN"/>
                    </w:rPr>
                    <w:t>（</w:t>
                  </w:r>
                  <w:r>
                    <w:rPr>
                      <w:rFonts w:hint="default" w:ascii="Times New Roman" w:hAnsi="Times New Roman" w:cs="Times New Roman"/>
                      <w:b w:val="0"/>
                      <w:bCs w:val="0"/>
                      <w:color w:val="auto"/>
                      <w:kern w:val="0"/>
                      <w:sz w:val="21"/>
                      <w:szCs w:val="21"/>
                    </w:rPr>
                    <w:t>原</w:t>
                  </w:r>
                  <w:r>
                    <w:rPr>
                      <w:rFonts w:hint="eastAsia" w:cs="Times New Roman"/>
                      <w:b w:val="0"/>
                      <w:bCs w:val="0"/>
                      <w:color w:val="auto"/>
                      <w:kern w:val="0"/>
                      <w:sz w:val="21"/>
                      <w:szCs w:val="21"/>
                      <w:lang w:eastAsia="zh-CN"/>
                    </w:rPr>
                    <w:t>国家林业和草原局</w:t>
                  </w:r>
                  <w:r>
                    <w:rPr>
                      <w:rFonts w:hint="default" w:ascii="Times New Roman" w:hAnsi="Times New Roman" w:cs="Times New Roman"/>
                      <w:b w:val="0"/>
                      <w:bCs w:val="0"/>
                      <w:color w:val="auto"/>
                      <w:kern w:val="0"/>
                      <w:sz w:val="21"/>
                      <w:szCs w:val="21"/>
                    </w:rPr>
                    <w:t>令2013年第32号</w:t>
                  </w:r>
                  <w:r>
                    <w:rPr>
                      <w:rFonts w:hint="eastAsia" w:cs="Times New Roman"/>
                      <w:b w:val="0"/>
                      <w:bCs w:val="0"/>
                      <w:color w:val="auto"/>
                      <w:kern w:val="0"/>
                      <w:sz w:val="21"/>
                      <w:szCs w:val="21"/>
                      <w:lang w:eastAsia="zh-CN"/>
                    </w:rPr>
                    <w:t>）</w:t>
                  </w:r>
                  <w:r>
                    <w:rPr>
                      <w:rFonts w:hint="default" w:ascii="Times New Roman" w:hAnsi="Times New Roman" w:cs="Times New Roman"/>
                      <w:b w:val="0"/>
                      <w:bCs w:val="0"/>
                      <w:color w:val="auto"/>
                      <w:kern w:val="0"/>
                      <w:sz w:val="21"/>
                      <w:szCs w:val="21"/>
                    </w:rPr>
                    <w:t>、《水产种质资源保护区管理暂行办法》</w:t>
                  </w:r>
                  <w:r>
                    <w:rPr>
                      <w:rFonts w:hint="eastAsia" w:cs="Times New Roman"/>
                      <w:b w:val="0"/>
                      <w:bCs w:val="0"/>
                      <w:color w:val="auto"/>
                      <w:kern w:val="0"/>
                      <w:sz w:val="21"/>
                      <w:szCs w:val="21"/>
                      <w:lang w:eastAsia="zh-CN"/>
                    </w:rPr>
                    <w:t>（</w:t>
                  </w:r>
                  <w:r>
                    <w:rPr>
                      <w:rFonts w:hint="default" w:ascii="Times New Roman" w:hAnsi="Times New Roman" w:cs="Times New Roman"/>
                      <w:b w:val="0"/>
                      <w:bCs w:val="0"/>
                      <w:color w:val="auto"/>
                      <w:kern w:val="0"/>
                      <w:sz w:val="21"/>
                      <w:szCs w:val="21"/>
                    </w:rPr>
                    <w:t>原</w:t>
                  </w:r>
                  <w:r>
                    <w:rPr>
                      <w:rFonts w:hint="eastAsia" w:cs="Times New Roman"/>
                      <w:b w:val="0"/>
                      <w:bCs w:val="0"/>
                      <w:color w:val="auto"/>
                      <w:kern w:val="0"/>
                      <w:sz w:val="21"/>
                      <w:szCs w:val="21"/>
                      <w:lang w:eastAsia="zh-CN"/>
                    </w:rPr>
                    <w:t>农业农村部</w:t>
                  </w:r>
                  <w:r>
                    <w:rPr>
                      <w:rFonts w:hint="default" w:ascii="Times New Roman" w:hAnsi="Times New Roman" w:cs="Times New Roman"/>
                      <w:b w:val="0"/>
                      <w:bCs w:val="0"/>
                      <w:color w:val="auto"/>
                      <w:kern w:val="0"/>
                      <w:sz w:val="21"/>
                      <w:szCs w:val="21"/>
                    </w:rPr>
                    <w:t>令2011年第1号</w:t>
                  </w:r>
                  <w:r>
                    <w:rPr>
                      <w:rFonts w:hint="eastAsia" w:cs="Times New Roman"/>
                      <w:b w:val="0"/>
                      <w:bCs w:val="0"/>
                      <w:color w:val="auto"/>
                      <w:kern w:val="0"/>
                      <w:sz w:val="21"/>
                      <w:szCs w:val="21"/>
                      <w:lang w:eastAsia="zh-CN"/>
                    </w:rPr>
                    <w:t>）</w:t>
                  </w:r>
                  <w:r>
                    <w:rPr>
                      <w:rFonts w:hint="default" w:ascii="Times New Roman" w:hAnsi="Times New Roman" w:cs="Times New Roman"/>
                      <w:b w:val="0"/>
                      <w:bCs w:val="0"/>
                      <w:color w:val="auto"/>
                      <w:kern w:val="0"/>
                      <w:sz w:val="21"/>
                      <w:szCs w:val="21"/>
                    </w:rPr>
                    <w:t>等有关法律法规对自然保护区、湿地公园及其他重要湿地、水产种质资源保护区等区域的管理要求。确保重要湿地和河湖面积不减少、生态功能不退化，保护和提升清水河国家级湿地公园等重要湿地，增强城市“绿肺功能”加大六盘山水源涵养林建设力度，开展六盘山及其外缘宜林地水源涵养林建设，进一步恢复和增强六盘山区域水源涵养功能</w:t>
                  </w:r>
                  <w:r>
                    <w:rPr>
                      <w:rFonts w:hint="eastAsia" w:cs="Times New Roman"/>
                      <w:b w:val="0"/>
                      <w:bCs w:val="0"/>
                      <w:color w:val="auto"/>
                      <w:kern w:val="0"/>
                      <w:sz w:val="21"/>
                      <w:szCs w:val="21"/>
                      <w:lang w:eastAsia="zh-CN"/>
                    </w:rPr>
                    <w:t>；</w:t>
                  </w:r>
                  <w:r>
                    <w:rPr>
                      <w:rFonts w:hint="default" w:ascii="Times New Roman" w:hAnsi="Times New Roman" w:cs="Times New Roman"/>
                      <w:b w:val="0"/>
                      <w:bCs w:val="0"/>
                      <w:color w:val="auto"/>
                      <w:kern w:val="0"/>
                      <w:sz w:val="21"/>
                      <w:szCs w:val="21"/>
                    </w:rPr>
                    <w:t>加强月亮山水源涵养林建设力度，大力营造水源涵养和水土保持林，扩大林草植被面积，加快生态修复，减少水土流失，增强水源涵养和水土保持功能</w:t>
                  </w:r>
                  <w:r>
                    <w:rPr>
                      <w:rFonts w:hint="eastAsia" w:cs="Times New Roman"/>
                      <w:b w:val="0"/>
                      <w:bCs w:val="0"/>
                      <w:color w:val="auto"/>
                      <w:kern w:val="0"/>
                      <w:sz w:val="21"/>
                      <w:szCs w:val="21"/>
                      <w:lang w:eastAsia="zh-CN"/>
                    </w:rPr>
                    <w:t>；</w:t>
                  </w:r>
                  <w:r>
                    <w:rPr>
                      <w:rFonts w:hint="default" w:ascii="Times New Roman" w:hAnsi="Times New Roman" w:cs="Times New Roman"/>
                      <w:b w:val="0"/>
                      <w:bCs w:val="0"/>
                      <w:color w:val="auto"/>
                      <w:kern w:val="0"/>
                      <w:sz w:val="21"/>
                      <w:szCs w:val="21"/>
                    </w:rPr>
                    <w:t>加快云雾山草原植被修复进度，继续实施草地禁牧封育，通过改良、补播等方式改善云雾山退化草地植被生态环境，逐步恢复草地生产力。</w:t>
                  </w:r>
                </w:p>
              </w:tc>
              <w:tc>
                <w:tcPr>
                  <w:tcW w:w="1640" w:type="pct"/>
                  <w:noWrap w:val="0"/>
                  <w:vAlign w:val="center"/>
                </w:tcPr>
                <w:p w14:paraId="2ED00B88">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lang w:val="en-US" w:eastAsia="zh-CN"/>
                    </w:rPr>
                  </w:pPr>
                  <w:r>
                    <w:rPr>
                      <w:rFonts w:hint="eastAsia" w:cs="Times New Roman"/>
                      <w:color w:val="auto"/>
                      <w:kern w:val="0"/>
                      <w:sz w:val="21"/>
                      <w:szCs w:val="21"/>
                      <w:lang w:val="en-US" w:eastAsia="zh-CN"/>
                    </w:rPr>
                    <w:t>本项目为农产品基地项目，</w:t>
                  </w:r>
                  <w:r>
                    <w:rPr>
                      <w:rFonts w:hint="eastAsia" w:cs="Times New Roman"/>
                      <w:color w:val="auto"/>
                      <w:sz w:val="21"/>
                      <w:szCs w:val="21"/>
                      <w:highlight w:val="none"/>
                      <w:lang w:val="en-US" w:eastAsia="zh-CN"/>
                    </w:rPr>
                    <w:t>项目建设期对周边造成少量生态扰动，但总体影响可接受</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kern w:val="0"/>
                      <w:sz w:val="21"/>
                      <w:szCs w:val="21"/>
                      <w:lang w:val="en-US" w:eastAsia="zh-CN"/>
                    </w:rPr>
                    <w:t>项目建成后，运营期废水主要为生活污水、生产废水（蜂蜜加工车间生产用水主要为设备清洗、原料预处理，中药材分拣包装区生产用水为场地清洁、设备清洗废水，储存仓库地面清洁废水，检测中心实验废水，大湾乡分拣车间场地清洁、设备清洗）。生活污水经化粪池收集后进入市政管网，生产废水经车间设三级沉淀池（总容积50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lang w:val="en-US" w:eastAsia="zh-CN"/>
                    </w:rPr>
                    <w:t>），采用“格栅+气浮+生物接触氧化”工艺，处理后进入市政管网，满足《污水综合排放标准》(GB8978-1996)三级标准限值要求，同时满足《污水排入城镇下水道水质标准》（GB/T31962-2015）中A级标准后排入市政管网。</w:t>
                  </w:r>
                </w:p>
              </w:tc>
              <w:tc>
                <w:tcPr>
                  <w:tcW w:w="435" w:type="pct"/>
                  <w:vMerge w:val="continue"/>
                  <w:noWrap w:val="0"/>
                  <w:vAlign w:val="center"/>
                </w:tcPr>
                <w:p w14:paraId="4DD92F80">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lang w:eastAsia="zh-CN"/>
                    </w:rPr>
                  </w:pPr>
                </w:p>
              </w:tc>
            </w:tr>
            <w:tr w14:paraId="5DFD1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vMerge w:val="restart"/>
                  <w:noWrap w:val="0"/>
                  <w:vAlign w:val="center"/>
                </w:tcPr>
                <w:p w14:paraId="3859B9A2">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val="en-US" w:eastAsia="zh-CN"/>
                    </w:rPr>
                    <w:t>大气环境分区管控</w:t>
                  </w:r>
                </w:p>
              </w:tc>
              <w:tc>
                <w:tcPr>
                  <w:tcW w:w="2482" w:type="pct"/>
                  <w:gridSpan w:val="2"/>
                  <w:noWrap w:val="0"/>
                  <w:vAlign w:val="center"/>
                </w:tcPr>
                <w:p w14:paraId="52C22803">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基于区域大气环境流场模拟结果，考虑人口分布、大气污染传输规律和土地利用现状等，识别模拟网格单元主导属性，将全市划分为大气环境优先保护区、大气环境重点管控区和大气环境一般管控区，实施分类管理。</w:t>
                  </w:r>
                </w:p>
              </w:tc>
              <w:tc>
                <w:tcPr>
                  <w:tcW w:w="1640" w:type="pct"/>
                  <w:noWrap w:val="0"/>
                  <w:vAlign w:val="center"/>
                </w:tcPr>
                <w:p w14:paraId="7128F895">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sz w:val="21"/>
                      <w:szCs w:val="21"/>
                      <w:lang w:val="en-US" w:eastAsia="zh-CN"/>
                    </w:rPr>
                    <w:t>对照固原市</w:t>
                  </w:r>
                  <w:r>
                    <w:rPr>
                      <w:rFonts w:hint="eastAsia" w:cs="Times New Roman"/>
                      <w:color w:val="auto"/>
                      <w:sz w:val="21"/>
                      <w:szCs w:val="21"/>
                      <w:lang w:val="en-US" w:eastAsia="zh-CN"/>
                    </w:rPr>
                    <w:t>生态环境分区管控</w:t>
                  </w:r>
                  <w:r>
                    <w:rPr>
                      <w:rFonts w:hint="default" w:ascii="Times New Roman" w:hAnsi="Times New Roman" w:cs="Times New Roman"/>
                      <w:color w:val="auto"/>
                      <w:sz w:val="21"/>
                      <w:szCs w:val="21"/>
                      <w:lang w:val="en-US" w:eastAsia="zh-CN"/>
                    </w:rPr>
                    <w:t>图集中大气环境管控分区图可知，项目位于</w:t>
                  </w:r>
                  <w:r>
                    <w:rPr>
                      <w:rFonts w:hint="eastAsia" w:cs="Times New Roman"/>
                      <w:color w:val="auto"/>
                      <w:sz w:val="21"/>
                      <w:szCs w:val="21"/>
                      <w:lang w:val="en-US" w:eastAsia="zh-CN"/>
                    </w:rPr>
                    <w:t>大气环境一般管控区</w:t>
                  </w:r>
                  <w:r>
                    <w:rPr>
                      <w:rFonts w:hint="default" w:ascii="Times New Roman" w:hAnsi="Times New Roman" w:cs="Times New Roman"/>
                      <w:color w:val="auto"/>
                      <w:sz w:val="21"/>
                      <w:szCs w:val="21"/>
                    </w:rPr>
                    <w:t>，项目与</w:t>
                  </w:r>
                  <w:r>
                    <w:rPr>
                      <w:rFonts w:hint="default" w:ascii="Times New Roman" w:hAnsi="Times New Roman" w:cs="Times New Roman"/>
                      <w:color w:val="auto"/>
                      <w:sz w:val="21"/>
                      <w:szCs w:val="21"/>
                      <w:lang w:eastAsia="zh-CN"/>
                    </w:rPr>
                    <w:t>固原市</w:t>
                  </w:r>
                  <w:r>
                    <w:rPr>
                      <w:rFonts w:hint="default" w:ascii="Times New Roman" w:hAnsi="Times New Roman" w:cs="Times New Roman"/>
                      <w:color w:val="auto"/>
                      <w:sz w:val="21"/>
                      <w:szCs w:val="21"/>
                    </w:rPr>
                    <w:t>大气环境管控</w:t>
                  </w:r>
                  <w:r>
                    <w:rPr>
                      <w:rFonts w:hint="default" w:ascii="Times New Roman" w:hAnsi="Times New Roman" w:cs="Times New Roman"/>
                      <w:color w:val="auto"/>
                      <w:sz w:val="21"/>
                      <w:szCs w:val="21"/>
                      <w:lang w:eastAsia="zh-CN"/>
                    </w:rPr>
                    <w:t>分区</w:t>
                  </w:r>
                  <w:r>
                    <w:rPr>
                      <w:rFonts w:hint="default" w:ascii="Times New Roman" w:hAnsi="Times New Roman" w:cs="Times New Roman"/>
                      <w:color w:val="auto"/>
                      <w:sz w:val="21"/>
                      <w:szCs w:val="21"/>
                    </w:rPr>
                    <w:t>位置关系见附图</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w:t>
                  </w:r>
                </w:p>
              </w:tc>
              <w:tc>
                <w:tcPr>
                  <w:tcW w:w="435" w:type="pct"/>
                  <w:vMerge w:val="restart"/>
                  <w:noWrap w:val="0"/>
                  <w:vAlign w:val="center"/>
                </w:tcPr>
                <w:p w14:paraId="117BE02C">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符合</w:t>
                  </w:r>
                </w:p>
              </w:tc>
            </w:tr>
            <w:tr w14:paraId="19867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vMerge w:val="continue"/>
                  <w:noWrap w:val="0"/>
                  <w:vAlign w:val="center"/>
                </w:tcPr>
                <w:p w14:paraId="372B2385">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lang w:eastAsia="zh-CN"/>
                    </w:rPr>
                  </w:pPr>
                </w:p>
              </w:tc>
              <w:tc>
                <w:tcPr>
                  <w:tcW w:w="2482" w:type="pct"/>
                  <w:gridSpan w:val="2"/>
                  <w:noWrap w:val="0"/>
                  <w:vAlign w:val="center"/>
                </w:tcPr>
                <w:p w14:paraId="607EE1DF">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
                      <w:bCs/>
                      <w:color w:val="auto"/>
                      <w:sz w:val="21"/>
                      <w:szCs w:val="21"/>
                      <w:lang w:eastAsia="zh-CN"/>
                    </w:rPr>
                    <w:t>大气环境</w:t>
                  </w:r>
                  <w:r>
                    <w:rPr>
                      <w:rFonts w:hint="eastAsia" w:cs="Times New Roman"/>
                      <w:b/>
                      <w:bCs/>
                      <w:color w:val="auto"/>
                      <w:sz w:val="21"/>
                      <w:szCs w:val="21"/>
                      <w:lang w:val="en-US" w:eastAsia="zh-CN"/>
                    </w:rPr>
                    <w:t>一般管控区</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lang w:val="en-US" w:eastAsia="zh-CN"/>
                    </w:rPr>
                    <w:t>落实《中华人民共和国大气污染防治</w:t>
                  </w:r>
                  <w:r>
                    <w:rPr>
                      <w:rFonts w:hint="default" w:ascii="Times New Roman" w:hAnsi="Times New Roman" w:cs="Times New Roman"/>
                      <w:color w:val="auto"/>
                      <w:sz w:val="21"/>
                      <w:szCs w:val="21"/>
                      <w:lang w:eastAsia="zh-CN"/>
                    </w:rPr>
                    <w:t>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tc>
              <w:tc>
                <w:tcPr>
                  <w:tcW w:w="1640" w:type="pct"/>
                  <w:noWrap w:val="0"/>
                  <w:vAlign w:val="center"/>
                </w:tcPr>
                <w:p w14:paraId="545D411E">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本项目</w:t>
                  </w:r>
                  <w:r>
                    <w:rPr>
                      <w:rFonts w:hint="eastAsia" w:cs="Times New Roman"/>
                      <w:color w:val="auto"/>
                      <w:kern w:val="0"/>
                      <w:sz w:val="21"/>
                      <w:szCs w:val="21"/>
                      <w:lang w:val="en-US" w:eastAsia="zh-CN"/>
                    </w:rPr>
                    <w:t>主要为农产品基地项目</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eastAsia="zh-CN"/>
                    </w:rPr>
                    <w:t>施工期</w:t>
                  </w:r>
                  <w:r>
                    <w:rPr>
                      <w:rFonts w:hint="eastAsia" w:cs="Times New Roman"/>
                      <w:color w:val="auto"/>
                      <w:kern w:val="0"/>
                      <w:sz w:val="21"/>
                      <w:szCs w:val="21"/>
                      <w:lang w:val="en-US" w:eastAsia="zh-CN"/>
                    </w:rPr>
                    <w:t>大气</w:t>
                  </w:r>
                  <w:r>
                    <w:rPr>
                      <w:rFonts w:hint="default" w:ascii="Times New Roman" w:hAnsi="Times New Roman" w:eastAsia="宋体" w:cs="Times New Roman"/>
                      <w:color w:val="auto"/>
                      <w:kern w:val="0"/>
                      <w:sz w:val="21"/>
                      <w:szCs w:val="21"/>
                      <w:lang w:eastAsia="zh-CN"/>
                    </w:rPr>
                    <w:t>影响时间短，在施工期结束后影响随即消失；符合大气环境</w:t>
                  </w:r>
                  <w:r>
                    <w:rPr>
                      <w:rFonts w:hint="eastAsia" w:eastAsia="宋体" w:cs="Times New Roman"/>
                      <w:color w:val="auto"/>
                      <w:kern w:val="0"/>
                      <w:sz w:val="21"/>
                      <w:szCs w:val="21"/>
                      <w:lang w:val="en-US" w:eastAsia="zh-CN"/>
                    </w:rPr>
                    <w:t>优先保护区</w:t>
                  </w:r>
                  <w:r>
                    <w:rPr>
                      <w:rFonts w:hint="default" w:ascii="Times New Roman" w:hAnsi="Times New Roman" w:eastAsia="宋体" w:cs="Times New Roman"/>
                      <w:color w:val="auto"/>
                      <w:kern w:val="0"/>
                      <w:sz w:val="21"/>
                      <w:szCs w:val="21"/>
                      <w:lang w:eastAsia="zh-CN"/>
                    </w:rPr>
                    <w:t>管控要求。施工期采取施工场地设置施工围挡、土方开挖采用湿法作业、定期洒水降尘、运输车辆加盖篷布、车辆驶离工地前应在洗车平台清洗轮胎及车身、不得带泥上路等措施。项目施工废气对周边大气环境质量影响较小，</w:t>
                  </w:r>
                  <w:r>
                    <w:rPr>
                      <w:rFonts w:hint="default" w:ascii="Times New Roman" w:hAnsi="Times New Roman" w:eastAsia="宋体" w:cs="Times New Roman"/>
                      <w:color w:val="auto"/>
                      <w:kern w:val="0"/>
                      <w:sz w:val="21"/>
                      <w:szCs w:val="21"/>
                      <w:lang w:val="en-US" w:eastAsia="zh-CN"/>
                    </w:rPr>
                    <w:t>运营期产生的废气主要为粉碎废气、有机废气、无机废气，有机废气与无机废气经通风橱</w:t>
                  </w:r>
                  <w:r>
                    <w:rPr>
                      <w:rFonts w:hint="eastAsia" w:cs="Times New Roman"/>
                      <w:color w:val="auto"/>
                      <w:kern w:val="0"/>
                      <w:sz w:val="21"/>
                      <w:szCs w:val="21"/>
                      <w:lang w:val="en-US" w:eastAsia="zh-CN"/>
                    </w:rPr>
                    <w:t>无组织</w:t>
                  </w:r>
                  <w:r>
                    <w:rPr>
                      <w:rFonts w:hint="default" w:ascii="Times New Roman" w:hAnsi="Times New Roman" w:eastAsia="宋体" w:cs="Times New Roman"/>
                      <w:color w:val="auto"/>
                      <w:kern w:val="0"/>
                      <w:sz w:val="21"/>
                      <w:szCs w:val="21"/>
                      <w:lang w:val="en-US" w:eastAsia="zh-CN"/>
                    </w:rPr>
                    <w:t>排放；</w:t>
                  </w:r>
                  <w:r>
                    <w:rPr>
                      <w:rFonts w:hint="default" w:ascii="Times New Roman" w:hAnsi="Times New Roman" w:eastAsia="宋体" w:cs="Times New Roman"/>
                      <w:color w:val="auto"/>
                      <w:kern w:val="0"/>
                      <w:sz w:val="21"/>
                      <w:szCs w:val="21"/>
                      <w:lang w:eastAsia="zh-CN"/>
                    </w:rPr>
                    <w:t>不会触及区域大气环境质量底线</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eastAsia="zh-CN"/>
                    </w:rPr>
                    <w:t>符合</w:t>
                  </w:r>
                  <w:r>
                    <w:rPr>
                      <w:rFonts w:hint="eastAsia" w:ascii="Times New Roman" w:hAnsi="Times New Roman" w:eastAsia="宋体" w:cs="Times New Roman"/>
                      <w:color w:val="auto"/>
                      <w:kern w:val="0"/>
                      <w:sz w:val="21"/>
                      <w:szCs w:val="21"/>
                      <w:lang w:val="en-US" w:eastAsia="zh-CN"/>
                    </w:rPr>
                    <w:t>固原市</w:t>
                  </w:r>
                  <w:r>
                    <w:rPr>
                      <w:rFonts w:hint="default" w:ascii="Times New Roman" w:hAnsi="Times New Roman" w:eastAsia="宋体" w:cs="Times New Roman"/>
                      <w:color w:val="auto"/>
                      <w:kern w:val="0"/>
                      <w:sz w:val="21"/>
                      <w:szCs w:val="21"/>
                      <w:lang w:eastAsia="zh-CN"/>
                    </w:rPr>
                    <w:t>大气环境</w:t>
                  </w:r>
                  <w:r>
                    <w:rPr>
                      <w:rFonts w:hint="eastAsia" w:cs="Times New Roman"/>
                      <w:color w:val="auto"/>
                      <w:kern w:val="0"/>
                      <w:sz w:val="21"/>
                      <w:szCs w:val="21"/>
                      <w:lang w:val="en-US" w:eastAsia="zh-CN"/>
                    </w:rPr>
                    <w:t>一般管控区</w:t>
                  </w:r>
                  <w:r>
                    <w:rPr>
                      <w:rFonts w:hint="default" w:ascii="Times New Roman" w:hAnsi="Times New Roman" w:eastAsia="宋体" w:cs="Times New Roman"/>
                      <w:color w:val="auto"/>
                      <w:kern w:val="0"/>
                      <w:sz w:val="21"/>
                      <w:szCs w:val="21"/>
                      <w:lang w:eastAsia="zh-CN"/>
                    </w:rPr>
                    <w:t>管控要求。</w:t>
                  </w:r>
                </w:p>
              </w:tc>
              <w:tc>
                <w:tcPr>
                  <w:tcW w:w="435" w:type="pct"/>
                  <w:vMerge w:val="continue"/>
                  <w:noWrap w:val="0"/>
                  <w:vAlign w:val="center"/>
                </w:tcPr>
                <w:p w14:paraId="5ECF5F5D">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lang w:eastAsia="zh-CN"/>
                    </w:rPr>
                  </w:pPr>
                </w:p>
              </w:tc>
            </w:tr>
            <w:tr w14:paraId="3BDAB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vMerge w:val="restart"/>
                  <w:noWrap w:val="0"/>
                  <w:vAlign w:val="center"/>
                </w:tcPr>
                <w:p w14:paraId="3DE24E1C">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val="en-US" w:eastAsia="zh-CN"/>
                    </w:rPr>
                    <w:t>土壤污染风险防控底线及分区管控</w:t>
                  </w:r>
                </w:p>
              </w:tc>
              <w:tc>
                <w:tcPr>
                  <w:tcW w:w="2482" w:type="pct"/>
                  <w:gridSpan w:val="2"/>
                  <w:noWrap w:val="0"/>
                  <w:vAlign w:val="center"/>
                </w:tcPr>
                <w:p w14:paraId="0CA94EA6">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根据土壤环境质量现状、土地利用现状，综合考虑农用地土壤污染状况详查和重点行业企业用地详查结果，衔接现有污染地块名录、土壤环境重点监管企业清单等，将全市划分为农用地</w:t>
                  </w:r>
                  <w:r>
                    <w:rPr>
                      <w:rFonts w:hint="default" w:ascii="Times New Roman" w:hAnsi="Times New Roman" w:cs="Times New Roman"/>
                      <w:color w:val="auto"/>
                      <w:kern w:val="0"/>
                      <w:sz w:val="21"/>
                      <w:szCs w:val="21"/>
                      <w:lang w:eastAsia="zh-CN"/>
                    </w:rPr>
                    <w:t>优先保护区和土壤一般管控区。</w:t>
                  </w:r>
                </w:p>
              </w:tc>
              <w:tc>
                <w:tcPr>
                  <w:tcW w:w="1640" w:type="pct"/>
                  <w:noWrap w:val="0"/>
                  <w:vAlign w:val="center"/>
                </w:tcPr>
                <w:p w14:paraId="0C97E97D">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对照</w:t>
                  </w:r>
                  <w:r>
                    <w:rPr>
                      <w:rFonts w:hint="default" w:ascii="Times New Roman" w:hAnsi="Times New Roman" w:cs="Times New Roman"/>
                      <w:color w:val="auto"/>
                      <w:kern w:val="0"/>
                      <w:sz w:val="21"/>
                      <w:szCs w:val="21"/>
                      <w:lang w:val="en-US" w:eastAsia="zh-CN"/>
                    </w:rPr>
                    <w:t>固原市</w:t>
                  </w:r>
                  <w:r>
                    <w:rPr>
                      <w:rFonts w:hint="eastAsia" w:cs="Times New Roman"/>
                      <w:color w:val="auto"/>
                      <w:kern w:val="0"/>
                      <w:sz w:val="21"/>
                      <w:szCs w:val="21"/>
                      <w:lang w:val="en-US" w:eastAsia="zh-CN"/>
                    </w:rPr>
                    <w:t>生态环境分区管控</w:t>
                  </w:r>
                  <w:r>
                    <w:rPr>
                      <w:rFonts w:hint="default" w:ascii="Times New Roman" w:hAnsi="Times New Roman" w:cs="Times New Roman"/>
                      <w:color w:val="auto"/>
                      <w:kern w:val="0"/>
                      <w:sz w:val="21"/>
                      <w:szCs w:val="21"/>
                      <w:lang w:val="en-US" w:eastAsia="zh-CN"/>
                    </w:rPr>
                    <w:t>图集中土壤污染风险分区管控图可知，</w:t>
                  </w:r>
                  <w:r>
                    <w:rPr>
                      <w:rFonts w:hint="default" w:ascii="Times New Roman" w:hAnsi="Times New Roman" w:cs="Times New Roman"/>
                      <w:color w:val="auto"/>
                      <w:kern w:val="0"/>
                      <w:sz w:val="21"/>
                      <w:szCs w:val="21"/>
                      <w:lang w:eastAsia="zh-CN"/>
                    </w:rPr>
                    <w:t>项目位于</w:t>
                  </w:r>
                  <w:r>
                    <w:rPr>
                      <w:rFonts w:hint="eastAsia" w:cs="Times New Roman"/>
                      <w:color w:val="auto"/>
                      <w:kern w:val="0"/>
                      <w:sz w:val="21"/>
                      <w:szCs w:val="21"/>
                      <w:lang w:val="en-US" w:eastAsia="zh-CN"/>
                    </w:rPr>
                    <w:t>农用地优先保护区</w:t>
                  </w:r>
                  <w:r>
                    <w:rPr>
                      <w:rFonts w:hint="default" w:ascii="Times New Roman" w:hAnsi="Times New Roman" w:cs="Times New Roman"/>
                      <w:color w:val="auto"/>
                      <w:kern w:val="0"/>
                      <w:sz w:val="21"/>
                      <w:szCs w:val="21"/>
                    </w:rPr>
                    <w:t>，项目与</w:t>
                  </w:r>
                  <w:r>
                    <w:rPr>
                      <w:rFonts w:hint="default" w:ascii="Times New Roman" w:hAnsi="Times New Roman" w:cs="Times New Roman"/>
                      <w:color w:val="auto"/>
                      <w:kern w:val="0"/>
                      <w:sz w:val="21"/>
                      <w:szCs w:val="21"/>
                      <w:lang w:eastAsia="zh-CN"/>
                    </w:rPr>
                    <w:t>固原市</w:t>
                  </w:r>
                  <w:r>
                    <w:rPr>
                      <w:rFonts w:hint="default" w:ascii="Times New Roman" w:hAnsi="Times New Roman" w:cs="Times New Roman"/>
                      <w:color w:val="auto"/>
                      <w:kern w:val="0"/>
                      <w:sz w:val="21"/>
                      <w:szCs w:val="21"/>
                    </w:rPr>
                    <w:t>土壤污染风险</w:t>
                  </w:r>
                  <w:r>
                    <w:rPr>
                      <w:rFonts w:hint="default" w:ascii="Times New Roman" w:hAnsi="Times New Roman" w:cs="Times New Roman"/>
                      <w:color w:val="auto"/>
                      <w:kern w:val="0"/>
                      <w:sz w:val="21"/>
                      <w:szCs w:val="21"/>
                      <w:lang w:eastAsia="zh-CN"/>
                    </w:rPr>
                    <w:t>分区</w:t>
                  </w:r>
                  <w:r>
                    <w:rPr>
                      <w:rFonts w:hint="default" w:ascii="Times New Roman" w:hAnsi="Times New Roman" w:cs="Times New Roman"/>
                      <w:color w:val="auto"/>
                      <w:kern w:val="0"/>
                      <w:sz w:val="21"/>
                      <w:szCs w:val="21"/>
                    </w:rPr>
                    <w:t>管控位置关系见附图</w:t>
                  </w:r>
                  <w:r>
                    <w:rPr>
                      <w:rFonts w:hint="default" w:ascii="Times New Roman" w:hAnsi="Times New Roman" w:cs="Times New Roman"/>
                      <w:color w:val="auto"/>
                      <w:kern w:val="0"/>
                      <w:sz w:val="21"/>
                      <w:szCs w:val="21"/>
                      <w:lang w:val="en-US" w:eastAsia="zh-CN"/>
                    </w:rPr>
                    <w:t>4</w:t>
                  </w:r>
                  <w:r>
                    <w:rPr>
                      <w:rFonts w:hint="default" w:ascii="Times New Roman" w:hAnsi="Times New Roman" w:cs="Times New Roman"/>
                      <w:color w:val="auto"/>
                      <w:kern w:val="0"/>
                      <w:sz w:val="21"/>
                      <w:szCs w:val="21"/>
                    </w:rPr>
                    <w:t>。</w:t>
                  </w:r>
                </w:p>
              </w:tc>
              <w:tc>
                <w:tcPr>
                  <w:tcW w:w="435" w:type="pct"/>
                  <w:vMerge w:val="restart"/>
                  <w:noWrap w:val="0"/>
                  <w:vAlign w:val="center"/>
                </w:tcPr>
                <w:p w14:paraId="54F7B069">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1D4EC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vMerge w:val="continue"/>
                  <w:noWrap w:val="0"/>
                  <w:vAlign w:val="center"/>
                </w:tcPr>
                <w:p w14:paraId="49658155">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rPr>
                  </w:pPr>
                </w:p>
              </w:tc>
              <w:tc>
                <w:tcPr>
                  <w:tcW w:w="2482" w:type="pct"/>
                  <w:gridSpan w:val="2"/>
                  <w:noWrap w:val="0"/>
                  <w:vAlign w:val="center"/>
                </w:tcPr>
                <w:p w14:paraId="67BD105B">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b/>
                      <w:bCs/>
                      <w:color w:val="auto"/>
                      <w:kern w:val="0"/>
                      <w:sz w:val="21"/>
                      <w:szCs w:val="21"/>
                      <w:lang w:val="en-US" w:eastAsia="zh-CN" w:bidi="ar-SA"/>
                    </w:rPr>
                  </w:pPr>
                  <w:r>
                    <w:rPr>
                      <w:rFonts w:hint="eastAsia" w:cs="Times New Roman"/>
                      <w:b/>
                      <w:bCs/>
                      <w:color w:val="auto"/>
                      <w:kern w:val="0"/>
                      <w:sz w:val="21"/>
                      <w:szCs w:val="21"/>
                      <w:lang w:val="en-US" w:eastAsia="zh-CN"/>
                    </w:rPr>
                    <w:t>农用地优先保护区：</w:t>
                  </w:r>
                  <w:r>
                    <w:rPr>
                      <w:rFonts w:hint="default" w:ascii="Times New Roman" w:hAnsi="Times New Roman" w:cs="Times New Roman"/>
                      <w:b w:val="0"/>
                      <w:bCs w:val="0"/>
                      <w:color w:val="auto"/>
                      <w:kern w:val="0"/>
                      <w:sz w:val="21"/>
                      <w:szCs w:val="21"/>
                      <w:lang w:val="en-US" w:eastAsia="zh-CN"/>
                    </w:rPr>
                    <w:t>实行严格保护，确保其面积不减少、土壤环境质量不下降，除法律规定的重点建设项目选址确实无法避让外，其他任何建设不得占用。严格控制在优先保护类耕地集中区域新建有色金属冶炼、石油加工、化工、焦化、电镀、制革等行业企业，现有相关行业企业应当按照有关规定采取措施，防止对耕地造成污染。禁止任何单位和个人在基本农田保护区内建窑、建房、建坟、挖砂、采石、采矿、取土、堆放固体废弃物或者进行其他破坏基本农田的活动。</w:t>
                  </w:r>
                </w:p>
              </w:tc>
              <w:tc>
                <w:tcPr>
                  <w:tcW w:w="1640" w:type="pct"/>
                  <w:noWrap w:val="0"/>
                  <w:vAlign w:val="center"/>
                </w:tcPr>
                <w:p w14:paraId="55CCA7FA">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采取了分区防渗，在采取相应的防渗措施的前提下，可有效阻隔对土壤的污染途径。另外，项目为</w:t>
                  </w:r>
                  <w:r>
                    <w:rPr>
                      <w:rFonts w:hint="eastAsia" w:cs="Times New Roman"/>
                      <w:color w:val="auto"/>
                      <w:sz w:val="21"/>
                      <w:szCs w:val="21"/>
                      <w:highlight w:val="none"/>
                      <w:lang w:val="en-US" w:eastAsia="zh-CN"/>
                    </w:rPr>
                    <w:t>农产品基地建设项目</w:t>
                  </w:r>
                  <w:r>
                    <w:rPr>
                      <w:rFonts w:hint="default" w:ascii="Times New Roman" w:hAnsi="Times New Roman" w:cs="Times New Roman"/>
                      <w:color w:val="auto"/>
                      <w:sz w:val="21"/>
                      <w:szCs w:val="21"/>
                      <w:highlight w:val="none"/>
                      <w:lang w:val="en-US" w:eastAsia="zh-CN"/>
                    </w:rPr>
                    <w:t>，不属于有色金属冶炼、焦化等行业</w:t>
                  </w:r>
                  <w:r>
                    <w:rPr>
                      <w:rFonts w:hint="default" w:ascii="Times New Roman" w:hAnsi="Times New Roman" w:cs="Times New Roman"/>
                      <w:color w:val="auto"/>
                      <w:kern w:val="0"/>
                      <w:sz w:val="21"/>
                      <w:szCs w:val="21"/>
                      <w:lang w:eastAsia="zh-CN"/>
                    </w:rPr>
                    <w:t>。</w:t>
                  </w:r>
                </w:p>
              </w:tc>
              <w:tc>
                <w:tcPr>
                  <w:tcW w:w="435" w:type="pct"/>
                  <w:vMerge w:val="continue"/>
                  <w:noWrap w:val="0"/>
                  <w:vAlign w:val="center"/>
                </w:tcPr>
                <w:p w14:paraId="77CF47F4">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rPr>
                  </w:pPr>
                </w:p>
              </w:tc>
            </w:tr>
            <w:tr w14:paraId="427D4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noWrap w:val="0"/>
                  <w:vAlign w:val="center"/>
                </w:tcPr>
                <w:p w14:paraId="2B3A9848">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cs="Times New Roman"/>
                      <w:b/>
                      <w:bCs/>
                      <w:color w:val="auto"/>
                      <w:kern w:val="0"/>
                      <w:sz w:val="21"/>
                      <w:szCs w:val="21"/>
                    </w:rPr>
                    <w:t>资源利用上线</w:t>
                  </w:r>
                  <w:r>
                    <w:rPr>
                      <w:rFonts w:hint="default" w:ascii="Times New Roman" w:hAnsi="Times New Roman" w:cs="Times New Roman"/>
                      <w:b/>
                      <w:bCs/>
                      <w:color w:val="auto"/>
                      <w:kern w:val="0"/>
                      <w:sz w:val="21"/>
                      <w:szCs w:val="21"/>
                      <w:lang w:eastAsia="zh-CN"/>
                    </w:rPr>
                    <w:t>及分区管控</w:t>
                  </w:r>
                </w:p>
              </w:tc>
            </w:tr>
            <w:tr w14:paraId="02B2F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noWrap w:val="0"/>
                  <w:vAlign w:val="center"/>
                </w:tcPr>
                <w:p w14:paraId="59B0B8B5">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eastAsia="宋体" w:cs="Times New Roman"/>
                      <w:b/>
                      <w:bCs/>
                      <w:color w:val="auto"/>
                      <w:sz w:val="21"/>
                      <w:szCs w:val="21"/>
                      <w:highlight w:val="none"/>
                      <w:lang w:eastAsia="zh-CN"/>
                    </w:rPr>
                    <w:t>能源（煤炭）资源利用上线及分区管控</w:t>
                  </w:r>
                </w:p>
              </w:tc>
              <w:tc>
                <w:tcPr>
                  <w:tcW w:w="2482" w:type="pct"/>
                  <w:gridSpan w:val="2"/>
                  <w:noWrap w:val="0"/>
                  <w:vAlign w:val="center"/>
                </w:tcPr>
                <w:p w14:paraId="53373AF2">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highlight w:val="none"/>
                      <w:lang w:eastAsia="zh-CN"/>
                    </w:rPr>
                    <w:t>为推动环境空气质量持续改善，实现减污降碳协同增效，根据技术指南要求，提出能源利用上线管控指标。按照《自治区人民政府关于印发宁夏回族自治区“十四五”节能减排综合工作实施方案的通知》(宁政发</w:t>
                  </w:r>
                  <w:r>
                    <w:rPr>
                      <w:rFonts w:hint="eastAsia" w:cs="Times New Roman"/>
                      <w:color w:val="auto"/>
                      <w:sz w:val="21"/>
                      <w:szCs w:val="21"/>
                      <w:highlight w:val="none"/>
                      <w:lang w:eastAsia="zh-CN"/>
                    </w:rPr>
                    <w:t>〔2022〕30号</w:t>
                  </w:r>
                  <w:r>
                    <w:rPr>
                      <w:rFonts w:hint="default" w:ascii="Times New Roman" w:hAnsi="Times New Roman" w:eastAsia="宋体" w:cs="Times New Roman"/>
                      <w:color w:val="auto"/>
                      <w:sz w:val="21"/>
                      <w:szCs w:val="21"/>
                      <w:highlight w:val="none"/>
                      <w:lang w:eastAsia="zh-CN"/>
                    </w:rPr>
                    <w:t>)要求，到2025年，全市单位地区生产总值能耗降低基本目标为13%，激励目标为14%。具体考核办法按照自治区发展改革委关于印发《完善能耗强度和总量双控制度推动经济平稳发展若干政策措施》的通知执行。按照《关于统筹和加强应对气候变化与生态环境保护相关工作的指导意见》</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环综合</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2021]4号</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的有关要求，将应对气候变化要求纳入生态环境分区管控体系，推动减污降碳协同增效。全市碳排放强度累计降低值按照自治区要求执行。</w:t>
                  </w:r>
                </w:p>
              </w:tc>
              <w:tc>
                <w:tcPr>
                  <w:tcW w:w="1640" w:type="pct"/>
                  <w:noWrap w:val="0"/>
                  <w:vAlign w:val="center"/>
                </w:tcPr>
                <w:p w14:paraId="5CE01336">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highlight w:val="none"/>
                      <w:lang w:val="en-US" w:eastAsia="zh-CN"/>
                    </w:rPr>
                    <w:t>本项目不涉及煤炭的使用。</w:t>
                  </w:r>
                </w:p>
              </w:tc>
              <w:tc>
                <w:tcPr>
                  <w:tcW w:w="435" w:type="pct"/>
                  <w:noWrap w:val="0"/>
                  <w:vAlign w:val="center"/>
                </w:tcPr>
                <w:p w14:paraId="3878E0A2">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16F4C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noWrap w:val="0"/>
                  <w:vAlign w:val="center"/>
                </w:tcPr>
                <w:p w14:paraId="3501F82E">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eastAsia="宋体" w:cs="Times New Roman"/>
                      <w:b/>
                      <w:bCs/>
                      <w:color w:val="auto"/>
                      <w:sz w:val="21"/>
                      <w:szCs w:val="21"/>
                      <w:highlight w:val="none"/>
                      <w:lang w:eastAsia="zh-CN"/>
                    </w:rPr>
                    <w:t>水资源利用上线及分区管控</w:t>
                  </w:r>
                </w:p>
              </w:tc>
              <w:tc>
                <w:tcPr>
                  <w:tcW w:w="2482" w:type="pct"/>
                  <w:gridSpan w:val="2"/>
                  <w:noWrap w:val="0"/>
                  <w:vAlign w:val="center"/>
                </w:tcPr>
                <w:p w14:paraId="727FDFBD">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b/>
                      <w:bCs/>
                      <w:color w:val="auto"/>
                      <w:sz w:val="21"/>
                      <w:szCs w:val="21"/>
                      <w:highlight w:val="none"/>
                      <w:lang w:eastAsia="zh-CN"/>
                    </w:rPr>
                    <w:t>水资源分区管控要求</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坚持以水定城、以水定地、以水定人、以水定产，科学配置水资源，严格能耗物耗准入门槛，支撑发展刚需。细化覆盖各行业各领域的节水定额标准，对水资源超载地区实行用水和项目“双限批”。推广农业成套综合节水技术，大力发展节水型农业及工业、涵水型林业。实施工业节水增效行动，改造建设节水型工业园区，推动传统高耗水行业转型升级。鼓励西吉、隆德、泾源、彭阳四县根据实际选择重点区域先行开展海绵化改造和建设。</w:t>
                  </w:r>
                </w:p>
              </w:tc>
              <w:tc>
                <w:tcPr>
                  <w:tcW w:w="1640" w:type="pct"/>
                  <w:noWrap w:val="0"/>
                  <w:vAlign w:val="center"/>
                </w:tcPr>
                <w:p w14:paraId="532D5BF9">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本项目新鲜水用水量为</w:t>
                  </w:r>
                  <w:r>
                    <w:rPr>
                      <w:rFonts w:hint="eastAsia" w:cs="Times New Roman"/>
                      <w:color w:val="auto"/>
                      <w:kern w:val="0"/>
                      <w:sz w:val="21"/>
                      <w:szCs w:val="21"/>
                      <w:highlight w:val="none"/>
                      <w:lang w:val="en-US" w:eastAsia="zh-CN"/>
                    </w:rPr>
                    <w:t>6282</w:t>
                  </w:r>
                  <w:r>
                    <w:rPr>
                      <w:rFonts w:hint="default" w:ascii="Times New Roman" w:hAnsi="Times New Roman" w:cs="Times New Roman"/>
                      <w:color w:val="auto"/>
                      <w:sz w:val="21"/>
                      <w:szCs w:val="21"/>
                      <w:highlight w:val="none"/>
                      <w:lang w:val="en-US" w:eastAsia="zh-CN"/>
                    </w:rPr>
                    <w:t>m³/a</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根据《2023年宁夏水资源公报》，固原市泾源县水资源总量约为1.428亿m³，项目水资源消耗量</w:t>
                  </w:r>
                  <w:r>
                    <w:rPr>
                      <w:rFonts w:hint="default" w:ascii="Times New Roman" w:hAnsi="Times New Roman" w:eastAsia="宋体" w:cs="Times New Roman"/>
                      <w:color w:val="auto"/>
                      <w:sz w:val="21"/>
                      <w:szCs w:val="21"/>
                      <w:highlight w:val="none"/>
                      <w:lang w:val="en-US" w:eastAsia="zh-CN"/>
                    </w:rPr>
                    <w:t>对区域</w:t>
                  </w:r>
                  <w:r>
                    <w:rPr>
                      <w:rFonts w:hint="default" w:ascii="Times New Roman" w:hAnsi="Times New Roman" w:eastAsia="宋体" w:cs="Times New Roman"/>
                      <w:color w:val="auto"/>
                      <w:sz w:val="21"/>
                      <w:szCs w:val="21"/>
                      <w:highlight w:val="none"/>
                      <w:lang w:eastAsia="zh-CN"/>
                    </w:rPr>
                    <w:t>水资源利用上线</w:t>
                  </w:r>
                  <w:r>
                    <w:rPr>
                      <w:rFonts w:hint="default" w:ascii="Times New Roman" w:hAnsi="Times New Roman" w:eastAsia="宋体" w:cs="Times New Roman"/>
                      <w:color w:val="auto"/>
                      <w:sz w:val="21"/>
                      <w:szCs w:val="21"/>
                      <w:highlight w:val="none"/>
                      <w:lang w:val="en-US" w:eastAsia="zh-CN"/>
                    </w:rPr>
                    <w:t>影响较小。</w:t>
                  </w:r>
                </w:p>
              </w:tc>
              <w:tc>
                <w:tcPr>
                  <w:tcW w:w="435" w:type="pct"/>
                  <w:noWrap w:val="0"/>
                  <w:vAlign w:val="center"/>
                </w:tcPr>
                <w:p w14:paraId="7ADDED61">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1631E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noWrap w:val="0"/>
                  <w:vAlign w:val="center"/>
                </w:tcPr>
                <w:p w14:paraId="1307FE01">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环境管控单元与准入清单</w:t>
                  </w:r>
                </w:p>
              </w:tc>
            </w:tr>
            <w:tr w14:paraId="038E8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4" w:type="pct"/>
                  <w:gridSpan w:val="4"/>
                  <w:noWrap w:val="0"/>
                  <w:vAlign w:val="center"/>
                </w:tcPr>
                <w:p w14:paraId="573200AB">
                  <w:pPr>
                    <w:keepNext w:val="0"/>
                    <w:keepLines w:val="0"/>
                    <w:pageBreakBefore w:val="0"/>
                    <w:widowControl/>
                    <w:kinsoku/>
                    <w:wordWrap/>
                    <w:overflowPunct/>
                    <w:topLinePunct w:val="0"/>
                    <w:autoSpaceDE/>
                    <w:autoSpaceDN/>
                    <w:bidi w:val="0"/>
                    <w:adjustRightInd w:val="0"/>
                    <w:snapToGrid w:val="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对照固原市</w:t>
                  </w:r>
                  <w:r>
                    <w:rPr>
                      <w:rFonts w:hint="eastAsia" w:cs="Times New Roman"/>
                      <w:color w:val="auto"/>
                      <w:sz w:val="21"/>
                      <w:szCs w:val="21"/>
                      <w:highlight w:val="none"/>
                      <w:lang w:val="en-US" w:eastAsia="zh-CN"/>
                    </w:rPr>
                    <w:t>生态环境分区管控</w:t>
                  </w:r>
                  <w:r>
                    <w:rPr>
                      <w:rFonts w:hint="default" w:ascii="Times New Roman" w:hAnsi="Times New Roman" w:cs="Times New Roman"/>
                      <w:color w:val="auto"/>
                      <w:sz w:val="21"/>
                      <w:szCs w:val="21"/>
                      <w:highlight w:val="none"/>
                      <w:lang w:val="en-US" w:eastAsia="zh-CN"/>
                    </w:rPr>
                    <w:t>图集中环境管控单元图可知，</w:t>
                  </w:r>
                  <w:r>
                    <w:rPr>
                      <w:rFonts w:hint="default" w:ascii="Times New Roman" w:hAnsi="Times New Roman" w:eastAsia="宋体" w:cs="Times New Roman"/>
                      <w:color w:val="auto"/>
                      <w:sz w:val="21"/>
                      <w:szCs w:val="21"/>
                      <w:highlight w:val="none"/>
                      <w:lang w:val="en-US" w:eastAsia="zh-CN"/>
                    </w:rPr>
                    <w:t>本项目位于</w:t>
                  </w:r>
                  <w:r>
                    <w:rPr>
                      <w:rFonts w:hint="eastAsia" w:eastAsia="宋体" w:cs="Times New Roman"/>
                      <w:color w:val="auto"/>
                      <w:sz w:val="21"/>
                      <w:szCs w:val="21"/>
                      <w:highlight w:val="none"/>
                      <w:lang w:val="en-US" w:eastAsia="zh-CN"/>
                    </w:rPr>
                    <w:t>优先保护</w:t>
                  </w:r>
                  <w:r>
                    <w:rPr>
                      <w:rFonts w:hint="eastAsia" w:cs="Times New Roman"/>
                      <w:color w:val="auto"/>
                      <w:sz w:val="21"/>
                      <w:szCs w:val="21"/>
                      <w:highlight w:val="none"/>
                      <w:lang w:val="en-US" w:eastAsia="zh-CN"/>
                    </w:rPr>
                    <w:t>单元</w:t>
                  </w:r>
                  <w:r>
                    <w:rPr>
                      <w:rFonts w:hint="default" w:ascii="Times New Roman" w:hAnsi="Times New Roman" w:eastAsia="宋体" w:cs="Times New Roman"/>
                      <w:color w:val="auto"/>
                      <w:sz w:val="21"/>
                      <w:szCs w:val="21"/>
                      <w:highlight w:val="none"/>
                      <w:lang w:val="en-US" w:eastAsia="zh-CN"/>
                    </w:rPr>
                    <w:t>，由上</w:t>
                  </w:r>
                  <w:r>
                    <w:rPr>
                      <w:rFonts w:hint="default" w:ascii="Times New Roman" w:hAnsi="Times New Roman" w:cs="Times New Roman"/>
                      <w:color w:val="auto"/>
                      <w:sz w:val="21"/>
                      <w:szCs w:val="21"/>
                      <w:highlight w:val="none"/>
                      <w:lang w:val="en-US" w:eastAsia="zh-CN"/>
                    </w:rPr>
                    <w:t>述</w:t>
                  </w:r>
                  <w:r>
                    <w:rPr>
                      <w:rFonts w:hint="default" w:ascii="Times New Roman" w:hAnsi="Times New Roman" w:eastAsia="宋体" w:cs="Times New Roman"/>
                      <w:color w:val="auto"/>
                      <w:sz w:val="21"/>
                      <w:szCs w:val="21"/>
                      <w:highlight w:val="none"/>
                      <w:lang w:val="en-US" w:eastAsia="zh-CN"/>
                    </w:rPr>
                    <w:t>分析可知，项目建设符合生态保护红线、环境质量底线、资源利用上线的分区管控要求，本项目</w:t>
                  </w:r>
                  <w:r>
                    <w:rPr>
                      <w:rFonts w:hint="default" w:ascii="Times New Roman" w:hAnsi="Times New Roman" w:eastAsia="宋体" w:cs="Times New Roman"/>
                      <w:color w:val="auto"/>
                      <w:sz w:val="21"/>
                      <w:szCs w:val="21"/>
                      <w:highlight w:val="none"/>
                    </w:rPr>
                    <w:t>与</w:t>
                  </w:r>
                  <w:r>
                    <w:rPr>
                      <w:rFonts w:hint="default" w:ascii="Times New Roman" w:hAnsi="Times New Roman" w:eastAsia="宋体" w:cs="Times New Roman"/>
                      <w:color w:val="auto"/>
                      <w:sz w:val="21"/>
                      <w:szCs w:val="21"/>
                      <w:highlight w:val="none"/>
                      <w:lang w:eastAsia="zh-CN"/>
                    </w:rPr>
                    <w:t>固原市</w:t>
                  </w:r>
                  <w:r>
                    <w:rPr>
                      <w:rFonts w:hint="default" w:ascii="Times New Roman" w:hAnsi="Times New Roman" w:eastAsia="宋体" w:cs="Times New Roman"/>
                      <w:color w:val="auto"/>
                      <w:sz w:val="21"/>
                      <w:szCs w:val="21"/>
                      <w:highlight w:val="none"/>
                    </w:rPr>
                    <w:t>环境管控单元位置关系见</w:t>
                  </w:r>
                  <w:r>
                    <w:rPr>
                      <w:rFonts w:hint="default" w:ascii="Times New Roman" w:hAnsi="Times New Roman" w:cs="Times New Roman"/>
                      <w:color w:val="auto"/>
                      <w:sz w:val="21"/>
                      <w:szCs w:val="21"/>
                      <w:highlight w:val="none"/>
                      <w:lang w:eastAsia="zh-CN"/>
                    </w:rPr>
                    <w:t>附</w:t>
                  </w:r>
                  <w:r>
                    <w:rPr>
                      <w:rFonts w:hint="default" w:ascii="Times New Roman" w:hAnsi="Times New Roman" w:eastAsia="宋体" w:cs="Times New Roman"/>
                      <w:color w:val="auto"/>
                      <w:sz w:val="21"/>
                      <w:szCs w:val="21"/>
                      <w:highlight w:val="none"/>
                      <w:shd w:val="clear"/>
                    </w:rPr>
                    <w:t>图</w:t>
                  </w:r>
                  <w:r>
                    <w:rPr>
                      <w:rFonts w:hint="default" w:ascii="Times New Roman" w:hAnsi="Times New Roman" w:cs="Times New Roman"/>
                      <w:color w:val="auto"/>
                      <w:sz w:val="21"/>
                      <w:szCs w:val="21"/>
                      <w:highlight w:val="none"/>
                      <w:shd w:val="clear"/>
                      <w:lang w:val="en-US" w:eastAsia="zh-CN"/>
                    </w:rPr>
                    <w:t>5</w:t>
                  </w:r>
                  <w:r>
                    <w:rPr>
                      <w:rFonts w:hint="default" w:ascii="Times New Roman" w:hAnsi="Times New Roman" w:eastAsia="宋体" w:cs="Times New Roman"/>
                      <w:color w:val="auto"/>
                      <w:sz w:val="21"/>
                      <w:szCs w:val="21"/>
                      <w:highlight w:val="none"/>
                      <w:lang w:eastAsia="zh-CN"/>
                    </w:rPr>
                    <w:t>。</w:t>
                  </w:r>
                </w:p>
              </w:tc>
              <w:tc>
                <w:tcPr>
                  <w:tcW w:w="435" w:type="pct"/>
                  <w:noWrap w:val="0"/>
                  <w:vAlign w:val="center"/>
                </w:tcPr>
                <w:p w14:paraId="346B4857">
                  <w:pPr>
                    <w:keepNext w:val="0"/>
                    <w:keepLines w:val="0"/>
                    <w:pageBreakBefore w:val="0"/>
                    <w:widowControl/>
                    <w:kinsoku/>
                    <w:wordWrap/>
                    <w:overflowPunct/>
                    <w:topLinePunct w:val="0"/>
                    <w:autoSpaceDE/>
                    <w:autoSpaceDN/>
                    <w:bidi w:val="0"/>
                    <w:adjustRightInd w:val="0"/>
                    <w:snapToGrid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FE2F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vMerge w:val="restart"/>
                  <w:noWrap w:val="0"/>
                  <w:vAlign w:val="center"/>
                </w:tcPr>
                <w:p w14:paraId="01E2A21B">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b/>
                      <w:bCs/>
                      <w:color w:val="auto"/>
                      <w:sz w:val="21"/>
                      <w:szCs w:val="21"/>
                      <w:highlight w:val="none"/>
                      <w:lang w:val="en-US" w:eastAsia="zh-CN"/>
                    </w:rPr>
                    <w:t>清单内容</w:t>
                  </w:r>
                </w:p>
              </w:tc>
              <w:tc>
                <w:tcPr>
                  <w:tcW w:w="4558" w:type="pct"/>
                  <w:gridSpan w:val="4"/>
                  <w:noWrap w:val="0"/>
                  <w:vAlign w:val="center"/>
                </w:tcPr>
                <w:p w14:paraId="0938B99A">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eastAsia" w:cs="Times New Roman"/>
                      <w:b/>
                      <w:bCs/>
                      <w:color w:val="auto"/>
                      <w:sz w:val="21"/>
                      <w:szCs w:val="21"/>
                      <w:highlight w:val="none"/>
                      <w:lang w:val="en-US" w:eastAsia="zh-CN"/>
                    </w:rPr>
                    <w:t>优先保护</w:t>
                  </w:r>
                  <w:r>
                    <w:rPr>
                      <w:rFonts w:hint="default" w:ascii="Times New Roman" w:hAnsi="Times New Roman" w:eastAsia="宋体" w:cs="Times New Roman"/>
                      <w:b/>
                      <w:bCs/>
                      <w:color w:val="auto"/>
                      <w:sz w:val="21"/>
                      <w:szCs w:val="21"/>
                      <w:highlight w:val="none"/>
                      <w:lang w:val="en-US" w:eastAsia="zh-CN"/>
                    </w:rPr>
                    <w:t>单元：</w:t>
                  </w:r>
                  <w:r>
                    <w:rPr>
                      <w:rFonts w:hint="default" w:ascii="Times New Roman" w:hAnsi="Times New Roman" w:eastAsia="宋体" w:cs="Times New Roman"/>
                      <w:b w:val="0"/>
                      <w:bCs w:val="0"/>
                      <w:color w:val="auto"/>
                      <w:sz w:val="21"/>
                      <w:szCs w:val="21"/>
                      <w:highlight w:val="none"/>
                      <w:lang w:val="en-US" w:eastAsia="zh-CN"/>
                    </w:rPr>
                    <w:t>重点从加强空间布局约束，提出正面清单、禁入或限入要求和退出方案。</w:t>
                  </w:r>
                </w:p>
              </w:tc>
            </w:tr>
            <w:tr w14:paraId="498A2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vMerge w:val="continue"/>
                  <w:noWrap w:val="0"/>
                  <w:vAlign w:val="center"/>
                </w:tcPr>
                <w:p w14:paraId="64B1967E">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bidi="ar-SA"/>
                    </w:rPr>
                  </w:pPr>
                </w:p>
              </w:tc>
              <w:tc>
                <w:tcPr>
                  <w:tcW w:w="264" w:type="pct"/>
                  <w:vMerge w:val="restart"/>
                  <w:noWrap w:val="0"/>
                  <w:vAlign w:val="center"/>
                </w:tcPr>
                <w:p w14:paraId="75AB75D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分维度要求</w:t>
                  </w:r>
                </w:p>
              </w:tc>
              <w:tc>
                <w:tcPr>
                  <w:tcW w:w="2217" w:type="pct"/>
                  <w:shd w:val="clear" w:color="auto" w:fill="auto"/>
                  <w:noWrap w:val="0"/>
                  <w:vAlign w:val="center"/>
                </w:tcPr>
                <w:p w14:paraId="1F5A8B0C">
                  <w:pPr>
                    <w:keepNext w:val="0"/>
                    <w:keepLines w:val="0"/>
                    <w:pageBreakBefore w:val="0"/>
                    <w:widowControl/>
                    <w:kinsoku/>
                    <w:wordWrap/>
                    <w:overflowPunct/>
                    <w:topLinePunct w:val="0"/>
                    <w:autoSpaceDE/>
                    <w:autoSpaceDN/>
                    <w:bidi w:val="0"/>
                    <w:adjustRightInd w:val="0"/>
                    <w:snapToGrid w:val="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空间布局约束：</w:t>
                  </w:r>
                  <w:r>
                    <w:rPr>
                      <w:rFonts w:hint="default" w:ascii="Times New Roman" w:hAnsi="Times New Roman" w:eastAsia="宋体" w:cs="Times New Roman"/>
                      <w:color w:val="auto"/>
                      <w:sz w:val="21"/>
                      <w:szCs w:val="21"/>
                      <w:highlight w:val="none"/>
                      <w:lang w:val="en-US" w:eastAsia="zh-CN"/>
                    </w:rPr>
                    <w:t>对于优先保护区，着重从允许开发建设活动、不符合空间布局要求活动的退出方案等两个方面提出空间布局约束要求。对于重点管控区，着重从禁止和限制开发建设活动的要求、不符合空间布局要求活动的退出方案等两个方面提出空间布局约束要求。对于一般管控区，可参照优先保护区或重点管控区提出空间布局约束方面的一般性要求。</w:t>
                  </w:r>
                </w:p>
              </w:tc>
              <w:tc>
                <w:tcPr>
                  <w:tcW w:w="1640" w:type="pct"/>
                  <w:noWrap w:val="0"/>
                  <w:vAlign w:val="center"/>
                </w:tcPr>
                <w:p w14:paraId="6E7258D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本项目为</w:t>
                  </w:r>
                  <w:r>
                    <w:rPr>
                      <w:rFonts w:hint="eastAsia" w:cs="Times New Roman"/>
                      <w:b w:val="0"/>
                      <w:bCs w:val="0"/>
                      <w:color w:val="auto"/>
                      <w:sz w:val="21"/>
                      <w:szCs w:val="21"/>
                      <w:highlight w:val="none"/>
                      <w:lang w:val="en-US" w:eastAsia="zh-CN"/>
                    </w:rPr>
                    <w:t>农产品基地建设项目</w:t>
                  </w:r>
                  <w:r>
                    <w:rPr>
                      <w:rFonts w:hint="default" w:ascii="Times New Roman" w:hAnsi="Times New Roman" w:cs="Times New Roman"/>
                      <w:b w:val="0"/>
                      <w:bCs w:val="0"/>
                      <w:color w:val="auto"/>
                      <w:sz w:val="21"/>
                      <w:szCs w:val="21"/>
                      <w:highlight w:val="none"/>
                      <w:lang w:val="en-US" w:eastAsia="zh-CN"/>
                    </w:rPr>
                    <w:t>，属于《产业结构调整指导目录(2024年本)》中</w:t>
                  </w:r>
                  <w:r>
                    <w:rPr>
                      <w:rFonts w:hint="eastAsia" w:cs="Times New Roman"/>
                      <w:b w:val="0"/>
                      <w:bCs w:val="0"/>
                      <w:color w:val="auto"/>
                      <w:sz w:val="21"/>
                      <w:szCs w:val="21"/>
                      <w:highlight w:val="none"/>
                      <w:lang w:val="en-US" w:eastAsia="zh-CN"/>
                    </w:rPr>
                    <w:t>鼓励</w:t>
                  </w:r>
                  <w:r>
                    <w:rPr>
                      <w:rFonts w:hint="default" w:ascii="Times New Roman" w:hAnsi="Times New Roman" w:cs="Times New Roman"/>
                      <w:b w:val="0"/>
                      <w:bCs w:val="0"/>
                      <w:color w:val="auto"/>
                      <w:sz w:val="21"/>
                      <w:szCs w:val="21"/>
                      <w:highlight w:val="none"/>
                      <w:lang w:val="en-US" w:eastAsia="zh-CN"/>
                    </w:rPr>
                    <w:t>类项目，</w:t>
                  </w:r>
                  <w:r>
                    <w:rPr>
                      <w:rFonts w:hint="default" w:ascii="Times New Roman" w:hAnsi="Times New Roman" w:eastAsia="宋体" w:cs="Times New Roman"/>
                      <w:color w:val="auto"/>
                      <w:sz w:val="21"/>
                      <w:szCs w:val="21"/>
                      <w:highlight w:val="none"/>
                      <w:lang w:val="en-US" w:eastAsia="zh-CN"/>
                    </w:rPr>
                    <w:t>符合空间布局要求</w:t>
                  </w:r>
                  <w:r>
                    <w:rPr>
                      <w:rFonts w:hint="default" w:ascii="Times New Roman" w:hAnsi="Times New Roman" w:cs="Times New Roman"/>
                      <w:color w:val="auto"/>
                      <w:sz w:val="21"/>
                      <w:szCs w:val="21"/>
                      <w:highlight w:val="none"/>
                      <w:lang w:val="en-US" w:eastAsia="zh-CN"/>
                    </w:rPr>
                    <w:t>。</w:t>
                  </w:r>
                </w:p>
              </w:tc>
              <w:tc>
                <w:tcPr>
                  <w:tcW w:w="435" w:type="pct"/>
                  <w:noWrap w:val="0"/>
                  <w:vAlign w:val="center"/>
                </w:tcPr>
                <w:p w14:paraId="6E01046D">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53AE0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vMerge w:val="continue"/>
                  <w:noWrap w:val="0"/>
                  <w:vAlign w:val="center"/>
                </w:tcPr>
                <w:p w14:paraId="5BDC798F">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p>
              </w:tc>
              <w:tc>
                <w:tcPr>
                  <w:tcW w:w="264" w:type="pct"/>
                  <w:vMerge w:val="continue"/>
                  <w:noWrap w:val="0"/>
                  <w:vAlign w:val="center"/>
                </w:tcPr>
                <w:p w14:paraId="6ABB62A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p>
              </w:tc>
              <w:tc>
                <w:tcPr>
                  <w:tcW w:w="2217" w:type="pct"/>
                  <w:shd w:val="clear" w:color="auto" w:fill="auto"/>
                  <w:noWrap w:val="0"/>
                  <w:vAlign w:val="center"/>
                </w:tcPr>
                <w:p w14:paraId="7B190193">
                  <w:pPr>
                    <w:keepNext w:val="0"/>
                    <w:keepLines w:val="0"/>
                    <w:pageBreakBefore w:val="0"/>
                    <w:widowControl/>
                    <w:kinsoku/>
                    <w:wordWrap/>
                    <w:overflowPunct/>
                    <w:topLinePunct w:val="0"/>
                    <w:autoSpaceDE/>
                    <w:autoSpaceDN/>
                    <w:bidi w:val="0"/>
                    <w:adjustRightInd w:val="0"/>
                    <w:snapToGrid w:val="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污染排放控制：</w:t>
                  </w:r>
                  <w:r>
                    <w:rPr>
                      <w:rFonts w:hint="default" w:ascii="Times New Roman" w:hAnsi="Times New Roman" w:cs="Times New Roman"/>
                      <w:color w:val="auto"/>
                      <w:sz w:val="21"/>
                      <w:szCs w:val="21"/>
                      <w:highlight w:val="none"/>
                      <w:lang w:val="en-US" w:eastAsia="zh-CN"/>
                    </w:rPr>
                    <w:t>对于重点管控区，着重从污染物达标排放、现有源排放削减、新增源倍量替代、排放标准加严等方面提出污染物排放管控要求。对一般管控区，可参照重点管控区提出一般性污染物排放管控要求。</w:t>
                  </w:r>
                </w:p>
              </w:tc>
              <w:tc>
                <w:tcPr>
                  <w:tcW w:w="1640" w:type="pct"/>
                  <w:noWrap w:val="0"/>
                  <w:vAlign w:val="center"/>
                </w:tcPr>
                <w:p w14:paraId="6FA62791">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由</w:t>
                  </w:r>
                  <w:r>
                    <w:rPr>
                      <w:rFonts w:hint="eastAsia" w:cs="Times New Roman"/>
                      <w:color w:val="auto"/>
                      <w:sz w:val="21"/>
                      <w:szCs w:val="21"/>
                      <w:highlight w:val="none"/>
                      <w:lang w:val="en-US" w:eastAsia="zh-CN"/>
                    </w:rPr>
                    <w:t>施工期及</w:t>
                  </w:r>
                  <w:r>
                    <w:rPr>
                      <w:rFonts w:hint="default" w:ascii="Times New Roman" w:hAnsi="Times New Roman" w:cs="Times New Roman"/>
                      <w:color w:val="auto"/>
                      <w:sz w:val="21"/>
                      <w:szCs w:val="21"/>
                      <w:highlight w:val="none"/>
                      <w:lang w:val="en-US" w:eastAsia="zh-CN"/>
                    </w:rPr>
                    <w:t>运营期环境影响和保护措施</w:t>
                  </w:r>
                  <w:r>
                    <w:rPr>
                      <w:rFonts w:hint="eastAsia" w:cs="Times New Roman"/>
                      <w:color w:val="auto"/>
                      <w:sz w:val="21"/>
                      <w:szCs w:val="21"/>
                      <w:highlight w:val="none"/>
                      <w:lang w:val="en-US" w:eastAsia="zh-CN"/>
                    </w:rPr>
                    <w:t>章</w:t>
                  </w:r>
                  <w:r>
                    <w:rPr>
                      <w:rFonts w:hint="default" w:ascii="Times New Roman" w:hAnsi="Times New Roman" w:cs="Times New Roman"/>
                      <w:color w:val="auto"/>
                      <w:sz w:val="21"/>
                      <w:szCs w:val="21"/>
                      <w:highlight w:val="none"/>
                      <w:lang w:val="en-US" w:eastAsia="zh-CN"/>
                    </w:rPr>
                    <w:t>节分析可知，本项目建设完成后，各项污染物在采取相应的处置措施后，均可达标排放。</w:t>
                  </w:r>
                </w:p>
              </w:tc>
              <w:tc>
                <w:tcPr>
                  <w:tcW w:w="435" w:type="pct"/>
                  <w:noWrap w:val="0"/>
                  <w:vAlign w:val="center"/>
                </w:tcPr>
                <w:p w14:paraId="194E1A4C">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2328B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vMerge w:val="continue"/>
                  <w:noWrap w:val="0"/>
                  <w:vAlign w:val="center"/>
                </w:tcPr>
                <w:p w14:paraId="23519B05">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p>
              </w:tc>
              <w:tc>
                <w:tcPr>
                  <w:tcW w:w="264" w:type="pct"/>
                  <w:vMerge w:val="continue"/>
                  <w:noWrap w:val="0"/>
                  <w:vAlign w:val="center"/>
                </w:tcPr>
                <w:p w14:paraId="1637108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val="en-US" w:eastAsia="zh-CN" w:bidi="ar-SA"/>
                    </w:rPr>
                  </w:pPr>
                </w:p>
              </w:tc>
              <w:tc>
                <w:tcPr>
                  <w:tcW w:w="2217" w:type="pct"/>
                  <w:shd w:val="clear" w:color="auto" w:fill="auto"/>
                  <w:noWrap w:val="0"/>
                  <w:vAlign w:val="center"/>
                </w:tcPr>
                <w:p w14:paraId="7ED54F2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环境风险防控：</w:t>
                  </w:r>
                  <w:r>
                    <w:rPr>
                      <w:rFonts w:hint="default" w:ascii="Times New Roman" w:hAnsi="Times New Roman" w:cs="Times New Roman"/>
                      <w:color w:val="auto"/>
                      <w:sz w:val="21"/>
                      <w:szCs w:val="21"/>
                      <w:highlight w:val="none"/>
                      <w:lang w:val="en-US" w:eastAsia="zh-CN"/>
                    </w:rPr>
                    <w:t>对于各类优先保护区，着重从有毒有害污染物和易燃易爆物质风险防控等方面提出禁止准入的要求。对于重点管控区，着重从土地用途管控、有毒有害污染物和易燃易爆物质风险防控等方面提出环境风险防控要求。对于一般管控区，可参照优先保护区、重点管控区提出一般性环境风险防控要求。</w:t>
                  </w:r>
                </w:p>
              </w:tc>
              <w:tc>
                <w:tcPr>
                  <w:tcW w:w="1640" w:type="pct"/>
                  <w:noWrap w:val="0"/>
                  <w:vAlign w:val="center"/>
                </w:tcPr>
                <w:p w14:paraId="4D8546E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由工程分析可知，本项目危险物质主要为</w:t>
                  </w:r>
                  <w:r>
                    <w:rPr>
                      <w:rFonts w:hint="default" w:ascii="Times New Roman" w:hAnsi="Times New Roman" w:eastAsia="宋体" w:cs="Times New Roman"/>
                      <w:color w:val="auto"/>
                      <w:spacing w:val="9"/>
                      <w:sz w:val="21"/>
                      <w:szCs w:val="21"/>
                      <w:highlight w:val="none"/>
                      <w:lang w:val="en-US" w:eastAsia="zh-CN"/>
                    </w:rPr>
                    <w:t>废试剂瓶/桶、实验废液、废标液、废培养皿、废培养基、过期药品、过期试剂</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eastAsia="宋体" w:cs="Times New Roman"/>
                      <w:color w:val="auto"/>
                      <w:spacing w:val="9"/>
                      <w:sz w:val="21"/>
                      <w:szCs w:val="21"/>
                      <w:highlight w:val="none"/>
                      <w:lang w:val="en-US" w:eastAsia="zh-CN"/>
                    </w:rPr>
                    <w:t>暂存于危废暂存间，交由有资质单位进行处置</w:t>
                  </w:r>
                  <w:r>
                    <w:rPr>
                      <w:rFonts w:hint="default" w:ascii="Times New Roman" w:hAnsi="Times New Roman" w:cs="Times New Roman"/>
                      <w:b w:val="0"/>
                      <w:bCs w:val="0"/>
                      <w:color w:val="auto"/>
                      <w:kern w:val="2"/>
                      <w:sz w:val="21"/>
                      <w:szCs w:val="21"/>
                      <w:highlight w:val="none"/>
                      <w:lang w:val="en-US" w:eastAsia="zh-CN" w:bidi="ar-SA"/>
                    </w:rPr>
                    <w:t>，项目通过采取环境风险措施，对周围环境影响可防可控。</w:t>
                  </w:r>
                </w:p>
              </w:tc>
              <w:tc>
                <w:tcPr>
                  <w:tcW w:w="435" w:type="pct"/>
                  <w:noWrap w:val="0"/>
                  <w:vAlign w:val="center"/>
                </w:tcPr>
                <w:p w14:paraId="5DA1330F">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47656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vMerge w:val="continue"/>
                  <w:noWrap w:val="0"/>
                  <w:vAlign w:val="center"/>
                </w:tcPr>
                <w:p w14:paraId="2B501FBF">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p>
              </w:tc>
              <w:tc>
                <w:tcPr>
                  <w:tcW w:w="264" w:type="pct"/>
                  <w:vMerge w:val="continue"/>
                  <w:noWrap w:val="0"/>
                  <w:vAlign w:val="center"/>
                </w:tcPr>
                <w:p w14:paraId="3A93AE8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b/>
                      <w:bCs/>
                      <w:color w:val="auto"/>
                      <w:kern w:val="2"/>
                      <w:sz w:val="21"/>
                      <w:szCs w:val="21"/>
                      <w:highlight w:val="none"/>
                      <w:lang w:val="en-US" w:eastAsia="zh-CN" w:bidi="ar-SA"/>
                    </w:rPr>
                  </w:pPr>
                </w:p>
              </w:tc>
              <w:tc>
                <w:tcPr>
                  <w:tcW w:w="2217" w:type="pct"/>
                  <w:shd w:val="clear" w:color="auto" w:fill="auto"/>
                  <w:noWrap w:val="0"/>
                  <w:vAlign w:val="center"/>
                </w:tcPr>
                <w:p w14:paraId="79F6BAE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资源开发效率要求：</w:t>
                  </w:r>
                  <w:r>
                    <w:rPr>
                      <w:rFonts w:hint="default" w:ascii="Times New Roman" w:hAnsi="Times New Roman" w:eastAsia="宋体" w:cs="Times New Roman"/>
                      <w:color w:val="auto"/>
                      <w:sz w:val="21"/>
                      <w:szCs w:val="21"/>
                      <w:highlight w:val="none"/>
                      <w:lang w:val="en-US" w:eastAsia="zh-CN"/>
                    </w:rPr>
                    <w:t>对于重点管控区，着重从水资源开发效率、禁燃区要求等方面提出资源开发效率要求。对于一般管控区，可参照重点管控区提出一般性资源开发效率要求。</w:t>
                  </w:r>
                </w:p>
              </w:tc>
              <w:tc>
                <w:tcPr>
                  <w:tcW w:w="1640" w:type="pct"/>
                  <w:noWrap w:val="0"/>
                  <w:vAlign w:val="center"/>
                </w:tcPr>
                <w:p w14:paraId="054EEF1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本项目为</w:t>
                  </w:r>
                  <w:r>
                    <w:rPr>
                      <w:rFonts w:hint="eastAsia" w:cs="Times New Roman"/>
                      <w:color w:val="auto"/>
                      <w:sz w:val="21"/>
                      <w:szCs w:val="21"/>
                      <w:highlight w:val="none"/>
                      <w:lang w:val="en-US" w:eastAsia="zh-CN"/>
                    </w:rPr>
                    <w:t>农产品基地建设项目</w:t>
                  </w:r>
                  <w:r>
                    <w:rPr>
                      <w:rFonts w:hint="default" w:ascii="Times New Roman" w:hAnsi="Times New Roman" w:cs="Times New Roman"/>
                      <w:color w:val="auto"/>
                      <w:sz w:val="21"/>
                      <w:szCs w:val="21"/>
                      <w:highlight w:val="none"/>
                      <w:lang w:val="en-US" w:eastAsia="zh-CN"/>
                    </w:rPr>
                    <w:t>，不涉及自然资源开发，同时项目不涉及高污染燃料燃烧。</w:t>
                  </w:r>
                </w:p>
              </w:tc>
              <w:tc>
                <w:tcPr>
                  <w:tcW w:w="435" w:type="pct"/>
                  <w:noWrap w:val="0"/>
                  <w:vAlign w:val="center"/>
                </w:tcPr>
                <w:p w14:paraId="26B1FEC3">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bl>
          <w:p w14:paraId="5E265FAD">
            <w:pPr>
              <w:autoSpaceDE w:val="0"/>
              <w:autoSpaceDN w:val="0"/>
              <w:adjustRightInd w:val="0"/>
              <w:snapToGrid w:val="0"/>
              <w:spacing w:before="0" w:after="0" w:line="360" w:lineRule="auto"/>
              <w:ind w:right="0"/>
              <w:rPr>
                <w:rFonts w:hint="default" w:ascii="Times New Roman" w:hAnsi="Times New Roman" w:eastAsia="仿宋_GB2312" w:cs="Times New Roman"/>
                <w:b/>
                <w:bCs w:val="0"/>
                <w:color w:val="auto"/>
                <w:spacing w:val="0"/>
                <w:kern w:val="0"/>
                <w:sz w:val="24"/>
                <w:szCs w:val="24"/>
                <w:lang w:val="en-US" w:eastAsia="zh-CN" w:bidi="ar-SA"/>
              </w:rPr>
            </w:pPr>
            <w:r>
              <w:rPr>
                <w:rFonts w:hint="default" w:ascii="Times New Roman" w:hAnsi="Times New Roman" w:eastAsia="仿宋_GB2312" w:cs="Times New Roman"/>
                <w:b/>
                <w:bCs w:val="0"/>
                <w:color w:val="auto"/>
                <w:spacing w:val="0"/>
                <w:kern w:val="0"/>
                <w:sz w:val="24"/>
                <w:szCs w:val="24"/>
                <w:lang w:val="en-US" w:eastAsia="zh-CN" w:bidi="ar-SA"/>
              </w:rPr>
              <w:t>1.2与“固原市生态环境准入清单”符合性</w:t>
            </w:r>
          </w:p>
          <w:p w14:paraId="645B55BD">
            <w:pPr>
              <w:autoSpaceDE w:val="0"/>
              <w:autoSpaceDN w:val="0"/>
              <w:adjustRightInd w:val="0"/>
              <w:snapToGrid w:val="0"/>
              <w:spacing w:before="0" w:after="0" w:line="360" w:lineRule="auto"/>
              <w:ind w:left="0" w:right="0" w:firstLine="480" w:firstLineChars="200"/>
              <w:rPr>
                <w:rFonts w:hint="default" w:ascii="Times New Roman" w:hAnsi="Times New Roman" w:eastAsia="仿宋_GB2312" w:cs="Times New Roman"/>
                <w:b w:val="0"/>
                <w:bCs/>
                <w:color w:val="auto"/>
                <w:spacing w:val="0"/>
                <w:kern w:val="0"/>
                <w:sz w:val="24"/>
                <w:szCs w:val="24"/>
                <w:lang w:val="en-US" w:eastAsia="zh-CN" w:bidi="ar-SA"/>
              </w:rPr>
            </w:pPr>
            <w:r>
              <w:rPr>
                <w:rFonts w:hint="default" w:ascii="Times New Roman" w:hAnsi="Times New Roman" w:eastAsia="仿宋_GB2312" w:cs="Times New Roman"/>
                <w:b w:val="0"/>
                <w:bCs/>
                <w:color w:val="auto"/>
                <w:spacing w:val="0"/>
                <w:kern w:val="0"/>
                <w:sz w:val="24"/>
                <w:szCs w:val="24"/>
                <w:lang w:val="en-US" w:eastAsia="zh-CN" w:bidi="ar-SA"/>
              </w:rPr>
              <w:t>根据《固原市生态环境分区管控实施方案》（固政发</w:t>
            </w:r>
            <w:r>
              <w:rPr>
                <w:rFonts w:hint="eastAsia" w:eastAsia="仿宋_GB2312" w:cs="Times New Roman"/>
                <w:b w:val="0"/>
                <w:bCs/>
                <w:color w:val="auto"/>
                <w:spacing w:val="0"/>
                <w:kern w:val="0"/>
                <w:sz w:val="24"/>
                <w:szCs w:val="24"/>
                <w:lang w:val="en-US" w:eastAsia="zh-CN" w:bidi="ar-SA"/>
              </w:rPr>
              <w:t>〔2024〕28号</w:t>
            </w:r>
            <w:r>
              <w:rPr>
                <w:rFonts w:hint="default" w:ascii="Times New Roman" w:hAnsi="Times New Roman" w:eastAsia="仿宋_GB2312" w:cs="Times New Roman"/>
                <w:b w:val="0"/>
                <w:bCs/>
                <w:color w:val="auto"/>
                <w:spacing w:val="0"/>
                <w:kern w:val="0"/>
                <w:sz w:val="24"/>
                <w:szCs w:val="24"/>
                <w:lang w:val="en-US" w:eastAsia="zh-CN" w:bidi="ar-SA"/>
              </w:rPr>
              <w:t>）中附件，本项目与固原市生态环境</w:t>
            </w:r>
            <w:bookmarkStart w:id="5" w:name="_GoBack"/>
            <w:bookmarkEnd w:id="5"/>
            <w:r>
              <w:rPr>
                <w:rFonts w:hint="default" w:ascii="Times New Roman" w:hAnsi="Times New Roman" w:eastAsia="仿宋_GB2312" w:cs="Times New Roman"/>
                <w:b w:val="0"/>
                <w:bCs/>
                <w:color w:val="auto"/>
                <w:spacing w:val="0"/>
                <w:kern w:val="0"/>
                <w:sz w:val="24"/>
                <w:szCs w:val="24"/>
                <w:lang w:val="en-US" w:eastAsia="zh-CN" w:bidi="ar-SA"/>
              </w:rPr>
              <w:t>准入清单总体要求符合性分析见表</w:t>
            </w:r>
            <w:r>
              <w:rPr>
                <w:rFonts w:hint="eastAsia" w:eastAsia="仿宋_GB2312" w:cs="Times New Roman"/>
                <w:b w:val="0"/>
                <w:bCs/>
                <w:color w:val="auto"/>
                <w:spacing w:val="0"/>
                <w:kern w:val="0"/>
                <w:sz w:val="24"/>
                <w:szCs w:val="24"/>
                <w:lang w:val="en-US" w:eastAsia="zh-CN" w:bidi="ar-SA"/>
              </w:rPr>
              <w:t>2</w:t>
            </w:r>
            <w:r>
              <w:rPr>
                <w:rFonts w:hint="default" w:ascii="Times New Roman" w:hAnsi="Times New Roman" w:eastAsia="仿宋_GB2312" w:cs="Times New Roman"/>
                <w:b w:val="0"/>
                <w:bCs/>
                <w:color w:val="auto"/>
                <w:spacing w:val="0"/>
                <w:kern w:val="0"/>
                <w:sz w:val="24"/>
                <w:szCs w:val="24"/>
                <w:lang w:val="en-US" w:eastAsia="zh-CN" w:bidi="ar-SA"/>
              </w:rPr>
              <w:t>，与固原市环境管控单元生态环境准入清单符合性分析见表</w:t>
            </w:r>
            <w:r>
              <w:rPr>
                <w:rFonts w:hint="eastAsia" w:eastAsia="仿宋_GB2312" w:cs="Times New Roman"/>
                <w:b w:val="0"/>
                <w:bCs/>
                <w:color w:val="auto"/>
                <w:spacing w:val="0"/>
                <w:kern w:val="0"/>
                <w:sz w:val="24"/>
                <w:szCs w:val="24"/>
                <w:lang w:val="en-US" w:eastAsia="zh-CN" w:bidi="ar-SA"/>
              </w:rPr>
              <w:t>3</w:t>
            </w:r>
            <w:r>
              <w:rPr>
                <w:rFonts w:hint="default" w:ascii="Times New Roman" w:hAnsi="Times New Roman" w:eastAsia="仿宋_GB2312" w:cs="Times New Roman"/>
                <w:b w:val="0"/>
                <w:bCs/>
                <w:color w:val="auto"/>
                <w:spacing w:val="0"/>
                <w:kern w:val="0"/>
                <w:sz w:val="24"/>
                <w:szCs w:val="24"/>
                <w:lang w:val="en-US" w:eastAsia="zh-CN" w:bidi="ar-SA"/>
              </w:rPr>
              <w:t>。</w:t>
            </w:r>
          </w:p>
          <w:p w14:paraId="606B7ED4">
            <w:pPr>
              <w:adjustRightInd w:val="0"/>
              <w:ind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 xml:space="preserve"> 固原市生态环境总体准入要求</w:t>
            </w:r>
          </w:p>
          <w:tbl>
            <w:tblPr>
              <w:tblStyle w:val="33"/>
              <w:tblW w:w="49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7"/>
              <w:gridCol w:w="668"/>
              <w:gridCol w:w="3620"/>
              <w:gridCol w:w="2829"/>
              <w:gridCol w:w="648"/>
            </w:tblGrid>
            <w:tr w14:paraId="4A297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15" w:type="pct"/>
                  <w:gridSpan w:val="2"/>
                  <w:tcBorders>
                    <w:tl2br w:val="nil"/>
                    <w:tr2bl w:val="nil"/>
                  </w:tcBorders>
                  <w:noWrap w:val="0"/>
                  <w:tcMar>
                    <w:top w:w="0" w:type="dxa"/>
                    <w:left w:w="51" w:type="dxa"/>
                    <w:bottom w:w="0" w:type="dxa"/>
                    <w:right w:w="51" w:type="dxa"/>
                  </w:tcMar>
                  <w:vAlign w:val="center"/>
                </w:tcPr>
                <w:p w14:paraId="4696A2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管控维度</w:t>
                  </w:r>
                </w:p>
              </w:tc>
              <w:tc>
                <w:tcPr>
                  <w:tcW w:w="2185" w:type="pct"/>
                  <w:tcBorders>
                    <w:tl2br w:val="nil"/>
                    <w:tr2bl w:val="nil"/>
                  </w:tcBorders>
                  <w:noWrap w:val="0"/>
                  <w:tcMar>
                    <w:top w:w="0" w:type="dxa"/>
                    <w:left w:w="51" w:type="dxa"/>
                    <w:bottom w:w="0" w:type="dxa"/>
                    <w:right w:w="51" w:type="dxa"/>
                  </w:tcMar>
                  <w:vAlign w:val="center"/>
                </w:tcPr>
                <w:p w14:paraId="2A505B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准入要求</w:t>
                  </w:r>
                </w:p>
              </w:tc>
              <w:tc>
                <w:tcPr>
                  <w:tcW w:w="1707" w:type="pct"/>
                  <w:tcBorders>
                    <w:tl2br w:val="nil"/>
                    <w:tr2bl w:val="nil"/>
                  </w:tcBorders>
                  <w:noWrap w:val="0"/>
                  <w:tcMar>
                    <w:top w:w="0" w:type="dxa"/>
                    <w:left w:w="51" w:type="dxa"/>
                    <w:bottom w:w="0" w:type="dxa"/>
                    <w:right w:w="51" w:type="dxa"/>
                  </w:tcMar>
                  <w:vAlign w:val="center"/>
                </w:tcPr>
                <w:p w14:paraId="66E03C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w:t>
                  </w:r>
                </w:p>
              </w:tc>
              <w:tc>
                <w:tcPr>
                  <w:tcW w:w="391" w:type="pct"/>
                  <w:tcBorders>
                    <w:tl2br w:val="nil"/>
                    <w:tr2bl w:val="nil"/>
                  </w:tcBorders>
                  <w:noWrap w:val="0"/>
                  <w:tcMar>
                    <w:top w:w="0" w:type="dxa"/>
                    <w:left w:w="51" w:type="dxa"/>
                    <w:bottom w:w="0" w:type="dxa"/>
                    <w:right w:w="51" w:type="dxa"/>
                  </w:tcMar>
                  <w:vAlign w:val="center"/>
                </w:tcPr>
                <w:p w14:paraId="6ECDD3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06872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312" w:type="pct"/>
                  <w:vMerge w:val="restart"/>
                  <w:tcBorders>
                    <w:tl2br w:val="nil"/>
                    <w:tr2bl w:val="nil"/>
                  </w:tcBorders>
                  <w:noWrap w:val="0"/>
                  <w:tcMar>
                    <w:top w:w="0" w:type="dxa"/>
                    <w:left w:w="51" w:type="dxa"/>
                    <w:bottom w:w="0" w:type="dxa"/>
                    <w:right w:w="51" w:type="dxa"/>
                  </w:tcMar>
                  <w:vAlign w:val="center"/>
                </w:tcPr>
                <w:p w14:paraId="13BD21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A1</w:t>
                  </w:r>
                </w:p>
                <w:p w14:paraId="3CD8B7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空间布局约束</w:t>
                  </w:r>
                </w:p>
              </w:tc>
              <w:tc>
                <w:tcPr>
                  <w:tcW w:w="403" w:type="pct"/>
                  <w:vMerge w:val="restart"/>
                  <w:tcBorders>
                    <w:tl2br w:val="nil"/>
                    <w:tr2bl w:val="nil"/>
                  </w:tcBorders>
                  <w:noWrap w:val="0"/>
                  <w:tcMar>
                    <w:top w:w="0" w:type="dxa"/>
                    <w:left w:w="51" w:type="dxa"/>
                    <w:bottom w:w="0" w:type="dxa"/>
                    <w:right w:w="51" w:type="dxa"/>
                  </w:tcMar>
                  <w:vAlign w:val="center"/>
                </w:tcPr>
                <w:p w14:paraId="6AFD70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A1.1</w:t>
                  </w:r>
                </w:p>
                <w:p w14:paraId="676ED8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禁止开发建设活动的要求</w:t>
                  </w:r>
                </w:p>
              </w:tc>
              <w:tc>
                <w:tcPr>
                  <w:tcW w:w="2185" w:type="pct"/>
                  <w:tcBorders>
                    <w:tl2br w:val="nil"/>
                    <w:tr2bl w:val="nil"/>
                  </w:tcBorders>
                  <w:noWrap w:val="0"/>
                  <w:tcMar>
                    <w:top w:w="0" w:type="dxa"/>
                    <w:left w:w="51" w:type="dxa"/>
                    <w:bottom w:w="0" w:type="dxa"/>
                    <w:right w:w="51" w:type="dxa"/>
                  </w:tcMar>
                  <w:vAlign w:val="center"/>
                </w:tcPr>
                <w:p w14:paraId="06C8E4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严禁产能过剩行业新增产能，各开发区主导产业产值占比达到60%以上，严防发达地区淘汰退出的高污染企业落户固原。</w:t>
                  </w:r>
                </w:p>
              </w:tc>
              <w:tc>
                <w:tcPr>
                  <w:tcW w:w="1707" w:type="pct"/>
                  <w:tcBorders>
                    <w:tl2br w:val="nil"/>
                    <w:tr2bl w:val="nil"/>
                  </w:tcBorders>
                  <w:noWrap w:val="0"/>
                  <w:tcMar>
                    <w:top w:w="0" w:type="dxa"/>
                    <w:left w:w="51" w:type="dxa"/>
                    <w:bottom w:w="0" w:type="dxa"/>
                    <w:right w:w="51" w:type="dxa"/>
                  </w:tcMar>
                  <w:vAlign w:val="center"/>
                </w:tcPr>
                <w:p w14:paraId="40B319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zh-CN" w:eastAsia="zh-CN"/>
                    </w:rPr>
                    <w:t>本项目为</w:t>
                  </w:r>
                  <w:r>
                    <w:rPr>
                      <w:rFonts w:hint="eastAsia" w:cs="Times New Roman"/>
                      <w:color w:val="auto"/>
                      <w:sz w:val="21"/>
                      <w:szCs w:val="21"/>
                      <w:highlight w:val="none"/>
                      <w:lang w:val="en-US" w:eastAsia="zh-CN"/>
                    </w:rPr>
                    <w:t>农产品基地建设项目</w:t>
                  </w:r>
                  <w:r>
                    <w:rPr>
                      <w:rFonts w:hint="default" w:ascii="Times New Roman" w:hAnsi="Times New Roman" w:cs="Times New Roman"/>
                      <w:color w:val="auto"/>
                      <w:sz w:val="21"/>
                      <w:szCs w:val="21"/>
                      <w:highlight w:val="none"/>
                      <w:lang w:val="zh-CN" w:eastAsia="zh-CN"/>
                    </w:rPr>
                    <w:t>，属于《产业结构调整指导目录(2024年本)》中</w:t>
                  </w:r>
                  <w:r>
                    <w:rPr>
                      <w:rFonts w:hint="eastAsia" w:cs="Times New Roman"/>
                      <w:color w:val="auto"/>
                      <w:sz w:val="21"/>
                      <w:szCs w:val="21"/>
                      <w:highlight w:val="none"/>
                      <w:lang w:val="en-US" w:eastAsia="zh-CN"/>
                    </w:rPr>
                    <w:t>鼓励</w:t>
                  </w:r>
                  <w:r>
                    <w:rPr>
                      <w:rFonts w:hint="default" w:ascii="Times New Roman" w:hAnsi="Times New Roman" w:cs="Times New Roman"/>
                      <w:color w:val="auto"/>
                      <w:sz w:val="21"/>
                      <w:szCs w:val="21"/>
                      <w:highlight w:val="none"/>
                      <w:lang w:val="zh-CN" w:eastAsia="zh-CN"/>
                    </w:rPr>
                    <w:t>类项目</w:t>
                  </w:r>
                  <w:r>
                    <w:rPr>
                      <w:rFonts w:hint="default" w:ascii="Times New Roman" w:hAnsi="Times New Roman" w:eastAsia="宋体" w:cs="Times New Roman"/>
                      <w:color w:val="auto"/>
                      <w:kern w:val="0"/>
                      <w:sz w:val="21"/>
                      <w:szCs w:val="21"/>
                      <w:lang w:val="en-US" w:eastAsia="zh-CN"/>
                    </w:rPr>
                    <w:t>。</w:t>
                  </w:r>
                </w:p>
              </w:tc>
              <w:tc>
                <w:tcPr>
                  <w:tcW w:w="391" w:type="pct"/>
                  <w:tcBorders>
                    <w:tl2br w:val="nil"/>
                    <w:tr2bl w:val="nil"/>
                  </w:tcBorders>
                  <w:noWrap w:val="0"/>
                  <w:tcMar>
                    <w:top w:w="0" w:type="dxa"/>
                    <w:left w:w="51" w:type="dxa"/>
                    <w:bottom w:w="0" w:type="dxa"/>
                    <w:right w:w="51" w:type="dxa"/>
                  </w:tcMar>
                  <w:vAlign w:val="center"/>
                </w:tcPr>
                <w:p w14:paraId="6D4022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符合</w:t>
                  </w:r>
                </w:p>
              </w:tc>
            </w:tr>
            <w:tr w14:paraId="64EAC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12" w:type="pct"/>
                  <w:vMerge w:val="continue"/>
                  <w:tcBorders>
                    <w:tl2br w:val="nil"/>
                    <w:tr2bl w:val="nil"/>
                  </w:tcBorders>
                  <w:noWrap w:val="0"/>
                  <w:tcMar>
                    <w:top w:w="0" w:type="dxa"/>
                    <w:left w:w="51" w:type="dxa"/>
                    <w:bottom w:w="0" w:type="dxa"/>
                    <w:right w:w="51" w:type="dxa"/>
                  </w:tcMar>
                  <w:vAlign w:val="center"/>
                </w:tcPr>
                <w:p w14:paraId="3FEF73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tcBorders>
                    <w:tl2br w:val="nil"/>
                    <w:tr2bl w:val="nil"/>
                  </w:tcBorders>
                  <w:noWrap w:val="0"/>
                  <w:tcMar>
                    <w:top w:w="0" w:type="dxa"/>
                    <w:left w:w="51" w:type="dxa"/>
                    <w:bottom w:w="0" w:type="dxa"/>
                    <w:right w:w="51" w:type="dxa"/>
                  </w:tcMar>
                  <w:vAlign w:val="center"/>
                </w:tcPr>
                <w:p w14:paraId="1AB67F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2185" w:type="pct"/>
                  <w:tcBorders>
                    <w:tl2br w:val="nil"/>
                    <w:tr2bl w:val="nil"/>
                  </w:tcBorders>
                  <w:noWrap w:val="0"/>
                  <w:tcMar>
                    <w:top w:w="0" w:type="dxa"/>
                    <w:left w:w="51" w:type="dxa"/>
                    <w:bottom w:w="0" w:type="dxa"/>
                    <w:right w:w="51" w:type="dxa"/>
                  </w:tcMar>
                  <w:vAlign w:val="center"/>
                </w:tcPr>
                <w:p w14:paraId="1BEE46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严禁在“七河”及其重点支流临岸1公里范围内新建“两高一资”项目及相关产业园区。</w:t>
                  </w:r>
                </w:p>
              </w:tc>
              <w:tc>
                <w:tcPr>
                  <w:tcW w:w="1707" w:type="pct"/>
                  <w:tcBorders>
                    <w:tl2br w:val="nil"/>
                    <w:tr2bl w:val="nil"/>
                  </w:tcBorders>
                  <w:noWrap w:val="0"/>
                  <w:tcMar>
                    <w:top w:w="0" w:type="dxa"/>
                    <w:left w:w="51" w:type="dxa"/>
                    <w:bottom w:w="0" w:type="dxa"/>
                    <w:right w:w="51" w:type="dxa"/>
                  </w:tcMar>
                  <w:vAlign w:val="center"/>
                </w:tcPr>
                <w:p w14:paraId="14DE0FE7">
                  <w:pPr>
                    <w:pStyle w:val="2"/>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本项目不涉及。</w:t>
                  </w:r>
                </w:p>
              </w:tc>
              <w:tc>
                <w:tcPr>
                  <w:tcW w:w="391" w:type="pct"/>
                  <w:tcBorders>
                    <w:tl2br w:val="nil"/>
                    <w:tr2bl w:val="nil"/>
                  </w:tcBorders>
                  <w:noWrap w:val="0"/>
                  <w:tcMar>
                    <w:top w:w="0" w:type="dxa"/>
                    <w:left w:w="51" w:type="dxa"/>
                    <w:bottom w:w="0" w:type="dxa"/>
                    <w:right w:w="51" w:type="dxa"/>
                  </w:tcMar>
                  <w:vAlign w:val="center"/>
                </w:tcPr>
                <w:p w14:paraId="1364A8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符合</w:t>
                  </w:r>
                </w:p>
              </w:tc>
            </w:tr>
            <w:tr w14:paraId="04563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12" w:type="pct"/>
                  <w:vMerge w:val="continue"/>
                  <w:tcBorders>
                    <w:tl2br w:val="nil"/>
                    <w:tr2bl w:val="nil"/>
                  </w:tcBorders>
                  <w:noWrap w:val="0"/>
                  <w:tcMar>
                    <w:top w:w="0" w:type="dxa"/>
                    <w:left w:w="51" w:type="dxa"/>
                    <w:bottom w:w="0" w:type="dxa"/>
                    <w:right w:w="51" w:type="dxa"/>
                  </w:tcMar>
                  <w:vAlign w:val="center"/>
                </w:tcPr>
                <w:p w14:paraId="090B90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tcBorders>
                    <w:tl2br w:val="nil"/>
                    <w:tr2bl w:val="nil"/>
                  </w:tcBorders>
                  <w:noWrap w:val="0"/>
                  <w:tcMar>
                    <w:top w:w="0" w:type="dxa"/>
                    <w:left w:w="51" w:type="dxa"/>
                    <w:bottom w:w="0" w:type="dxa"/>
                    <w:right w:w="51" w:type="dxa"/>
                  </w:tcMar>
                  <w:vAlign w:val="center"/>
                </w:tcPr>
                <w:p w14:paraId="1257B8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2185" w:type="pct"/>
                  <w:tcBorders>
                    <w:tl2br w:val="nil"/>
                    <w:tr2bl w:val="nil"/>
                  </w:tcBorders>
                  <w:noWrap w:val="0"/>
                  <w:tcMar>
                    <w:top w:w="0" w:type="dxa"/>
                    <w:left w:w="51" w:type="dxa"/>
                    <w:bottom w:w="0" w:type="dxa"/>
                    <w:right w:w="51" w:type="dxa"/>
                  </w:tcMar>
                  <w:vAlign w:val="center"/>
                </w:tcPr>
                <w:p w14:paraId="358E2C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城市建成区一律禁止新建35蒸吨/小时以下燃煤锅炉。</w:t>
                  </w:r>
                </w:p>
              </w:tc>
              <w:tc>
                <w:tcPr>
                  <w:tcW w:w="1707" w:type="pct"/>
                  <w:tcBorders>
                    <w:tl2br w:val="nil"/>
                    <w:tr2bl w:val="nil"/>
                  </w:tcBorders>
                  <w:noWrap w:val="0"/>
                  <w:tcMar>
                    <w:top w:w="0" w:type="dxa"/>
                    <w:left w:w="51" w:type="dxa"/>
                    <w:bottom w:w="0" w:type="dxa"/>
                    <w:right w:w="51" w:type="dxa"/>
                  </w:tcMar>
                  <w:vAlign w:val="center"/>
                </w:tcPr>
                <w:p w14:paraId="1D326149">
                  <w:pPr>
                    <w:pStyle w:val="2"/>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本项目不涉及燃煤锅炉的建设</w:t>
                  </w:r>
                  <w:r>
                    <w:rPr>
                      <w:rFonts w:hint="eastAsia" w:cs="Times New Roman"/>
                      <w:color w:val="auto"/>
                      <w:kern w:val="0"/>
                      <w:sz w:val="21"/>
                      <w:szCs w:val="21"/>
                      <w:lang w:val="en-US" w:eastAsia="zh-CN"/>
                    </w:rPr>
                    <w:t>。</w:t>
                  </w:r>
                </w:p>
              </w:tc>
              <w:tc>
                <w:tcPr>
                  <w:tcW w:w="391" w:type="pct"/>
                  <w:tcBorders>
                    <w:tl2br w:val="nil"/>
                    <w:tr2bl w:val="nil"/>
                  </w:tcBorders>
                  <w:noWrap w:val="0"/>
                  <w:tcMar>
                    <w:top w:w="0" w:type="dxa"/>
                    <w:left w:w="51" w:type="dxa"/>
                    <w:bottom w:w="0" w:type="dxa"/>
                    <w:right w:w="51" w:type="dxa"/>
                  </w:tcMar>
                  <w:vAlign w:val="center"/>
                </w:tcPr>
                <w:p w14:paraId="26250E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符合</w:t>
                  </w:r>
                </w:p>
              </w:tc>
            </w:tr>
            <w:tr w14:paraId="7D1DB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12" w:type="pct"/>
                  <w:vMerge w:val="restart"/>
                  <w:tcBorders>
                    <w:tl2br w:val="nil"/>
                    <w:tr2bl w:val="nil"/>
                  </w:tcBorders>
                  <w:noWrap w:val="0"/>
                  <w:tcMar>
                    <w:top w:w="0" w:type="dxa"/>
                    <w:left w:w="51" w:type="dxa"/>
                    <w:bottom w:w="0" w:type="dxa"/>
                    <w:right w:w="51" w:type="dxa"/>
                  </w:tcMar>
                  <w:vAlign w:val="center"/>
                </w:tcPr>
                <w:p w14:paraId="1A7837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A2污染物排放管控</w:t>
                  </w:r>
                </w:p>
              </w:tc>
              <w:tc>
                <w:tcPr>
                  <w:tcW w:w="403" w:type="pct"/>
                  <w:vMerge w:val="restart"/>
                  <w:tcBorders>
                    <w:tl2br w:val="nil"/>
                    <w:tr2bl w:val="nil"/>
                  </w:tcBorders>
                  <w:noWrap w:val="0"/>
                  <w:tcMar>
                    <w:top w:w="0" w:type="dxa"/>
                    <w:left w:w="51" w:type="dxa"/>
                    <w:bottom w:w="0" w:type="dxa"/>
                    <w:right w:w="51" w:type="dxa"/>
                  </w:tcMar>
                  <w:vAlign w:val="center"/>
                </w:tcPr>
                <w:p w14:paraId="56F345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A2.1允许排放量要求</w:t>
                  </w:r>
                </w:p>
              </w:tc>
              <w:tc>
                <w:tcPr>
                  <w:tcW w:w="2185" w:type="pct"/>
                  <w:tcBorders>
                    <w:tl2br w:val="nil"/>
                    <w:tr2bl w:val="nil"/>
                  </w:tcBorders>
                  <w:noWrap w:val="0"/>
                  <w:tcMar>
                    <w:top w:w="0" w:type="dxa"/>
                    <w:left w:w="51" w:type="dxa"/>
                    <w:bottom w:w="0" w:type="dxa"/>
                    <w:right w:w="51" w:type="dxa"/>
                  </w:tcMar>
                  <w:vAlign w:val="center"/>
                </w:tcPr>
                <w:p w14:paraId="05E7E2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化学需氧量、氨氮、氮氧化物、挥发性有机物减排量完成自治区下达任务。</w:t>
                  </w:r>
                </w:p>
              </w:tc>
              <w:tc>
                <w:tcPr>
                  <w:tcW w:w="1707" w:type="pct"/>
                  <w:tcBorders>
                    <w:tl2br w:val="nil"/>
                    <w:tr2bl w:val="nil"/>
                  </w:tcBorders>
                  <w:noWrap w:val="0"/>
                  <w:tcMar>
                    <w:top w:w="0" w:type="dxa"/>
                    <w:left w:w="51" w:type="dxa"/>
                    <w:bottom w:w="0" w:type="dxa"/>
                    <w:right w:w="51" w:type="dxa"/>
                  </w:tcMar>
                  <w:vAlign w:val="center"/>
                </w:tcPr>
                <w:p w14:paraId="5302B0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本项目</w:t>
                  </w:r>
                  <w:r>
                    <w:rPr>
                      <w:rFonts w:hint="eastAsia" w:cs="Times New Roman"/>
                      <w:b w:val="0"/>
                      <w:bCs w:val="0"/>
                      <w:color w:val="auto"/>
                      <w:sz w:val="21"/>
                      <w:szCs w:val="21"/>
                      <w:highlight w:val="none"/>
                      <w:lang w:val="en-US" w:eastAsia="zh-CN"/>
                    </w:rPr>
                    <w:t>不涉及。</w:t>
                  </w:r>
                </w:p>
              </w:tc>
              <w:tc>
                <w:tcPr>
                  <w:tcW w:w="391" w:type="pct"/>
                  <w:tcBorders>
                    <w:tl2br w:val="nil"/>
                    <w:tr2bl w:val="nil"/>
                  </w:tcBorders>
                  <w:noWrap w:val="0"/>
                  <w:tcMar>
                    <w:top w:w="0" w:type="dxa"/>
                    <w:left w:w="51" w:type="dxa"/>
                    <w:bottom w:w="0" w:type="dxa"/>
                    <w:right w:w="51" w:type="dxa"/>
                  </w:tcMar>
                  <w:vAlign w:val="center"/>
                </w:tcPr>
                <w:p w14:paraId="5D9F81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14:paraId="72190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12" w:type="pct"/>
                  <w:vMerge w:val="continue"/>
                  <w:tcBorders>
                    <w:tl2br w:val="nil"/>
                    <w:tr2bl w:val="nil"/>
                  </w:tcBorders>
                  <w:noWrap w:val="0"/>
                  <w:tcMar>
                    <w:top w:w="0" w:type="dxa"/>
                    <w:left w:w="51" w:type="dxa"/>
                    <w:bottom w:w="0" w:type="dxa"/>
                    <w:right w:w="51" w:type="dxa"/>
                  </w:tcMar>
                  <w:vAlign w:val="center"/>
                </w:tcPr>
                <w:p w14:paraId="0180FC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tcBorders>
                    <w:tl2br w:val="nil"/>
                    <w:tr2bl w:val="nil"/>
                  </w:tcBorders>
                  <w:noWrap w:val="0"/>
                  <w:tcMar>
                    <w:top w:w="0" w:type="dxa"/>
                    <w:left w:w="51" w:type="dxa"/>
                    <w:bottom w:w="0" w:type="dxa"/>
                    <w:right w:w="51" w:type="dxa"/>
                  </w:tcMar>
                  <w:vAlign w:val="center"/>
                </w:tcPr>
                <w:p w14:paraId="009ECB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2185" w:type="pct"/>
                  <w:tcBorders>
                    <w:tl2br w:val="nil"/>
                    <w:tr2bl w:val="nil"/>
                  </w:tcBorders>
                  <w:noWrap w:val="0"/>
                  <w:tcMar>
                    <w:top w:w="0" w:type="dxa"/>
                    <w:left w:w="51" w:type="dxa"/>
                    <w:bottom w:w="0" w:type="dxa"/>
                    <w:right w:w="51" w:type="dxa"/>
                  </w:tcMar>
                  <w:vAlign w:val="center"/>
                </w:tcPr>
                <w:p w14:paraId="5F71D9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严格重金属排放项目准入，坚持“减量置换”或“等量置换”原则。</w:t>
                  </w:r>
                </w:p>
              </w:tc>
              <w:tc>
                <w:tcPr>
                  <w:tcW w:w="1707" w:type="pct"/>
                  <w:vMerge w:val="restart"/>
                  <w:tcBorders>
                    <w:tl2br w:val="nil"/>
                    <w:tr2bl w:val="nil"/>
                  </w:tcBorders>
                  <w:noWrap w:val="0"/>
                  <w:tcMar>
                    <w:top w:w="0" w:type="dxa"/>
                    <w:left w:w="51" w:type="dxa"/>
                    <w:bottom w:w="0" w:type="dxa"/>
                    <w:right w:w="51" w:type="dxa"/>
                  </w:tcMar>
                  <w:vAlign w:val="center"/>
                </w:tcPr>
                <w:p w14:paraId="42E0C5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本项目不涉及</w:t>
                  </w:r>
                  <w:r>
                    <w:rPr>
                      <w:rFonts w:hint="eastAsia" w:cs="Times New Roman"/>
                      <w:b w:val="0"/>
                      <w:bCs w:val="0"/>
                      <w:color w:val="auto"/>
                      <w:sz w:val="21"/>
                      <w:szCs w:val="21"/>
                      <w:highlight w:val="none"/>
                      <w:lang w:val="en-US" w:eastAsia="zh-CN"/>
                    </w:rPr>
                    <w:t>。</w:t>
                  </w:r>
                </w:p>
              </w:tc>
              <w:tc>
                <w:tcPr>
                  <w:tcW w:w="391" w:type="pct"/>
                  <w:vMerge w:val="restart"/>
                  <w:tcBorders>
                    <w:tl2br w:val="nil"/>
                    <w:tr2bl w:val="nil"/>
                  </w:tcBorders>
                  <w:noWrap w:val="0"/>
                  <w:tcMar>
                    <w:top w:w="0" w:type="dxa"/>
                    <w:left w:w="51" w:type="dxa"/>
                    <w:bottom w:w="0" w:type="dxa"/>
                    <w:right w:w="51" w:type="dxa"/>
                  </w:tcMar>
                  <w:vAlign w:val="center"/>
                </w:tcPr>
                <w:p w14:paraId="12D1A7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符合</w:t>
                  </w:r>
                </w:p>
              </w:tc>
            </w:tr>
            <w:tr w14:paraId="11D83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12" w:type="pct"/>
                  <w:vMerge w:val="continue"/>
                  <w:tcBorders>
                    <w:tl2br w:val="nil"/>
                    <w:tr2bl w:val="nil"/>
                  </w:tcBorders>
                  <w:noWrap w:val="0"/>
                  <w:tcMar>
                    <w:top w:w="0" w:type="dxa"/>
                    <w:left w:w="51" w:type="dxa"/>
                    <w:bottom w:w="0" w:type="dxa"/>
                    <w:right w:w="51" w:type="dxa"/>
                  </w:tcMar>
                  <w:vAlign w:val="center"/>
                </w:tcPr>
                <w:p w14:paraId="355CCF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tcBorders>
                    <w:tl2br w:val="nil"/>
                    <w:tr2bl w:val="nil"/>
                  </w:tcBorders>
                  <w:noWrap w:val="0"/>
                  <w:tcMar>
                    <w:top w:w="0" w:type="dxa"/>
                    <w:left w:w="51" w:type="dxa"/>
                    <w:bottom w:w="0" w:type="dxa"/>
                    <w:right w:w="51" w:type="dxa"/>
                  </w:tcMar>
                  <w:vAlign w:val="center"/>
                </w:tcPr>
                <w:p w14:paraId="0B8B9A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2185" w:type="pct"/>
                  <w:tcBorders>
                    <w:tl2br w:val="nil"/>
                    <w:tr2bl w:val="nil"/>
                  </w:tcBorders>
                  <w:noWrap w:val="0"/>
                  <w:tcMar>
                    <w:top w:w="0" w:type="dxa"/>
                    <w:left w:w="51" w:type="dxa"/>
                    <w:bottom w:w="0" w:type="dxa"/>
                    <w:right w:w="51" w:type="dxa"/>
                  </w:tcMar>
                  <w:vAlign w:val="center"/>
                </w:tcPr>
                <w:p w14:paraId="301857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严格重金属排放项目准入，坚持“减量置换”或“等量置换”原则。</w:t>
                  </w:r>
                </w:p>
              </w:tc>
              <w:tc>
                <w:tcPr>
                  <w:tcW w:w="1707" w:type="pct"/>
                  <w:vMerge w:val="continue"/>
                  <w:tcBorders>
                    <w:tl2br w:val="nil"/>
                    <w:tr2bl w:val="nil"/>
                  </w:tcBorders>
                  <w:noWrap w:val="0"/>
                  <w:tcMar>
                    <w:top w:w="0" w:type="dxa"/>
                    <w:left w:w="51" w:type="dxa"/>
                    <w:bottom w:w="0" w:type="dxa"/>
                    <w:right w:w="51" w:type="dxa"/>
                  </w:tcMar>
                  <w:vAlign w:val="center"/>
                </w:tcPr>
                <w:p w14:paraId="507131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91" w:type="pct"/>
                  <w:vMerge w:val="continue"/>
                  <w:tcBorders>
                    <w:tl2br w:val="nil"/>
                    <w:tr2bl w:val="nil"/>
                  </w:tcBorders>
                  <w:noWrap w:val="0"/>
                  <w:tcMar>
                    <w:top w:w="0" w:type="dxa"/>
                    <w:left w:w="51" w:type="dxa"/>
                    <w:bottom w:w="0" w:type="dxa"/>
                    <w:right w:w="51" w:type="dxa"/>
                  </w:tcMar>
                  <w:vAlign w:val="center"/>
                </w:tcPr>
                <w:p w14:paraId="4CB49E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1D0A2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12" w:type="pct"/>
                  <w:vMerge w:val="continue"/>
                  <w:tcBorders>
                    <w:tl2br w:val="nil"/>
                    <w:tr2bl w:val="nil"/>
                  </w:tcBorders>
                  <w:noWrap w:val="0"/>
                  <w:tcMar>
                    <w:top w:w="0" w:type="dxa"/>
                    <w:left w:w="51" w:type="dxa"/>
                    <w:bottom w:w="0" w:type="dxa"/>
                    <w:right w:w="51" w:type="dxa"/>
                  </w:tcMar>
                  <w:vAlign w:val="center"/>
                </w:tcPr>
                <w:p w14:paraId="245976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tcBorders>
                    <w:tl2br w:val="nil"/>
                    <w:tr2bl w:val="nil"/>
                  </w:tcBorders>
                  <w:noWrap w:val="0"/>
                  <w:tcMar>
                    <w:top w:w="0" w:type="dxa"/>
                    <w:left w:w="51" w:type="dxa"/>
                    <w:bottom w:w="0" w:type="dxa"/>
                    <w:right w:w="51" w:type="dxa"/>
                  </w:tcMar>
                  <w:vAlign w:val="center"/>
                </w:tcPr>
                <w:p w14:paraId="33AA33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2185" w:type="pct"/>
                  <w:tcBorders>
                    <w:tl2br w:val="nil"/>
                    <w:tr2bl w:val="nil"/>
                  </w:tcBorders>
                  <w:noWrap w:val="0"/>
                  <w:tcMar>
                    <w:top w:w="0" w:type="dxa"/>
                    <w:left w:w="51" w:type="dxa"/>
                    <w:bottom w:w="0" w:type="dxa"/>
                    <w:right w:w="51" w:type="dxa"/>
                  </w:tcMar>
                  <w:vAlign w:val="center"/>
                </w:tcPr>
                <w:p w14:paraId="020D3E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火电、水泥等重点行业及燃煤锅炉，严格按照大气污染物排放标准及特别排放限值要求执行。</w:t>
                  </w:r>
                </w:p>
              </w:tc>
              <w:tc>
                <w:tcPr>
                  <w:tcW w:w="1707" w:type="pct"/>
                  <w:tcBorders>
                    <w:tl2br w:val="nil"/>
                    <w:tr2bl w:val="nil"/>
                  </w:tcBorders>
                  <w:noWrap w:val="0"/>
                  <w:tcMar>
                    <w:top w:w="0" w:type="dxa"/>
                    <w:left w:w="51" w:type="dxa"/>
                    <w:bottom w:w="0" w:type="dxa"/>
                    <w:right w:w="51" w:type="dxa"/>
                  </w:tcMar>
                  <w:vAlign w:val="center"/>
                </w:tcPr>
                <w:p w14:paraId="74C5BF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本项目不涉及</w:t>
                  </w:r>
                  <w:r>
                    <w:rPr>
                      <w:rFonts w:hint="eastAsia" w:cs="Times New Roman"/>
                      <w:b w:val="0"/>
                      <w:bCs w:val="0"/>
                      <w:color w:val="auto"/>
                      <w:sz w:val="21"/>
                      <w:szCs w:val="21"/>
                      <w:highlight w:val="none"/>
                      <w:lang w:val="en-US" w:eastAsia="zh-CN"/>
                    </w:rPr>
                    <w:t>。</w:t>
                  </w:r>
                </w:p>
              </w:tc>
              <w:tc>
                <w:tcPr>
                  <w:tcW w:w="391" w:type="pct"/>
                  <w:tcBorders>
                    <w:tl2br w:val="nil"/>
                    <w:tr2bl w:val="nil"/>
                  </w:tcBorders>
                  <w:noWrap w:val="0"/>
                  <w:tcMar>
                    <w:top w:w="0" w:type="dxa"/>
                    <w:left w:w="51" w:type="dxa"/>
                    <w:bottom w:w="0" w:type="dxa"/>
                    <w:right w:w="51" w:type="dxa"/>
                  </w:tcMar>
                  <w:vAlign w:val="center"/>
                </w:tcPr>
                <w:p w14:paraId="5C96A8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符合</w:t>
                  </w:r>
                </w:p>
              </w:tc>
            </w:tr>
            <w:tr w14:paraId="64C7F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12" w:type="pct"/>
                  <w:vMerge w:val="continue"/>
                  <w:tcBorders>
                    <w:tl2br w:val="nil"/>
                    <w:tr2bl w:val="nil"/>
                  </w:tcBorders>
                  <w:noWrap w:val="0"/>
                  <w:tcMar>
                    <w:top w:w="0" w:type="dxa"/>
                    <w:left w:w="51" w:type="dxa"/>
                    <w:bottom w:w="0" w:type="dxa"/>
                    <w:right w:w="51" w:type="dxa"/>
                  </w:tcMar>
                  <w:vAlign w:val="center"/>
                </w:tcPr>
                <w:p w14:paraId="39E23A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p>
              </w:tc>
              <w:tc>
                <w:tcPr>
                  <w:tcW w:w="403" w:type="pct"/>
                  <w:vMerge w:val="continue"/>
                  <w:tcBorders>
                    <w:tl2br w:val="nil"/>
                    <w:tr2bl w:val="nil"/>
                  </w:tcBorders>
                  <w:noWrap w:val="0"/>
                  <w:tcMar>
                    <w:top w:w="0" w:type="dxa"/>
                    <w:left w:w="51" w:type="dxa"/>
                    <w:bottom w:w="0" w:type="dxa"/>
                    <w:right w:w="51" w:type="dxa"/>
                  </w:tcMar>
                  <w:vAlign w:val="center"/>
                </w:tcPr>
                <w:p w14:paraId="71F61E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p>
              </w:tc>
              <w:tc>
                <w:tcPr>
                  <w:tcW w:w="2185" w:type="pct"/>
                  <w:tcBorders>
                    <w:tl2br w:val="nil"/>
                    <w:tr2bl w:val="nil"/>
                  </w:tcBorders>
                  <w:noWrap w:val="0"/>
                  <w:tcMar>
                    <w:top w:w="0" w:type="dxa"/>
                    <w:left w:w="51" w:type="dxa"/>
                    <w:bottom w:w="0" w:type="dxa"/>
                    <w:right w:w="51" w:type="dxa"/>
                  </w:tcMar>
                  <w:vAlign w:val="center"/>
                </w:tcPr>
                <w:p w14:paraId="055AA0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到2025年，全市工业固体废弃物综合利用率达到80%，中水利用率达到85%以上。</w:t>
                  </w:r>
                </w:p>
              </w:tc>
              <w:tc>
                <w:tcPr>
                  <w:tcW w:w="1707" w:type="pct"/>
                  <w:tcBorders>
                    <w:tl2br w:val="nil"/>
                    <w:tr2bl w:val="nil"/>
                  </w:tcBorders>
                  <w:noWrap w:val="0"/>
                  <w:tcMar>
                    <w:top w:w="0" w:type="dxa"/>
                    <w:left w:w="51" w:type="dxa"/>
                    <w:bottom w:w="0" w:type="dxa"/>
                    <w:right w:w="51" w:type="dxa"/>
                  </w:tcMar>
                  <w:vAlign w:val="center"/>
                </w:tcPr>
                <w:p w14:paraId="541857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运营期</w:t>
                  </w:r>
                  <w:r>
                    <w:rPr>
                      <w:rFonts w:hint="default" w:ascii="Times New Roman" w:hAnsi="Times New Roman" w:eastAsia="宋体" w:cs="Times New Roman"/>
                      <w:color w:val="auto"/>
                      <w:spacing w:val="9"/>
                      <w:sz w:val="21"/>
                      <w:szCs w:val="21"/>
                      <w:highlight w:val="none"/>
                      <w:lang w:val="en-US" w:eastAsia="zh-CN"/>
                    </w:rPr>
                    <w:t>生活垃圾集中收集后交由环卫部门进行处置</w:t>
                  </w:r>
                  <w:r>
                    <w:rPr>
                      <w:rFonts w:hint="eastAsia" w:cs="Times New Roman"/>
                      <w:color w:val="auto"/>
                      <w:spacing w:val="9"/>
                      <w:sz w:val="21"/>
                      <w:szCs w:val="21"/>
                      <w:highlight w:val="none"/>
                      <w:lang w:val="en-US" w:eastAsia="zh-CN"/>
                    </w:rPr>
                    <w:t>，修剪枝叶集中收集后外售综合利用</w:t>
                  </w:r>
                  <w:r>
                    <w:rPr>
                      <w:rFonts w:hint="default" w:ascii="Times New Roman" w:hAnsi="Times New Roman" w:eastAsia="宋体" w:cs="Times New Roman"/>
                      <w:color w:val="auto"/>
                      <w:spacing w:val="9"/>
                      <w:sz w:val="21"/>
                      <w:szCs w:val="21"/>
                      <w:highlight w:val="none"/>
                      <w:lang w:val="en-US" w:eastAsia="zh-CN"/>
                    </w:rPr>
                    <w:t>。废试剂瓶/桶、实验废液、废标液、废培养皿、废培养基、过期药品、过期试剂暂存于危废暂存间，交由有资质单位进行处置</w:t>
                  </w:r>
                  <w:r>
                    <w:rPr>
                      <w:rFonts w:hint="eastAsia" w:cs="Times New Roman"/>
                      <w:color w:val="auto"/>
                      <w:spacing w:val="9"/>
                      <w:sz w:val="21"/>
                      <w:szCs w:val="21"/>
                      <w:highlight w:val="none"/>
                      <w:lang w:val="en-US" w:eastAsia="zh-CN"/>
                    </w:rPr>
                    <w:t>。</w:t>
                  </w:r>
                </w:p>
              </w:tc>
              <w:tc>
                <w:tcPr>
                  <w:tcW w:w="391" w:type="pct"/>
                  <w:tcBorders>
                    <w:tl2br w:val="nil"/>
                    <w:tr2bl w:val="nil"/>
                  </w:tcBorders>
                  <w:noWrap w:val="0"/>
                  <w:tcMar>
                    <w:top w:w="0" w:type="dxa"/>
                    <w:left w:w="51" w:type="dxa"/>
                    <w:bottom w:w="0" w:type="dxa"/>
                    <w:right w:w="51" w:type="dxa"/>
                  </w:tcMar>
                  <w:vAlign w:val="center"/>
                </w:tcPr>
                <w:p w14:paraId="704FD8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符合</w:t>
                  </w:r>
                </w:p>
              </w:tc>
            </w:tr>
            <w:tr w14:paraId="081DF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12" w:type="pct"/>
                  <w:vMerge w:val="continue"/>
                  <w:tcBorders>
                    <w:tl2br w:val="nil"/>
                    <w:tr2bl w:val="nil"/>
                  </w:tcBorders>
                  <w:noWrap w:val="0"/>
                  <w:tcMar>
                    <w:top w:w="0" w:type="dxa"/>
                    <w:left w:w="51" w:type="dxa"/>
                    <w:bottom w:w="0" w:type="dxa"/>
                    <w:right w:w="51" w:type="dxa"/>
                  </w:tcMar>
                  <w:vAlign w:val="center"/>
                </w:tcPr>
                <w:p w14:paraId="21E240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restart"/>
                  <w:tcBorders>
                    <w:tl2br w:val="nil"/>
                    <w:tr2bl w:val="nil"/>
                  </w:tcBorders>
                  <w:noWrap w:val="0"/>
                  <w:tcMar>
                    <w:top w:w="0" w:type="dxa"/>
                    <w:left w:w="51" w:type="dxa"/>
                    <w:bottom w:w="0" w:type="dxa"/>
                    <w:right w:w="51" w:type="dxa"/>
                  </w:tcMar>
                  <w:vAlign w:val="center"/>
                </w:tcPr>
                <w:p w14:paraId="71E151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A2.2</w:t>
                  </w:r>
                </w:p>
                <w:p w14:paraId="4F18FF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现有源提标升级改造</w:t>
                  </w:r>
                </w:p>
              </w:tc>
              <w:tc>
                <w:tcPr>
                  <w:tcW w:w="2185" w:type="pct"/>
                  <w:tcBorders>
                    <w:tl2br w:val="nil"/>
                    <w:tr2bl w:val="nil"/>
                  </w:tcBorders>
                  <w:noWrap w:val="0"/>
                  <w:tcMar>
                    <w:top w:w="0" w:type="dxa"/>
                    <w:left w:w="51" w:type="dxa"/>
                    <w:bottom w:w="0" w:type="dxa"/>
                    <w:right w:w="51" w:type="dxa"/>
                  </w:tcMar>
                  <w:vAlign w:val="center"/>
                </w:tcPr>
                <w:p w14:paraId="7EC22E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到2025年，65蒸吨/小时及以上燃煤锅炉(含电力)全面实现超低排放；所有燃气锅炉氮氧化物排放浓度低于50毫克/立方米。</w:t>
                  </w:r>
                </w:p>
              </w:tc>
              <w:tc>
                <w:tcPr>
                  <w:tcW w:w="1707" w:type="pct"/>
                  <w:tcBorders>
                    <w:tl2br w:val="nil"/>
                    <w:tr2bl w:val="nil"/>
                  </w:tcBorders>
                  <w:noWrap w:val="0"/>
                  <w:tcMar>
                    <w:top w:w="0" w:type="dxa"/>
                    <w:left w:w="51" w:type="dxa"/>
                    <w:bottom w:w="0" w:type="dxa"/>
                    <w:right w:w="51" w:type="dxa"/>
                  </w:tcMar>
                  <w:vAlign w:val="center"/>
                </w:tcPr>
                <w:p w14:paraId="741862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本项目不涉及燃煤锅炉的建设</w:t>
                  </w:r>
                  <w:r>
                    <w:rPr>
                      <w:rFonts w:hint="eastAsia" w:cs="Times New Roman"/>
                      <w:b w:val="0"/>
                      <w:bCs w:val="0"/>
                      <w:color w:val="auto"/>
                      <w:sz w:val="21"/>
                      <w:szCs w:val="21"/>
                      <w:highlight w:val="none"/>
                      <w:lang w:val="en-US" w:eastAsia="zh-CN"/>
                    </w:rPr>
                    <w:t>。</w:t>
                  </w:r>
                </w:p>
              </w:tc>
              <w:tc>
                <w:tcPr>
                  <w:tcW w:w="391" w:type="pct"/>
                  <w:tcBorders>
                    <w:tl2br w:val="nil"/>
                    <w:tr2bl w:val="nil"/>
                  </w:tcBorders>
                  <w:noWrap w:val="0"/>
                  <w:tcMar>
                    <w:top w:w="0" w:type="dxa"/>
                    <w:left w:w="51" w:type="dxa"/>
                    <w:bottom w:w="0" w:type="dxa"/>
                    <w:right w:w="51" w:type="dxa"/>
                  </w:tcMar>
                  <w:vAlign w:val="center"/>
                </w:tcPr>
                <w:p w14:paraId="23474D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符合</w:t>
                  </w:r>
                </w:p>
              </w:tc>
            </w:tr>
            <w:tr w14:paraId="72E88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12" w:type="pct"/>
                  <w:vMerge w:val="continue"/>
                  <w:tcBorders>
                    <w:tl2br w:val="nil"/>
                    <w:tr2bl w:val="nil"/>
                  </w:tcBorders>
                  <w:noWrap w:val="0"/>
                  <w:tcMar>
                    <w:top w:w="0" w:type="dxa"/>
                    <w:left w:w="51" w:type="dxa"/>
                    <w:bottom w:w="0" w:type="dxa"/>
                    <w:right w:w="51" w:type="dxa"/>
                  </w:tcMar>
                  <w:vAlign w:val="center"/>
                </w:tcPr>
                <w:p w14:paraId="525899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p>
              </w:tc>
              <w:tc>
                <w:tcPr>
                  <w:tcW w:w="403" w:type="pct"/>
                  <w:vMerge w:val="continue"/>
                  <w:tcBorders>
                    <w:tl2br w:val="nil"/>
                    <w:tr2bl w:val="nil"/>
                  </w:tcBorders>
                  <w:noWrap w:val="0"/>
                  <w:tcMar>
                    <w:top w:w="0" w:type="dxa"/>
                    <w:left w:w="51" w:type="dxa"/>
                    <w:bottom w:w="0" w:type="dxa"/>
                    <w:right w:w="51" w:type="dxa"/>
                  </w:tcMar>
                  <w:vAlign w:val="center"/>
                </w:tcPr>
                <w:p w14:paraId="541686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p>
              </w:tc>
              <w:tc>
                <w:tcPr>
                  <w:tcW w:w="2185" w:type="pct"/>
                  <w:tcBorders>
                    <w:tl2br w:val="nil"/>
                    <w:tr2bl w:val="nil"/>
                  </w:tcBorders>
                  <w:noWrap w:val="0"/>
                  <w:tcMar>
                    <w:top w:w="0" w:type="dxa"/>
                    <w:left w:w="51" w:type="dxa"/>
                    <w:bottom w:w="0" w:type="dxa"/>
                    <w:right w:w="51" w:type="dxa"/>
                  </w:tcMar>
                  <w:vAlign w:val="center"/>
                </w:tcPr>
                <w:p w14:paraId="6794D2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探索畜禽养殖“出户入园”模式，落实“一控两减三利用”，减少化肥和农药使用量；实现畜禽粪便、农作物秸秆、农膜资源化利用，到2025年，农业废弃物综合利用率达到94%以上。</w:t>
                  </w:r>
                </w:p>
              </w:tc>
              <w:tc>
                <w:tcPr>
                  <w:tcW w:w="1707" w:type="pct"/>
                  <w:tcBorders>
                    <w:tl2br w:val="nil"/>
                    <w:tr2bl w:val="nil"/>
                  </w:tcBorders>
                  <w:noWrap w:val="0"/>
                  <w:tcMar>
                    <w:top w:w="0" w:type="dxa"/>
                    <w:left w:w="51" w:type="dxa"/>
                    <w:bottom w:w="0" w:type="dxa"/>
                    <w:right w:w="51" w:type="dxa"/>
                  </w:tcMar>
                  <w:vAlign w:val="center"/>
                </w:tcPr>
                <w:p w14:paraId="559A0E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本项目不</w:t>
                  </w:r>
                  <w:r>
                    <w:rPr>
                      <w:rFonts w:hint="eastAsia" w:cs="Times New Roman"/>
                      <w:b w:val="0"/>
                      <w:bCs w:val="0"/>
                      <w:color w:val="auto"/>
                      <w:sz w:val="21"/>
                      <w:szCs w:val="21"/>
                      <w:highlight w:val="none"/>
                      <w:lang w:val="en-US" w:eastAsia="zh-CN"/>
                    </w:rPr>
                    <w:t>涉及。</w:t>
                  </w:r>
                </w:p>
              </w:tc>
              <w:tc>
                <w:tcPr>
                  <w:tcW w:w="391" w:type="pct"/>
                  <w:tcBorders>
                    <w:tl2br w:val="nil"/>
                    <w:tr2bl w:val="nil"/>
                  </w:tcBorders>
                  <w:noWrap w:val="0"/>
                  <w:tcMar>
                    <w:top w:w="0" w:type="dxa"/>
                    <w:left w:w="51" w:type="dxa"/>
                    <w:bottom w:w="0" w:type="dxa"/>
                    <w:right w:w="51" w:type="dxa"/>
                  </w:tcMar>
                  <w:vAlign w:val="center"/>
                </w:tcPr>
                <w:p w14:paraId="60E32D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符合</w:t>
                  </w:r>
                </w:p>
              </w:tc>
            </w:tr>
            <w:tr w14:paraId="4EF5D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12" w:type="pct"/>
                  <w:vMerge w:val="restart"/>
                  <w:tcBorders>
                    <w:tl2br w:val="nil"/>
                    <w:tr2bl w:val="nil"/>
                  </w:tcBorders>
                  <w:noWrap w:val="0"/>
                  <w:tcMar>
                    <w:top w:w="0" w:type="dxa"/>
                    <w:left w:w="51" w:type="dxa"/>
                    <w:bottom w:w="0" w:type="dxa"/>
                    <w:right w:w="51" w:type="dxa"/>
                  </w:tcMar>
                  <w:vAlign w:val="center"/>
                </w:tcPr>
                <w:p w14:paraId="720B58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A3</w:t>
                  </w:r>
                </w:p>
                <w:p w14:paraId="5D3DB3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环境风险防控</w:t>
                  </w:r>
                </w:p>
              </w:tc>
              <w:tc>
                <w:tcPr>
                  <w:tcW w:w="403" w:type="pct"/>
                  <w:vMerge w:val="restart"/>
                  <w:tcBorders>
                    <w:tl2br w:val="nil"/>
                    <w:tr2bl w:val="nil"/>
                  </w:tcBorders>
                  <w:noWrap w:val="0"/>
                  <w:tcMar>
                    <w:top w:w="0" w:type="dxa"/>
                    <w:left w:w="51" w:type="dxa"/>
                    <w:bottom w:w="0" w:type="dxa"/>
                    <w:right w:w="51" w:type="dxa"/>
                  </w:tcMar>
                  <w:vAlign w:val="center"/>
                </w:tcPr>
                <w:p w14:paraId="39275E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A3.1</w:t>
                  </w:r>
                </w:p>
                <w:p w14:paraId="77CA50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联防联控要求</w:t>
                  </w:r>
                </w:p>
              </w:tc>
              <w:tc>
                <w:tcPr>
                  <w:tcW w:w="2185" w:type="pct"/>
                  <w:tcBorders>
                    <w:tl2br w:val="nil"/>
                    <w:tr2bl w:val="nil"/>
                  </w:tcBorders>
                  <w:noWrap w:val="0"/>
                  <w:tcMar>
                    <w:top w:w="0" w:type="dxa"/>
                    <w:left w:w="51" w:type="dxa"/>
                    <w:bottom w:w="0" w:type="dxa"/>
                    <w:right w:w="51" w:type="dxa"/>
                  </w:tcMar>
                  <w:vAlign w:val="center"/>
                </w:tcPr>
                <w:p w14:paraId="057030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开展医疗、化工、石油开采和汽修等重点行业涉及危险废物排查整治，建立健全环境风险重点管控单位名录，严控危险废物贮存环节环境风险，严禁超期、超量贮存各类危险废物。</w:t>
                  </w:r>
                </w:p>
              </w:tc>
              <w:tc>
                <w:tcPr>
                  <w:tcW w:w="1707" w:type="pct"/>
                  <w:tcBorders>
                    <w:tl2br w:val="nil"/>
                    <w:tr2bl w:val="nil"/>
                  </w:tcBorders>
                  <w:noWrap w:val="0"/>
                  <w:tcMar>
                    <w:top w:w="0" w:type="dxa"/>
                    <w:left w:w="51" w:type="dxa"/>
                    <w:bottom w:w="0" w:type="dxa"/>
                    <w:right w:w="51" w:type="dxa"/>
                  </w:tcMar>
                  <w:vAlign w:val="center"/>
                </w:tcPr>
                <w:p w14:paraId="547CBE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本项目不属于医疗、化工、石油开采和汽修等重点行业</w:t>
                  </w:r>
                  <w:r>
                    <w:rPr>
                      <w:rFonts w:hint="eastAsia" w:cs="Times New Roman"/>
                      <w:b w:val="0"/>
                      <w:bCs w:val="0"/>
                      <w:color w:val="auto"/>
                      <w:sz w:val="21"/>
                      <w:szCs w:val="21"/>
                      <w:highlight w:val="none"/>
                      <w:lang w:val="en-US" w:eastAsia="zh-CN"/>
                    </w:rPr>
                    <w:t>。</w:t>
                  </w:r>
                </w:p>
              </w:tc>
              <w:tc>
                <w:tcPr>
                  <w:tcW w:w="391" w:type="pct"/>
                  <w:tcBorders>
                    <w:tl2br w:val="nil"/>
                    <w:tr2bl w:val="nil"/>
                  </w:tcBorders>
                  <w:noWrap w:val="0"/>
                  <w:tcMar>
                    <w:top w:w="0" w:type="dxa"/>
                    <w:left w:w="51" w:type="dxa"/>
                    <w:bottom w:w="0" w:type="dxa"/>
                    <w:right w:w="51" w:type="dxa"/>
                  </w:tcMar>
                  <w:vAlign w:val="center"/>
                </w:tcPr>
                <w:p w14:paraId="363661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符合</w:t>
                  </w:r>
                </w:p>
              </w:tc>
            </w:tr>
            <w:tr w14:paraId="53939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12" w:type="pct"/>
                  <w:vMerge w:val="continue"/>
                  <w:tcBorders>
                    <w:tl2br w:val="nil"/>
                    <w:tr2bl w:val="nil"/>
                  </w:tcBorders>
                  <w:noWrap w:val="0"/>
                  <w:tcMar>
                    <w:top w:w="0" w:type="dxa"/>
                    <w:left w:w="51" w:type="dxa"/>
                    <w:bottom w:w="0" w:type="dxa"/>
                    <w:right w:w="51" w:type="dxa"/>
                  </w:tcMar>
                  <w:vAlign w:val="center"/>
                </w:tcPr>
                <w:p w14:paraId="66A48D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p>
              </w:tc>
              <w:tc>
                <w:tcPr>
                  <w:tcW w:w="403" w:type="pct"/>
                  <w:vMerge w:val="continue"/>
                  <w:tcBorders>
                    <w:tl2br w:val="nil"/>
                    <w:tr2bl w:val="nil"/>
                  </w:tcBorders>
                  <w:noWrap w:val="0"/>
                  <w:tcMar>
                    <w:top w:w="0" w:type="dxa"/>
                    <w:left w:w="51" w:type="dxa"/>
                    <w:bottom w:w="0" w:type="dxa"/>
                    <w:right w:w="51" w:type="dxa"/>
                  </w:tcMar>
                  <w:vAlign w:val="center"/>
                </w:tcPr>
                <w:p w14:paraId="5DE8A9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p>
              </w:tc>
              <w:tc>
                <w:tcPr>
                  <w:tcW w:w="2185" w:type="pct"/>
                  <w:tcBorders>
                    <w:tl2br w:val="nil"/>
                    <w:tr2bl w:val="nil"/>
                  </w:tcBorders>
                  <w:noWrap w:val="0"/>
                  <w:tcMar>
                    <w:top w:w="0" w:type="dxa"/>
                    <w:left w:w="51" w:type="dxa"/>
                    <w:bottom w:w="0" w:type="dxa"/>
                    <w:right w:w="51" w:type="dxa"/>
                  </w:tcMar>
                  <w:vAlign w:val="center"/>
                </w:tcPr>
                <w:p w14:paraId="3D88BB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以环境风险较高的饮用水水源地保护区、交通干道和集中式污染处理设施等为重点，提高防范环境风险能力，规范化集中式污染处理设施日常运行维护，建设应急导流槽、事故调蓄池、应急闸坝等事故排水收集截留设施等预防性设施。</w:t>
                  </w:r>
                </w:p>
              </w:tc>
              <w:tc>
                <w:tcPr>
                  <w:tcW w:w="1707" w:type="pct"/>
                  <w:tcBorders>
                    <w:tl2br w:val="nil"/>
                    <w:tr2bl w:val="nil"/>
                  </w:tcBorders>
                  <w:noWrap w:val="0"/>
                  <w:tcMar>
                    <w:top w:w="0" w:type="dxa"/>
                    <w:left w:w="51" w:type="dxa"/>
                    <w:bottom w:w="0" w:type="dxa"/>
                    <w:right w:w="51" w:type="dxa"/>
                  </w:tcMar>
                  <w:vAlign w:val="center"/>
                </w:tcPr>
                <w:p w14:paraId="15B065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本项目不涉及</w:t>
                  </w:r>
                  <w:r>
                    <w:rPr>
                      <w:rFonts w:hint="eastAsia" w:cs="Times New Roman"/>
                      <w:b w:val="0"/>
                      <w:bCs w:val="0"/>
                      <w:color w:val="auto"/>
                      <w:kern w:val="2"/>
                      <w:sz w:val="21"/>
                      <w:szCs w:val="21"/>
                      <w:highlight w:val="none"/>
                      <w:lang w:val="en-US" w:eastAsia="zh-CN" w:bidi="ar-SA"/>
                    </w:rPr>
                    <w:t>。</w:t>
                  </w:r>
                </w:p>
              </w:tc>
              <w:tc>
                <w:tcPr>
                  <w:tcW w:w="391" w:type="pct"/>
                  <w:tcBorders>
                    <w:tl2br w:val="nil"/>
                    <w:tr2bl w:val="nil"/>
                  </w:tcBorders>
                  <w:noWrap w:val="0"/>
                  <w:tcMar>
                    <w:top w:w="0" w:type="dxa"/>
                    <w:left w:w="51" w:type="dxa"/>
                    <w:bottom w:w="0" w:type="dxa"/>
                    <w:right w:w="51" w:type="dxa"/>
                  </w:tcMar>
                  <w:vAlign w:val="center"/>
                </w:tcPr>
                <w:p w14:paraId="3A925C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符合</w:t>
                  </w:r>
                </w:p>
              </w:tc>
            </w:tr>
            <w:tr w14:paraId="16209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12" w:type="pct"/>
                  <w:vMerge w:val="continue"/>
                  <w:tcBorders>
                    <w:tl2br w:val="nil"/>
                    <w:tr2bl w:val="nil"/>
                  </w:tcBorders>
                  <w:noWrap w:val="0"/>
                  <w:tcMar>
                    <w:top w:w="0" w:type="dxa"/>
                    <w:left w:w="51" w:type="dxa"/>
                    <w:bottom w:w="0" w:type="dxa"/>
                    <w:right w:w="51" w:type="dxa"/>
                  </w:tcMar>
                  <w:vAlign w:val="center"/>
                </w:tcPr>
                <w:p w14:paraId="0FC86C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403" w:type="pct"/>
                  <w:vMerge w:val="continue"/>
                  <w:tcBorders>
                    <w:tl2br w:val="nil"/>
                    <w:tr2bl w:val="nil"/>
                  </w:tcBorders>
                  <w:noWrap w:val="0"/>
                  <w:tcMar>
                    <w:top w:w="0" w:type="dxa"/>
                    <w:left w:w="51" w:type="dxa"/>
                    <w:bottom w:w="0" w:type="dxa"/>
                    <w:right w:w="51" w:type="dxa"/>
                  </w:tcMar>
                  <w:vAlign w:val="center"/>
                </w:tcPr>
                <w:p w14:paraId="209EDD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185" w:type="pct"/>
                  <w:tcBorders>
                    <w:tl2br w:val="nil"/>
                    <w:tr2bl w:val="nil"/>
                  </w:tcBorders>
                  <w:noWrap w:val="0"/>
                  <w:tcMar>
                    <w:top w:w="0" w:type="dxa"/>
                    <w:left w:w="51" w:type="dxa"/>
                    <w:bottom w:w="0" w:type="dxa"/>
                    <w:right w:w="51" w:type="dxa"/>
                  </w:tcMar>
                  <w:vAlign w:val="center"/>
                </w:tcPr>
                <w:p w14:paraId="78A1D2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健全突发环境事件应急预案体系，推进跨区域、跨流域环境应急联动。</w:t>
                  </w:r>
                </w:p>
              </w:tc>
              <w:tc>
                <w:tcPr>
                  <w:tcW w:w="1707" w:type="pct"/>
                  <w:tcBorders>
                    <w:tl2br w:val="nil"/>
                    <w:tr2bl w:val="nil"/>
                  </w:tcBorders>
                  <w:noWrap w:val="0"/>
                  <w:tcMar>
                    <w:top w:w="0" w:type="dxa"/>
                    <w:left w:w="51" w:type="dxa"/>
                    <w:bottom w:w="0" w:type="dxa"/>
                    <w:right w:w="51" w:type="dxa"/>
                  </w:tcMar>
                  <w:vAlign w:val="center"/>
                </w:tcPr>
                <w:p w14:paraId="46B350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本项目不涉及。</w:t>
                  </w:r>
                </w:p>
              </w:tc>
              <w:tc>
                <w:tcPr>
                  <w:tcW w:w="391" w:type="pct"/>
                  <w:tcBorders>
                    <w:tl2br w:val="nil"/>
                    <w:tr2bl w:val="nil"/>
                  </w:tcBorders>
                  <w:noWrap w:val="0"/>
                  <w:tcMar>
                    <w:top w:w="0" w:type="dxa"/>
                    <w:left w:w="51" w:type="dxa"/>
                    <w:bottom w:w="0" w:type="dxa"/>
                    <w:right w:w="51" w:type="dxa"/>
                  </w:tcMar>
                  <w:vAlign w:val="center"/>
                </w:tcPr>
                <w:p w14:paraId="3137EB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符合</w:t>
                  </w:r>
                </w:p>
              </w:tc>
            </w:tr>
            <w:tr w14:paraId="36F49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12" w:type="pct"/>
                  <w:vMerge w:val="restart"/>
                  <w:tcBorders>
                    <w:tl2br w:val="nil"/>
                    <w:tr2bl w:val="nil"/>
                  </w:tcBorders>
                  <w:noWrap w:val="0"/>
                  <w:tcMar>
                    <w:top w:w="0" w:type="dxa"/>
                    <w:left w:w="51" w:type="dxa"/>
                    <w:bottom w:w="0" w:type="dxa"/>
                    <w:right w:w="51" w:type="dxa"/>
                  </w:tcMar>
                  <w:vAlign w:val="center"/>
                </w:tcPr>
                <w:p w14:paraId="1D217F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A4</w:t>
                  </w:r>
                </w:p>
                <w:p w14:paraId="147F0C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资源利用效率要求</w:t>
                  </w:r>
                </w:p>
              </w:tc>
              <w:tc>
                <w:tcPr>
                  <w:tcW w:w="403" w:type="pct"/>
                  <w:vMerge w:val="restart"/>
                  <w:tcBorders>
                    <w:tl2br w:val="nil"/>
                    <w:tr2bl w:val="nil"/>
                  </w:tcBorders>
                  <w:noWrap w:val="0"/>
                  <w:tcMar>
                    <w:top w:w="0" w:type="dxa"/>
                    <w:left w:w="51" w:type="dxa"/>
                    <w:bottom w:w="0" w:type="dxa"/>
                    <w:right w:w="51" w:type="dxa"/>
                  </w:tcMar>
                  <w:vAlign w:val="center"/>
                </w:tcPr>
                <w:p w14:paraId="3745E8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A4.1</w:t>
                  </w:r>
                </w:p>
                <w:p w14:paraId="6700DA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能源利用总量及效率要求</w:t>
                  </w:r>
                </w:p>
              </w:tc>
              <w:tc>
                <w:tcPr>
                  <w:tcW w:w="2185" w:type="pct"/>
                  <w:tcBorders>
                    <w:tl2br w:val="nil"/>
                    <w:tr2bl w:val="nil"/>
                  </w:tcBorders>
                  <w:noWrap w:val="0"/>
                  <w:tcMar>
                    <w:top w:w="0" w:type="dxa"/>
                    <w:left w:w="51" w:type="dxa"/>
                    <w:bottom w:w="0" w:type="dxa"/>
                    <w:right w:w="51" w:type="dxa"/>
                  </w:tcMar>
                  <w:vAlign w:val="center"/>
                </w:tcPr>
                <w:p w14:paraId="5607ED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实行煤炭消费总量控制，严控高耗煤行业新增项目。</w:t>
                  </w:r>
                </w:p>
              </w:tc>
              <w:tc>
                <w:tcPr>
                  <w:tcW w:w="1707" w:type="pct"/>
                  <w:vMerge w:val="restart"/>
                  <w:tcBorders>
                    <w:tl2br w:val="nil"/>
                    <w:tr2bl w:val="nil"/>
                  </w:tcBorders>
                  <w:noWrap w:val="0"/>
                  <w:tcMar>
                    <w:top w:w="0" w:type="dxa"/>
                    <w:left w:w="51" w:type="dxa"/>
                    <w:bottom w:w="0" w:type="dxa"/>
                    <w:right w:w="51" w:type="dxa"/>
                  </w:tcMar>
                  <w:vAlign w:val="center"/>
                </w:tcPr>
                <w:p w14:paraId="1B2A07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本项目不涉及煤炭的使用</w:t>
                  </w:r>
                  <w:r>
                    <w:rPr>
                      <w:rFonts w:hint="eastAsia" w:cs="Times New Roman"/>
                      <w:b w:val="0"/>
                      <w:bCs w:val="0"/>
                      <w:color w:val="auto"/>
                      <w:sz w:val="21"/>
                      <w:szCs w:val="21"/>
                      <w:highlight w:val="none"/>
                      <w:lang w:val="en-US" w:eastAsia="zh-CN"/>
                    </w:rPr>
                    <w:t>。</w:t>
                  </w:r>
                </w:p>
              </w:tc>
              <w:tc>
                <w:tcPr>
                  <w:tcW w:w="391" w:type="pct"/>
                  <w:vMerge w:val="restart"/>
                  <w:tcBorders>
                    <w:tl2br w:val="nil"/>
                    <w:tr2bl w:val="nil"/>
                  </w:tcBorders>
                  <w:noWrap w:val="0"/>
                  <w:tcMar>
                    <w:top w:w="0" w:type="dxa"/>
                    <w:left w:w="51" w:type="dxa"/>
                    <w:bottom w:w="0" w:type="dxa"/>
                    <w:right w:w="51" w:type="dxa"/>
                  </w:tcMar>
                  <w:vAlign w:val="center"/>
                </w:tcPr>
                <w:p w14:paraId="08DFEC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14:paraId="7B49E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12" w:type="pct"/>
                  <w:vMerge w:val="continue"/>
                  <w:tcBorders>
                    <w:tl2br w:val="nil"/>
                    <w:tr2bl w:val="nil"/>
                  </w:tcBorders>
                  <w:noWrap w:val="0"/>
                  <w:tcMar>
                    <w:top w:w="0" w:type="dxa"/>
                    <w:left w:w="51" w:type="dxa"/>
                    <w:bottom w:w="0" w:type="dxa"/>
                    <w:right w:w="51" w:type="dxa"/>
                  </w:tcMar>
                  <w:vAlign w:val="center"/>
                </w:tcPr>
                <w:p w14:paraId="0A4EC0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p>
              </w:tc>
              <w:tc>
                <w:tcPr>
                  <w:tcW w:w="403" w:type="pct"/>
                  <w:vMerge w:val="continue"/>
                  <w:tcBorders>
                    <w:tl2br w:val="nil"/>
                    <w:tr2bl w:val="nil"/>
                  </w:tcBorders>
                  <w:noWrap w:val="0"/>
                  <w:tcMar>
                    <w:top w:w="0" w:type="dxa"/>
                    <w:left w:w="51" w:type="dxa"/>
                    <w:bottom w:w="0" w:type="dxa"/>
                    <w:right w:w="51" w:type="dxa"/>
                  </w:tcMar>
                  <w:vAlign w:val="center"/>
                </w:tcPr>
                <w:p w14:paraId="66566E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p>
              </w:tc>
              <w:tc>
                <w:tcPr>
                  <w:tcW w:w="2185" w:type="pct"/>
                  <w:tcBorders>
                    <w:tl2br w:val="nil"/>
                    <w:tr2bl w:val="nil"/>
                  </w:tcBorders>
                  <w:noWrap w:val="0"/>
                  <w:tcMar>
                    <w:top w:w="0" w:type="dxa"/>
                    <w:left w:w="51" w:type="dxa"/>
                    <w:bottom w:w="0" w:type="dxa"/>
                    <w:right w:w="51" w:type="dxa"/>
                  </w:tcMar>
                  <w:vAlign w:val="center"/>
                </w:tcPr>
                <w:p w14:paraId="565337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到2025年，全市单位地区生产总值能耗降低基本目标为13%，激励目标为14%。</w:t>
                  </w:r>
                </w:p>
              </w:tc>
              <w:tc>
                <w:tcPr>
                  <w:tcW w:w="1707" w:type="pct"/>
                  <w:vMerge w:val="continue"/>
                  <w:tcBorders>
                    <w:tl2br w:val="nil"/>
                    <w:tr2bl w:val="nil"/>
                  </w:tcBorders>
                  <w:noWrap w:val="0"/>
                  <w:tcMar>
                    <w:top w:w="0" w:type="dxa"/>
                    <w:left w:w="51" w:type="dxa"/>
                    <w:bottom w:w="0" w:type="dxa"/>
                    <w:right w:w="51" w:type="dxa"/>
                  </w:tcMar>
                  <w:vAlign w:val="center"/>
                </w:tcPr>
                <w:p w14:paraId="715D57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91" w:type="pct"/>
                  <w:vMerge w:val="continue"/>
                  <w:tcBorders>
                    <w:tl2br w:val="nil"/>
                    <w:tr2bl w:val="nil"/>
                  </w:tcBorders>
                  <w:noWrap w:val="0"/>
                  <w:tcMar>
                    <w:top w:w="0" w:type="dxa"/>
                    <w:left w:w="51" w:type="dxa"/>
                    <w:bottom w:w="0" w:type="dxa"/>
                    <w:right w:w="51" w:type="dxa"/>
                  </w:tcMar>
                  <w:vAlign w:val="center"/>
                </w:tcPr>
                <w:p w14:paraId="4DBA35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49E2E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312" w:type="pct"/>
                  <w:vMerge w:val="continue"/>
                  <w:tcBorders>
                    <w:tl2br w:val="nil"/>
                    <w:tr2bl w:val="nil"/>
                  </w:tcBorders>
                  <w:noWrap w:val="0"/>
                  <w:tcMar>
                    <w:top w:w="0" w:type="dxa"/>
                    <w:left w:w="51" w:type="dxa"/>
                    <w:bottom w:w="0" w:type="dxa"/>
                    <w:right w:w="51" w:type="dxa"/>
                  </w:tcMar>
                  <w:vAlign w:val="center"/>
                </w:tcPr>
                <w:p w14:paraId="62F47E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tcBorders>
                    <w:tl2br w:val="nil"/>
                    <w:tr2bl w:val="nil"/>
                  </w:tcBorders>
                  <w:noWrap w:val="0"/>
                  <w:tcMar>
                    <w:top w:w="0" w:type="dxa"/>
                    <w:left w:w="51" w:type="dxa"/>
                    <w:bottom w:w="0" w:type="dxa"/>
                    <w:right w:w="51" w:type="dxa"/>
                  </w:tcMar>
                  <w:vAlign w:val="center"/>
                </w:tcPr>
                <w:p w14:paraId="508940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A4.2</w:t>
                  </w:r>
                </w:p>
                <w:p w14:paraId="7F61DC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水资源利用总量及效率要求</w:t>
                  </w:r>
                </w:p>
              </w:tc>
              <w:tc>
                <w:tcPr>
                  <w:tcW w:w="2185" w:type="pct"/>
                  <w:tcBorders>
                    <w:tl2br w:val="nil"/>
                    <w:tr2bl w:val="nil"/>
                  </w:tcBorders>
                  <w:noWrap w:val="0"/>
                  <w:tcMar>
                    <w:top w:w="0" w:type="dxa"/>
                    <w:left w:w="51" w:type="dxa"/>
                    <w:bottom w:w="0" w:type="dxa"/>
                    <w:right w:w="51" w:type="dxa"/>
                  </w:tcMar>
                  <w:vAlign w:val="center"/>
                </w:tcPr>
                <w:p w14:paraId="32EA20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落实节水指标纳入县（区）政绩考核，对水资源超载地区实行用水和项目“双限批”，到2025年全市用水总量控制在2.90亿立方米，单位GDP用水量较2020年下降13%。积极推广农业成套综合节水技术，到2025年农田灌溉水有效利用系数达到0.79。</w:t>
                  </w:r>
                </w:p>
              </w:tc>
              <w:tc>
                <w:tcPr>
                  <w:tcW w:w="1707" w:type="pct"/>
                  <w:tcBorders>
                    <w:tl2br w:val="nil"/>
                    <w:tr2bl w:val="nil"/>
                  </w:tcBorders>
                  <w:noWrap w:val="0"/>
                  <w:tcMar>
                    <w:top w:w="0" w:type="dxa"/>
                    <w:left w:w="51" w:type="dxa"/>
                    <w:bottom w:w="0" w:type="dxa"/>
                    <w:right w:w="51" w:type="dxa"/>
                  </w:tcMar>
                  <w:vAlign w:val="center"/>
                </w:tcPr>
                <w:p w14:paraId="3CCBBA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本项目用水主要为职工生活用水</w:t>
                  </w:r>
                  <w:r>
                    <w:rPr>
                      <w:rFonts w:hint="eastAsia" w:cs="Times New Roman"/>
                      <w:b w:val="0"/>
                      <w:bCs w:val="0"/>
                      <w:color w:val="auto"/>
                      <w:sz w:val="21"/>
                      <w:szCs w:val="21"/>
                      <w:highlight w:val="none"/>
                      <w:lang w:val="en-US" w:eastAsia="zh-CN"/>
                    </w:rPr>
                    <w:t>与生产用水</w:t>
                  </w:r>
                  <w:r>
                    <w:rPr>
                      <w:rFonts w:hint="default" w:ascii="Times New Roman" w:hAnsi="Times New Roman" w:cs="Times New Roman"/>
                      <w:b w:val="0"/>
                      <w:bCs w:val="0"/>
                      <w:color w:val="auto"/>
                      <w:sz w:val="21"/>
                      <w:szCs w:val="21"/>
                      <w:highlight w:val="none"/>
                      <w:lang w:val="en-US" w:eastAsia="zh-CN"/>
                    </w:rPr>
                    <w:t>，用水量为</w:t>
                  </w:r>
                  <w:r>
                    <w:rPr>
                      <w:rFonts w:hint="eastAsia" w:cs="Times New Roman"/>
                      <w:color w:val="auto"/>
                      <w:kern w:val="0"/>
                      <w:sz w:val="21"/>
                      <w:szCs w:val="21"/>
                      <w:highlight w:val="none"/>
                      <w:lang w:val="en-US" w:eastAsia="zh-CN"/>
                    </w:rPr>
                    <w:t>6282</w:t>
                  </w:r>
                  <w:r>
                    <w:rPr>
                      <w:rFonts w:hint="default" w:ascii="Times New Roman" w:hAnsi="Times New Roman" w:cs="Times New Roman"/>
                      <w:b w:val="0"/>
                      <w:bCs w:val="0"/>
                      <w:color w:val="auto"/>
                      <w:sz w:val="21"/>
                      <w:szCs w:val="21"/>
                      <w:highlight w:val="none"/>
                      <w:lang w:val="en-US" w:eastAsia="zh-CN"/>
                    </w:rPr>
                    <w:t>m³/a，用水量较小，对区域水环境影响较小。</w:t>
                  </w:r>
                </w:p>
              </w:tc>
              <w:tc>
                <w:tcPr>
                  <w:tcW w:w="391" w:type="pct"/>
                  <w:tcBorders>
                    <w:tl2br w:val="nil"/>
                    <w:tr2bl w:val="nil"/>
                  </w:tcBorders>
                  <w:noWrap w:val="0"/>
                  <w:tcMar>
                    <w:top w:w="0" w:type="dxa"/>
                    <w:left w:w="51" w:type="dxa"/>
                    <w:bottom w:w="0" w:type="dxa"/>
                    <w:right w:w="51" w:type="dxa"/>
                  </w:tcMar>
                  <w:vAlign w:val="center"/>
                </w:tcPr>
                <w:p w14:paraId="671A20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符合</w:t>
                  </w:r>
                </w:p>
              </w:tc>
            </w:tr>
          </w:tbl>
          <w:p w14:paraId="6C53A787">
            <w:pPr>
              <w:adjustRightInd w:val="0"/>
              <w:ind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 xml:space="preserve">  固原市环境管控单元生态环境准入清单符合性分析一览表</w:t>
            </w:r>
          </w:p>
          <w:tbl>
            <w:tblPr>
              <w:tblStyle w:val="33"/>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84"/>
              <w:gridCol w:w="2538"/>
              <w:gridCol w:w="3838"/>
              <w:gridCol w:w="732"/>
            </w:tblGrid>
            <w:tr w14:paraId="697FD9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8" w:hRule="atLeast"/>
                <w:jc w:val="center"/>
              </w:trPr>
              <w:tc>
                <w:tcPr>
                  <w:tcW w:w="713" w:type="pct"/>
                  <w:tcBorders>
                    <w:tl2br w:val="nil"/>
                    <w:tr2bl w:val="nil"/>
                  </w:tcBorders>
                  <w:noWrap w:val="0"/>
                  <w:vAlign w:val="center"/>
                </w:tcPr>
                <w:p w14:paraId="6C285C1C">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1530" w:type="pct"/>
                  <w:tcBorders>
                    <w:tl2br w:val="nil"/>
                    <w:tr2bl w:val="nil"/>
                  </w:tcBorders>
                  <w:noWrap w:val="0"/>
                  <w:vAlign w:val="center"/>
                </w:tcPr>
                <w:p w14:paraId="6F03F4F5">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准入清单管控要求</w:t>
                  </w:r>
                </w:p>
              </w:tc>
              <w:tc>
                <w:tcPr>
                  <w:tcW w:w="2314" w:type="pct"/>
                  <w:tcBorders>
                    <w:tl2br w:val="nil"/>
                    <w:tr2bl w:val="nil"/>
                  </w:tcBorders>
                  <w:noWrap w:val="0"/>
                  <w:vAlign w:val="center"/>
                </w:tcPr>
                <w:p w14:paraId="3006F5B1">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本项目情况</w:t>
                  </w:r>
                </w:p>
              </w:tc>
              <w:tc>
                <w:tcPr>
                  <w:tcW w:w="441" w:type="pct"/>
                  <w:tcBorders>
                    <w:tl2br w:val="nil"/>
                    <w:tr2bl w:val="nil"/>
                  </w:tcBorders>
                  <w:noWrap w:val="0"/>
                  <w:tcMar>
                    <w:top w:w="0" w:type="dxa"/>
                    <w:left w:w="28" w:type="dxa"/>
                    <w:bottom w:w="0" w:type="dxa"/>
                    <w:right w:w="28" w:type="dxa"/>
                  </w:tcMar>
                  <w:vAlign w:val="center"/>
                </w:tcPr>
                <w:p w14:paraId="1BB2388E">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14:paraId="401E96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713" w:type="pct"/>
                  <w:tcBorders>
                    <w:tl2br w:val="nil"/>
                    <w:tr2bl w:val="nil"/>
                  </w:tcBorders>
                  <w:noWrap w:val="0"/>
                  <w:vAlign w:val="center"/>
                </w:tcPr>
                <w:p w14:paraId="07BCD0AD">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管控单元名称</w:t>
                  </w:r>
                </w:p>
              </w:tc>
              <w:tc>
                <w:tcPr>
                  <w:tcW w:w="1530" w:type="pct"/>
                  <w:tcBorders>
                    <w:tl2br w:val="nil"/>
                    <w:tr2bl w:val="nil"/>
                  </w:tcBorders>
                  <w:shd w:val="clear" w:color="auto" w:fill="auto"/>
                  <w:noWrap w:val="0"/>
                  <w:vAlign w:val="center"/>
                </w:tcPr>
                <w:p w14:paraId="799E6DF7">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泾源县优先保护单元3</w:t>
                  </w:r>
                </w:p>
              </w:tc>
              <w:tc>
                <w:tcPr>
                  <w:tcW w:w="2314" w:type="pct"/>
                  <w:vMerge w:val="restart"/>
                  <w:tcBorders>
                    <w:tl2br w:val="nil"/>
                    <w:tr2bl w:val="nil"/>
                  </w:tcBorders>
                  <w:noWrap w:val="0"/>
                  <w:vAlign w:val="center"/>
                </w:tcPr>
                <w:p w14:paraId="0F8F10D5">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泾河源镇蜂蜜加工包装车间建设工程</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六盘山镇中药材种苗培育基地建设工程</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六盘山镇中药材物流中转集散地建设工程</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六盘山镇中药材分拣包装晾晒车间建设工程</w:t>
                  </w:r>
                  <w:r>
                    <w:rPr>
                      <w:rFonts w:hint="eastAsia" w:cs="Times New Roman"/>
                      <w:b w:val="0"/>
                      <w:bCs w:val="0"/>
                      <w:color w:val="auto"/>
                      <w:sz w:val="21"/>
                      <w:szCs w:val="21"/>
                      <w:lang w:val="en-US" w:eastAsia="zh-CN"/>
                    </w:rPr>
                    <w:t>位</w:t>
                  </w:r>
                  <w:r>
                    <w:rPr>
                      <w:rFonts w:hint="default" w:ascii="Times New Roman" w:hAnsi="Times New Roman" w:eastAsia="宋体" w:cs="Times New Roman"/>
                      <w:b w:val="0"/>
                      <w:bCs w:val="0"/>
                      <w:color w:val="auto"/>
                      <w:sz w:val="21"/>
                      <w:szCs w:val="21"/>
                      <w:lang w:val="en-US" w:eastAsia="zh-CN"/>
                    </w:rPr>
                    <w:t>于</w:t>
                  </w:r>
                  <w:r>
                    <w:rPr>
                      <w:rFonts w:hint="eastAsia" w:cs="Times New Roman"/>
                      <w:b w:val="0"/>
                      <w:bCs w:val="0"/>
                      <w:color w:val="auto"/>
                      <w:sz w:val="21"/>
                      <w:szCs w:val="21"/>
                      <w:lang w:val="en-US" w:eastAsia="zh-CN"/>
                    </w:rPr>
                    <w:t>优先保护单元3</w:t>
                  </w:r>
                </w:p>
              </w:tc>
              <w:tc>
                <w:tcPr>
                  <w:tcW w:w="441" w:type="pct"/>
                  <w:vMerge w:val="restart"/>
                  <w:tcBorders>
                    <w:tl2br w:val="nil"/>
                    <w:tr2bl w:val="nil"/>
                  </w:tcBorders>
                  <w:noWrap w:val="0"/>
                  <w:tcMar>
                    <w:top w:w="0" w:type="dxa"/>
                    <w:left w:w="28" w:type="dxa"/>
                    <w:bottom w:w="0" w:type="dxa"/>
                    <w:right w:w="28" w:type="dxa"/>
                  </w:tcMar>
                  <w:vAlign w:val="center"/>
                </w:tcPr>
                <w:p w14:paraId="49FEACF9">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符合</w:t>
                  </w:r>
                </w:p>
              </w:tc>
            </w:tr>
            <w:tr w14:paraId="4A50AF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713" w:type="pct"/>
                  <w:tcBorders>
                    <w:tl2br w:val="nil"/>
                    <w:tr2bl w:val="nil"/>
                  </w:tcBorders>
                  <w:noWrap w:val="0"/>
                  <w:vAlign w:val="center"/>
                </w:tcPr>
                <w:p w14:paraId="712DB9D2">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序号</w:t>
                  </w:r>
                </w:p>
              </w:tc>
              <w:tc>
                <w:tcPr>
                  <w:tcW w:w="1530" w:type="pct"/>
                  <w:tcBorders>
                    <w:tl2br w:val="nil"/>
                    <w:tr2bl w:val="nil"/>
                  </w:tcBorders>
                  <w:shd w:val="clear" w:color="auto" w:fill="auto"/>
                  <w:noWrap w:val="0"/>
                  <w:vAlign w:val="center"/>
                </w:tcPr>
                <w:p w14:paraId="7816F269">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ZH64042410011</w:t>
                  </w:r>
                </w:p>
              </w:tc>
              <w:tc>
                <w:tcPr>
                  <w:tcW w:w="2314" w:type="pct"/>
                  <w:vMerge w:val="continue"/>
                  <w:tcBorders>
                    <w:tl2br w:val="nil"/>
                    <w:tr2bl w:val="nil"/>
                  </w:tcBorders>
                  <w:noWrap w:val="0"/>
                  <w:vAlign w:val="center"/>
                </w:tcPr>
                <w:p w14:paraId="4DC1C6FD">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441" w:type="pct"/>
                  <w:vMerge w:val="continue"/>
                  <w:tcBorders>
                    <w:tl2br w:val="nil"/>
                    <w:tr2bl w:val="nil"/>
                  </w:tcBorders>
                  <w:noWrap w:val="0"/>
                  <w:tcMar>
                    <w:top w:w="0" w:type="dxa"/>
                    <w:left w:w="28" w:type="dxa"/>
                    <w:bottom w:w="0" w:type="dxa"/>
                    <w:right w:w="28" w:type="dxa"/>
                  </w:tcMar>
                  <w:vAlign w:val="center"/>
                </w:tcPr>
                <w:p w14:paraId="1D76C15F">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14:paraId="2D05EA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13" w:type="pct"/>
                  <w:tcBorders>
                    <w:tl2br w:val="nil"/>
                    <w:tr2bl w:val="nil"/>
                  </w:tcBorders>
                  <w:noWrap w:val="0"/>
                  <w:vAlign w:val="center"/>
                </w:tcPr>
                <w:p w14:paraId="5DF4D794">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要素属性</w:t>
                  </w:r>
                </w:p>
              </w:tc>
              <w:tc>
                <w:tcPr>
                  <w:tcW w:w="1530" w:type="pct"/>
                  <w:tcBorders>
                    <w:tl2br w:val="nil"/>
                    <w:tr2bl w:val="nil"/>
                  </w:tcBorders>
                  <w:shd w:val="clear" w:color="auto" w:fill="auto"/>
                  <w:noWrap w:val="0"/>
                  <w:vAlign w:val="center"/>
                </w:tcPr>
                <w:p w14:paraId="77BB5E7B">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生态空间水环境优先保护区</w:t>
                  </w:r>
                </w:p>
              </w:tc>
              <w:tc>
                <w:tcPr>
                  <w:tcW w:w="2314" w:type="pct"/>
                  <w:vMerge w:val="continue"/>
                  <w:tcBorders>
                    <w:tl2br w:val="nil"/>
                    <w:tr2bl w:val="nil"/>
                  </w:tcBorders>
                  <w:noWrap w:val="0"/>
                  <w:vAlign w:val="center"/>
                </w:tcPr>
                <w:p w14:paraId="5BD8660E">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441" w:type="pct"/>
                  <w:vMerge w:val="continue"/>
                  <w:tcBorders>
                    <w:tl2br w:val="nil"/>
                    <w:tr2bl w:val="nil"/>
                  </w:tcBorders>
                  <w:noWrap w:val="0"/>
                  <w:tcMar>
                    <w:top w:w="0" w:type="dxa"/>
                    <w:left w:w="28" w:type="dxa"/>
                    <w:bottom w:w="0" w:type="dxa"/>
                    <w:right w:w="28" w:type="dxa"/>
                  </w:tcMar>
                  <w:vAlign w:val="center"/>
                </w:tcPr>
                <w:p w14:paraId="56B0B119">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14:paraId="17B688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713" w:type="pct"/>
                  <w:tcBorders>
                    <w:tl2br w:val="nil"/>
                    <w:tr2bl w:val="nil"/>
                  </w:tcBorders>
                  <w:shd w:val="clear" w:color="auto" w:fill="auto"/>
                  <w:noWrap w:val="0"/>
                  <w:vAlign w:val="center"/>
                </w:tcPr>
                <w:p w14:paraId="42518849">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空间布局约束</w:t>
                  </w:r>
                </w:p>
              </w:tc>
              <w:tc>
                <w:tcPr>
                  <w:tcW w:w="1530" w:type="pct"/>
                  <w:tcBorders>
                    <w:tl2br w:val="nil"/>
                    <w:tr2bl w:val="nil"/>
                  </w:tcBorders>
                  <w:shd w:val="clear" w:color="auto" w:fill="auto"/>
                  <w:noWrap w:val="0"/>
                  <w:vAlign w:val="center"/>
                </w:tcPr>
                <w:p w14:paraId="02025E8C">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1.禁止在二十五度以上陡坡地开垦种植农作物。</w:t>
                  </w:r>
                </w:p>
                <w:p w14:paraId="3F6810D8">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生态保护红线内，除国家重大战略项目以及对生态功能不造成破坏的十类有限人为活动之外，严格禁止各类开发性、生产性建设活动。一般生态空间内，在生态保护红线正面清单的基础上，仅允许开展生态修复等对生态环境扰动较小、不损害或有利于提升生态功能的开发项目。生态保护红线和一般生态空间以外的其他区域，除国家、自治区重大战略规划项目和不可避让生态红线的十类建设项目外，禁止新建排放污染物的各类工业和规模化养殖项目。</w:t>
                  </w:r>
                </w:p>
              </w:tc>
              <w:tc>
                <w:tcPr>
                  <w:tcW w:w="2314" w:type="pct"/>
                  <w:tcBorders>
                    <w:tl2br w:val="nil"/>
                    <w:tr2bl w:val="nil"/>
                  </w:tcBorders>
                  <w:noWrap w:val="0"/>
                  <w:vAlign w:val="center"/>
                </w:tcPr>
                <w:p w14:paraId="7AD28D8D">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1.本项目在现有耕地进行中药材种植，不涉及在</w:t>
                  </w:r>
                  <w:r>
                    <w:rPr>
                      <w:rFonts w:hint="default" w:ascii="Times New Roman" w:hAnsi="Times New Roman" w:eastAsia="宋体" w:cs="Times New Roman"/>
                      <w:b w:val="0"/>
                      <w:bCs w:val="0"/>
                      <w:color w:val="auto"/>
                      <w:kern w:val="2"/>
                      <w:sz w:val="21"/>
                      <w:szCs w:val="21"/>
                      <w:lang w:val="en-US" w:eastAsia="zh-CN" w:bidi="ar-SA"/>
                    </w:rPr>
                    <w:t>二十五度以上陡坡地开垦种植农作物。</w:t>
                  </w:r>
                </w:p>
                <w:p w14:paraId="45228005">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2.本项目不涉及。</w:t>
                  </w:r>
                </w:p>
              </w:tc>
              <w:tc>
                <w:tcPr>
                  <w:tcW w:w="441" w:type="pct"/>
                  <w:tcBorders>
                    <w:tl2br w:val="nil"/>
                    <w:tr2bl w:val="nil"/>
                  </w:tcBorders>
                  <w:noWrap w:val="0"/>
                  <w:tcMar>
                    <w:top w:w="0" w:type="dxa"/>
                    <w:left w:w="28" w:type="dxa"/>
                    <w:bottom w:w="0" w:type="dxa"/>
                    <w:right w:w="28" w:type="dxa"/>
                  </w:tcMar>
                  <w:vAlign w:val="center"/>
                </w:tcPr>
                <w:p w14:paraId="588298BD">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符合</w:t>
                  </w:r>
                </w:p>
              </w:tc>
            </w:tr>
            <w:tr w14:paraId="6650F9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713" w:type="pct"/>
                  <w:tcBorders>
                    <w:tl2br w:val="nil"/>
                    <w:tr2bl w:val="nil"/>
                  </w:tcBorders>
                  <w:shd w:val="clear" w:color="auto" w:fill="auto"/>
                  <w:noWrap w:val="0"/>
                  <w:vAlign w:val="center"/>
                </w:tcPr>
                <w:p w14:paraId="0BBC2133">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污染排放管控</w:t>
                  </w:r>
                </w:p>
              </w:tc>
              <w:tc>
                <w:tcPr>
                  <w:tcW w:w="1530" w:type="pct"/>
                  <w:tcBorders>
                    <w:tl2br w:val="nil"/>
                    <w:tr2bl w:val="nil"/>
                  </w:tcBorders>
                  <w:shd w:val="clear" w:color="auto" w:fill="auto"/>
                  <w:noWrap w:val="0"/>
                  <w:vAlign w:val="center"/>
                </w:tcPr>
                <w:p w14:paraId="0E80BEF6">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w:t>
                  </w:r>
                </w:p>
              </w:tc>
              <w:tc>
                <w:tcPr>
                  <w:tcW w:w="2314" w:type="pct"/>
                  <w:tcBorders>
                    <w:tl2br w:val="nil"/>
                    <w:tr2bl w:val="nil"/>
                  </w:tcBorders>
                  <w:noWrap w:val="0"/>
                  <w:vAlign w:val="center"/>
                </w:tcPr>
                <w:p w14:paraId="76138B7C">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441" w:type="pct"/>
                  <w:tcBorders>
                    <w:tl2br w:val="nil"/>
                    <w:tr2bl w:val="nil"/>
                  </w:tcBorders>
                  <w:noWrap w:val="0"/>
                  <w:tcMar>
                    <w:top w:w="0" w:type="dxa"/>
                    <w:left w:w="28" w:type="dxa"/>
                    <w:bottom w:w="0" w:type="dxa"/>
                    <w:right w:w="28" w:type="dxa"/>
                  </w:tcMar>
                  <w:vAlign w:val="center"/>
                </w:tcPr>
                <w:p w14:paraId="64CD973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r>
            <w:tr w14:paraId="47E86C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713" w:type="pct"/>
                  <w:tcBorders>
                    <w:tl2br w:val="nil"/>
                    <w:tr2bl w:val="nil"/>
                  </w:tcBorders>
                  <w:shd w:val="clear" w:color="auto" w:fill="auto"/>
                  <w:noWrap w:val="0"/>
                  <w:vAlign w:val="center"/>
                </w:tcPr>
                <w:p w14:paraId="54A9CA9E">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环境风险防控</w:t>
                  </w:r>
                </w:p>
              </w:tc>
              <w:tc>
                <w:tcPr>
                  <w:tcW w:w="1530" w:type="pct"/>
                  <w:tcBorders>
                    <w:tl2br w:val="nil"/>
                    <w:tr2bl w:val="nil"/>
                  </w:tcBorders>
                  <w:shd w:val="clear" w:color="auto" w:fill="auto"/>
                  <w:noWrap w:val="0"/>
                  <w:vAlign w:val="center"/>
                </w:tcPr>
                <w:p w14:paraId="7E1190DA">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w:t>
                  </w:r>
                </w:p>
              </w:tc>
              <w:tc>
                <w:tcPr>
                  <w:tcW w:w="2314" w:type="pct"/>
                  <w:tcBorders>
                    <w:tl2br w:val="nil"/>
                    <w:tr2bl w:val="nil"/>
                  </w:tcBorders>
                  <w:noWrap w:val="0"/>
                  <w:vAlign w:val="center"/>
                </w:tcPr>
                <w:p w14:paraId="2D771766">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441" w:type="pct"/>
                  <w:tcBorders>
                    <w:tl2br w:val="nil"/>
                    <w:tr2bl w:val="nil"/>
                  </w:tcBorders>
                  <w:noWrap w:val="0"/>
                  <w:tcMar>
                    <w:top w:w="0" w:type="dxa"/>
                    <w:left w:w="28" w:type="dxa"/>
                    <w:bottom w:w="0" w:type="dxa"/>
                    <w:right w:w="28" w:type="dxa"/>
                  </w:tcMar>
                  <w:vAlign w:val="center"/>
                </w:tcPr>
                <w:p w14:paraId="786822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r>
            <w:tr w14:paraId="2031A1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713" w:type="pct"/>
                  <w:shd w:val="clear" w:color="auto" w:fill="auto"/>
                  <w:vAlign w:val="center"/>
                </w:tcPr>
                <w:p w14:paraId="59CA85CC">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资源开发效率</w:t>
                  </w:r>
                </w:p>
              </w:tc>
              <w:tc>
                <w:tcPr>
                  <w:tcW w:w="1530" w:type="pct"/>
                  <w:shd w:val="clear" w:color="auto" w:fill="auto"/>
                  <w:vAlign w:val="center"/>
                </w:tcPr>
                <w:p w14:paraId="708BDFD5">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w:t>
                  </w:r>
                </w:p>
              </w:tc>
              <w:tc>
                <w:tcPr>
                  <w:tcW w:w="2314" w:type="pct"/>
                  <w:vAlign w:val="center"/>
                </w:tcPr>
                <w:p w14:paraId="0CF98E8F">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w:t>
                  </w:r>
                </w:p>
              </w:tc>
              <w:tc>
                <w:tcPr>
                  <w:tcW w:w="441" w:type="pct"/>
                  <w:vAlign w:val="center"/>
                </w:tcPr>
                <w:p w14:paraId="751AE3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w:t>
                  </w:r>
                </w:p>
              </w:tc>
            </w:tr>
            <w:tr w14:paraId="605F3F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713" w:type="pct"/>
                  <w:shd w:val="clear" w:color="auto" w:fill="auto"/>
                  <w:vAlign w:val="center"/>
                </w:tcPr>
                <w:p w14:paraId="2B9FBEB2">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类别</w:t>
                  </w:r>
                </w:p>
              </w:tc>
              <w:tc>
                <w:tcPr>
                  <w:tcW w:w="1530" w:type="pct"/>
                  <w:shd w:val="clear" w:color="auto" w:fill="auto"/>
                  <w:vAlign w:val="center"/>
                </w:tcPr>
                <w:p w14:paraId="52CC1E28">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准入清单管控要求</w:t>
                  </w:r>
                </w:p>
              </w:tc>
              <w:tc>
                <w:tcPr>
                  <w:tcW w:w="2314" w:type="pct"/>
                  <w:shd w:val="clear" w:color="auto" w:fill="auto"/>
                  <w:vAlign w:val="center"/>
                </w:tcPr>
                <w:p w14:paraId="5BACDE83">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本项目情况</w:t>
                  </w:r>
                </w:p>
              </w:tc>
              <w:tc>
                <w:tcPr>
                  <w:tcW w:w="441" w:type="pct"/>
                  <w:shd w:val="clear" w:color="auto" w:fill="auto"/>
                  <w:vAlign w:val="center"/>
                </w:tcPr>
                <w:p w14:paraId="154D16B6">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符合性</w:t>
                  </w:r>
                </w:p>
              </w:tc>
            </w:tr>
            <w:tr w14:paraId="51F81D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0" w:type="auto"/>
                  <w:shd w:val="clear" w:color="auto" w:fill="auto"/>
                  <w:vAlign w:val="center"/>
                </w:tcPr>
                <w:p w14:paraId="43E8F977">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管控单元名称</w:t>
                  </w:r>
                </w:p>
              </w:tc>
              <w:tc>
                <w:tcPr>
                  <w:tcW w:w="0" w:type="auto"/>
                  <w:shd w:val="clear" w:color="auto" w:fill="auto"/>
                  <w:vAlign w:val="center"/>
                </w:tcPr>
                <w:p w14:paraId="6B81BF75">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泾源县优先保护</w:t>
                  </w:r>
                  <w:r>
                    <w:rPr>
                      <w:rFonts w:hint="eastAsia" w:cs="Times New Roman"/>
                      <w:b w:val="0"/>
                      <w:bCs w:val="0"/>
                      <w:color w:val="auto"/>
                      <w:kern w:val="2"/>
                      <w:sz w:val="21"/>
                      <w:szCs w:val="21"/>
                      <w:lang w:val="en-US" w:eastAsia="zh-CN" w:bidi="ar-SA"/>
                    </w:rPr>
                    <w:t>单元7</w:t>
                  </w:r>
                </w:p>
              </w:tc>
              <w:tc>
                <w:tcPr>
                  <w:tcW w:w="2314" w:type="pct"/>
                  <w:vMerge w:val="restart"/>
                  <w:shd w:val="clear" w:color="auto" w:fill="auto"/>
                  <w:vAlign w:val="center"/>
                </w:tcPr>
                <w:p w14:paraId="5B98DA34">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大湾乡中药材分拣包装晾晒车间建设工程位于</w:t>
                  </w:r>
                  <w:r>
                    <w:rPr>
                      <w:rFonts w:hint="eastAsia" w:cs="Times New Roman"/>
                      <w:b w:val="0"/>
                      <w:bCs w:val="0"/>
                      <w:color w:val="auto"/>
                      <w:sz w:val="21"/>
                      <w:szCs w:val="21"/>
                      <w:lang w:val="en-US" w:eastAsia="zh-CN"/>
                    </w:rPr>
                    <w:t>优先保护单元7</w:t>
                  </w:r>
                </w:p>
              </w:tc>
              <w:tc>
                <w:tcPr>
                  <w:tcW w:w="0" w:type="auto"/>
                  <w:shd w:val="clear" w:color="auto" w:fill="auto"/>
                  <w:vAlign w:val="center"/>
                </w:tcPr>
                <w:p w14:paraId="02A47AEE">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符合</w:t>
                  </w:r>
                </w:p>
              </w:tc>
            </w:tr>
            <w:tr w14:paraId="270F7F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0" w:type="auto"/>
                  <w:shd w:val="clear" w:color="auto" w:fill="auto"/>
                  <w:vAlign w:val="center"/>
                </w:tcPr>
                <w:p w14:paraId="2B7D1EA4">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序号</w:t>
                  </w:r>
                </w:p>
              </w:tc>
              <w:tc>
                <w:tcPr>
                  <w:tcW w:w="0" w:type="auto"/>
                  <w:shd w:val="clear" w:color="auto" w:fill="auto"/>
                  <w:vAlign w:val="center"/>
                </w:tcPr>
                <w:p w14:paraId="62972B10">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ZH640424</w:t>
                  </w:r>
                  <w:r>
                    <w:rPr>
                      <w:rFonts w:hint="eastAsia" w:cs="Times New Roman"/>
                      <w:b w:val="0"/>
                      <w:bCs w:val="0"/>
                      <w:color w:val="auto"/>
                      <w:kern w:val="2"/>
                      <w:sz w:val="21"/>
                      <w:szCs w:val="21"/>
                      <w:lang w:val="en-US" w:eastAsia="zh-CN" w:bidi="ar-SA"/>
                    </w:rPr>
                    <w:t>10015</w:t>
                  </w:r>
                </w:p>
              </w:tc>
              <w:tc>
                <w:tcPr>
                  <w:tcW w:w="2314" w:type="pct"/>
                  <w:vMerge w:val="continue"/>
                </w:tcPr>
                <w:p w14:paraId="2DF0AB31">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eastAsia="宋体" w:cs="Times New Roman"/>
                      <w:b w:val="0"/>
                      <w:bCs w:val="0"/>
                      <w:color w:val="auto"/>
                      <w:sz w:val="21"/>
                      <w:szCs w:val="21"/>
                      <w:lang w:val="en-US" w:eastAsia="zh-CN"/>
                    </w:rPr>
                  </w:pPr>
                </w:p>
              </w:tc>
              <w:tc>
                <w:tcPr>
                  <w:tcW w:w="0" w:type="auto"/>
                </w:tcPr>
                <w:p w14:paraId="03A3B85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b w:val="0"/>
                      <w:bCs w:val="0"/>
                      <w:color w:val="auto"/>
                      <w:sz w:val="21"/>
                      <w:szCs w:val="21"/>
                      <w:lang w:val="en-US" w:eastAsia="zh-CN"/>
                    </w:rPr>
                  </w:pPr>
                </w:p>
              </w:tc>
            </w:tr>
            <w:tr w14:paraId="117EEB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0" w:type="auto"/>
                  <w:shd w:val="clear" w:color="auto" w:fill="auto"/>
                  <w:vAlign w:val="center"/>
                </w:tcPr>
                <w:p w14:paraId="647F00F1">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要素属性</w:t>
                  </w:r>
                </w:p>
              </w:tc>
              <w:tc>
                <w:tcPr>
                  <w:tcW w:w="0" w:type="auto"/>
                  <w:shd w:val="clear" w:color="auto" w:fill="auto"/>
                  <w:vAlign w:val="center"/>
                </w:tcPr>
                <w:p w14:paraId="186AD940">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c>
                <w:tcPr>
                  <w:tcW w:w="2314" w:type="pct"/>
                  <w:vMerge w:val="continue"/>
                </w:tcPr>
                <w:p w14:paraId="1FD9B902">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eastAsia="宋体" w:cs="Times New Roman"/>
                      <w:b w:val="0"/>
                      <w:bCs w:val="0"/>
                      <w:color w:val="auto"/>
                      <w:sz w:val="21"/>
                      <w:szCs w:val="21"/>
                      <w:lang w:val="en-US" w:eastAsia="zh-CN"/>
                    </w:rPr>
                  </w:pPr>
                </w:p>
              </w:tc>
              <w:tc>
                <w:tcPr>
                  <w:tcW w:w="0" w:type="auto"/>
                </w:tcPr>
                <w:p w14:paraId="068E56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b w:val="0"/>
                      <w:bCs w:val="0"/>
                      <w:color w:val="auto"/>
                      <w:sz w:val="21"/>
                      <w:szCs w:val="21"/>
                      <w:lang w:val="en-US" w:eastAsia="zh-CN"/>
                    </w:rPr>
                  </w:pPr>
                </w:p>
              </w:tc>
            </w:tr>
            <w:tr w14:paraId="3EC420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39" w:hRule="atLeast"/>
                <w:jc w:val="center"/>
              </w:trPr>
              <w:tc>
                <w:tcPr>
                  <w:tcW w:w="713" w:type="pct"/>
                  <w:shd w:val="clear" w:color="auto" w:fill="auto"/>
                  <w:vAlign w:val="center"/>
                </w:tcPr>
                <w:p w14:paraId="77300B14">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空间布局约束</w:t>
                  </w:r>
                </w:p>
              </w:tc>
              <w:tc>
                <w:tcPr>
                  <w:tcW w:w="1530" w:type="pct"/>
                  <w:shd w:val="clear" w:color="auto" w:fill="auto"/>
                  <w:vAlign w:val="center"/>
                </w:tcPr>
                <w:p w14:paraId="1217A44E">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1.禁止在二十五度以上陡坡地开垦种植农作物。</w:t>
                  </w:r>
                </w:p>
                <w:p w14:paraId="1B8AD7AA">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生态保护红线内，除国家重大战略项目以及对生态功能不造成破坏的十类有限人为活动之外，严格禁止各类开发性、生产性建设活动。一般生态空间内，在生态保护红线正面清单的基础上，仅允许开展生态修复等对生态环境扰动较小、不损害或有利于提升生态功能的开发项目。生态保护红线和一般生态空间以外的其他区域，除国家、自治区重大战略规划项目和不可避让生态红线的十类建设项目外，禁止新建排放污染物的各类工业和规模化养殖项目。</w:t>
                  </w:r>
                </w:p>
              </w:tc>
              <w:tc>
                <w:tcPr>
                  <w:tcW w:w="2314" w:type="pct"/>
                  <w:shd w:val="clear" w:color="auto" w:fill="auto"/>
                  <w:vAlign w:val="center"/>
                </w:tcPr>
                <w:p w14:paraId="71F0BD6F">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1.本项目在现有耕地进行中药材种植，不涉及在</w:t>
                  </w:r>
                  <w:r>
                    <w:rPr>
                      <w:rFonts w:hint="default" w:ascii="Times New Roman" w:hAnsi="Times New Roman" w:eastAsia="宋体" w:cs="Times New Roman"/>
                      <w:b w:val="0"/>
                      <w:bCs w:val="0"/>
                      <w:color w:val="auto"/>
                      <w:kern w:val="2"/>
                      <w:sz w:val="21"/>
                      <w:szCs w:val="21"/>
                      <w:lang w:val="en-US" w:eastAsia="zh-CN" w:bidi="ar-SA"/>
                    </w:rPr>
                    <w:t>二十五度以上陡坡地开垦种植农作物。</w:t>
                  </w:r>
                </w:p>
                <w:p w14:paraId="18E316C0">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2.本项目不涉及。</w:t>
                  </w:r>
                </w:p>
              </w:tc>
              <w:tc>
                <w:tcPr>
                  <w:tcW w:w="441" w:type="pct"/>
                  <w:shd w:val="clear" w:color="auto" w:fill="auto"/>
                  <w:vAlign w:val="center"/>
                </w:tcPr>
                <w:p w14:paraId="25E1AE5D">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符合</w:t>
                  </w:r>
                </w:p>
              </w:tc>
            </w:tr>
            <w:tr w14:paraId="55A567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0" w:type="auto"/>
                  <w:shd w:val="clear" w:color="auto" w:fill="auto"/>
                  <w:vAlign w:val="center"/>
                </w:tcPr>
                <w:p w14:paraId="77859BA5">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污染排放管控</w:t>
                  </w:r>
                </w:p>
              </w:tc>
              <w:tc>
                <w:tcPr>
                  <w:tcW w:w="0" w:type="auto"/>
                  <w:shd w:val="clear" w:color="auto" w:fill="auto"/>
                  <w:vAlign w:val="center"/>
                </w:tcPr>
                <w:p w14:paraId="7F58C0F6">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w:t>
                  </w:r>
                </w:p>
              </w:tc>
              <w:tc>
                <w:tcPr>
                  <w:tcW w:w="0" w:type="auto"/>
                  <w:shd w:val="clear" w:color="auto" w:fill="auto"/>
                  <w:vAlign w:val="center"/>
                </w:tcPr>
                <w:p w14:paraId="107CE673">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c>
                <w:tcPr>
                  <w:tcW w:w="0" w:type="auto"/>
                  <w:shd w:val="clear" w:color="auto" w:fill="auto"/>
                  <w:vAlign w:val="center"/>
                </w:tcPr>
                <w:p w14:paraId="32D9FE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w:t>
                  </w:r>
                </w:p>
              </w:tc>
            </w:tr>
            <w:tr w14:paraId="2305B3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0" w:type="auto"/>
                  <w:shd w:val="clear" w:color="auto" w:fill="auto"/>
                  <w:vAlign w:val="center"/>
                </w:tcPr>
                <w:p w14:paraId="555CCB04">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环境风险防控</w:t>
                  </w:r>
                </w:p>
              </w:tc>
              <w:tc>
                <w:tcPr>
                  <w:tcW w:w="0" w:type="auto"/>
                  <w:shd w:val="clear" w:color="auto" w:fill="auto"/>
                  <w:vAlign w:val="center"/>
                </w:tcPr>
                <w:p w14:paraId="46176E91">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w:t>
                  </w:r>
                </w:p>
              </w:tc>
              <w:tc>
                <w:tcPr>
                  <w:tcW w:w="0" w:type="auto"/>
                  <w:shd w:val="clear" w:color="auto" w:fill="auto"/>
                  <w:vAlign w:val="center"/>
                </w:tcPr>
                <w:p w14:paraId="12E72551">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c>
                <w:tcPr>
                  <w:tcW w:w="0" w:type="auto"/>
                  <w:shd w:val="clear" w:color="auto" w:fill="auto"/>
                  <w:vAlign w:val="center"/>
                </w:tcPr>
                <w:p w14:paraId="2AA67C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w:t>
                  </w:r>
                </w:p>
              </w:tc>
            </w:tr>
            <w:tr w14:paraId="7BC9D6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0" w:type="auto"/>
                  <w:shd w:val="clear" w:color="auto" w:fill="auto"/>
                  <w:vAlign w:val="center"/>
                </w:tcPr>
                <w:p w14:paraId="4D97481C">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资源开发效率</w:t>
                  </w:r>
                </w:p>
              </w:tc>
              <w:tc>
                <w:tcPr>
                  <w:tcW w:w="0" w:type="auto"/>
                  <w:shd w:val="clear" w:color="auto" w:fill="auto"/>
                  <w:vAlign w:val="center"/>
                </w:tcPr>
                <w:p w14:paraId="2AEF06CA">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w:t>
                  </w:r>
                </w:p>
              </w:tc>
              <w:tc>
                <w:tcPr>
                  <w:tcW w:w="0" w:type="auto"/>
                  <w:shd w:val="clear" w:color="auto" w:fill="auto"/>
                  <w:vAlign w:val="center"/>
                </w:tcPr>
                <w:p w14:paraId="084D3C5E">
                  <w:pPr>
                    <w:keepNext w:val="0"/>
                    <w:keepLines w:val="0"/>
                    <w:pageBreakBefore w:val="0"/>
                    <w:widowControl w:val="0"/>
                    <w:tabs>
                      <w:tab w:val="left" w:pos="826"/>
                    </w:tabs>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w:t>
                  </w:r>
                </w:p>
              </w:tc>
              <w:tc>
                <w:tcPr>
                  <w:tcW w:w="0" w:type="auto"/>
                  <w:shd w:val="clear" w:color="auto" w:fill="auto"/>
                  <w:vAlign w:val="center"/>
                </w:tcPr>
                <w:p w14:paraId="16ACE8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w:t>
                  </w:r>
                </w:p>
              </w:tc>
            </w:tr>
          </w:tbl>
          <w:p w14:paraId="1D828389">
            <w:pPr>
              <w:adjustRightInd w:val="0"/>
              <w:snapToGrid w:val="0"/>
              <w:spacing w:line="360" w:lineRule="auto"/>
              <w:ind w:firstLine="480" w:firstLineChars="200"/>
              <w:rPr>
                <w:rFonts w:hint="default" w:ascii="Times New Roman" w:hAnsi="Times New Roman" w:eastAsia="仿宋_GB2312" w:cs="Times New Roman"/>
                <w:b w:val="0"/>
                <w:bCs/>
                <w:color w:val="auto"/>
                <w:spacing w:val="0"/>
                <w:kern w:val="0"/>
                <w:sz w:val="24"/>
                <w:szCs w:val="24"/>
                <w:lang w:val="en-US" w:eastAsia="zh-CN" w:bidi="ar-SA"/>
              </w:rPr>
            </w:pPr>
            <w:r>
              <w:rPr>
                <w:rFonts w:hint="default" w:ascii="Times New Roman" w:hAnsi="Times New Roman" w:eastAsia="仿宋_GB2312" w:cs="Times New Roman"/>
                <w:b w:val="0"/>
                <w:bCs/>
                <w:color w:val="auto"/>
                <w:spacing w:val="0"/>
                <w:kern w:val="0"/>
                <w:sz w:val="24"/>
                <w:szCs w:val="24"/>
                <w:lang w:val="en-US" w:eastAsia="zh-CN" w:bidi="ar-SA"/>
              </w:rPr>
              <w:t>综上，本项目的建设符合《固原市生态环境分区管控实施方案》（固政发</w:t>
            </w:r>
            <w:r>
              <w:rPr>
                <w:rFonts w:hint="eastAsia" w:eastAsia="仿宋_GB2312" w:cs="Times New Roman"/>
                <w:b w:val="0"/>
                <w:bCs/>
                <w:color w:val="auto"/>
                <w:spacing w:val="0"/>
                <w:kern w:val="0"/>
                <w:sz w:val="24"/>
                <w:szCs w:val="24"/>
                <w:lang w:val="en-US" w:eastAsia="zh-CN" w:bidi="ar-SA"/>
              </w:rPr>
              <w:t>〔2024〕28号</w:t>
            </w:r>
            <w:r>
              <w:rPr>
                <w:rFonts w:hint="default" w:ascii="Times New Roman" w:hAnsi="Times New Roman" w:eastAsia="仿宋_GB2312" w:cs="Times New Roman"/>
                <w:b w:val="0"/>
                <w:bCs/>
                <w:color w:val="auto"/>
                <w:spacing w:val="0"/>
                <w:kern w:val="0"/>
                <w:sz w:val="24"/>
                <w:szCs w:val="24"/>
                <w:lang w:val="en-US" w:eastAsia="zh-CN" w:bidi="ar-SA"/>
              </w:rPr>
              <w:t>）的相关要求。</w:t>
            </w:r>
          </w:p>
          <w:p w14:paraId="61D9070E">
            <w:pPr>
              <w:adjustRightInd w:val="0"/>
              <w:snapToGrid w:val="0"/>
              <w:spacing w:line="360" w:lineRule="auto"/>
              <w:rPr>
                <w:rFonts w:hint="default" w:ascii="Times New Roman" w:hAnsi="Times New Roman" w:eastAsia="仿宋_GB2312" w:cs="Times New Roman"/>
                <w:b/>
                <w:bCs w:val="0"/>
                <w:color w:val="auto"/>
                <w:spacing w:val="0"/>
                <w:kern w:val="0"/>
                <w:sz w:val="24"/>
                <w:szCs w:val="24"/>
                <w:lang w:val="en-US" w:eastAsia="zh-CN" w:bidi="ar-SA"/>
              </w:rPr>
            </w:pPr>
            <w:r>
              <w:rPr>
                <w:rFonts w:hint="default" w:ascii="Times New Roman" w:hAnsi="Times New Roman" w:eastAsia="仿宋_GB2312" w:cs="Times New Roman"/>
                <w:b/>
                <w:bCs w:val="0"/>
                <w:color w:val="auto"/>
                <w:spacing w:val="0"/>
                <w:kern w:val="0"/>
                <w:sz w:val="24"/>
                <w:szCs w:val="24"/>
                <w:lang w:val="en-US" w:eastAsia="zh-CN" w:bidi="ar-SA"/>
              </w:rPr>
              <w:t>2</w:t>
            </w:r>
            <w:r>
              <w:rPr>
                <w:rFonts w:hint="eastAsia" w:eastAsia="仿宋_GB2312" w:cs="Times New Roman"/>
                <w:b/>
                <w:bCs w:val="0"/>
                <w:color w:val="auto"/>
                <w:spacing w:val="0"/>
                <w:kern w:val="0"/>
                <w:sz w:val="24"/>
                <w:szCs w:val="24"/>
                <w:lang w:val="en-US" w:eastAsia="zh-CN" w:bidi="ar-SA"/>
              </w:rPr>
              <w:t>.</w:t>
            </w:r>
            <w:r>
              <w:rPr>
                <w:rFonts w:hint="default" w:ascii="Times New Roman" w:hAnsi="Times New Roman" w:eastAsia="仿宋_GB2312" w:cs="Times New Roman"/>
                <w:b/>
                <w:bCs w:val="0"/>
                <w:color w:val="auto"/>
                <w:spacing w:val="0"/>
                <w:kern w:val="0"/>
                <w:sz w:val="24"/>
                <w:szCs w:val="24"/>
                <w:lang w:val="en-US" w:eastAsia="zh-CN" w:bidi="ar-SA"/>
              </w:rPr>
              <w:t>与《宁夏回族自治区水生态环境保护 “十四五”规划》符合性分析</w:t>
            </w:r>
          </w:p>
          <w:p w14:paraId="2803E6EC">
            <w:pPr>
              <w:adjustRightInd w:val="0"/>
              <w:snapToGrid w:val="0"/>
              <w:spacing w:line="360" w:lineRule="auto"/>
              <w:ind w:firstLine="480" w:firstLineChars="200"/>
              <w:rPr>
                <w:rFonts w:hint="default" w:ascii="Times New Roman" w:hAnsi="Times New Roman" w:eastAsia="仿宋_GB2312" w:cs="Times New Roman"/>
                <w:b w:val="0"/>
                <w:bCs/>
                <w:color w:val="auto"/>
                <w:spacing w:val="0"/>
                <w:kern w:val="0"/>
                <w:sz w:val="24"/>
                <w:szCs w:val="24"/>
                <w:lang w:val="en-US" w:eastAsia="zh-CN" w:bidi="ar-SA"/>
              </w:rPr>
            </w:pPr>
            <w:r>
              <w:rPr>
                <w:rFonts w:hint="default" w:ascii="Times New Roman" w:hAnsi="Times New Roman" w:eastAsia="仿宋_GB2312" w:cs="Times New Roman"/>
                <w:b w:val="0"/>
                <w:bCs/>
                <w:color w:val="auto"/>
                <w:spacing w:val="0"/>
                <w:kern w:val="0"/>
                <w:sz w:val="24"/>
                <w:szCs w:val="24"/>
                <w:lang w:val="en-US" w:eastAsia="zh-CN" w:bidi="ar-SA"/>
              </w:rPr>
              <w:t>根据《宁夏回族自治区水生态环境保护 “十四五”规划》中“立足</w:t>
            </w:r>
            <w:r>
              <w:rPr>
                <w:rFonts w:hint="eastAsia" w:eastAsia="仿宋_GB2312" w:cs="Times New Roman"/>
                <w:b w:val="0"/>
                <w:bCs/>
                <w:color w:val="auto"/>
                <w:spacing w:val="0"/>
                <w:kern w:val="0"/>
                <w:sz w:val="24"/>
                <w:szCs w:val="24"/>
                <w:lang w:val="en-US" w:eastAsia="zh-CN" w:bidi="ar-SA"/>
              </w:rPr>
              <w:t>‘</w:t>
            </w:r>
            <w:r>
              <w:rPr>
                <w:rFonts w:hint="default" w:ascii="Times New Roman" w:hAnsi="Times New Roman" w:eastAsia="仿宋_GB2312" w:cs="Times New Roman"/>
                <w:b w:val="0"/>
                <w:bCs/>
                <w:color w:val="auto"/>
                <w:spacing w:val="0"/>
                <w:kern w:val="0"/>
                <w:sz w:val="24"/>
                <w:szCs w:val="24"/>
                <w:lang w:val="en-US" w:eastAsia="zh-CN" w:bidi="ar-SA"/>
              </w:rPr>
              <w:t>一带三区</w:t>
            </w:r>
            <w:r>
              <w:rPr>
                <w:rFonts w:hint="eastAsia" w:eastAsia="仿宋_GB2312" w:cs="Times New Roman"/>
                <w:b w:val="0"/>
                <w:bCs/>
                <w:color w:val="auto"/>
                <w:spacing w:val="0"/>
                <w:kern w:val="0"/>
                <w:sz w:val="24"/>
                <w:szCs w:val="24"/>
                <w:lang w:val="en-US" w:eastAsia="zh-CN" w:bidi="ar-SA"/>
              </w:rPr>
              <w:t>’</w:t>
            </w:r>
            <w:r>
              <w:rPr>
                <w:rFonts w:hint="default" w:ascii="Times New Roman" w:hAnsi="Times New Roman" w:eastAsia="仿宋_GB2312" w:cs="Times New Roman"/>
                <w:b w:val="0"/>
                <w:bCs/>
                <w:color w:val="auto"/>
                <w:spacing w:val="0"/>
                <w:kern w:val="0"/>
                <w:sz w:val="24"/>
                <w:szCs w:val="24"/>
                <w:lang w:val="en-US" w:eastAsia="zh-CN" w:bidi="ar-SA"/>
              </w:rPr>
              <w:t>，统筹山水林田湖草沙等要素，系统布局重大水生态保护与修复工程，科学推进水源涵养区、生态缓冲带保护与建设</w:t>
            </w:r>
            <w:r>
              <w:rPr>
                <w:rFonts w:hint="eastAsia" w:eastAsia="仿宋_GB2312" w:cs="Times New Roman"/>
                <w:b w:val="0"/>
                <w:bCs/>
                <w:color w:val="auto"/>
                <w:spacing w:val="0"/>
                <w:kern w:val="0"/>
                <w:sz w:val="24"/>
                <w:szCs w:val="24"/>
                <w:lang w:val="en-US" w:eastAsia="zh-CN" w:bidi="ar-SA"/>
              </w:rPr>
              <w:t>……</w:t>
            </w:r>
            <w:r>
              <w:rPr>
                <w:rFonts w:hint="default" w:ascii="Times New Roman" w:hAnsi="Times New Roman" w:eastAsia="仿宋_GB2312" w:cs="Times New Roman"/>
                <w:b w:val="0"/>
                <w:bCs/>
                <w:color w:val="auto"/>
                <w:spacing w:val="0"/>
                <w:kern w:val="0"/>
                <w:sz w:val="24"/>
                <w:szCs w:val="24"/>
                <w:lang w:val="en-US" w:eastAsia="zh-CN" w:bidi="ar-SA"/>
              </w:rPr>
              <w:t>制定和实施水源涵养功能提升规划，有序推进天然林保护、封山育林、退耕还林还草、低质低效林改造、废弃矿山植被恢复等生态修复工程，发挥高效水源涵养作用，涵水于地、涵水于林草，全面提升生态系统涵水功能”。</w:t>
            </w:r>
          </w:p>
          <w:p w14:paraId="1356E552">
            <w:pPr>
              <w:adjustRightInd w:val="0"/>
              <w:snapToGrid w:val="0"/>
              <w:spacing w:line="360" w:lineRule="auto"/>
              <w:ind w:firstLine="480" w:firstLineChars="200"/>
              <w:rPr>
                <w:rFonts w:hint="default" w:ascii="Times New Roman" w:hAnsi="Times New Roman" w:eastAsia="仿宋_GB2312" w:cs="Times New Roman"/>
                <w:b w:val="0"/>
                <w:bCs/>
                <w:color w:val="auto"/>
                <w:spacing w:val="0"/>
                <w:kern w:val="0"/>
                <w:sz w:val="24"/>
                <w:szCs w:val="24"/>
                <w:lang w:val="en-US" w:eastAsia="zh-CN" w:bidi="ar-SA"/>
              </w:rPr>
            </w:pPr>
            <w:r>
              <w:rPr>
                <w:rFonts w:hint="default" w:ascii="Times New Roman" w:hAnsi="Times New Roman" w:eastAsia="仿宋_GB2312" w:cs="Times New Roman"/>
                <w:b w:val="0"/>
                <w:bCs/>
                <w:color w:val="auto"/>
                <w:spacing w:val="0"/>
                <w:kern w:val="0"/>
                <w:sz w:val="24"/>
                <w:szCs w:val="24"/>
                <w:lang w:val="en-US" w:eastAsia="zh-CN" w:bidi="ar-SA"/>
              </w:rPr>
              <w:t xml:space="preserve">本项目建成后能够形成绿化，实现水源涵养作用，项目建设符合《宁夏回族自治区水生态环境保护“十四五”规划》相关要求。 </w:t>
            </w:r>
          </w:p>
          <w:p w14:paraId="422198B0">
            <w:pPr>
              <w:adjustRightInd w:val="0"/>
              <w:snapToGrid w:val="0"/>
              <w:spacing w:line="360" w:lineRule="auto"/>
              <w:rPr>
                <w:rFonts w:hint="default" w:ascii="Times New Roman" w:hAnsi="Times New Roman" w:eastAsia="仿宋_GB2312" w:cs="Times New Roman"/>
                <w:b/>
                <w:bCs w:val="0"/>
                <w:color w:val="auto"/>
                <w:spacing w:val="0"/>
                <w:kern w:val="0"/>
                <w:sz w:val="24"/>
                <w:szCs w:val="24"/>
                <w:lang w:val="en-US" w:eastAsia="zh-CN" w:bidi="ar-SA"/>
              </w:rPr>
            </w:pPr>
            <w:r>
              <w:rPr>
                <w:rFonts w:hint="default" w:ascii="Times New Roman" w:hAnsi="Times New Roman" w:eastAsia="仿宋_GB2312" w:cs="Times New Roman"/>
                <w:b/>
                <w:bCs w:val="0"/>
                <w:color w:val="auto"/>
                <w:spacing w:val="0"/>
                <w:kern w:val="0"/>
                <w:sz w:val="24"/>
                <w:szCs w:val="24"/>
                <w:lang w:val="en-US" w:eastAsia="zh-CN" w:bidi="ar-SA"/>
              </w:rPr>
              <w:t>3</w:t>
            </w:r>
            <w:r>
              <w:rPr>
                <w:rFonts w:hint="eastAsia" w:eastAsia="仿宋_GB2312" w:cs="Times New Roman"/>
                <w:b/>
                <w:bCs w:val="0"/>
                <w:color w:val="auto"/>
                <w:spacing w:val="0"/>
                <w:kern w:val="0"/>
                <w:sz w:val="24"/>
                <w:szCs w:val="24"/>
                <w:lang w:val="en-US" w:eastAsia="zh-CN" w:bidi="ar-SA"/>
              </w:rPr>
              <w:t>.</w:t>
            </w:r>
            <w:r>
              <w:rPr>
                <w:rFonts w:hint="default" w:ascii="Times New Roman" w:hAnsi="Times New Roman" w:eastAsia="仿宋_GB2312" w:cs="Times New Roman"/>
                <w:b/>
                <w:bCs w:val="0"/>
                <w:color w:val="auto"/>
                <w:spacing w:val="0"/>
                <w:kern w:val="0"/>
                <w:sz w:val="24"/>
                <w:szCs w:val="24"/>
                <w:lang w:val="en-US" w:eastAsia="zh-CN" w:bidi="ar-SA"/>
              </w:rPr>
              <w:t>与《宁夏中药材产业发展实施方案</w:t>
            </w:r>
            <w:r>
              <w:rPr>
                <w:rFonts w:hint="eastAsia" w:eastAsia="仿宋_GB2312" w:cs="Times New Roman"/>
                <w:b/>
                <w:bCs w:val="0"/>
                <w:color w:val="auto"/>
                <w:spacing w:val="0"/>
                <w:kern w:val="0"/>
                <w:sz w:val="24"/>
                <w:szCs w:val="24"/>
                <w:lang w:val="en-US" w:eastAsia="zh-CN" w:bidi="ar-SA"/>
              </w:rPr>
              <w:t>（</w:t>
            </w:r>
            <w:r>
              <w:rPr>
                <w:rFonts w:hint="default" w:ascii="Times New Roman" w:hAnsi="Times New Roman" w:eastAsia="仿宋_GB2312" w:cs="Times New Roman"/>
                <w:b/>
                <w:bCs w:val="0"/>
                <w:color w:val="auto"/>
                <w:spacing w:val="0"/>
                <w:kern w:val="0"/>
                <w:sz w:val="24"/>
                <w:szCs w:val="24"/>
                <w:lang w:val="en-US" w:eastAsia="zh-CN" w:bidi="ar-SA"/>
              </w:rPr>
              <w:t>2021年</w:t>
            </w:r>
            <w:r>
              <w:rPr>
                <w:rFonts w:hint="eastAsia" w:eastAsia="仿宋_GB2312" w:cs="Times New Roman"/>
                <w:b/>
                <w:bCs w:val="0"/>
                <w:color w:val="auto"/>
                <w:spacing w:val="0"/>
                <w:kern w:val="0"/>
                <w:sz w:val="24"/>
                <w:szCs w:val="24"/>
                <w:lang w:val="en-US" w:eastAsia="zh-CN" w:bidi="ar-SA"/>
              </w:rPr>
              <w:t>—</w:t>
            </w:r>
            <w:r>
              <w:rPr>
                <w:rFonts w:hint="default" w:ascii="Times New Roman" w:hAnsi="Times New Roman" w:eastAsia="仿宋_GB2312" w:cs="Times New Roman"/>
                <w:b/>
                <w:bCs w:val="0"/>
                <w:color w:val="auto"/>
                <w:spacing w:val="0"/>
                <w:kern w:val="0"/>
                <w:sz w:val="24"/>
                <w:szCs w:val="24"/>
                <w:lang w:val="en-US" w:eastAsia="zh-CN" w:bidi="ar-SA"/>
              </w:rPr>
              <w:t>2025年</w:t>
            </w:r>
            <w:r>
              <w:rPr>
                <w:rFonts w:hint="eastAsia" w:eastAsia="仿宋_GB2312" w:cs="Times New Roman"/>
                <w:b/>
                <w:bCs w:val="0"/>
                <w:color w:val="auto"/>
                <w:spacing w:val="0"/>
                <w:kern w:val="0"/>
                <w:sz w:val="24"/>
                <w:szCs w:val="24"/>
                <w:lang w:val="en-US" w:eastAsia="zh-CN" w:bidi="ar-SA"/>
              </w:rPr>
              <w:t>）</w:t>
            </w:r>
            <w:r>
              <w:rPr>
                <w:rFonts w:hint="default" w:ascii="Times New Roman" w:hAnsi="Times New Roman" w:eastAsia="仿宋_GB2312" w:cs="Times New Roman"/>
                <w:b/>
                <w:bCs w:val="0"/>
                <w:color w:val="auto"/>
                <w:spacing w:val="0"/>
                <w:kern w:val="0"/>
                <w:sz w:val="24"/>
                <w:szCs w:val="24"/>
                <w:lang w:val="en-US" w:eastAsia="zh-CN" w:bidi="ar-SA"/>
              </w:rPr>
              <w:t xml:space="preserve">》符合性分析 </w:t>
            </w:r>
          </w:p>
          <w:p w14:paraId="65A049E6">
            <w:pPr>
              <w:adjustRightInd w:val="0"/>
              <w:snapToGrid w:val="0"/>
              <w:spacing w:line="360" w:lineRule="auto"/>
              <w:ind w:firstLine="480" w:firstLineChars="200"/>
              <w:rPr>
                <w:rFonts w:hint="default" w:ascii="Times New Roman" w:hAnsi="Times New Roman" w:eastAsia="仿宋_GB2312" w:cs="Times New Roman"/>
                <w:b w:val="0"/>
                <w:bCs/>
                <w:color w:val="auto"/>
                <w:spacing w:val="0"/>
                <w:kern w:val="0"/>
                <w:sz w:val="24"/>
                <w:szCs w:val="24"/>
                <w:lang w:val="en-US" w:eastAsia="zh-CN" w:bidi="ar-SA"/>
              </w:rPr>
            </w:pPr>
            <w:r>
              <w:rPr>
                <w:rFonts w:hint="default" w:ascii="Times New Roman" w:hAnsi="Times New Roman" w:eastAsia="仿宋_GB2312" w:cs="Times New Roman"/>
                <w:b w:val="0"/>
                <w:bCs/>
                <w:color w:val="auto"/>
                <w:spacing w:val="0"/>
                <w:kern w:val="0"/>
                <w:sz w:val="24"/>
                <w:szCs w:val="24"/>
                <w:lang w:val="en-US" w:eastAsia="zh-CN" w:bidi="ar-SA"/>
              </w:rPr>
              <w:t>根据《宁夏中药材产业发展实施方案</w:t>
            </w:r>
            <w:r>
              <w:rPr>
                <w:rFonts w:hint="eastAsia" w:eastAsia="仿宋_GB2312" w:cs="Times New Roman"/>
                <w:b w:val="0"/>
                <w:bCs/>
                <w:color w:val="auto"/>
                <w:spacing w:val="0"/>
                <w:kern w:val="0"/>
                <w:sz w:val="24"/>
                <w:szCs w:val="24"/>
                <w:lang w:val="en-US" w:eastAsia="zh-CN" w:bidi="ar-SA"/>
              </w:rPr>
              <w:t>（</w:t>
            </w:r>
            <w:r>
              <w:rPr>
                <w:rFonts w:hint="default" w:ascii="Times New Roman" w:hAnsi="Times New Roman" w:eastAsia="仿宋_GB2312" w:cs="Times New Roman"/>
                <w:b w:val="0"/>
                <w:bCs/>
                <w:color w:val="auto"/>
                <w:spacing w:val="0"/>
                <w:kern w:val="0"/>
                <w:sz w:val="24"/>
                <w:szCs w:val="24"/>
                <w:lang w:val="en-US" w:eastAsia="zh-CN" w:bidi="ar-SA"/>
              </w:rPr>
              <w:t>2021年</w:t>
            </w:r>
            <w:r>
              <w:rPr>
                <w:rFonts w:hint="eastAsia" w:eastAsia="仿宋_GB2312" w:cs="Times New Roman"/>
                <w:b w:val="0"/>
                <w:bCs/>
                <w:color w:val="auto"/>
                <w:spacing w:val="0"/>
                <w:kern w:val="0"/>
                <w:sz w:val="24"/>
                <w:szCs w:val="24"/>
                <w:lang w:val="en-US" w:eastAsia="zh-CN" w:bidi="ar-SA"/>
              </w:rPr>
              <w:t>—</w:t>
            </w:r>
            <w:r>
              <w:rPr>
                <w:rFonts w:hint="default" w:ascii="Times New Roman" w:hAnsi="Times New Roman" w:eastAsia="仿宋_GB2312" w:cs="Times New Roman"/>
                <w:b w:val="0"/>
                <w:bCs/>
                <w:color w:val="auto"/>
                <w:spacing w:val="0"/>
                <w:kern w:val="0"/>
                <w:sz w:val="24"/>
                <w:szCs w:val="24"/>
                <w:lang w:val="en-US" w:eastAsia="zh-CN" w:bidi="ar-SA"/>
              </w:rPr>
              <w:t>2025年</w:t>
            </w:r>
            <w:r>
              <w:rPr>
                <w:rFonts w:hint="eastAsia" w:eastAsia="仿宋_GB2312" w:cs="Times New Roman"/>
                <w:b w:val="0"/>
                <w:bCs/>
                <w:color w:val="auto"/>
                <w:spacing w:val="0"/>
                <w:kern w:val="0"/>
                <w:sz w:val="24"/>
                <w:szCs w:val="24"/>
                <w:lang w:val="en-US" w:eastAsia="zh-CN" w:bidi="ar-SA"/>
              </w:rPr>
              <w:t>）</w:t>
            </w:r>
            <w:r>
              <w:rPr>
                <w:rFonts w:hint="default" w:ascii="Times New Roman" w:hAnsi="Times New Roman" w:eastAsia="仿宋_GB2312" w:cs="Times New Roman"/>
                <w:b w:val="0"/>
                <w:bCs/>
                <w:color w:val="auto"/>
                <w:spacing w:val="0"/>
                <w:kern w:val="0"/>
                <w:sz w:val="24"/>
                <w:szCs w:val="24"/>
                <w:lang w:val="en-US" w:eastAsia="zh-CN" w:bidi="ar-SA"/>
              </w:rPr>
              <w:t>》中“三、主要任务（二）推进中药材规范化种植4.建设规范化生态种植示范基地。优化产业布局，建设一批宁夏道地、特色中药材规范化生态种植示范基地，鼓励建设数字生态中药种植园、中药循环种植（养殖）园”。</w:t>
            </w:r>
          </w:p>
          <w:p w14:paraId="18220352">
            <w:pPr>
              <w:adjustRightInd w:val="0"/>
              <w:snapToGrid w:val="0"/>
              <w:spacing w:line="360" w:lineRule="auto"/>
              <w:ind w:firstLine="480" w:firstLineChars="200"/>
              <w:rPr>
                <w:rFonts w:hint="default" w:ascii="Times New Roman" w:hAnsi="Times New Roman" w:eastAsia="仿宋_GB2312" w:cs="Times New Roman"/>
                <w:b w:val="0"/>
                <w:bCs/>
                <w:color w:val="auto"/>
                <w:spacing w:val="0"/>
                <w:kern w:val="0"/>
                <w:sz w:val="24"/>
                <w:szCs w:val="24"/>
                <w:lang w:val="en-US" w:eastAsia="zh-CN" w:bidi="ar-SA"/>
              </w:rPr>
            </w:pPr>
            <w:r>
              <w:rPr>
                <w:rFonts w:hint="default" w:ascii="Times New Roman" w:hAnsi="Times New Roman" w:eastAsia="仿宋_GB2312" w:cs="Times New Roman"/>
                <w:b w:val="0"/>
                <w:bCs/>
                <w:color w:val="auto"/>
                <w:spacing w:val="0"/>
                <w:kern w:val="0"/>
                <w:sz w:val="24"/>
                <w:szCs w:val="24"/>
                <w:lang w:val="en-US" w:eastAsia="zh-CN" w:bidi="ar-SA"/>
              </w:rPr>
              <w:t>本项目建设包括土地整治及土壤改良、酸枣种植及防风林带建设，</w:t>
            </w:r>
            <w:r>
              <w:rPr>
                <w:rFonts w:hint="eastAsia" w:eastAsia="仿宋_GB2312" w:cs="Times New Roman"/>
                <w:b w:val="0"/>
                <w:bCs/>
                <w:color w:val="auto"/>
                <w:spacing w:val="0"/>
                <w:kern w:val="0"/>
                <w:sz w:val="24"/>
                <w:szCs w:val="24"/>
                <w:lang w:val="en-US" w:eastAsia="zh-CN" w:bidi="ar-SA"/>
              </w:rPr>
              <w:t>柴胡</w:t>
            </w:r>
            <w:r>
              <w:rPr>
                <w:rFonts w:hint="default" w:ascii="Times New Roman" w:hAnsi="Times New Roman" w:eastAsia="仿宋_GB2312" w:cs="Times New Roman"/>
                <w:b w:val="0"/>
                <w:bCs/>
                <w:color w:val="auto"/>
                <w:spacing w:val="0"/>
                <w:kern w:val="0"/>
                <w:sz w:val="24"/>
                <w:szCs w:val="24"/>
                <w:lang w:val="en-US" w:eastAsia="zh-CN" w:bidi="ar-SA"/>
              </w:rPr>
              <w:t>、黄芪等道地中药材的种植开发等，能够建成宁夏道地、特色中药材规范化生态种植示范基地。项目建设符合《宁夏中药材产业发展实施方案</w:t>
            </w:r>
            <w:r>
              <w:rPr>
                <w:rFonts w:hint="eastAsia" w:eastAsia="仿宋_GB2312" w:cs="Times New Roman"/>
                <w:b w:val="0"/>
                <w:bCs/>
                <w:color w:val="auto"/>
                <w:spacing w:val="0"/>
                <w:kern w:val="0"/>
                <w:sz w:val="24"/>
                <w:szCs w:val="24"/>
                <w:lang w:val="en-US" w:eastAsia="zh-CN" w:bidi="ar-SA"/>
              </w:rPr>
              <w:t>（</w:t>
            </w:r>
            <w:r>
              <w:rPr>
                <w:rFonts w:hint="default" w:ascii="Times New Roman" w:hAnsi="Times New Roman" w:eastAsia="仿宋_GB2312" w:cs="Times New Roman"/>
                <w:b w:val="0"/>
                <w:bCs/>
                <w:color w:val="auto"/>
                <w:spacing w:val="0"/>
                <w:kern w:val="0"/>
                <w:sz w:val="24"/>
                <w:szCs w:val="24"/>
                <w:lang w:val="en-US" w:eastAsia="zh-CN" w:bidi="ar-SA"/>
              </w:rPr>
              <w:t>2021年</w:t>
            </w:r>
            <w:r>
              <w:rPr>
                <w:rFonts w:hint="eastAsia" w:eastAsia="仿宋_GB2312" w:cs="Times New Roman"/>
                <w:b w:val="0"/>
                <w:bCs/>
                <w:color w:val="auto"/>
                <w:spacing w:val="0"/>
                <w:kern w:val="0"/>
                <w:sz w:val="24"/>
                <w:szCs w:val="24"/>
                <w:lang w:val="en-US" w:eastAsia="zh-CN" w:bidi="ar-SA"/>
              </w:rPr>
              <w:t>—</w:t>
            </w:r>
            <w:r>
              <w:rPr>
                <w:rFonts w:hint="default" w:ascii="Times New Roman" w:hAnsi="Times New Roman" w:eastAsia="仿宋_GB2312" w:cs="Times New Roman"/>
                <w:b w:val="0"/>
                <w:bCs/>
                <w:color w:val="auto"/>
                <w:spacing w:val="0"/>
                <w:kern w:val="0"/>
                <w:sz w:val="24"/>
                <w:szCs w:val="24"/>
                <w:lang w:val="en-US" w:eastAsia="zh-CN" w:bidi="ar-SA"/>
              </w:rPr>
              <w:t>2025年</w:t>
            </w:r>
            <w:r>
              <w:rPr>
                <w:rFonts w:hint="eastAsia" w:eastAsia="仿宋_GB2312" w:cs="Times New Roman"/>
                <w:b w:val="0"/>
                <w:bCs/>
                <w:color w:val="auto"/>
                <w:spacing w:val="0"/>
                <w:kern w:val="0"/>
                <w:sz w:val="24"/>
                <w:szCs w:val="24"/>
                <w:lang w:val="en-US" w:eastAsia="zh-CN" w:bidi="ar-SA"/>
              </w:rPr>
              <w:t>）</w:t>
            </w:r>
            <w:r>
              <w:rPr>
                <w:rFonts w:hint="default" w:ascii="Times New Roman" w:hAnsi="Times New Roman" w:eastAsia="仿宋_GB2312" w:cs="Times New Roman"/>
                <w:b w:val="0"/>
                <w:bCs/>
                <w:color w:val="auto"/>
                <w:spacing w:val="0"/>
                <w:kern w:val="0"/>
                <w:sz w:val="24"/>
                <w:szCs w:val="24"/>
                <w:lang w:val="en-US" w:eastAsia="zh-CN" w:bidi="ar-SA"/>
              </w:rPr>
              <w:t>》相关要求。</w:t>
            </w:r>
          </w:p>
          <w:p w14:paraId="2B91BDD2">
            <w:pPr>
              <w:adjustRightInd w:val="0"/>
              <w:snapToGrid w:val="0"/>
              <w:spacing w:line="360" w:lineRule="auto"/>
              <w:rPr>
                <w:rFonts w:hint="default" w:ascii="Times New Roman" w:hAnsi="Times New Roman" w:eastAsia="仿宋_GB2312" w:cs="Times New Roman"/>
                <w:b/>
                <w:bCs w:val="0"/>
                <w:color w:val="auto"/>
                <w:spacing w:val="0"/>
                <w:kern w:val="0"/>
                <w:sz w:val="24"/>
                <w:szCs w:val="24"/>
                <w:lang w:val="en-US" w:eastAsia="zh-CN" w:bidi="ar-SA"/>
              </w:rPr>
            </w:pPr>
            <w:r>
              <w:rPr>
                <w:rFonts w:hint="eastAsia" w:ascii="Times New Roman" w:hAnsi="Times New Roman" w:eastAsia="仿宋_GB2312" w:cs="Times New Roman"/>
                <w:b/>
                <w:bCs w:val="0"/>
                <w:color w:val="auto"/>
                <w:spacing w:val="0"/>
                <w:kern w:val="0"/>
                <w:sz w:val="24"/>
                <w:szCs w:val="24"/>
                <w:lang w:val="en-US" w:eastAsia="zh-CN" w:bidi="ar-SA"/>
              </w:rPr>
              <w:t>4</w:t>
            </w:r>
            <w:r>
              <w:rPr>
                <w:rFonts w:hint="eastAsia" w:eastAsia="仿宋_GB2312" w:cs="Times New Roman"/>
                <w:b/>
                <w:bCs w:val="0"/>
                <w:color w:val="auto"/>
                <w:spacing w:val="0"/>
                <w:kern w:val="0"/>
                <w:sz w:val="24"/>
                <w:szCs w:val="24"/>
                <w:lang w:val="en-US" w:eastAsia="zh-CN" w:bidi="ar-SA"/>
              </w:rPr>
              <w:t>.</w:t>
            </w:r>
            <w:r>
              <w:rPr>
                <w:rFonts w:hint="default" w:ascii="Times New Roman" w:hAnsi="Times New Roman" w:eastAsia="仿宋_GB2312" w:cs="Times New Roman"/>
                <w:b/>
                <w:bCs w:val="0"/>
                <w:color w:val="auto"/>
                <w:spacing w:val="0"/>
                <w:kern w:val="0"/>
                <w:sz w:val="24"/>
                <w:szCs w:val="24"/>
                <w:lang w:val="en-US" w:eastAsia="zh-CN" w:bidi="ar-SA"/>
              </w:rPr>
              <w:t>与《固原市特色农业产业发展规划（2024—2027年）》的通知符合性分析</w:t>
            </w:r>
          </w:p>
          <w:p w14:paraId="28AF562F">
            <w:pPr>
              <w:adjustRightInd w:val="0"/>
              <w:snapToGrid w:val="0"/>
              <w:spacing w:line="360" w:lineRule="auto"/>
              <w:ind w:firstLine="480" w:firstLineChars="200"/>
              <w:rPr>
                <w:rFonts w:hint="default" w:ascii="Times New Roman" w:hAnsi="Times New Roman" w:eastAsia="仿宋_GB2312" w:cs="Times New Roman"/>
                <w:b w:val="0"/>
                <w:bCs/>
                <w:color w:val="auto"/>
                <w:spacing w:val="0"/>
                <w:kern w:val="0"/>
                <w:sz w:val="24"/>
                <w:szCs w:val="24"/>
                <w:lang w:val="en-US" w:eastAsia="zh-CN" w:bidi="ar-SA"/>
              </w:rPr>
            </w:pPr>
            <w:r>
              <w:rPr>
                <w:rFonts w:hint="default" w:ascii="Times New Roman" w:hAnsi="Times New Roman" w:eastAsia="仿宋_GB2312" w:cs="Times New Roman"/>
                <w:b w:val="0"/>
                <w:bCs/>
                <w:color w:val="auto"/>
                <w:spacing w:val="0"/>
                <w:kern w:val="0"/>
                <w:sz w:val="24"/>
                <w:szCs w:val="24"/>
                <w:lang w:val="en-US" w:eastAsia="zh-CN" w:bidi="ar-SA"/>
              </w:rPr>
              <w:t>根据中共固原市委办公室市人民政府办公室印发《固原市特色农业产业发展规划（2024—2027年）》的通知中“</w:t>
            </w:r>
            <w:r>
              <w:rPr>
                <w:rFonts w:hint="eastAsia" w:eastAsia="仿宋_GB2312" w:cs="Times New Roman"/>
                <w:b w:val="0"/>
                <w:bCs/>
                <w:color w:val="auto"/>
                <w:spacing w:val="0"/>
                <w:kern w:val="0"/>
                <w:sz w:val="24"/>
                <w:szCs w:val="24"/>
                <w:lang w:val="en-US" w:eastAsia="zh-CN" w:bidi="ar-SA"/>
              </w:rPr>
              <w:t>发展定位</w:t>
            </w:r>
            <w:r>
              <w:rPr>
                <w:rFonts w:hint="default" w:ascii="Times New Roman" w:hAnsi="Times New Roman" w:eastAsia="仿宋_GB2312" w:cs="Times New Roman"/>
                <w:b w:val="0"/>
                <w:bCs/>
                <w:color w:val="auto"/>
                <w:spacing w:val="0"/>
                <w:kern w:val="0"/>
                <w:sz w:val="24"/>
                <w:szCs w:val="24"/>
                <w:lang w:val="en-US" w:eastAsia="zh-CN" w:bidi="ar-SA"/>
              </w:rPr>
              <w:t>”，（五）打造西北地区中药材育种、种植、加工、集散基地。聚焦调结构、优布局、建基地、强加工、活流通、促创新六项重点，建设以“固十味”为主的标准</w:t>
            </w:r>
            <w:r>
              <w:rPr>
                <w:rFonts w:hint="eastAsia" w:eastAsia="仿宋_GB2312" w:cs="Times New Roman"/>
                <w:b w:val="0"/>
                <w:bCs/>
                <w:color w:val="auto"/>
                <w:spacing w:val="0"/>
                <w:kern w:val="0"/>
                <w:sz w:val="24"/>
                <w:szCs w:val="24"/>
                <w:lang w:val="en-US" w:eastAsia="zh-CN" w:bidi="ar-SA"/>
              </w:rPr>
              <w:t>化</w:t>
            </w:r>
            <w:r>
              <w:rPr>
                <w:rFonts w:hint="default" w:ascii="Times New Roman" w:hAnsi="Times New Roman" w:eastAsia="仿宋_GB2312" w:cs="Times New Roman"/>
                <w:b w:val="0"/>
                <w:bCs/>
                <w:color w:val="auto"/>
                <w:spacing w:val="0"/>
                <w:kern w:val="0"/>
                <w:sz w:val="24"/>
                <w:szCs w:val="24"/>
                <w:lang w:val="en-US" w:eastAsia="zh-CN" w:bidi="ar-SA"/>
              </w:rPr>
              <w:t>种植示范基地，发展中成药、药食同源产品制造等深加工，建设六盘山道地中药材产业集群。</w:t>
            </w:r>
          </w:p>
          <w:p w14:paraId="7C05976B">
            <w:pPr>
              <w:adjustRightInd w:val="0"/>
              <w:snapToGrid w:val="0"/>
              <w:spacing w:line="360" w:lineRule="auto"/>
              <w:ind w:firstLine="480" w:firstLineChars="200"/>
              <w:rPr>
                <w:rFonts w:hint="default" w:ascii="Times New Roman" w:hAnsi="Times New Roman" w:eastAsia="仿宋_GB2312" w:cs="Times New Roman"/>
                <w:b w:val="0"/>
                <w:bCs/>
                <w:color w:val="auto"/>
                <w:spacing w:val="0"/>
                <w:kern w:val="0"/>
                <w:sz w:val="24"/>
                <w:szCs w:val="24"/>
                <w:lang w:val="en-US" w:eastAsia="zh-CN" w:bidi="ar-SA"/>
              </w:rPr>
            </w:pPr>
            <w:r>
              <w:rPr>
                <w:rFonts w:hint="eastAsia" w:eastAsia="仿宋_GB2312" w:cs="Times New Roman"/>
                <w:b w:val="0"/>
                <w:bCs/>
                <w:color w:val="auto"/>
                <w:spacing w:val="0"/>
                <w:kern w:val="0"/>
                <w:sz w:val="24"/>
                <w:szCs w:val="24"/>
                <w:lang w:val="en-US" w:eastAsia="zh-CN" w:bidi="ar-SA"/>
              </w:rPr>
              <w:t>本</w:t>
            </w:r>
            <w:r>
              <w:rPr>
                <w:rFonts w:hint="default" w:ascii="Times New Roman" w:hAnsi="Times New Roman" w:eastAsia="仿宋_GB2312" w:cs="Times New Roman"/>
                <w:b w:val="0"/>
                <w:bCs/>
                <w:color w:val="auto"/>
                <w:spacing w:val="0"/>
                <w:kern w:val="0"/>
                <w:sz w:val="24"/>
                <w:szCs w:val="24"/>
                <w:lang w:val="en-US" w:eastAsia="zh-CN" w:bidi="ar-SA"/>
              </w:rPr>
              <w:t>项目通过</w:t>
            </w:r>
            <w:r>
              <w:rPr>
                <w:rFonts w:hint="eastAsia" w:eastAsia="仿宋_GB2312" w:cs="Times New Roman"/>
                <w:b w:val="0"/>
                <w:bCs/>
                <w:color w:val="auto"/>
                <w:spacing w:val="0"/>
                <w:kern w:val="0"/>
                <w:sz w:val="24"/>
                <w:szCs w:val="24"/>
                <w:lang w:val="en-US" w:eastAsia="zh-CN" w:bidi="ar-SA"/>
              </w:rPr>
              <w:t>柴胡</w:t>
            </w:r>
            <w:r>
              <w:rPr>
                <w:rFonts w:hint="default" w:ascii="Times New Roman" w:hAnsi="Times New Roman" w:eastAsia="仿宋_GB2312" w:cs="Times New Roman"/>
                <w:b w:val="0"/>
                <w:bCs/>
                <w:color w:val="auto"/>
                <w:spacing w:val="0"/>
                <w:kern w:val="0"/>
                <w:sz w:val="24"/>
                <w:szCs w:val="24"/>
                <w:lang w:val="en-US" w:eastAsia="zh-CN" w:bidi="ar-SA"/>
              </w:rPr>
              <w:t>、黄芪等道地中药材的种植开发，推动生产规模化和标准化，实现从“零星种植”向“集中化园区”的升级。同时，现有产业链条短、附加值低的问题亟待解决。能够建成宁夏道地、特色中药材规范化生态种植示范基地，形成“生产－加工－销售”闭环</w:t>
            </w:r>
            <w:r>
              <w:rPr>
                <w:rFonts w:hint="eastAsia" w:eastAsia="仿宋_GB2312" w:cs="Times New Roman"/>
                <w:b w:val="0"/>
                <w:bCs/>
                <w:color w:val="auto"/>
                <w:spacing w:val="0"/>
                <w:kern w:val="0"/>
                <w:sz w:val="24"/>
                <w:szCs w:val="24"/>
                <w:lang w:val="en-US" w:eastAsia="zh-CN" w:bidi="ar-SA"/>
              </w:rPr>
              <w:t>。</w:t>
            </w:r>
            <w:r>
              <w:rPr>
                <w:rFonts w:hint="default" w:ascii="Times New Roman" w:hAnsi="Times New Roman" w:eastAsia="仿宋_GB2312" w:cs="Times New Roman"/>
                <w:b w:val="0"/>
                <w:bCs/>
                <w:color w:val="auto"/>
                <w:spacing w:val="0"/>
                <w:kern w:val="0"/>
                <w:sz w:val="24"/>
                <w:szCs w:val="24"/>
                <w:lang w:val="en-US" w:eastAsia="zh-CN" w:bidi="ar-SA"/>
              </w:rPr>
              <w:t>成为固原农业经济新增长点、生态高效农业新典范和循环经济新亮点。推动循环农业发展。</w:t>
            </w:r>
          </w:p>
          <w:p w14:paraId="68A87BB7">
            <w:pPr>
              <w:adjustRightInd w:val="0"/>
              <w:snapToGrid w:val="0"/>
              <w:spacing w:line="360" w:lineRule="auto"/>
              <w:ind w:firstLine="480" w:firstLineChars="200"/>
              <w:rPr>
                <w:rFonts w:hint="default" w:ascii="Times New Roman" w:hAnsi="Times New Roman" w:eastAsia="仿宋_GB2312" w:cs="Times New Roman"/>
                <w:b w:val="0"/>
                <w:bCs/>
                <w:color w:val="auto"/>
                <w:spacing w:val="0"/>
                <w:kern w:val="0"/>
                <w:sz w:val="24"/>
                <w:szCs w:val="24"/>
                <w:lang w:val="en-US" w:eastAsia="zh-CN" w:bidi="ar-SA"/>
              </w:rPr>
            </w:pPr>
            <w:r>
              <w:rPr>
                <w:rFonts w:hint="eastAsia" w:eastAsia="仿宋_GB2312" w:cs="Times New Roman"/>
                <w:b w:val="0"/>
                <w:bCs/>
                <w:color w:val="auto"/>
                <w:spacing w:val="0"/>
                <w:kern w:val="0"/>
                <w:sz w:val="24"/>
                <w:szCs w:val="24"/>
                <w:lang w:val="en-US" w:eastAsia="zh-CN" w:bidi="ar-SA"/>
              </w:rPr>
              <w:t>因此，</w:t>
            </w:r>
            <w:r>
              <w:rPr>
                <w:rFonts w:hint="default" w:ascii="Times New Roman" w:hAnsi="Times New Roman" w:eastAsia="仿宋_GB2312" w:cs="Times New Roman"/>
                <w:b w:val="0"/>
                <w:bCs/>
                <w:color w:val="auto"/>
                <w:spacing w:val="0"/>
                <w:kern w:val="0"/>
                <w:sz w:val="24"/>
                <w:szCs w:val="24"/>
                <w:lang w:val="en-US" w:eastAsia="zh-CN" w:bidi="ar-SA"/>
              </w:rPr>
              <w:t>项目建设符合《固原市特色农业产业发展规划（2024—2027年）》相关要求。</w:t>
            </w:r>
          </w:p>
          <w:p w14:paraId="4E084B43">
            <w:pPr>
              <w:adjustRightInd w:val="0"/>
              <w:snapToGrid w:val="0"/>
              <w:spacing w:line="360" w:lineRule="auto"/>
              <w:ind w:firstLine="480" w:firstLineChars="200"/>
              <w:rPr>
                <w:rFonts w:hint="default" w:ascii="Times New Roman" w:hAnsi="Times New Roman" w:eastAsia="仿宋_GB2312" w:cs="Times New Roman"/>
                <w:b w:val="0"/>
                <w:bCs/>
                <w:color w:val="auto"/>
                <w:spacing w:val="0"/>
                <w:kern w:val="0"/>
                <w:sz w:val="24"/>
                <w:szCs w:val="24"/>
                <w:lang w:val="en-US" w:eastAsia="zh-CN" w:bidi="ar-SA"/>
              </w:rPr>
            </w:pPr>
          </w:p>
        </w:tc>
      </w:tr>
    </w:tbl>
    <w:p w14:paraId="24BA4F39">
      <w:pPr>
        <w:rPr>
          <w:rFonts w:eastAsia="黑体"/>
          <w:color w:val="auto"/>
          <w:sz w:val="30"/>
          <w:highlight w:val="none"/>
        </w:rPr>
      </w:pPr>
      <w:r>
        <w:rPr>
          <w:rFonts w:eastAsia="黑体"/>
          <w:color w:val="auto"/>
          <w:sz w:val="30"/>
          <w:highlight w:val="none"/>
        </w:rPr>
        <w:br w:type="page"/>
      </w:r>
    </w:p>
    <w:p w14:paraId="79E184E1">
      <w:pPr>
        <w:pStyle w:val="42"/>
        <w:rPr>
          <w:color w:val="auto"/>
          <w:highlight w:val="none"/>
        </w:rPr>
        <w:sectPr>
          <w:footerReference r:id="rId6" w:type="default"/>
          <w:pgSz w:w="11906" w:h="16838"/>
          <w:pgMar w:top="1701" w:right="1417" w:bottom="1701" w:left="1417"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4FBFB056">
      <w:pPr>
        <w:pStyle w:val="28"/>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auto"/>
          <w:sz w:val="30"/>
          <w:szCs w:val="30"/>
          <w:highlight w:val="none"/>
          <w:lang w:eastAsia="zh-CN"/>
        </w:rPr>
      </w:pPr>
      <w:r>
        <w:rPr>
          <w:rFonts w:hint="eastAsia" w:ascii="黑体" w:hAnsi="黑体" w:eastAsia="黑体"/>
          <w:snapToGrid w:val="0"/>
          <w:color w:val="auto"/>
          <w:sz w:val="30"/>
          <w:szCs w:val="30"/>
          <w:highlight w:val="none"/>
        </w:rPr>
        <w:t>二、建设</w:t>
      </w:r>
      <w:r>
        <w:rPr>
          <w:rFonts w:hint="eastAsia" w:ascii="黑体" w:hAnsi="黑体" w:eastAsia="黑体"/>
          <w:snapToGrid w:val="0"/>
          <w:color w:val="auto"/>
          <w:sz w:val="30"/>
          <w:szCs w:val="30"/>
          <w:highlight w:val="none"/>
          <w:lang w:eastAsia="zh-CN"/>
        </w:rPr>
        <w:t>内容</w:t>
      </w:r>
    </w:p>
    <w:tbl>
      <w:tblPr>
        <w:tblStyle w:val="33"/>
        <w:tblW w:w="920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465"/>
        <w:gridCol w:w="8727"/>
        <w:gridCol w:w="9"/>
      </w:tblGrid>
      <w:tr w14:paraId="0683AF3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gridAfter w:val="1"/>
          <w:wAfter w:w="9" w:type="dxa"/>
          <w:trHeight w:val="3800" w:hRule="atLeast"/>
          <w:jc w:val="center"/>
        </w:trPr>
        <w:tc>
          <w:tcPr>
            <w:tcW w:w="465" w:type="dxa"/>
            <w:tcBorders>
              <w:tl2br w:val="nil"/>
              <w:tr2bl w:val="nil"/>
            </w:tcBorders>
            <w:vAlign w:val="center"/>
          </w:tcPr>
          <w:p w14:paraId="0DB4F5C6">
            <w:pPr>
              <w:pStyle w:val="28"/>
              <w:keepNext w:val="0"/>
              <w:keepLines w:val="0"/>
              <w:pageBreakBefore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仿宋_GB2312" w:cs="Times New Roman"/>
                <w:bCs/>
                <w:color w:val="auto"/>
                <w:kern w:val="2"/>
                <w:sz w:val="24"/>
                <w:szCs w:val="24"/>
                <w:highlight w:val="none"/>
                <w:lang w:val="en-US" w:eastAsia="zh-CN" w:bidi="ar-SA"/>
              </w:rPr>
            </w:pPr>
            <w:r>
              <w:rPr>
                <w:rFonts w:hint="default" w:ascii="Times New Roman" w:hAnsi="Times New Roman" w:eastAsia="仿宋_GB2312" w:cs="Times New Roman"/>
                <w:b/>
                <w:bCs w:val="0"/>
                <w:color w:val="auto"/>
                <w:kern w:val="2"/>
                <w:sz w:val="24"/>
                <w:szCs w:val="24"/>
                <w:highlight w:val="none"/>
                <w:lang w:val="en-US" w:eastAsia="zh-CN" w:bidi="ar-SA"/>
              </w:rPr>
              <w:t>地理位置</w:t>
            </w:r>
          </w:p>
        </w:tc>
        <w:tc>
          <w:tcPr>
            <w:tcW w:w="8727" w:type="dxa"/>
            <w:tcBorders>
              <w:tl2br w:val="nil"/>
              <w:tr2bl w:val="nil"/>
            </w:tcBorders>
          </w:tcPr>
          <w:p w14:paraId="064B8A50">
            <w:pPr>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color w:val="auto"/>
                <w:lang w:val="en-US" w:eastAsia="zh-CN"/>
              </w:rPr>
            </w:pPr>
            <w:r>
              <w:rPr>
                <w:rFonts w:hint="default" w:ascii="Times New Roman" w:hAnsi="Times New Roman" w:eastAsia="仿宋_GB2312" w:cs="Times New Roman"/>
                <w:color w:val="auto"/>
                <w:sz w:val="24"/>
                <w:szCs w:val="24"/>
                <w:highlight w:val="none"/>
                <w:lang w:val="en-US" w:eastAsia="zh-CN"/>
              </w:rPr>
              <w:t>本项目位于宁夏回族自治区固原市泾源县六盘山镇、泾河镇、大湾乡</w:t>
            </w:r>
            <w:r>
              <w:rPr>
                <w:rFonts w:hint="eastAsia" w:eastAsia="仿宋_GB2312" w:cs="Times New Roman"/>
                <w:color w:val="auto"/>
                <w:sz w:val="24"/>
                <w:szCs w:val="24"/>
                <w:highlight w:val="none"/>
                <w:lang w:val="en-US" w:eastAsia="zh-CN"/>
              </w:rPr>
              <w:t>。六盘山镇蜂蜜加工包装车间建设工程中心地理坐标</w:t>
            </w:r>
            <w:r>
              <w:rPr>
                <w:rFonts w:hint="default" w:ascii="Times New Roman" w:hAnsi="Times New Roman" w:eastAsia="仿宋_GB2312" w:cs="Times New Roman"/>
                <w:color w:val="auto"/>
                <w:sz w:val="24"/>
                <w:szCs w:val="24"/>
                <w:highlight w:val="none"/>
                <w:lang w:val="en-US" w:eastAsia="zh-CN"/>
              </w:rPr>
              <w:t>为东经106°17′57.466″</w:t>
            </w:r>
            <w:r>
              <w:rPr>
                <w:rFonts w:hint="eastAsia"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北纬35°39′34.877″</w:t>
            </w:r>
            <w:r>
              <w:rPr>
                <w:rFonts w:hint="eastAsia" w:eastAsia="仿宋_GB2312" w:cs="Times New Roman"/>
                <w:color w:val="auto"/>
                <w:sz w:val="24"/>
                <w:szCs w:val="24"/>
                <w:highlight w:val="none"/>
                <w:lang w:val="en-US" w:eastAsia="zh-CN"/>
              </w:rPr>
              <w:t>；六盘山镇中药材种苗培育基地建设项目中心地理坐标</w:t>
            </w:r>
            <w:r>
              <w:rPr>
                <w:rFonts w:hint="default" w:ascii="Times New Roman" w:hAnsi="Times New Roman" w:eastAsia="仿宋_GB2312" w:cs="Times New Roman"/>
                <w:color w:val="auto"/>
                <w:sz w:val="24"/>
                <w:szCs w:val="24"/>
                <w:highlight w:val="none"/>
                <w:lang w:val="en-US" w:eastAsia="zh-CN"/>
              </w:rPr>
              <w:t>为东经106°17′9.920″</w:t>
            </w:r>
            <w:r>
              <w:rPr>
                <w:rFonts w:hint="eastAsia" w:eastAsia="仿宋_GB2312" w:cs="Times New Roman"/>
                <w:color w:val="auto"/>
                <w:sz w:val="24"/>
                <w:szCs w:val="24"/>
                <w:highlight w:val="none"/>
                <w:lang w:val="en-US" w:eastAsia="zh-CN"/>
              </w:rPr>
              <w:t>，北纬</w:t>
            </w:r>
            <w:r>
              <w:rPr>
                <w:rFonts w:hint="default" w:ascii="Times New Roman" w:hAnsi="Times New Roman" w:eastAsia="仿宋_GB2312" w:cs="Times New Roman"/>
                <w:color w:val="auto"/>
                <w:sz w:val="24"/>
                <w:szCs w:val="24"/>
                <w:highlight w:val="none"/>
                <w:lang w:val="en-US" w:eastAsia="zh-CN"/>
              </w:rPr>
              <w:t>35°39′39.804″</w:t>
            </w:r>
            <w:r>
              <w:rPr>
                <w:rFonts w:hint="eastAsia" w:eastAsia="仿宋_GB2312" w:cs="Times New Roman"/>
                <w:color w:val="auto"/>
                <w:sz w:val="24"/>
                <w:szCs w:val="24"/>
                <w:highlight w:val="none"/>
                <w:lang w:val="en-US" w:eastAsia="zh-CN"/>
              </w:rPr>
              <w:t>；六盘山镇中药材物流中转集散地建设工程</w:t>
            </w:r>
            <w:r>
              <w:rPr>
                <w:rFonts w:hint="eastAsia" w:ascii="Times New Roman" w:hAnsi="Times New Roman" w:eastAsia="仿宋_GB2312" w:cs="Times New Roman"/>
                <w:color w:val="auto"/>
                <w:sz w:val="24"/>
                <w:highlight w:val="none"/>
                <w:lang w:val="en-US" w:eastAsia="zh-CN"/>
              </w:rPr>
              <w:t>中心地理坐标为</w:t>
            </w:r>
            <w:r>
              <w:rPr>
                <w:rFonts w:hint="eastAsia" w:eastAsia="仿宋_GB2312" w:cs="Times New Roman"/>
                <w:color w:val="auto"/>
                <w:sz w:val="24"/>
                <w:highlight w:val="none"/>
                <w:lang w:val="en-US" w:eastAsia="zh-CN"/>
              </w:rPr>
              <w:t>东经</w:t>
            </w:r>
            <w:r>
              <w:rPr>
                <w:rFonts w:hint="default" w:ascii="Times New Roman" w:hAnsi="Times New Roman" w:eastAsia="仿宋_GB2312" w:cs="Times New Roman"/>
                <w:color w:val="auto"/>
                <w:sz w:val="24"/>
                <w:szCs w:val="24"/>
                <w:highlight w:val="none"/>
                <w:lang w:val="en-US" w:eastAsia="zh-CN"/>
              </w:rPr>
              <w:t>106°17′</w:t>
            </w:r>
            <w:r>
              <w:rPr>
                <w:rFonts w:hint="eastAsia" w:eastAsia="仿宋_GB2312" w:cs="Times New Roman"/>
                <w:color w:val="auto"/>
                <w:sz w:val="24"/>
                <w:szCs w:val="24"/>
                <w:highlight w:val="none"/>
                <w:lang w:val="en-US" w:eastAsia="zh-CN"/>
              </w:rPr>
              <w:t>16.095</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w:t>
            </w:r>
            <w:r>
              <w:rPr>
                <w:rFonts w:hint="eastAsia" w:eastAsia="仿宋_GB2312" w:cs="Times New Roman"/>
                <w:color w:val="auto"/>
                <w:sz w:val="24"/>
                <w:highlight w:val="none"/>
                <w:lang w:val="en-US" w:eastAsia="zh-CN"/>
              </w:rPr>
              <w:t>北纬</w:t>
            </w:r>
            <w:r>
              <w:rPr>
                <w:rFonts w:hint="default" w:ascii="Times New Roman" w:hAnsi="Times New Roman" w:eastAsia="仿宋_GB2312" w:cs="Times New Roman"/>
                <w:color w:val="auto"/>
                <w:sz w:val="24"/>
                <w:szCs w:val="24"/>
                <w:highlight w:val="none"/>
                <w:lang w:val="en-US" w:eastAsia="zh-CN"/>
              </w:rPr>
              <w:t>35°39′39.80</w:t>
            </w:r>
            <w:r>
              <w:rPr>
                <w:rFonts w:hint="eastAsia" w:eastAsia="仿宋_GB2312" w:cs="Times New Roman"/>
                <w:color w:val="auto"/>
                <w:sz w:val="24"/>
                <w:szCs w:val="24"/>
                <w:highlight w:val="none"/>
                <w:lang w:val="en-US" w:eastAsia="zh-CN"/>
              </w:rPr>
              <w:t>9</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。六盘山镇中药材分拣包装晾晒车间建设项目中心地理坐标</w:t>
            </w:r>
            <w:r>
              <w:rPr>
                <w:rFonts w:hint="default" w:ascii="Times New Roman" w:hAnsi="Times New Roman" w:eastAsia="仿宋_GB2312" w:cs="Times New Roman"/>
                <w:color w:val="auto"/>
                <w:sz w:val="24"/>
                <w:szCs w:val="24"/>
                <w:highlight w:val="none"/>
                <w:lang w:val="en-US" w:eastAsia="zh-CN"/>
              </w:rPr>
              <w:t>106°17′</w:t>
            </w:r>
            <w:r>
              <w:rPr>
                <w:rFonts w:hint="eastAsia" w:eastAsia="仿宋_GB2312" w:cs="Times New Roman"/>
                <w:color w:val="auto"/>
                <w:sz w:val="24"/>
                <w:szCs w:val="24"/>
                <w:highlight w:val="none"/>
                <w:lang w:val="en-US" w:eastAsia="zh-CN"/>
              </w:rPr>
              <w:t>15.014</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，北纬</w:t>
            </w:r>
            <w:r>
              <w:rPr>
                <w:rFonts w:hint="default" w:ascii="Times New Roman" w:hAnsi="Times New Roman" w:eastAsia="仿宋_GB2312" w:cs="Times New Roman"/>
                <w:color w:val="auto"/>
                <w:sz w:val="24"/>
                <w:szCs w:val="24"/>
                <w:highlight w:val="none"/>
                <w:lang w:val="en-US" w:eastAsia="zh-CN"/>
              </w:rPr>
              <w:t>35°39′</w:t>
            </w:r>
            <w:r>
              <w:rPr>
                <w:rFonts w:hint="eastAsia" w:eastAsia="仿宋_GB2312" w:cs="Times New Roman"/>
                <w:color w:val="auto"/>
                <w:sz w:val="24"/>
                <w:szCs w:val="24"/>
                <w:highlight w:val="none"/>
                <w:lang w:val="en-US" w:eastAsia="zh-CN"/>
              </w:rPr>
              <w:t>40.282</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；大湾乡中药材分拣包装晾晒车间建设工程中心地理坐标东经</w:t>
            </w:r>
            <w:r>
              <w:rPr>
                <w:rFonts w:hint="default" w:ascii="Times New Roman" w:hAnsi="Times New Roman" w:eastAsia="仿宋_GB2312" w:cs="Times New Roman"/>
                <w:color w:val="auto"/>
                <w:sz w:val="24"/>
                <w:szCs w:val="24"/>
                <w:highlight w:val="none"/>
                <w:lang w:val="en-US" w:eastAsia="zh-CN"/>
              </w:rPr>
              <w:t>106°17′</w:t>
            </w:r>
            <w:r>
              <w:rPr>
                <w:rFonts w:hint="eastAsia" w:eastAsia="仿宋_GB2312" w:cs="Times New Roman"/>
                <w:color w:val="auto"/>
                <w:sz w:val="24"/>
                <w:szCs w:val="24"/>
                <w:highlight w:val="none"/>
                <w:lang w:val="en-US" w:eastAsia="zh-CN"/>
              </w:rPr>
              <w:t>8.419</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，北纬</w:t>
            </w:r>
            <w:r>
              <w:rPr>
                <w:rFonts w:hint="default" w:ascii="Times New Roman" w:hAnsi="Times New Roman" w:eastAsia="仿宋_GB2312" w:cs="Times New Roman"/>
                <w:color w:val="auto"/>
                <w:sz w:val="24"/>
                <w:szCs w:val="24"/>
                <w:highlight w:val="none"/>
                <w:lang w:val="en-US" w:eastAsia="zh-CN"/>
              </w:rPr>
              <w:t>35°39′</w:t>
            </w:r>
            <w:r>
              <w:rPr>
                <w:rFonts w:hint="eastAsia" w:eastAsia="仿宋_GB2312" w:cs="Times New Roman"/>
                <w:color w:val="auto"/>
                <w:sz w:val="24"/>
                <w:szCs w:val="24"/>
                <w:highlight w:val="none"/>
                <w:lang w:val="en-US" w:eastAsia="zh-CN"/>
              </w:rPr>
              <w:t>38.283</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本项目</w:t>
            </w:r>
            <w:r>
              <w:rPr>
                <w:rFonts w:hint="eastAsia" w:ascii="Times New Roman" w:hAnsi="Times New Roman" w:eastAsia="仿宋_GB2312" w:cs="Times New Roman"/>
                <w:color w:val="auto"/>
                <w:sz w:val="24"/>
                <w:szCs w:val="24"/>
                <w:highlight w:val="none"/>
                <w:lang w:val="en-US" w:eastAsia="zh-CN"/>
              </w:rPr>
              <w:t>与</w:t>
            </w:r>
            <w:r>
              <w:rPr>
                <w:rFonts w:hint="eastAsia" w:eastAsia="仿宋_GB2312" w:cs="Times New Roman"/>
                <w:color w:val="auto"/>
                <w:sz w:val="24"/>
                <w:szCs w:val="24"/>
                <w:highlight w:val="none"/>
                <w:lang w:val="en-US" w:eastAsia="zh-CN"/>
              </w:rPr>
              <w:t>泾源</w:t>
            </w:r>
            <w:r>
              <w:rPr>
                <w:rFonts w:hint="eastAsia" w:ascii="Times New Roman" w:hAnsi="Times New Roman" w:eastAsia="仿宋_GB2312" w:cs="Times New Roman"/>
                <w:color w:val="auto"/>
                <w:sz w:val="24"/>
                <w:szCs w:val="24"/>
                <w:highlight w:val="none"/>
                <w:lang w:val="en-US" w:eastAsia="zh-CN"/>
              </w:rPr>
              <w:t>县行政区划关系图</w:t>
            </w:r>
            <w:r>
              <w:rPr>
                <w:rFonts w:hint="default" w:ascii="Times New Roman" w:hAnsi="Times New Roman" w:eastAsia="仿宋_GB2312" w:cs="Times New Roman"/>
                <w:color w:val="auto"/>
                <w:sz w:val="24"/>
                <w:szCs w:val="24"/>
                <w:highlight w:val="none"/>
                <w:lang w:val="en-US" w:eastAsia="zh-CN"/>
              </w:rPr>
              <w:t>见附图6。</w:t>
            </w:r>
          </w:p>
        </w:tc>
      </w:tr>
      <w:tr w14:paraId="20EAE06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gridAfter w:val="1"/>
          <w:wAfter w:w="9" w:type="dxa"/>
          <w:trHeight w:val="340" w:hRule="atLeast"/>
          <w:jc w:val="center"/>
        </w:trPr>
        <w:tc>
          <w:tcPr>
            <w:tcW w:w="465" w:type="dxa"/>
            <w:tcBorders>
              <w:tl2br w:val="nil"/>
              <w:tr2bl w:val="nil"/>
            </w:tcBorders>
            <w:vAlign w:val="center"/>
          </w:tcPr>
          <w:p w14:paraId="514D877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1E1ABD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3B56CC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935099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B05849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2759E3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eastAsia="仿宋_GB2312" w:cs="Times New Roman"/>
                <w:b/>
                <w:bCs/>
                <w:color w:val="auto"/>
                <w:szCs w:val="24"/>
                <w:highlight w:val="none"/>
                <w:lang w:eastAsia="zh-CN"/>
              </w:rPr>
              <w:t>项目组成及规模</w:t>
            </w:r>
          </w:p>
          <w:p w14:paraId="30B2C89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869455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DE4907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08F03C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9BAE45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75F8DE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8325FD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07DB43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5A1EDE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DA96AC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E88B71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0DC273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64DC05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992EC7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9E6346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1A56FA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A7025A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1AF187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44E0FD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FFD3C1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246BF3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853006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EEFAF1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BFD873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314796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376849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C31AD5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23FF12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80D878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D2A4EC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eastAsia="仿宋_GB2312" w:cs="Times New Roman"/>
                <w:b/>
                <w:bCs/>
                <w:color w:val="auto"/>
                <w:szCs w:val="24"/>
                <w:highlight w:val="none"/>
                <w:lang w:eastAsia="zh-CN"/>
              </w:rPr>
              <w:t>项目组成及规模</w:t>
            </w:r>
          </w:p>
          <w:p w14:paraId="276D68A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CD5ADC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EC7163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853592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595810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29F8AC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415C3C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65F869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E8F2F3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D37C93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8B7A65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456004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CB1F8A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2D008E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00B85A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006C4B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92E198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C0BC7F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A682A2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38706B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DBD1C8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BFCDD1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3D21AC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9409B24">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E8878C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802F7E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FE317C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6AF71B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30D076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75940F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91C2BC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C5A524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B2C780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04692D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0E767C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E387F8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120576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0D4E92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2F6F40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C30936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4E39FF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BB7AF5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549D09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DE925B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F51844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541AAF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F2627A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3A586B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45AF590">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508A6D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67E83E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eastAsia="仿宋_GB2312" w:cs="Times New Roman"/>
                <w:b/>
                <w:bCs/>
                <w:color w:val="auto"/>
                <w:szCs w:val="24"/>
                <w:highlight w:val="none"/>
                <w:lang w:eastAsia="zh-CN"/>
              </w:rPr>
              <w:t>项目组成及规模</w:t>
            </w:r>
          </w:p>
          <w:p w14:paraId="73990E9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F59046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182F29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110FCB4">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66DBD5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B673C0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79C796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64B7E0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72B3F9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F2C2480">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2D6453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3EAF89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725AA8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D68C1ED">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FF4A91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AF3DADD">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C86FB5D">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B1D80A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E29C7C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16BBF9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B96A3C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5FACC8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ECC9FA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72A74B0">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DFB967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E0FF03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216867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464E25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E73B870">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A56428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183917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1D9875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869A74F">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04AB35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427E5C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909E2A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FD89E8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0D77BF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B94E96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851655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75A9A9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36472F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2D7487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026259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988815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F9DA50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F733BB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F43D8E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74E91E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FB3DE6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2176FA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1E5866F">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E00526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0FC4E4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4EA9AD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61DC13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016485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CC4FEE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EA841B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C7A550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BBCFE3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C7C870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8857FA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91B6AC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74032F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377D86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DCFBCB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1C9A05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7FB671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E4A13F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5097B6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2B8D37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576C33F">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E0375A0">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88D2520">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F5B797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227D18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5E18CE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BBD464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EA7B6E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F0D9DF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303E83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352FC0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444E63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71424F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66AEF4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92A274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630228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6B5E1C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2DC374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51E753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31FA2DD">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C7A50F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B58F28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F3247DD">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32AFB8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9D71CBD">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D54A63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9CD47A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D7C9BE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364DB1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817C39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7BE28D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7CBDEE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073FA6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30FB3A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244715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9523A5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74A14AD">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047323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301D18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FEC5D2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A57A9E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3805D8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3F89AC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4F407B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55B0F9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6593C5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E5DE4A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1240F8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10DC62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26FA6A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C6B1C6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8FD638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9549D5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2FD578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ECC124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1E94D70">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9C38B4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8A9082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70EF2F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A60A10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4BA5BD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1BF276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95F0E9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DB8D98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AEAAC6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79E36F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F761D9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4515EF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7CF44A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3A5FFF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649B39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C4C07C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A0236E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44DD52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FCA766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6C5F47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55D5DD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AB158C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4D009D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7176CD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3557B0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D3F60B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277D50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76CBBD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50FABC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B20C66D">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D350EB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5FC4D0D">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7D5411D">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C5C63A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F99EEBF">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2A0C40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DA1137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90BABD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EEDB4B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4551B2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C4A402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7DBB0D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97783B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DF8047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EB87B2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6ADD2C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DAE812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345CEB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445A57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A074F8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0CAAE0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89E1DB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FE81DD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56C01E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DCBF1F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3A9C5C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9DCC2CF">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A27C47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27D70A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D618D7F">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8A0509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D7FDECD">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164274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069A74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8ECDF6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2F7CDE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7098AB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E5D1A7D">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BE29D8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B175E5F">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697EA1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DD4DEE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D3A1CB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5A9194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5ED23E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A11424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37DD47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8FBF34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AC2F66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17A72B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97C3AB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8B78DD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89830EF">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C6AB16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9F040F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A532CA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0DCD41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019C51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2F2B2E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5003E5F">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174085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6411B2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B94868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05D009F">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4D425F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611D7D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D588FA0">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51D8E7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5888A5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416C4B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848D562">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24CDD0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8F02EF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AFEA860">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7EE3D9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4ACED50">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C57BF3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326C05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C4BC23F">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6D26FE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6961E99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9C9F4D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A80165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6AEC1B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35ADD8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6A56BA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A44327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91EB78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7B3628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EECB28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2AD50CF">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5A5E8F35">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F9B0AE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9980C5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01BE0E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1CB6107">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703423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A4E9EF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636345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A28344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13E671B">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1A40060">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BF0C9AF">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4F43429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B10DBD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1C5C7EE">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51E878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B9089C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39D417D8">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80FF0D9">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1D9188C4">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8BC0C3C">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73A671D6">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24F741E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tc>
        <w:tc>
          <w:tcPr>
            <w:tcW w:w="8727" w:type="dxa"/>
            <w:tcBorders>
              <w:tl2br w:val="nil"/>
              <w:tr2bl w:val="nil"/>
            </w:tcBorders>
          </w:tcPr>
          <w:p w14:paraId="2F0BCF1C">
            <w:pPr>
              <w:pStyle w:val="89"/>
              <w:keepNext w:val="0"/>
              <w:keepLines w:val="0"/>
              <w:pageBreakBefore w:val="0"/>
              <w:kinsoku/>
              <w:wordWrap/>
              <w:overflowPunct/>
              <w:topLinePunct w:val="0"/>
              <w:autoSpaceDE/>
              <w:autoSpaceDN/>
              <w:bidi w:val="0"/>
              <w:adjustRightInd/>
              <w:spacing w:line="360" w:lineRule="auto"/>
              <w:textAlignment w:val="auto"/>
              <w:rPr>
                <w:rFonts w:hint="default" w:ascii="Times New Roman" w:hAnsi="Times New Roman" w:eastAsia="仿宋_GB2312" w:cs="Times New Roman"/>
                <w:b/>
                <w:bCs w:val="0"/>
                <w:color w:val="auto"/>
                <w:kern w:val="2"/>
                <w:sz w:val="24"/>
                <w:szCs w:val="24"/>
                <w:highlight w:val="none"/>
                <w:lang w:val="en-US" w:eastAsia="zh-CN" w:bidi="ar-SA"/>
              </w:rPr>
            </w:pPr>
            <w:r>
              <w:rPr>
                <w:rFonts w:hint="eastAsia" w:ascii="Times New Roman" w:hAnsi="Times New Roman" w:eastAsia="仿宋_GB2312" w:cs="Times New Roman"/>
                <w:b/>
                <w:bCs w:val="0"/>
                <w:color w:val="auto"/>
                <w:kern w:val="2"/>
                <w:sz w:val="24"/>
                <w:szCs w:val="24"/>
                <w:highlight w:val="none"/>
                <w:lang w:val="en-US" w:eastAsia="zh-CN" w:bidi="ar-SA"/>
              </w:rPr>
              <w:t>1.</w:t>
            </w:r>
            <w:r>
              <w:rPr>
                <w:rFonts w:hint="default" w:ascii="Times New Roman" w:hAnsi="Times New Roman" w:eastAsia="仿宋_GB2312" w:cs="Times New Roman"/>
                <w:b/>
                <w:bCs w:val="0"/>
                <w:color w:val="auto"/>
                <w:kern w:val="2"/>
                <w:sz w:val="24"/>
                <w:szCs w:val="24"/>
                <w:highlight w:val="none"/>
                <w:lang w:val="en-US" w:eastAsia="zh-CN" w:bidi="ar-SA"/>
              </w:rPr>
              <w:t>项目</w:t>
            </w:r>
            <w:r>
              <w:rPr>
                <w:rFonts w:hint="eastAsia" w:ascii="Times New Roman" w:hAnsi="Times New Roman" w:eastAsia="仿宋_GB2312" w:cs="Times New Roman"/>
                <w:b/>
                <w:bCs w:val="0"/>
                <w:color w:val="auto"/>
                <w:kern w:val="2"/>
                <w:sz w:val="24"/>
                <w:szCs w:val="24"/>
                <w:highlight w:val="none"/>
                <w:lang w:val="en-US" w:eastAsia="zh-CN" w:bidi="ar-SA"/>
              </w:rPr>
              <w:t>背景</w:t>
            </w:r>
          </w:p>
          <w:p w14:paraId="0B77385D">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在国家积极推动地方经济发展、加大专项债支持力度的宏观背景下，泾源县立足自身资源禀赋，深度挖掘六盘山生态优势，全力推进中蜂中药材等林下经济产业建设项目。</w:t>
            </w:r>
          </w:p>
          <w:p w14:paraId="080EFCD6">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近年来，中蜂中药材等林下经济产业已在泾源县初具规模。目前，全县蜂群规模达3.5万群，“泾源蜂蜜”凭借卓越品质，被农业农村部登记为国家地理标志农产品，品牌价值飙升至1.44亿元，有力带动1300余户蜂农实现增收。中药材产业同样成绩斐然，种植面积扩展至7.7万亩，涵盖柴胡、黄芪、芍药等多种道地药材，12家中医药企业构建起完整产业链，年产值高达9873万元，成为农民增收致富的重要支柱。</w:t>
            </w:r>
          </w:p>
          <w:p w14:paraId="4A952EAA">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然而，当前产业发展也面临诸多挑战。中蜂养殖环节，传统蜂箱难以实现精细化管理，蜂蜜加工包装设备陈旧，制约产品品质提升与品牌拓展；中药材产业方面，种苗培育缺乏标准化，物流中转设施滞后，分拣包装晾晒条件简陋，严重阻碍产业高效发展。</w:t>
            </w:r>
          </w:p>
          <w:p w14:paraId="53EF44F3">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在此背景下，本项目借助专项债政策东风，围绕中蜂中药材等林下经济全产业链布局一系列关键工程。从六盘山镇蜂蜜加工包装车间的升级，到智能化蜂箱改造；从中药材种苗培育基地的建设，到物流中转集散地与分拣包装晾晒车间的完善，每一项工程都精准靶向产业痛点。项目建成后，将极大提升产业现代化水平，促进中蜂中药材等林下经济产业深度融合，实现生态保护与经济发展的良性互动。</w:t>
            </w:r>
          </w:p>
          <w:p w14:paraId="1F90476A">
            <w:pPr>
              <w:keepNext w:val="0"/>
              <w:keepLines w:val="0"/>
              <w:pageBreakBefore w:val="0"/>
              <w:widowControl w:val="0"/>
              <w:kinsoku/>
              <w:wordWrap/>
              <w:overflowPunct/>
              <w:topLinePunct w:val="0"/>
              <w:autoSpaceDE/>
              <w:autoSpaceDN/>
              <w:bidi w:val="0"/>
              <w:spacing w:line="360" w:lineRule="auto"/>
              <w:ind w:right="0"/>
              <w:jc w:val="both"/>
              <w:textAlignment w:val="auto"/>
              <w:rPr>
                <w:rFonts w:hint="default" w:ascii="Times New Roman" w:hAnsi="Times New Roman" w:eastAsia="仿宋_GB2312" w:cs="Times New Roman"/>
                <w:b/>
                <w:bCs w:val="0"/>
                <w:color w:val="auto"/>
                <w:kern w:val="2"/>
                <w:sz w:val="24"/>
                <w:szCs w:val="24"/>
                <w:highlight w:val="none"/>
                <w:lang w:val="en-US" w:eastAsia="zh-CN" w:bidi="ar-SA"/>
              </w:rPr>
            </w:pPr>
            <w:r>
              <w:rPr>
                <w:rFonts w:hint="eastAsia" w:ascii="Times New Roman" w:hAnsi="Times New Roman" w:eastAsia="仿宋_GB2312" w:cs="Times New Roman"/>
                <w:b/>
                <w:bCs w:val="0"/>
                <w:color w:val="auto"/>
                <w:kern w:val="2"/>
                <w:sz w:val="24"/>
                <w:szCs w:val="24"/>
                <w:highlight w:val="none"/>
                <w:lang w:val="en-US" w:eastAsia="zh-CN" w:bidi="ar-SA"/>
              </w:rPr>
              <w:t>2</w:t>
            </w:r>
            <w:r>
              <w:rPr>
                <w:rFonts w:hint="eastAsia" w:eastAsia="仿宋_GB2312" w:cs="Times New Roman"/>
                <w:b/>
                <w:bCs w:val="0"/>
                <w:color w:val="auto"/>
                <w:kern w:val="2"/>
                <w:sz w:val="24"/>
                <w:szCs w:val="24"/>
                <w:highlight w:val="none"/>
                <w:lang w:val="en-US" w:eastAsia="zh-CN" w:bidi="ar-SA"/>
              </w:rPr>
              <w:t>.</w:t>
            </w:r>
            <w:r>
              <w:rPr>
                <w:rFonts w:hint="default" w:ascii="Times New Roman" w:hAnsi="Times New Roman" w:eastAsia="仿宋_GB2312" w:cs="Times New Roman"/>
                <w:b/>
                <w:bCs w:val="0"/>
                <w:color w:val="auto"/>
                <w:kern w:val="2"/>
                <w:sz w:val="24"/>
                <w:szCs w:val="24"/>
                <w:highlight w:val="none"/>
                <w:lang w:val="en-US" w:eastAsia="zh-CN" w:bidi="ar-SA"/>
              </w:rPr>
              <w:t>项目组成及建设规模</w:t>
            </w:r>
          </w:p>
          <w:p w14:paraId="239A9E33">
            <w:pPr>
              <w:keepNext w:val="0"/>
              <w:keepLines w:val="0"/>
              <w:pageBreakBefore w:val="0"/>
              <w:widowControl w:val="0"/>
              <w:kinsoku/>
              <w:wordWrap/>
              <w:overflowPunct/>
              <w:topLinePunct w:val="0"/>
              <w:autoSpaceDE/>
              <w:autoSpaceDN/>
              <w:bidi w:val="0"/>
              <w:spacing w:line="360" w:lineRule="auto"/>
              <w:ind w:right="0"/>
              <w:jc w:val="both"/>
              <w:textAlignment w:val="auto"/>
              <w:rPr>
                <w:rFonts w:hint="default" w:ascii="Times New Roman" w:hAnsi="Times New Roman" w:eastAsia="仿宋_GB2312" w:cs="Times New Roman"/>
                <w:b/>
                <w:bCs w:val="0"/>
                <w:color w:val="auto"/>
                <w:kern w:val="2"/>
                <w:sz w:val="24"/>
                <w:szCs w:val="24"/>
                <w:highlight w:val="none"/>
                <w:lang w:val="en-US" w:eastAsia="zh-CN" w:bidi="ar-SA"/>
              </w:rPr>
            </w:pPr>
            <w:r>
              <w:rPr>
                <w:rFonts w:hint="eastAsia" w:ascii="Times New Roman" w:hAnsi="Times New Roman" w:eastAsia="仿宋_GB2312" w:cs="Times New Roman"/>
                <w:b/>
                <w:bCs w:val="0"/>
                <w:color w:val="auto"/>
                <w:kern w:val="2"/>
                <w:sz w:val="24"/>
                <w:szCs w:val="24"/>
                <w:highlight w:val="none"/>
                <w:lang w:val="en-US" w:eastAsia="zh-CN" w:bidi="ar-SA"/>
              </w:rPr>
              <w:t>2</w:t>
            </w:r>
            <w:r>
              <w:rPr>
                <w:rFonts w:hint="default" w:ascii="Times New Roman" w:hAnsi="Times New Roman" w:eastAsia="仿宋_GB2312" w:cs="Times New Roman"/>
                <w:b/>
                <w:bCs w:val="0"/>
                <w:color w:val="auto"/>
                <w:kern w:val="2"/>
                <w:sz w:val="24"/>
                <w:szCs w:val="24"/>
                <w:highlight w:val="none"/>
                <w:lang w:val="en-US" w:eastAsia="zh-CN" w:bidi="ar-SA"/>
              </w:rPr>
              <w:t>.1 建设规模</w:t>
            </w:r>
          </w:p>
          <w:p w14:paraId="2D169160">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项目建设内容包括：</w:t>
            </w:r>
          </w:p>
          <w:p w14:paraId="4070A44C">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（1）</w:t>
            </w:r>
            <w:r>
              <w:rPr>
                <w:rFonts w:hint="eastAsia" w:ascii="Times New Roman" w:hAnsi="Times New Roman" w:eastAsia="仿宋_GB2312" w:cs="Times New Roman"/>
                <w:color w:val="auto"/>
                <w:kern w:val="2"/>
                <w:sz w:val="24"/>
                <w:szCs w:val="24"/>
                <w:highlight w:val="none"/>
                <w:lang w:val="en-US" w:eastAsia="zh-CN" w:bidi="ar-SA"/>
              </w:rPr>
              <w:t>泾河源镇蜂蜜加工包装车间建设工程</w:t>
            </w:r>
            <w:r>
              <w:rPr>
                <w:rFonts w:hint="eastAsia"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蜂蜜加工车间515.5平方米，配套室外附属工程1项。</w:t>
            </w:r>
          </w:p>
          <w:p w14:paraId="2900B9DA">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（2）</w:t>
            </w:r>
            <w:r>
              <w:rPr>
                <w:rFonts w:hint="eastAsia" w:ascii="Times New Roman" w:hAnsi="Times New Roman" w:eastAsia="仿宋_GB2312" w:cs="Times New Roman"/>
                <w:color w:val="auto"/>
                <w:kern w:val="2"/>
                <w:sz w:val="24"/>
                <w:szCs w:val="24"/>
                <w:highlight w:val="none"/>
                <w:lang w:val="en-US" w:eastAsia="zh-CN" w:bidi="ar-SA"/>
              </w:rPr>
              <w:t>泾源县智能化蜂箱改造建设工程</w:t>
            </w:r>
            <w:r>
              <w:rPr>
                <w:rFonts w:hint="eastAsia"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智能移动蜂车3台，智能蜂箱2000箱，蜂箱7000箱，智慧蜂场建设3个。</w:t>
            </w:r>
          </w:p>
          <w:p w14:paraId="20E1DD90">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（3）</w:t>
            </w:r>
            <w:r>
              <w:rPr>
                <w:rFonts w:hint="eastAsia" w:ascii="Times New Roman" w:hAnsi="Times New Roman" w:eastAsia="仿宋_GB2312" w:cs="Times New Roman"/>
                <w:color w:val="auto"/>
                <w:kern w:val="2"/>
                <w:sz w:val="24"/>
                <w:szCs w:val="24"/>
                <w:highlight w:val="none"/>
                <w:lang w:val="en-US" w:eastAsia="zh-CN" w:bidi="ar-SA"/>
              </w:rPr>
              <w:t>六盘山镇中药材种苗培育基地建设工程</w:t>
            </w:r>
            <w:r>
              <w:rPr>
                <w:rFonts w:hint="eastAsia"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土壤改良工程1100亩，工艺泵房1座，蓄水池1项，作业通道硬化工程1项，灌溉给水工程1项。</w:t>
            </w:r>
          </w:p>
          <w:p w14:paraId="459D53CF">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（4）</w:t>
            </w:r>
            <w:r>
              <w:rPr>
                <w:rFonts w:hint="eastAsia" w:ascii="Times New Roman" w:hAnsi="Times New Roman" w:eastAsia="仿宋_GB2312" w:cs="Times New Roman"/>
                <w:color w:val="auto"/>
                <w:kern w:val="2"/>
                <w:sz w:val="24"/>
                <w:szCs w:val="24"/>
                <w:highlight w:val="none"/>
                <w:lang w:val="en-US" w:eastAsia="zh-CN" w:bidi="ar-SA"/>
              </w:rPr>
              <w:t>六盘山镇中药材物流中转集散地建设工程</w:t>
            </w:r>
            <w:r>
              <w:rPr>
                <w:rFonts w:hint="eastAsia"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新建中药材分拣与包装区558.8平方米、物流中转区455平方米、中药材储存仓库1100平方米、中药质量检测中心311平方米、配套室外附属工程1项。</w:t>
            </w:r>
          </w:p>
          <w:p w14:paraId="556D541D">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（5）</w:t>
            </w:r>
            <w:r>
              <w:rPr>
                <w:rFonts w:hint="eastAsia" w:ascii="Times New Roman" w:hAnsi="Times New Roman" w:eastAsia="仿宋_GB2312" w:cs="Times New Roman"/>
                <w:color w:val="auto"/>
                <w:kern w:val="2"/>
                <w:sz w:val="24"/>
                <w:szCs w:val="24"/>
                <w:highlight w:val="none"/>
                <w:lang w:val="en-US" w:eastAsia="zh-CN" w:bidi="ar-SA"/>
              </w:rPr>
              <w:t>六盘山镇中药材分拣包装晾晒车间建设工程</w:t>
            </w:r>
            <w:r>
              <w:rPr>
                <w:rFonts w:hint="eastAsia"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新建成品库992.87平方米，配套室外附属工程1项。</w:t>
            </w:r>
          </w:p>
          <w:p w14:paraId="233B4325">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（6）</w:t>
            </w:r>
            <w:r>
              <w:rPr>
                <w:rFonts w:hint="eastAsia" w:ascii="Times New Roman" w:hAnsi="Times New Roman" w:eastAsia="仿宋_GB2312" w:cs="Times New Roman"/>
                <w:color w:val="auto"/>
                <w:kern w:val="2"/>
                <w:sz w:val="24"/>
                <w:szCs w:val="24"/>
                <w:highlight w:val="none"/>
                <w:lang w:val="en-US" w:eastAsia="zh-CN" w:bidi="ar-SA"/>
              </w:rPr>
              <w:t>大湾乡中药材分拣包装晾晒车间建设工程</w:t>
            </w:r>
            <w:r>
              <w:rPr>
                <w:rFonts w:hint="eastAsia"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新建中药材分拣包装车间515.4平方米，配套室外附属工程1项。</w:t>
            </w:r>
          </w:p>
          <w:p w14:paraId="3E9D7BE5">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项目工程组成由主体工程、临时工程、公用工程、环保工程组成。本项目工程组成见下表：</w:t>
            </w:r>
          </w:p>
          <w:p w14:paraId="19BC4F2A">
            <w:pPr>
              <w:adjustRightInd w:val="0"/>
              <w:ind w:firstLine="42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val="0"/>
                <w:color w:val="auto"/>
                <w:sz w:val="21"/>
                <w:szCs w:val="21"/>
                <w:highlight w:val="none"/>
              </w:rPr>
              <w:t>表</w:t>
            </w:r>
            <w:r>
              <w:rPr>
                <w:rFonts w:hint="eastAsia"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rPr>
              <w:t xml:space="preserve"> </w:t>
            </w:r>
            <w:r>
              <w:rPr>
                <w:rFonts w:hint="eastAsia" w:ascii="Times New Roman" w:hAnsi="Times New Roman" w:eastAsia="宋体"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rPr>
              <w:t xml:space="preserve">  </w:t>
            </w:r>
            <w:r>
              <w:rPr>
                <w:rFonts w:hint="default" w:ascii="Times New Roman" w:hAnsi="Times New Roman" w:eastAsia="宋体" w:cs="Times New Roman"/>
                <w:b/>
                <w:bCs/>
                <w:color w:val="auto"/>
                <w:sz w:val="24"/>
                <w:szCs w:val="24"/>
                <w:highlight w:val="none"/>
              </w:rPr>
              <w:t>项目工程组成一览表</w:t>
            </w:r>
          </w:p>
          <w:tbl>
            <w:tblPr>
              <w:tblStyle w:val="33"/>
              <w:tblW w:w="85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5"/>
              <w:gridCol w:w="355"/>
              <w:gridCol w:w="2"/>
              <w:gridCol w:w="719"/>
              <w:gridCol w:w="723"/>
              <w:gridCol w:w="1"/>
              <w:gridCol w:w="3"/>
              <w:gridCol w:w="6315"/>
              <w:gridCol w:w="1"/>
              <w:gridCol w:w="18"/>
            </w:tblGrid>
            <w:tr w14:paraId="4B121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644" w:hRule="atLeast"/>
                <w:tblHeader/>
                <w:jc w:val="center"/>
              </w:trPr>
              <w:tc>
                <w:tcPr>
                  <w:tcW w:w="429" w:type="pct"/>
                  <w:gridSpan w:val="2"/>
                  <w:noWrap w:val="0"/>
                  <w:vAlign w:val="center"/>
                </w:tcPr>
                <w:p w14:paraId="482E786B">
                  <w:pPr>
                    <w:pStyle w:val="6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工程类别</w:t>
                  </w:r>
                </w:p>
              </w:tc>
              <w:tc>
                <w:tcPr>
                  <w:tcW w:w="849" w:type="pct"/>
                  <w:gridSpan w:val="4"/>
                  <w:noWrap w:val="0"/>
                  <w:vAlign w:val="center"/>
                </w:tcPr>
                <w:p w14:paraId="74C29C4F">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3712" w:type="pct"/>
                  <w:gridSpan w:val="3"/>
                  <w:noWrap w:val="0"/>
                  <w:vAlign w:val="center"/>
                </w:tcPr>
                <w:p w14:paraId="5B982BFA">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项目内容</w:t>
                  </w:r>
                </w:p>
              </w:tc>
            </w:tr>
            <w:tr w14:paraId="5A167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928" w:hRule="atLeast"/>
                <w:jc w:val="center"/>
              </w:trPr>
              <w:tc>
                <w:tcPr>
                  <w:tcW w:w="429" w:type="pct"/>
                  <w:gridSpan w:val="2"/>
                  <w:vMerge w:val="restart"/>
                  <w:noWrap w:val="0"/>
                  <w:vAlign w:val="center"/>
                </w:tcPr>
                <w:p w14:paraId="3221464C">
                  <w:pPr>
                    <w:pStyle w:val="6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主体工程</w:t>
                  </w:r>
                </w:p>
              </w:tc>
              <w:tc>
                <w:tcPr>
                  <w:tcW w:w="849" w:type="pct"/>
                  <w:gridSpan w:val="4"/>
                  <w:noWrap w:val="0"/>
                  <w:vAlign w:val="center"/>
                </w:tcPr>
                <w:p w14:paraId="08430EA4">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泾河源镇蜂蜜加工包装车间建设工程</w:t>
                  </w:r>
                </w:p>
              </w:tc>
              <w:tc>
                <w:tcPr>
                  <w:tcW w:w="3712" w:type="pct"/>
                  <w:gridSpan w:val="3"/>
                  <w:noWrap w:val="0"/>
                  <w:vAlign w:val="center"/>
                </w:tcPr>
                <w:p w14:paraId="1BA1B81A">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蜂蜜加工车间515.5㎡；配套室外附属工程：室外给排水工程，室外电气工程，室外硬化，室外硬化、铁艺围栏、电动伸缩门及配套设施工程1项。</w:t>
                  </w:r>
                </w:p>
              </w:tc>
            </w:tr>
            <w:tr w14:paraId="1E248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928" w:hRule="atLeast"/>
                <w:jc w:val="center"/>
              </w:trPr>
              <w:tc>
                <w:tcPr>
                  <w:tcW w:w="429" w:type="pct"/>
                  <w:gridSpan w:val="2"/>
                  <w:vMerge w:val="continue"/>
                  <w:noWrap w:val="0"/>
                  <w:vAlign w:val="center"/>
                </w:tcPr>
                <w:p w14:paraId="68159D74">
                  <w:pPr>
                    <w:pStyle w:val="6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bCs/>
                      <w:color w:val="auto"/>
                      <w:sz w:val="21"/>
                      <w:szCs w:val="21"/>
                      <w:highlight w:val="none"/>
                    </w:rPr>
                  </w:pPr>
                </w:p>
              </w:tc>
              <w:tc>
                <w:tcPr>
                  <w:tcW w:w="849" w:type="pct"/>
                  <w:gridSpan w:val="4"/>
                  <w:noWrap w:val="0"/>
                  <w:vAlign w:val="center"/>
                </w:tcPr>
                <w:p w14:paraId="07D002C3">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泾源县智能化蜂箱改造建设工程</w:t>
                  </w:r>
                </w:p>
              </w:tc>
              <w:tc>
                <w:tcPr>
                  <w:tcW w:w="3712" w:type="pct"/>
                  <w:gridSpan w:val="3"/>
                  <w:noWrap w:val="0"/>
                  <w:vAlign w:val="center"/>
                </w:tcPr>
                <w:p w14:paraId="281682BE">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“超级蜂巢”智能移动蜂车6台，3年智慧化服务费1项，智能蜂箱2000箱，蜂箱7000箱，智慧蜂场建设6个。</w:t>
                  </w:r>
                </w:p>
              </w:tc>
            </w:tr>
            <w:tr w14:paraId="41D9C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928" w:hRule="atLeast"/>
                <w:jc w:val="center"/>
              </w:trPr>
              <w:tc>
                <w:tcPr>
                  <w:tcW w:w="429" w:type="pct"/>
                  <w:gridSpan w:val="2"/>
                  <w:vMerge w:val="continue"/>
                  <w:noWrap w:val="0"/>
                  <w:vAlign w:val="center"/>
                </w:tcPr>
                <w:p w14:paraId="3F5FDA87">
                  <w:pPr>
                    <w:pStyle w:val="6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bCs/>
                      <w:color w:val="auto"/>
                      <w:sz w:val="21"/>
                      <w:szCs w:val="21"/>
                      <w:highlight w:val="none"/>
                    </w:rPr>
                  </w:pPr>
                </w:p>
              </w:tc>
              <w:tc>
                <w:tcPr>
                  <w:tcW w:w="849" w:type="pct"/>
                  <w:gridSpan w:val="4"/>
                  <w:noWrap w:val="0"/>
                  <w:vAlign w:val="center"/>
                </w:tcPr>
                <w:p w14:paraId="397D278B">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六盘山镇中药材种苗培育基地建设工程</w:t>
                  </w:r>
                </w:p>
              </w:tc>
              <w:tc>
                <w:tcPr>
                  <w:tcW w:w="3712" w:type="pct"/>
                  <w:gridSpan w:val="3"/>
                  <w:noWrap w:val="0"/>
                  <w:vAlign w:val="center"/>
                </w:tcPr>
                <w:p w14:paraId="077D823C">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平田整地及土壤改良工程1100亩，工艺泵房1项，蓄水池</w:t>
                  </w:r>
                  <w:r>
                    <w:rPr>
                      <w:rFonts w:hint="eastAsia" w:ascii="Times New Roman" w:cs="Times New Roman"/>
                      <w:color w:val="auto"/>
                      <w:sz w:val="21"/>
                      <w:szCs w:val="21"/>
                      <w:highlight w:val="none"/>
                      <w:lang w:val="en-US" w:eastAsia="zh-CN"/>
                    </w:rPr>
                    <w:t>（1000m</w:t>
                  </w:r>
                  <w:r>
                    <w:rPr>
                      <w:rFonts w:hint="eastAsia" w:ascii="Times New Roman" w:cs="Times New Roman"/>
                      <w:color w:val="auto"/>
                      <w:sz w:val="21"/>
                      <w:szCs w:val="21"/>
                      <w:highlight w:val="none"/>
                      <w:vertAlign w:val="superscript"/>
                      <w:lang w:val="en-US" w:eastAsia="zh-CN"/>
                    </w:rPr>
                    <w:t>3</w:t>
                  </w:r>
                  <w:r>
                    <w:rPr>
                      <w:rFonts w:hint="eastAsia" w:asci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1项，作业通道硬化工程1项，灌溉给水工程1项。</w:t>
                  </w:r>
                </w:p>
              </w:tc>
            </w:tr>
            <w:tr w14:paraId="46469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928" w:hRule="atLeast"/>
                <w:jc w:val="center"/>
              </w:trPr>
              <w:tc>
                <w:tcPr>
                  <w:tcW w:w="429" w:type="pct"/>
                  <w:gridSpan w:val="2"/>
                  <w:vMerge w:val="continue"/>
                  <w:noWrap w:val="0"/>
                  <w:vAlign w:val="center"/>
                </w:tcPr>
                <w:p w14:paraId="0257D1CC">
                  <w:pPr>
                    <w:pStyle w:val="6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bCs/>
                      <w:color w:val="auto"/>
                      <w:sz w:val="21"/>
                      <w:szCs w:val="21"/>
                      <w:highlight w:val="none"/>
                    </w:rPr>
                  </w:pPr>
                </w:p>
              </w:tc>
              <w:tc>
                <w:tcPr>
                  <w:tcW w:w="849" w:type="pct"/>
                  <w:gridSpan w:val="4"/>
                  <w:noWrap w:val="0"/>
                  <w:vAlign w:val="center"/>
                </w:tcPr>
                <w:p w14:paraId="0F30034A">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六盘山镇中药材物流中转集散地建设工程</w:t>
                  </w:r>
                </w:p>
              </w:tc>
              <w:tc>
                <w:tcPr>
                  <w:tcW w:w="3712" w:type="pct"/>
                  <w:gridSpan w:val="3"/>
                  <w:noWrap w:val="0"/>
                  <w:vAlign w:val="center"/>
                </w:tcPr>
                <w:p w14:paraId="061FA8C9">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新建中药材分拣与包装区558.8㎡，新建物流中转区455</w:t>
                  </w:r>
                  <w:r>
                    <w:rPr>
                      <w:rFonts w:hint="eastAsia" w:ascii="Times New Roman" w:cs="Times New Roman"/>
                      <w:color w:val="auto"/>
                      <w:sz w:val="21"/>
                      <w:szCs w:val="21"/>
                      <w:highlight w:val="none"/>
                      <w:lang w:val="en-US" w:eastAsia="zh-CN"/>
                    </w:rPr>
                    <w:t>m</w:t>
                  </w:r>
                  <w:r>
                    <w:rPr>
                      <w:rFonts w:hint="eastAsia" w:ascii="Times New Roman"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，新建中药材储存仓库1100</w:t>
                  </w:r>
                  <w:r>
                    <w:rPr>
                      <w:rFonts w:hint="eastAsia" w:ascii="Times New Roman" w:cs="Times New Roman"/>
                      <w:color w:val="auto"/>
                      <w:sz w:val="21"/>
                      <w:szCs w:val="21"/>
                      <w:highlight w:val="none"/>
                      <w:lang w:val="en-US" w:eastAsia="zh-CN"/>
                    </w:rPr>
                    <w:t>m</w:t>
                  </w:r>
                  <w:r>
                    <w:rPr>
                      <w:rFonts w:hint="eastAsia" w:ascii="Times New Roman"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，新建中药质量检测中心311</w:t>
                  </w:r>
                  <w:r>
                    <w:rPr>
                      <w:rFonts w:hint="eastAsia" w:ascii="Times New Roman" w:cs="Times New Roman"/>
                      <w:color w:val="auto"/>
                      <w:sz w:val="21"/>
                      <w:szCs w:val="21"/>
                      <w:highlight w:val="none"/>
                      <w:lang w:val="en-US" w:eastAsia="zh-CN"/>
                    </w:rPr>
                    <w:t>m</w:t>
                  </w:r>
                  <w:r>
                    <w:rPr>
                      <w:rFonts w:hint="eastAsia" w:ascii="Times New Roman" w:cs="Times New Roman"/>
                      <w:color w:val="auto"/>
                      <w:sz w:val="21"/>
                      <w:szCs w:val="21"/>
                      <w:highlight w:val="none"/>
                      <w:vertAlign w:val="superscript"/>
                      <w:lang w:val="en-US" w:eastAsia="zh-CN"/>
                    </w:rPr>
                    <w:t>2</w:t>
                  </w:r>
                  <w:r>
                    <w:rPr>
                      <w:rFonts w:hint="eastAsia" w:ascii="Times New Roman" w:cs="Times New Roman"/>
                      <w:color w:val="auto"/>
                      <w:sz w:val="21"/>
                      <w:szCs w:val="21"/>
                      <w:highlight w:val="none"/>
                      <w:lang w:val="en-US" w:eastAsia="zh-CN"/>
                    </w:rPr>
                    <w:t>，1F</w:t>
                  </w:r>
                  <w:r>
                    <w:rPr>
                      <w:rFonts w:hint="default" w:ascii="Times New Roman" w:hAnsi="Times New Roman" w:eastAsia="宋体" w:cs="Times New Roman"/>
                      <w:color w:val="auto"/>
                      <w:sz w:val="21"/>
                      <w:szCs w:val="21"/>
                      <w:highlight w:val="none"/>
                      <w:lang w:val="en-US" w:eastAsia="zh-CN"/>
                    </w:rPr>
                    <w:t>；配套室外附属工程</w:t>
                  </w:r>
                  <w:r>
                    <w:rPr>
                      <w:rFonts w:hint="eastAsia" w:ascii="Times New Roman" w:cs="Times New Roman"/>
                      <w:color w:val="auto"/>
                      <w:sz w:val="21"/>
                      <w:szCs w:val="21"/>
                      <w:highlight w:val="none"/>
                      <w:lang w:val="en-US" w:eastAsia="zh-CN"/>
                    </w:rPr>
                    <w:t>。</w:t>
                  </w:r>
                </w:p>
              </w:tc>
            </w:tr>
            <w:tr w14:paraId="79940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928" w:hRule="atLeast"/>
                <w:jc w:val="center"/>
              </w:trPr>
              <w:tc>
                <w:tcPr>
                  <w:tcW w:w="429" w:type="pct"/>
                  <w:gridSpan w:val="2"/>
                  <w:vMerge w:val="continue"/>
                  <w:noWrap w:val="0"/>
                  <w:vAlign w:val="center"/>
                </w:tcPr>
                <w:p w14:paraId="715509C7">
                  <w:pPr>
                    <w:pStyle w:val="6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bCs/>
                      <w:color w:val="auto"/>
                      <w:sz w:val="21"/>
                      <w:szCs w:val="21"/>
                      <w:highlight w:val="none"/>
                    </w:rPr>
                  </w:pPr>
                </w:p>
              </w:tc>
              <w:tc>
                <w:tcPr>
                  <w:tcW w:w="849" w:type="pct"/>
                  <w:gridSpan w:val="4"/>
                  <w:noWrap w:val="0"/>
                  <w:vAlign w:val="center"/>
                </w:tcPr>
                <w:p w14:paraId="0179EE8B">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六盘山镇中药材分拣包装晾晒车间建设工程</w:t>
                  </w:r>
                </w:p>
              </w:tc>
              <w:tc>
                <w:tcPr>
                  <w:tcW w:w="3712" w:type="pct"/>
                  <w:gridSpan w:val="3"/>
                  <w:noWrap w:val="0"/>
                  <w:vAlign w:val="center"/>
                </w:tcPr>
                <w:p w14:paraId="2FA50B19">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新建成品库992.87㎡；配套室外附属工程：室外给排水，室外硬化、铁艺围栏、电动门及配套设施工程1项</w:t>
                  </w:r>
                  <w:r>
                    <w:rPr>
                      <w:rFonts w:hint="eastAsia" w:ascii="Times New Roman" w:cs="Times New Roman"/>
                      <w:color w:val="auto"/>
                      <w:sz w:val="21"/>
                      <w:szCs w:val="21"/>
                      <w:highlight w:val="none"/>
                      <w:lang w:val="en-US" w:eastAsia="zh-CN"/>
                    </w:rPr>
                    <w:t>。</w:t>
                  </w:r>
                </w:p>
              </w:tc>
            </w:tr>
            <w:tr w14:paraId="5C900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928" w:hRule="atLeast"/>
                <w:jc w:val="center"/>
              </w:trPr>
              <w:tc>
                <w:tcPr>
                  <w:tcW w:w="429" w:type="pct"/>
                  <w:gridSpan w:val="2"/>
                  <w:vMerge w:val="continue"/>
                  <w:noWrap w:val="0"/>
                  <w:vAlign w:val="center"/>
                </w:tcPr>
                <w:p w14:paraId="273C5270">
                  <w:pPr>
                    <w:pStyle w:val="6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bCs/>
                      <w:color w:val="auto"/>
                      <w:sz w:val="21"/>
                      <w:szCs w:val="21"/>
                      <w:highlight w:val="none"/>
                    </w:rPr>
                  </w:pPr>
                </w:p>
              </w:tc>
              <w:tc>
                <w:tcPr>
                  <w:tcW w:w="849" w:type="pct"/>
                  <w:gridSpan w:val="4"/>
                  <w:noWrap w:val="0"/>
                  <w:vAlign w:val="center"/>
                </w:tcPr>
                <w:p w14:paraId="4F024882">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大湾乡中药材分拣包装晾晒车间建设工程</w:t>
                  </w:r>
                </w:p>
              </w:tc>
              <w:tc>
                <w:tcPr>
                  <w:tcW w:w="3712" w:type="pct"/>
                  <w:gridSpan w:val="3"/>
                  <w:noWrap w:val="0"/>
                  <w:vAlign w:val="center"/>
                </w:tcPr>
                <w:p w14:paraId="13D090E3">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新建中药材分拣包装车间515.4㎡；配套室外附属工程：室外电气工程1项，室外给排水工程1项，室外消防工程1项，室外硬化及配套设施工程1项。</w:t>
                  </w:r>
                </w:p>
              </w:tc>
            </w:tr>
            <w:tr w14:paraId="2780A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8" w:type="pct"/>
                <w:trHeight w:val="621" w:hRule="atLeast"/>
                <w:jc w:val="center"/>
              </w:trPr>
              <w:tc>
                <w:tcPr>
                  <w:tcW w:w="429" w:type="pct"/>
                  <w:gridSpan w:val="2"/>
                  <w:vMerge w:val="restart"/>
                  <w:noWrap w:val="0"/>
                  <w:vAlign w:val="center"/>
                </w:tcPr>
                <w:p w14:paraId="1CE2D1B4">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辅助</w:t>
                  </w:r>
                  <w:r>
                    <w:rPr>
                      <w:rFonts w:hint="default" w:ascii="Times New Roman" w:hAnsi="Times New Roman" w:eastAsia="宋体" w:cs="Times New Roman"/>
                      <w:b/>
                      <w:bCs/>
                      <w:color w:val="auto"/>
                      <w:sz w:val="21"/>
                      <w:szCs w:val="21"/>
                      <w:highlight w:val="none"/>
                    </w:rPr>
                    <w:t>工程</w:t>
                  </w:r>
                </w:p>
              </w:tc>
              <w:tc>
                <w:tcPr>
                  <w:tcW w:w="424" w:type="pct"/>
                  <w:gridSpan w:val="2"/>
                  <w:vMerge w:val="restart"/>
                  <w:noWrap w:val="0"/>
                  <w:vAlign w:val="center"/>
                </w:tcPr>
                <w:p w14:paraId="409CFD2B">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六盘山镇中药材种苗培育基地建设工程</w:t>
                  </w:r>
                </w:p>
              </w:tc>
              <w:tc>
                <w:tcPr>
                  <w:tcW w:w="425" w:type="pct"/>
                  <w:noWrap w:val="0"/>
                  <w:vAlign w:val="center"/>
                </w:tcPr>
                <w:p w14:paraId="088B7713">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泵房</w:t>
                  </w:r>
                </w:p>
              </w:tc>
              <w:tc>
                <w:tcPr>
                  <w:tcW w:w="3712" w:type="pct"/>
                  <w:gridSpan w:val="3"/>
                  <w:noWrap w:val="0"/>
                  <w:vAlign w:val="center"/>
                </w:tcPr>
                <w:p w14:paraId="07C21E76">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建设</w:t>
                  </w:r>
                  <w:r>
                    <w:rPr>
                      <w:rFonts w:hint="default" w:ascii="Times New Roman" w:hAnsi="Times New Roman" w:eastAsia="宋体" w:cs="Times New Roman"/>
                      <w:color w:val="auto"/>
                      <w:sz w:val="21"/>
                      <w:szCs w:val="21"/>
                      <w:highlight w:val="none"/>
                      <w:lang w:val="en-US" w:eastAsia="zh-CN"/>
                    </w:rPr>
                    <w:t>泵房</w:t>
                  </w:r>
                  <w:r>
                    <w:rPr>
                      <w:rFonts w:hint="eastAsia" w:ascii="Times New Roman" w:cs="Times New Roman"/>
                      <w:color w:val="auto"/>
                      <w:sz w:val="21"/>
                      <w:szCs w:val="21"/>
                      <w:highlight w:val="none"/>
                      <w:lang w:val="en-US" w:eastAsia="zh-CN"/>
                    </w:rPr>
                    <w:t>1项。</w:t>
                  </w:r>
                </w:p>
              </w:tc>
            </w:tr>
            <w:tr w14:paraId="37818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8" w:type="pct"/>
                <w:trHeight w:val="421" w:hRule="atLeast"/>
                <w:jc w:val="center"/>
              </w:trPr>
              <w:tc>
                <w:tcPr>
                  <w:tcW w:w="429" w:type="pct"/>
                  <w:gridSpan w:val="2"/>
                  <w:vMerge w:val="continue"/>
                  <w:noWrap w:val="0"/>
                  <w:vAlign w:val="center"/>
                </w:tcPr>
                <w:p w14:paraId="5027E540">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eastAsia="zh-CN"/>
                    </w:rPr>
                  </w:pPr>
                </w:p>
              </w:tc>
              <w:tc>
                <w:tcPr>
                  <w:tcW w:w="424" w:type="pct"/>
                  <w:gridSpan w:val="2"/>
                  <w:vMerge w:val="continue"/>
                  <w:noWrap w:val="0"/>
                  <w:vAlign w:val="center"/>
                </w:tcPr>
                <w:p w14:paraId="16E4A6D5">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s="Times New Roman"/>
                      <w:color w:val="auto"/>
                      <w:sz w:val="21"/>
                      <w:szCs w:val="21"/>
                      <w:highlight w:val="none"/>
                      <w:lang w:val="en-US" w:eastAsia="zh-CN"/>
                    </w:rPr>
                  </w:pPr>
                </w:p>
              </w:tc>
              <w:tc>
                <w:tcPr>
                  <w:tcW w:w="425" w:type="pct"/>
                  <w:noWrap w:val="0"/>
                  <w:vAlign w:val="center"/>
                </w:tcPr>
                <w:p w14:paraId="7AA43425">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蓄水池</w:t>
                  </w:r>
                </w:p>
              </w:tc>
              <w:tc>
                <w:tcPr>
                  <w:tcW w:w="3712" w:type="pct"/>
                  <w:gridSpan w:val="3"/>
                  <w:noWrap w:val="0"/>
                  <w:vAlign w:val="center"/>
                </w:tcPr>
                <w:p w14:paraId="50973860">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建设1座1000m</w:t>
                  </w:r>
                  <w:r>
                    <w:rPr>
                      <w:rFonts w:hint="eastAsia" w:asci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蓄水池，蓄水池面积2300㎡，开挖深度4米，结构为“卵膜”结构，池顶长83m，宽30m；设计池深2.0m，水深1.5m；内边坡1</w:t>
                  </w:r>
                  <w:r>
                    <w:rPr>
                      <w:rFonts w:hint="eastAsia" w:asci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2。蓄水池设计池底标高：1982.00m，溢流水位标高：1983.50m</w:t>
                  </w:r>
                  <w:r>
                    <w:rPr>
                      <w:rFonts w:hint="eastAsia" w:ascii="Times New Roman" w:cs="Times New Roman"/>
                      <w:color w:val="auto"/>
                      <w:sz w:val="21"/>
                      <w:szCs w:val="21"/>
                      <w:highlight w:val="none"/>
                      <w:lang w:val="en-US" w:eastAsia="zh-CN"/>
                    </w:rPr>
                    <w:t>。</w:t>
                  </w:r>
                </w:p>
                <w:p w14:paraId="6C2C57A4">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采用复合土工膜作为防渗结构；池底结构自上而下依次为500厚素土回填、防水土工布200g/0.5mm/200g两布一膜、200厚素土垫层，夯实系数≥0.95、素土夯实，夯实系数≥0.93。</w:t>
                  </w:r>
                </w:p>
              </w:tc>
            </w:tr>
            <w:tr w14:paraId="54905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8" w:type="pct"/>
                <w:trHeight w:val="421" w:hRule="atLeast"/>
                <w:jc w:val="center"/>
              </w:trPr>
              <w:tc>
                <w:tcPr>
                  <w:tcW w:w="429" w:type="pct"/>
                  <w:gridSpan w:val="2"/>
                  <w:vMerge w:val="continue"/>
                  <w:noWrap w:val="0"/>
                  <w:vAlign w:val="center"/>
                </w:tcPr>
                <w:p w14:paraId="6C9D17C8">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eastAsia="zh-CN"/>
                    </w:rPr>
                  </w:pPr>
                </w:p>
              </w:tc>
              <w:tc>
                <w:tcPr>
                  <w:tcW w:w="424" w:type="pct"/>
                  <w:gridSpan w:val="2"/>
                  <w:vMerge w:val="continue"/>
                  <w:noWrap w:val="0"/>
                  <w:vAlign w:val="center"/>
                </w:tcPr>
                <w:p w14:paraId="3C1E4701">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s="Times New Roman"/>
                      <w:color w:val="auto"/>
                      <w:sz w:val="21"/>
                      <w:szCs w:val="21"/>
                      <w:highlight w:val="none"/>
                      <w:lang w:val="en-US" w:eastAsia="zh-CN"/>
                    </w:rPr>
                  </w:pPr>
                </w:p>
              </w:tc>
              <w:tc>
                <w:tcPr>
                  <w:tcW w:w="425" w:type="pct"/>
                  <w:noWrap w:val="0"/>
                  <w:vAlign w:val="center"/>
                </w:tcPr>
                <w:p w14:paraId="1E572C62">
                  <w:pPr>
                    <w:pStyle w:val="6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滴灌系统</w:t>
                  </w:r>
                </w:p>
              </w:tc>
              <w:tc>
                <w:tcPr>
                  <w:tcW w:w="3712" w:type="pct"/>
                  <w:gridSpan w:val="3"/>
                  <w:noWrap w:val="0"/>
                  <w:vAlign w:val="center"/>
                </w:tcPr>
                <w:p w14:paraId="087A7FB4">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首部枢纽设计：首部枢纽包括水泵、过滤器、施肥装置、压力表、阀门等设备。过滤器采用砂石过滤器与叠片过滤器相结合的组合方式，对灌溉水进行双重过滤，有效去除水中的泥沙、杂质、藻类等。</w:t>
                  </w:r>
                </w:p>
                <w:p w14:paraId="2F792B96">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输配水管网设计：输配水管网采用PE（聚乙烯）管材，主干管沿项目区域的主干道或中心位置铺设，管径根据灌溉流量与水头损失计算确定，一般选用 DN110-DN200的管材。支管垂直于主干管铺设，将水输送至各个灌溉小区，支管管径一般为 DN75-DN90。毛管与支管连接，沿种植行铺设，毛管上安装滴头，滴头间距根据中药材种苗的株距进行合理设置，一般为0.3～0.5米。在管网的适当位置设置阀门，便于对各灌溉区域进行独立控制与检修。</w:t>
                  </w:r>
                </w:p>
              </w:tc>
            </w:tr>
            <w:tr w14:paraId="7838E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928" w:hRule="atLeast"/>
                <w:jc w:val="center"/>
              </w:trPr>
              <w:tc>
                <w:tcPr>
                  <w:tcW w:w="429" w:type="pct"/>
                  <w:gridSpan w:val="2"/>
                  <w:vMerge w:val="continue"/>
                  <w:noWrap w:val="0"/>
                  <w:vAlign w:val="center"/>
                </w:tcPr>
                <w:p w14:paraId="30DB6C35">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eastAsia="zh-CN"/>
                    </w:rPr>
                  </w:pPr>
                </w:p>
              </w:tc>
              <w:tc>
                <w:tcPr>
                  <w:tcW w:w="849" w:type="pct"/>
                  <w:gridSpan w:val="4"/>
                  <w:shd w:val="clear" w:color="auto" w:fill="auto"/>
                  <w:noWrap w:val="0"/>
                  <w:vAlign w:val="center"/>
                </w:tcPr>
                <w:p w14:paraId="4448B949">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配套室外附属工程</w:t>
                  </w:r>
                </w:p>
              </w:tc>
              <w:tc>
                <w:tcPr>
                  <w:tcW w:w="3712" w:type="pct"/>
                  <w:gridSpan w:val="3"/>
                  <w:shd w:val="clear" w:color="auto" w:fill="auto"/>
                  <w:noWrap w:val="0"/>
                  <w:vAlign w:val="center"/>
                </w:tcPr>
                <w:p w14:paraId="591EB7B8">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主要包括室外给排水工程、硬化、铁艺围栏、电动伸缩门、作业通道、灌溉给水工程等。</w:t>
                  </w:r>
                </w:p>
              </w:tc>
            </w:tr>
            <w:tr w14:paraId="025457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9" w:type="pct"/>
                  <w:gridSpan w:val="3"/>
                  <w:vMerge w:val="restart"/>
                  <w:noWrap w:val="0"/>
                  <w:vAlign w:val="center"/>
                </w:tcPr>
                <w:p w14:paraId="3874D0DA">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临时工程</w:t>
                  </w:r>
                </w:p>
              </w:tc>
              <w:tc>
                <w:tcPr>
                  <w:tcW w:w="849" w:type="pct"/>
                  <w:gridSpan w:val="4"/>
                  <w:noWrap w:val="0"/>
                  <w:vAlign w:val="center"/>
                </w:tcPr>
                <w:p w14:paraId="17F37CB7">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施工道路</w:t>
                  </w:r>
                </w:p>
              </w:tc>
              <w:tc>
                <w:tcPr>
                  <w:tcW w:w="3720" w:type="pct"/>
                  <w:gridSpan w:val="3"/>
                  <w:noWrap w:val="0"/>
                  <w:vAlign w:val="center"/>
                </w:tcPr>
                <w:p w14:paraId="5B0B52C4">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本项目不设施工便道，外部施工道路依托现有乡镇道路</w:t>
                  </w:r>
                  <w:r>
                    <w:rPr>
                      <w:rFonts w:hint="eastAsia" w:ascii="Times New Roman" w:cs="Times New Roman"/>
                      <w:color w:val="auto"/>
                      <w:sz w:val="21"/>
                      <w:szCs w:val="21"/>
                      <w:highlight w:val="none"/>
                      <w:lang w:val="en-US" w:eastAsia="zh-CN"/>
                    </w:rPr>
                    <w:t>。</w:t>
                  </w:r>
                </w:p>
              </w:tc>
            </w:tr>
            <w:tr w14:paraId="4455E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9" w:type="pct"/>
                  <w:gridSpan w:val="3"/>
                  <w:vMerge w:val="continue"/>
                  <w:noWrap w:val="0"/>
                  <w:vAlign w:val="center"/>
                </w:tcPr>
                <w:p w14:paraId="156F5D68">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eastAsia="zh-CN"/>
                    </w:rPr>
                  </w:pPr>
                </w:p>
              </w:tc>
              <w:tc>
                <w:tcPr>
                  <w:tcW w:w="849" w:type="pct"/>
                  <w:gridSpan w:val="4"/>
                  <w:noWrap w:val="0"/>
                  <w:vAlign w:val="center"/>
                </w:tcPr>
                <w:p w14:paraId="1DE626F1">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施工营地</w:t>
                  </w:r>
                </w:p>
              </w:tc>
              <w:tc>
                <w:tcPr>
                  <w:tcW w:w="3720" w:type="pct"/>
                  <w:gridSpan w:val="3"/>
                  <w:noWrap w:val="0"/>
                  <w:vAlign w:val="center"/>
                </w:tcPr>
                <w:p w14:paraId="3CB47CF5">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本项目不单独设置施工生活营地，项目</w:t>
                  </w:r>
                  <w:r>
                    <w:rPr>
                      <w:rFonts w:hint="eastAsia" w:ascii="Times New Roman" w:hAnsi="Times New Roman" w:eastAsia="宋体"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lang w:val="en-US" w:eastAsia="zh-CN"/>
                    </w:rPr>
                    <w:t>六盘山镇、泾河镇、大湾乡，施工人员为周边居民</w:t>
                  </w:r>
                  <w:r>
                    <w:rPr>
                      <w:rFonts w:hint="eastAsia" w:ascii="Times New Roman" w:cs="Times New Roman"/>
                      <w:color w:val="auto"/>
                      <w:sz w:val="21"/>
                      <w:szCs w:val="21"/>
                      <w:highlight w:val="none"/>
                      <w:lang w:val="en-US" w:eastAsia="zh-CN"/>
                    </w:rPr>
                    <w:t>。</w:t>
                  </w:r>
                </w:p>
              </w:tc>
            </w:tr>
            <w:tr w14:paraId="2A4DE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9" w:type="pct"/>
                  <w:gridSpan w:val="3"/>
                  <w:vMerge w:val="continue"/>
                  <w:noWrap w:val="0"/>
                  <w:vAlign w:val="center"/>
                </w:tcPr>
                <w:p w14:paraId="00AE82E8">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eastAsia="zh-CN"/>
                    </w:rPr>
                  </w:pPr>
                </w:p>
              </w:tc>
              <w:tc>
                <w:tcPr>
                  <w:tcW w:w="849" w:type="pct"/>
                  <w:gridSpan w:val="4"/>
                  <w:noWrap w:val="0"/>
                  <w:vAlign w:val="center"/>
                </w:tcPr>
                <w:p w14:paraId="78A9B588">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换填土</w:t>
                  </w:r>
                </w:p>
              </w:tc>
              <w:tc>
                <w:tcPr>
                  <w:tcW w:w="3720" w:type="pct"/>
                  <w:gridSpan w:val="3"/>
                  <w:noWrap w:val="0"/>
                  <w:vAlign w:val="center"/>
                </w:tcPr>
                <w:p w14:paraId="7120874C">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本项目不设取弃土场，种植土层来源均外购</w:t>
                  </w:r>
                  <w:r>
                    <w:rPr>
                      <w:rFonts w:hint="eastAsia" w:ascii="Times New Roman" w:cs="Times New Roman"/>
                      <w:color w:val="auto"/>
                      <w:sz w:val="21"/>
                      <w:szCs w:val="21"/>
                      <w:highlight w:val="none"/>
                      <w:lang w:val="en-US" w:eastAsia="zh-CN"/>
                    </w:rPr>
                    <w:t>。</w:t>
                  </w:r>
                </w:p>
              </w:tc>
            </w:tr>
            <w:tr w14:paraId="61115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gridSpan w:val="3"/>
                  <w:vMerge w:val="restart"/>
                  <w:noWrap w:val="0"/>
                  <w:vAlign w:val="center"/>
                </w:tcPr>
                <w:p w14:paraId="4A052D9D">
                  <w:pPr>
                    <w:pStyle w:val="44"/>
                    <w:spacing w:before="0" w:line="240" w:lineRule="auto"/>
                    <w:ind w:firstLine="0" w:firstLineChars="0"/>
                    <w:jc w:val="left"/>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公用</w:t>
                  </w:r>
                </w:p>
                <w:p w14:paraId="4E426EE0">
                  <w:pPr>
                    <w:pStyle w:val="44"/>
                    <w:spacing w:before="0" w:line="240" w:lineRule="auto"/>
                    <w:ind w:firstLine="0" w:firstLineChars="0"/>
                    <w:jc w:val="lef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SA"/>
                    </w:rPr>
                    <w:t>工程</w:t>
                  </w:r>
                </w:p>
              </w:tc>
              <w:tc>
                <w:tcPr>
                  <w:tcW w:w="849" w:type="pct"/>
                  <w:gridSpan w:val="4"/>
                  <w:noWrap w:val="0"/>
                  <w:vAlign w:val="center"/>
                </w:tcPr>
                <w:p w14:paraId="3338BA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供水</w:t>
                  </w:r>
                </w:p>
              </w:tc>
              <w:tc>
                <w:tcPr>
                  <w:tcW w:w="3720" w:type="pct"/>
                  <w:gridSpan w:val="3"/>
                  <w:noWrap w:val="0"/>
                  <w:vAlign w:val="center"/>
                </w:tcPr>
                <w:p w14:paraId="23AB3C0A">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市政管网供水压力约为0.25MPa。一路市政管网供给，临近厂区周边。市政给水管管径为DN200，管材采用PE管，</w:t>
                  </w:r>
                  <w:r>
                    <w:rPr>
                      <w:rFonts w:hint="eastAsia" w:ascii="Times New Roman" w:cs="Times New Roman"/>
                      <w:color w:val="auto"/>
                      <w:sz w:val="21"/>
                      <w:szCs w:val="21"/>
                      <w:highlight w:val="none"/>
                      <w:lang w:val="en-US" w:eastAsia="zh-CN"/>
                    </w:rPr>
                    <w:t>接口型式</w:t>
                  </w:r>
                  <w:r>
                    <w:rPr>
                      <w:rFonts w:hint="default" w:ascii="Times New Roman" w:hAnsi="Times New Roman" w:eastAsia="宋体" w:cs="Times New Roman"/>
                      <w:color w:val="auto"/>
                      <w:sz w:val="21"/>
                      <w:szCs w:val="21"/>
                      <w:highlight w:val="none"/>
                      <w:lang w:val="en-US" w:eastAsia="zh-CN"/>
                    </w:rPr>
                    <w:t>为热熔连接。厂区内引入管管径为DN100，沿建筑物周边道路敷设，埋地深度为冰冻线以下0.3m，且不小于0.7m。引入管上设置阀门井，内装闸阀和倒流防止器，以防止室外管网的水倒流污染市政水源。</w:t>
                  </w:r>
                </w:p>
                <w:p w14:paraId="10A2A2A8">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项目用水主要为生活用水、生产用水。生活用水主要为车间工作人员生活用水。生产用水主要为蜂蜜加工车间生产用水，包括设备清洗、原料预处理用水，中药材分拣包装区生产用水为场地清洁、设备清洗用水，储存仓库地面清洁用水，检测中心实验辅助用水，大湾乡分拣车间生产用水。</w:t>
                  </w:r>
                </w:p>
              </w:tc>
            </w:tr>
            <w:tr w14:paraId="7010E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29" w:type="pct"/>
                  <w:gridSpan w:val="3"/>
                  <w:vMerge w:val="continue"/>
                  <w:noWrap w:val="0"/>
                  <w:vAlign w:val="center"/>
                </w:tcPr>
                <w:p w14:paraId="48157C9D">
                  <w:pPr>
                    <w:pStyle w:val="44"/>
                    <w:spacing w:before="0" w:line="240" w:lineRule="auto"/>
                    <w:ind w:firstLine="0" w:firstLineChars="0"/>
                    <w:jc w:val="left"/>
                    <w:rPr>
                      <w:rFonts w:hint="default" w:ascii="Times New Roman" w:hAnsi="Times New Roman" w:eastAsia="宋体" w:cs="Times New Roman"/>
                      <w:b/>
                      <w:bCs/>
                      <w:color w:val="auto"/>
                      <w:sz w:val="21"/>
                      <w:szCs w:val="21"/>
                      <w:highlight w:val="none"/>
                    </w:rPr>
                  </w:pPr>
                </w:p>
              </w:tc>
              <w:tc>
                <w:tcPr>
                  <w:tcW w:w="849" w:type="pct"/>
                  <w:gridSpan w:val="4"/>
                  <w:noWrap w:val="0"/>
                  <w:vAlign w:val="center"/>
                </w:tcPr>
                <w:p w14:paraId="0C935F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排水</w:t>
                  </w:r>
                </w:p>
              </w:tc>
              <w:tc>
                <w:tcPr>
                  <w:tcW w:w="3720" w:type="pct"/>
                  <w:gridSpan w:val="3"/>
                  <w:noWrap w:val="0"/>
                  <w:vAlign w:val="center"/>
                </w:tcPr>
                <w:p w14:paraId="541AA2FD">
                  <w:pPr>
                    <w:adjustRightInd w:val="0"/>
                    <w:snapToGrid w:val="0"/>
                    <w:spacing w:line="240" w:lineRule="auto"/>
                    <w:ind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室内采用污废合流制排水系统，各栋建筑的生活污水排出室外后，排至新建化粪池内，再</w:t>
                  </w:r>
                  <w:r>
                    <w:rPr>
                      <w:rFonts w:hint="eastAsia" w:cs="Times New Roman"/>
                      <w:color w:val="auto"/>
                      <w:kern w:val="0"/>
                      <w:sz w:val="21"/>
                      <w:szCs w:val="21"/>
                      <w:highlight w:val="none"/>
                      <w:lang w:val="en-US" w:eastAsia="zh-CN" w:bidi="ar-SA"/>
                    </w:rPr>
                    <w:t>排入</w:t>
                  </w:r>
                  <w:r>
                    <w:rPr>
                      <w:rFonts w:hint="default" w:ascii="Times New Roman" w:hAnsi="Times New Roman" w:eastAsia="宋体" w:cs="Times New Roman"/>
                      <w:color w:val="auto"/>
                      <w:kern w:val="0"/>
                      <w:sz w:val="21"/>
                      <w:szCs w:val="21"/>
                      <w:highlight w:val="none"/>
                      <w:lang w:val="en-US" w:eastAsia="zh-CN" w:bidi="ar-SA"/>
                    </w:rPr>
                    <w:t>市政污水管网。</w:t>
                  </w:r>
                </w:p>
              </w:tc>
            </w:tr>
            <w:tr w14:paraId="499EA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29" w:type="pct"/>
                  <w:gridSpan w:val="3"/>
                  <w:vMerge w:val="continue"/>
                  <w:noWrap w:val="0"/>
                  <w:vAlign w:val="center"/>
                </w:tcPr>
                <w:p w14:paraId="7454783E">
                  <w:pPr>
                    <w:pStyle w:val="44"/>
                    <w:spacing w:before="0" w:line="240" w:lineRule="auto"/>
                    <w:ind w:firstLine="0" w:firstLineChars="0"/>
                    <w:jc w:val="left"/>
                    <w:rPr>
                      <w:rFonts w:hint="default" w:ascii="Times New Roman" w:hAnsi="Times New Roman" w:eastAsia="宋体" w:cs="Times New Roman"/>
                      <w:b/>
                      <w:bCs/>
                      <w:color w:val="auto"/>
                      <w:sz w:val="21"/>
                      <w:szCs w:val="21"/>
                      <w:highlight w:val="none"/>
                    </w:rPr>
                  </w:pPr>
                </w:p>
              </w:tc>
              <w:tc>
                <w:tcPr>
                  <w:tcW w:w="849" w:type="pct"/>
                  <w:gridSpan w:val="4"/>
                  <w:noWrap w:val="0"/>
                  <w:vAlign w:val="center"/>
                </w:tcPr>
                <w:p w14:paraId="1257E5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供电</w:t>
                  </w:r>
                </w:p>
              </w:tc>
              <w:tc>
                <w:tcPr>
                  <w:tcW w:w="3720" w:type="pct"/>
                  <w:gridSpan w:val="3"/>
                  <w:noWrap w:val="0"/>
                  <w:vAlign w:val="center"/>
                </w:tcPr>
                <w:p w14:paraId="5FFD5F9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就近接用附近村庄电网</w:t>
                  </w:r>
                  <w:r>
                    <w:rPr>
                      <w:rFonts w:hint="eastAsia" w:cs="Times New Roman"/>
                      <w:color w:val="auto"/>
                      <w:kern w:val="0"/>
                      <w:sz w:val="21"/>
                      <w:szCs w:val="21"/>
                      <w:highlight w:val="none"/>
                      <w:lang w:val="en-US" w:eastAsia="zh-CN" w:bidi="ar-SA"/>
                    </w:rPr>
                    <w:t>。</w:t>
                  </w:r>
                </w:p>
              </w:tc>
            </w:tr>
            <w:tr w14:paraId="564C9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29" w:type="pct"/>
                  <w:gridSpan w:val="3"/>
                  <w:vMerge w:val="continue"/>
                  <w:noWrap w:val="0"/>
                  <w:vAlign w:val="center"/>
                </w:tcPr>
                <w:p w14:paraId="646AD5C6">
                  <w:pPr>
                    <w:pStyle w:val="6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bCs/>
                      <w:color w:val="auto"/>
                      <w:sz w:val="21"/>
                      <w:szCs w:val="21"/>
                      <w:highlight w:val="none"/>
                    </w:rPr>
                  </w:pPr>
                </w:p>
              </w:tc>
              <w:tc>
                <w:tcPr>
                  <w:tcW w:w="849" w:type="pct"/>
                  <w:gridSpan w:val="4"/>
                  <w:noWrap w:val="0"/>
                  <w:vAlign w:val="center"/>
                </w:tcPr>
                <w:p w14:paraId="2B6E9EE0">
                  <w:pPr>
                    <w:pStyle w:val="6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供暖</w:t>
                  </w:r>
                </w:p>
              </w:tc>
              <w:tc>
                <w:tcPr>
                  <w:tcW w:w="3720" w:type="pct"/>
                  <w:gridSpan w:val="3"/>
                  <w:noWrap w:val="0"/>
                  <w:vAlign w:val="center"/>
                </w:tcPr>
                <w:p w14:paraId="7A31ED15">
                  <w:pPr>
                    <w:pStyle w:val="69"/>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本项目冬季</w:t>
                  </w:r>
                  <w:r>
                    <w:rPr>
                      <w:rFonts w:hint="eastAsia" w:ascii="Times New Roman" w:cs="Times New Roman"/>
                      <w:color w:val="auto"/>
                      <w:kern w:val="0"/>
                      <w:sz w:val="21"/>
                      <w:szCs w:val="21"/>
                      <w:highlight w:val="none"/>
                      <w:lang w:val="en-US" w:eastAsia="zh-CN" w:bidi="ar-SA"/>
                    </w:rPr>
                    <w:t>无需</w:t>
                  </w:r>
                  <w:r>
                    <w:rPr>
                      <w:rFonts w:hint="default" w:ascii="Times New Roman" w:hAnsi="Times New Roman" w:eastAsia="宋体" w:cs="Times New Roman"/>
                      <w:color w:val="auto"/>
                      <w:kern w:val="0"/>
                      <w:sz w:val="21"/>
                      <w:szCs w:val="21"/>
                      <w:highlight w:val="none"/>
                      <w:lang w:val="en-US" w:eastAsia="zh-CN" w:bidi="ar-SA"/>
                    </w:rPr>
                    <w:t>供暖</w:t>
                  </w:r>
                  <w:r>
                    <w:rPr>
                      <w:rFonts w:hint="eastAsia" w:ascii="Times New Roman" w:cs="Times New Roman"/>
                      <w:color w:val="auto"/>
                      <w:kern w:val="0"/>
                      <w:sz w:val="21"/>
                      <w:szCs w:val="21"/>
                      <w:highlight w:val="none"/>
                      <w:lang w:val="en-US" w:eastAsia="zh-CN" w:bidi="ar-SA"/>
                    </w:rPr>
                    <w:t>。</w:t>
                  </w:r>
                </w:p>
              </w:tc>
            </w:tr>
            <w:tr w14:paraId="12490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220" w:type="pct"/>
                  <w:vMerge w:val="restart"/>
                  <w:noWrap w:val="0"/>
                  <w:vAlign w:val="center"/>
                </w:tcPr>
                <w:p w14:paraId="0AB4905C">
                  <w:pPr>
                    <w:pStyle w:val="44"/>
                    <w:spacing w:before="0" w:line="240" w:lineRule="auto"/>
                    <w:ind w:firstLine="0" w:firstLineChars="0"/>
                    <w:jc w:val="left"/>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环保</w:t>
                  </w:r>
                </w:p>
                <w:p w14:paraId="76470A8A">
                  <w:pPr>
                    <w:pStyle w:val="44"/>
                    <w:spacing w:before="0" w:line="240" w:lineRule="auto"/>
                    <w:ind w:firstLine="0" w:firstLineChars="0"/>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SA"/>
                    </w:rPr>
                    <w:t>工程</w:t>
                  </w:r>
                </w:p>
              </w:tc>
              <w:tc>
                <w:tcPr>
                  <w:tcW w:w="209" w:type="pct"/>
                  <w:gridSpan w:val="2"/>
                  <w:vMerge w:val="restart"/>
                  <w:noWrap w:val="0"/>
                  <w:vAlign w:val="center"/>
                </w:tcPr>
                <w:p w14:paraId="0408A48A">
                  <w:pPr>
                    <w:pStyle w:val="44"/>
                    <w:spacing w:before="0" w:line="240" w:lineRule="auto"/>
                    <w:ind w:firstLine="0" w:firstLineChars="0"/>
                    <w:jc w:val="left"/>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SA"/>
                    </w:rPr>
                    <w:t>施工期</w:t>
                  </w:r>
                </w:p>
              </w:tc>
              <w:tc>
                <w:tcPr>
                  <w:tcW w:w="849" w:type="pct"/>
                  <w:gridSpan w:val="4"/>
                  <w:vMerge w:val="restart"/>
                  <w:noWrap w:val="0"/>
                  <w:vAlign w:val="center"/>
                </w:tcPr>
                <w:p w14:paraId="792B2F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废气治理措施</w:t>
                  </w:r>
                </w:p>
              </w:tc>
              <w:tc>
                <w:tcPr>
                  <w:tcW w:w="3720" w:type="pct"/>
                  <w:gridSpan w:val="3"/>
                  <w:noWrap w:val="0"/>
                  <w:vAlign w:val="center"/>
                </w:tcPr>
                <w:p w14:paraId="3E710CF6">
                  <w:pPr>
                    <w:adjustRightInd w:val="0"/>
                    <w:snapToGrid w:val="0"/>
                    <w:spacing w:line="240" w:lineRule="auto"/>
                    <w:ind w:firstLine="420" w:firstLineChars="200"/>
                    <w:jc w:val="left"/>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施工场地设置施工围挡、定期洒水降尘、运输车辆加盖篷布，运输车辆在出入施工场地时，对车辆轮胎进行冲洗，避免运输扬尘</w:t>
                  </w:r>
                  <w:r>
                    <w:rPr>
                      <w:rFonts w:hint="eastAsia" w:cs="Times New Roman"/>
                      <w:color w:val="auto"/>
                      <w:sz w:val="21"/>
                      <w:szCs w:val="21"/>
                      <w:highlight w:val="none"/>
                      <w:lang w:eastAsia="zh-CN"/>
                    </w:rPr>
                    <w:t>。</w:t>
                  </w:r>
                </w:p>
              </w:tc>
            </w:tr>
            <w:tr w14:paraId="7035A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20" w:type="pct"/>
                  <w:vMerge w:val="continue"/>
                  <w:noWrap w:val="0"/>
                  <w:vAlign w:val="center"/>
                </w:tcPr>
                <w:p w14:paraId="3FDF8DD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209" w:type="pct"/>
                  <w:gridSpan w:val="2"/>
                  <w:vMerge w:val="continue"/>
                  <w:noWrap w:val="0"/>
                  <w:vAlign w:val="center"/>
                </w:tcPr>
                <w:p w14:paraId="42A10D4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849" w:type="pct"/>
                  <w:gridSpan w:val="4"/>
                  <w:vMerge w:val="continue"/>
                  <w:noWrap w:val="0"/>
                  <w:vAlign w:val="center"/>
                </w:tcPr>
                <w:p w14:paraId="2FE68A5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3720" w:type="pct"/>
                  <w:gridSpan w:val="3"/>
                  <w:noWrap w:val="0"/>
                  <w:vAlign w:val="center"/>
                </w:tcPr>
                <w:p w14:paraId="0210415E">
                  <w:pPr>
                    <w:adjustRightInd w:val="0"/>
                    <w:snapToGrid w:val="0"/>
                    <w:spacing w:line="240" w:lineRule="auto"/>
                    <w:ind w:firstLine="420" w:firstLineChars="200"/>
                    <w:jc w:val="left"/>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施工机械废气：加强施工机械的使用管理和保养维修，合理降低使用次数，优化机械设备</w:t>
                  </w:r>
                  <w:r>
                    <w:rPr>
                      <w:rFonts w:hint="eastAsia" w:cs="Times New Roman"/>
                      <w:bCs/>
                      <w:color w:val="auto"/>
                      <w:sz w:val="21"/>
                      <w:szCs w:val="21"/>
                      <w:highlight w:val="none"/>
                      <w:lang w:eastAsia="zh-CN"/>
                    </w:rPr>
                    <w:t>。</w:t>
                  </w:r>
                </w:p>
              </w:tc>
            </w:tr>
            <w:tr w14:paraId="76FE8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 w:type="pct"/>
                  <w:vMerge w:val="continue"/>
                  <w:noWrap w:val="0"/>
                  <w:vAlign w:val="center"/>
                </w:tcPr>
                <w:p w14:paraId="2E117DC9">
                  <w:pPr>
                    <w:pStyle w:val="44"/>
                    <w:spacing w:before="0" w:line="240" w:lineRule="auto"/>
                    <w:ind w:firstLine="0" w:firstLineChars="0"/>
                    <w:jc w:val="left"/>
                    <w:rPr>
                      <w:rFonts w:hint="default" w:ascii="Times New Roman" w:hAnsi="Times New Roman" w:eastAsia="宋体" w:cs="Times New Roman"/>
                      <w:b/>
                      <w:bCs/>
                      <w:color w:val="auto"/>
                      <w:sz w:val="21"/>
                      <w:szCs w:val="21"/>
                      <w:highlight w:val="none"/>
                    </w:rPr>
                  </w:pPr>
                </w:p>
              </w:tc>
              <w:tc>
                <w:tcPr>
                  <w:tcW w:w="209" w:type="pct"/>
                  <w:gridSpan w:val="2"/>
                  <w:vMerge w:val="continue"/>
                  <w:noWrap w:val="0"/>
                  <w:vAlign w:val="center"/>
                </w:tcPr>
                <w:p w14:paraId="5921E59E">
                  <w:pPr>
                    <w:pStyle w:val="44"/>
                    <w:spacing w:before="0" w:line="240" w:lineRule="auto"/>
                    <w:ind w:firstLine="0" w:firstLineChars="0"/>
                    <w:jc w:val="left"/>
                    <w:rPr>
                      <w:rFonts w:hint="default" w:ascii="Times New Roman" w:hAnsi="Times New Roman" w:eastAsia="宋体" w:cs="Times New Roman"/>
                      <w:b/>
                      <w:bCs/>
                      <w:color w:val="auto"/>
                      <w:sz w:val="21"/>
                      <w:szCs w:val="21"/>
                      <w:highlight w:val="none"/>
                    </w:rPr>
                  </w:pPr>
                </w:p>
              </w:tc>
              <w:tc>
                <w:tcPr>
                  <w:tcW w:w="849" w:type="pct"/>
                  <w:gridSpan w:val="4"/>
                  <w:noWrap w:val="0"/>
                  <w:vAlign w:val="center"/>
                </w:tcPr>
                <w:p w14:paraId="7FB4D6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噪声治理措施</w:t>
                  </w:r>
                </w:p>
              </w:tc>
              <w:tc>
                <w:tcPr>
                  <w:tcW w:w="3720" w:type="pct"/>
                  <w:gridSpan w:val="3"/>
                  <w:noWrap w:val="0"/>
                  <w:vAlign w:val="center"/>
                </w:tcPr>
                <w:p w14:paraId="109C0A9A">
                  <w:pPr>
                    <w:keepNext w:val="0"/>
                    <w:keepLines w:val="0"/>
                    <w:pageBreakBefore w:val="0"/>
                    <w:widowControl/>
                    <w:suppressLineNumbers w:val="0"/>
                    <w:kinsoku/>
                    <w:wordWrap/>
                    <w:overflowPunct/>
                    <w:topLinePunct w:val="0"/>
                    <w:autoSpaceDE/>
                    <w:autoSpaceDN/>
                    <w:bidi w:val="0"/>
                    <w:adjustRightInd/>
                    <w:snapToGrid/>
                    <w:spacing w:line="240" w:lineRule="auto"/>
                    <w:ind w:firstLine="456"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9"/>
                      <w:sz w:val="21"/>
                      <w:szCs w:val="21"/>
                      <w:highlight w:val="none"/>
                    </w:rPr>
                    <w:t>合理安排施工时间，选用低噪声设备，分片</w:t>
                  </w:r>
                  <w:r>
                    <w:rPr>
                      <w:rFonts w:hint="default" w:ascii="Times New Roman" w:hAnsi="Times New Roman" w:eastAsia="宋体" w:cs="Times New Roman"/>
                      <w:color w:val="auto"/>
                      <w:spacing w:val="8"/>
                      <w:sz w:val="21"/>
                      <w:szCs w:val="21"/>
                      <w:highlight w:val="none"/>
                    </w:rPr>
                    <w:t>区施工，运输车辆减速慢行、</w:t>
                  </w:r>
                  <w:r>
                    <w:rPr>
                      <w:rFonts w:hint="default" w:ascii="Times New Roman" w:hAnsi="Times New Roman" w:eastAsia="宋体" w:cs="Times New Roman"/>
                      <w:color w:val="auto"/>
                      <w:spacing w:val="5"/>
                      <w:sz w:val="21"/>
                      <w:szCs w:val="21"/>
                      <w:highlight w:val="none"/>
                    </w:rPr>
                    <w:t>禁止鸣笛</w:t>
                  </w:r>
                  <w:r>
                    <w:rPr>
                      <w:rFonts w:hint="eastAsia" w:cs="Times New Roman"/>
                      <w:color w:val="auto"/>
                      <w:spacing w:val="5"/>
                      <w:sz w:val="21"/>
                      <w:szCs w:val="21"/>
                      <w:highlight w:val="none"/>
                      <w:lang w:eastAsia="zh-CN"/>
                    </w:rPr>
                    <w:t>。</w:t>
                  </w:r>
                </w:p>
              </w:tc>
            </w:tr>
            <w:tr w14:paraId="14816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220" w:type="pct"/>
                  <w:vMerge w:val="continue"/>
                  <w:noWrap w:val="0"/>
                  <w:vAlign w:val="center"/>
                </w:tcPr>
                <w:p w14:paraId="01671650">
                  <w:pPr>
                    <w:pStyle w:val="44"/>
                    <w:spacing w:before="0" w:line="240" w:lineRule="auto"/>
                    <w:ind w:firstLine="0" w:firstLineChars="0"/>
                    <w:jc w:val="left"/>
                    <w:rPr>
                      <w:rFonts w:hint="default" w:ascii="Times New Roman" w:hAnsi="Times New Roman" w:eastAsia="宋体" w:cs="Times New Roman"/>
                      <w:b/>
                      <w:bCs/>
                      <w:color w:val="auto"/>
                      <w:sz w:val="21"/>
                      <w:szCs w:val="21"/>
                      <w:highlight w:val="none"/>
                      <w:lang w:val="en-US" w:eastAsia="zh-CN"/>
                    </w:rPr>
                  </w:pPr>
                </w:p>
              </w:tc>
              <w:tc>
                <w:tcPr>
                  <w:tcW w:w="209" w:type="pct"/>
                  <w:gridSpan w:val="2"/>
                  <w:vMerge w:val="continue"/>
                  <w:noWrap w:val="0"/>
                  <w:vAlign w:val="center"/>
                </w:tcPr>
                <w:p w14:paraId="255CA521">
                  <w:pPr>
                    <w:pStyle w:val="44"/>
                    <w:spacing w:before="0" w:line="240" w:lineRule="auto"/>
                    <w:ind w:firstLine="0" w:firstLineChars="0"/>
                    <w:jc w:val="left"/>
                    <w:rPr>
                      <w:rFonts w:hint="eastAsia" w:ascii="Times New Roman" w:hAnsi="Times New Roman" w:eastAsia="宋体" w:cs="Times New Roman"/>
                      <w:b/>
                      <w:bCs/>
                      <w:color w:val="auto"/>
                      <w:sz w:val="21"/>
                      <w:szCs w:val="21"/>
                      <w:highlight w:val="none"/>
                      <w:lang w:val="en-US" w:eastAsia="zh-CN"/>
                    </w:rPr>
                  </w:pPr>
                </w:p>
              </w:tc>
              <w:tc>
                <w:tcPr>
                  <w:tcW w:w="849" w:type="pct"/>
                  <w:gridSpan w:val="4"/>
                  <w:noWrap w:val="0"/>
                  <w:vAlign w:val="center"/>
                </w:tcPr>
                <w:p w14:paraId="4A08E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废水治理措施</w:t>
                  </w:r>
                </w:p>
              </w:tc>
              <w:tc>
                <w:tcPr>
                  <w:tcW w:w="3720" w:type="pct"/>
                  <w:gridSpan w:val="3"/>
                  <w:noWrap w:val="0"/>
                  <w:vAlign w:val="center"/>
                </w:tcPr>
                <w:p w14:paraId="7E866075">
                  <w:pPr>
                    <w:pStyle w:val="89"/>
                    <w:spacing w:before="50" w:line="240" w:lineRule="auto"/>
                    <w:ind w:right="109" w:firstLine="456" w:firstLineChars="200"/>
                    <w:rPr>
                      <w:rFonts w:hint="default" w:ascii="Times New Roman" w:hAnsi="Times New Roman" w:eastAsia="宋体" w:cs="Times New Roman"/>
                      <w:color w:val="auto"/>
                      <w:spacing w:val="9"/>
                      <w:kern w:val="2"/>
                      <w:sz w:val="21"/>
                      <w:szCs w:val="21"/>
                      <w:highlight w:val="none"/>
                      <w:lang w:val="en-US" w:eastAsia="zh-CN" w:bidi="ar-SA"/>
                    </w:rPr>
                  </w:pPr>
                  <w:r>
                    <w:rPr>
                      <w:rFonts w:hint="default" w:ascii="Times New Roman" w:hAnsi="Times New Roman" w:eastAsia="宋体" w:cs="Times New Roman"/>
                      <w:color w:val="auto"/>
                      <w:spacing w:val="9"/>
                      <w:kern w:val="2"/>
                      <w:sz w:val="21"/>
                      <w:szCs w:val="21"/>
                      <w:highlight w:val="none"/>
                      <w:lang w:val="en-US" w:eastAsia="zh-CN" w:bidi="ar-SA"/>
                    </w:rPr>
                    <w:t>①施工废水（主要为车辆及设备冲洗水）配套沉淀池</w:t>
                  </w:r>
                  <w:r>
                    <w:rPr>
                      <w:rFonts w:hint="eastAsia" w:ascii="Times New Roman" w:hAnsi="Times New Roman" w:cs="Times New Roman"/>
                      <w:color w:val="auto"/>
                      <w:spacing w:val="9"/>
                      <w:kern w:val="2"/>
                      <w:sz w:val="21"/>
                      <w:szCs w:val="21"/>
                      <w:highlight w:val="none"/>
                      <w:lang w:val="en-US" w:eastAsia="zh-CN" w:bidi="ar-SA"/>
                    </w:rPr>
                    <w:t>5m</w:t>
                  </w:r>
                  <w:r>
                    <w:rPr>
                      <w:rFonts w:hint="eastAsia" w:ascii="Times New Roman" w:hAnsi="Times New Roman" w:cs="Times New Roman"/>
                      <w:color w:val="auto"/>
                      <w:spacing w:val="9"/>
                      <w:kern w:val="2"/>
                      <w:sz w:val="21"/>
                      <w:szCs w:val="21"/>
                      <w:highlight w:val="none"/>
                      <w:vertAlign w:val="superscript"/>
                      <w:lang w:val="en-US" w:eastAsia="zh-CN" w:bidi="ar-SA"/>
                    </w:rPr>
                    <w:t>3</w:t>
                  </w:r>
                  <w:r>
                    <w:rPr>
                      <w:rFonts w:hint="eastAsia" w:ascii="Times New Roman" w:hAnsi="Times New Roman" w:cs="Times New Roman"/>
                      <w:color w:val="auto"/>
                      <w:spacing w:val="9"/>
                      <w:kern w:val="2"/>
                      <w:sz w:val="21"/>
                      <w:szCs w:val="21"/>
                      <w:highlight w:val="none"/>
                      <w:lang w:val="en-US" w:eastAsia="zh-CN" w:bidi="ar-SA"/>
                    </w:rPr>
                    <w:t>，</w:t>
                  </w:r>
                  <w:r>
                    <w:rPr>
                      <w:rFonts w:hint="default" w:ascii="Times New Roman" w:hAnsi="Times New Roman" w:eastAsia="宋体" w:cs="Times New Roman"/>
                      <w:color w:val="auto"/>
                      <w:spacing w:val="9"/>
                      <w:kern w:val="2"/>
                      <w:sz w:val="21"/>
                      <w:szCs w:val="21"/>
                      <w:highlight w:val="none"/>
                      <w:lang w:val="en-US" w:eastAsia="zh-CN" w:bidi="ar-SA"/>
                    </w:rPr>
                    <w:t>沉淀后回用于场地泼洒抑尘，不外排</w:t>
                  </w:r>
                  <w:r>
                    <w:rPr>
                      <w:rFonts w:hint="eastAsia" w:ascii="Times New Roman" w:hAnsi="Times New Roman" w:cs="Times New Roman"/>
                      <w:color w:val="auto"/>
                      <w:spacing w:val="9"/>
                      <w:kern w:val="2"/>
                      <w:sz w:val="21"/>
                      <w:szCs w:val="21"/>
                      <w:highlight w:val="none"/>
                      <w:lang w:val="en-US" w:eastAsia="zh-CN" w:bidi="ar-SA"/>
                    </w:rPr>
                    <w:t>。</w:t>
                  </w:r>
                </w:p>
                <w:p w14:paraId="29BF3F8E">
                  <w:pPr>
                    <w:adjustRightInd w:val="0"/>
                    <w:snapToGrid w:val="0"/>
                    <w:spacing w:line="240" w:lineRule="auto"/>
                    <w:ind w:firstLine="456" w:firstLineChars="20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9"/>
                      <w:kern w:val="2"/>
                      <w:sz w:val="21"/>
                      <w:szCs w:val="21"/>
                      <w:highlight w:val="none"/>
                      <w:lang w:val="en-US" w:eastAsia="zh-CN" w:bidi="ar-SA"/>
                    </w:rPr>
                    <w:t>②施工营地内生活区</w:t>
                  </w:r>
                  <w:r>
                    <w:rPr>
                      <w:rFonts w:hint="eastAsia" w:cs="Times New Roman"/>
                      <w:snapToGrid w:val="0"/>
                      <w:color w:val="auto"/>
                      <w:kern w:val="0"/>
                      <w:sz w:val="21"/>
                      <w:szCs w:val="21"/>
                      <w:highlight w:val="none"/>
                      <w:vertAlign w:val="baseline"/>
                      <w:lang w:val="en-US" w:eastAsia="zh-CN"/>
                    </w:rPr>
                    <w:t>生活污水利用周边居民旱厕，</w:t>
                  </w:r>
                  <w:r>
                    <w:rPr>
                      <w:rFonts w:hint="eastAsia" w:cs="Times New Roman"/>
                      <w:color w:val="auto"/>
                      <w:szCs w:val="21"/>
                      <w:highlight w:val="none"/>
                      <w:lang w:val="en-US" w:eastAsia="zh-CN"/>
                    </w:rPr>
                    <w:t>定期清掏，用于周边农田施肥。</w:t>
                  </w:r>
                  <w:r>
                    <w:rPr>
                      <w:rFonts w:hint="default" w:ascii="Times New Roman" w:hAnsi="Times New Roman" w:eastAsia="宋体" w:cs="Times New Roman"/>
                      <w:color w:val="auto"/>
                      <w:spacing w:val="9"/>
                      <w:sz w:val="21"/>
                      <w:szCs w:val="21"/>
                      <w:highlight w:val="none"/>
                    </w:rPr>
                    <w:t>少量盥洗废水用于泼洒抑尘。</w:t>
                  </w:r>
                </w:p>
              </w:tc>
            </w:tr>
            <w:tr w14:paraId="78E89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 w:type="pct"/>
                  <w:vMerge w:val="continue"/>
                  <w:noWrap w:val="0"/>
                  <w:vAlign w:val="center"/>
                </w:tcPr>
                <w:p w14:paraId="39EDC7AA">
                  <w:pPr>
                    <w:pStyle w:val="44"/>
                    <w:spacing w:before="0" w:line="240" w:lineRule="auto"/>
                    <w:ind w:firstLine="0" w:firstLineChars="0"/>
                    <w:jc w:val="left"/>
                    <w:rPr>
                      <w:rFonts w:hint="default" w:ascii="Times New Roman" w:hAnsi="Times New Roman" w:eastAsia="宋体" w:cs="Times New Roman"/>
                      <w:b/>
                      <w:bCs/>
                      <w:color w:val="auto"/>
                      <w:sz w:val="21"/>
                      <w:szCs w:val="21"/>
                      <w:highlight w:val="none"/>
                    </w:rPr>
                  </w:pPr>
                </w:p>
              </w:tc>
              <w:tc>
                <w:tcPr>
                  <w:tcW w:w="209" w:type="pct"/>
                  <w:gridSpan w:val="2"/>
                  <w:vMerge w:val="continue"/>
                  <w:noWrap w:val="0"/>
                  <w:vAlign w:val="center"/>
                </w:tcPr>
                <w:p w14:paraId="21EBC025">
                  <w:pPr>
                    <w:pStyle w:val="44"/>
                    <w:spacing w:before="0" w:line="240" w:lineRule="auto"/>
                    <w:ind w:firstLine="0" w:firstLineChars="0"/>
                    <w:jc w:val="left"/>
                    <w:rPr>
                      <w:rFonts w:hint="default" w:ascii="Times New Roman" w:hAnsi="Times New Roman" w:eastAsia="宋体" w:cs="Times New Roman"/>
                      <w:b/>
                      <w:bCs/>
                      <w:color w:val="auto"/>
                      <w:sz w:val="21"/>
                      <w:szCs w:val="21"/>
                      <w:highlight w:val="none"/>
                    </w:rPr>
                  </w:pPr>
                </w:p>
              </w:tc>
              <w:tc>
                <w:tcPr>
                  <w:tcW w:w="849" w:type="pct"/>
                  <w:gridSpan w:val="4"/>
                  <w:noWrap w:val="0"/>
                  <w:vAlign w:val="center"/>
                </w:tcPr>
                <w:p w14:paraId="70DB81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固体废物治理措施</w:t>
                  </w:r>
                </w:p>
              </w:tc>
              <w:tc>
                <w:tcPr>
                  <w:tcW w:w="3720" w:type="pct"/>
                  <w:gridSpan w:val="3"/>
                  <w:noWrap w:val="0"/>
                  <w:vAlign w:val="center"/>
                </w:tcPr>
                <w:p w14:paraId="6D138FF2">
                  <w:pPr>
                    <w:keepNext w:val="0"/>
                    <w:keepLines w:val="0"/>
                    <w:pageBreakBefore w:val="0"/>
                    <w:widowControl/>
                    <w:suppressLineNumbers w:val="0"/>
                    <w:kinsoku/>
                    <w:wordWrap/>
                    <w:overflowPunct/>
                    <w:topLinePunct w:val="0"/>
                    <w:autoSpaceDE/>
                    <w:autoSpaceDN/>
                    <w:bidi w:val="0"/>
                    <w:adjustRightInd/>
                    <w:snapToGrid/>
                    <w:spacing w:line="240" w:lineRule="auto"/>
                    <w:ind w:firstLine="456" w:firstLineChars="200"/>
                    <w:jc w:val="both"/>
                    <w:textAlignment w:val="auto"/>
                    <w:rPr>
                      <w:rFonts w:hint="default"/>
                      <w:color w:val="auto"/>
                      <w:highlight w:val="none"/>
                      <w:lang w:val="en-US" w:eastAsia="zh-CN"/>
                    </w:rPr>
                  </w:pPr>
                  <w:r>
                    <w:rPr>
                      <w:rFonts w:hint="eastAsia" w:cs="Times New Roman"/>
                      <w:color w:val="auto"/>
                      <w:spacing w:val="9"/>
                      <w:sz w:val="21"/>
                      <w:szCs w:val="21"/>
                      <w:highlight w:val="none"/>
                      <w:lang w:val="en-US" w:eastAsia="zh-CN"/>
                    </w:rPr>
                    <w:t>生活垃圾集中收集后交由环卫部门处置。项目施工期清理的表土砂石全部运至指定地点堆放；有机肥废包装袋集中交由有机肥供给企业回收利用；废滴灌及喷头集中收集后由更换企业回收利用；蓄水池和泵房清淤污泥集中收集后作为项目种植区种植土；水泵检修废机油产采用废油桶集中收集后由有资质单位的第三方回收处置。</w:t>
                  </w:r>
                </w:p>
              </w:tc>
            </w:tr>
            <w:tr w14:paraId="0C7AE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 w:type="pct"/>
                  <w:vMerge w:val="continue"/>
                  <w:noWrap w:val="0"/>
                  <w:vAlign w:val="center"/>
                </w:tcPr>
                <w:p w14:paraId="0F6590EE">
                  <w:pPr>
                    <w:pStyle w:val="44"/>
                    <w:spacing w:before="0" w:line="240" w:lineRule="auto"/>
                    <w:ind w:firstLine="0" w:firstLineChars="0"/>
                    <w:jc w:val="left"/>
                    <w:rPr>
                      <w:rFonts w:hint="default" w:ascii="Times New Roman" w:hAnsi="Times New Roman" w:eastAsia="宋体" w:cs="Times New Roman"/>
                      <w:b/>
                      <w:bCs/>
                      <w:color w:val="auto"/>
                      <w:sz w:val="21"/>
                      <w:szCs w:val="21"/>
                      <w:highlight w:val="none"/>
                    </w:rPr>
                  </w:pPr>
                </w:p>
              </w:tc>
              <w:tc>
                <w:tcPr>
                  <w:tcW w:w="209" w:type="pct"/>
                  <w:gridSpan w:val="2"/>
                  <w:vMerge w:val="continue"/>
                  <w:noWrap w:val="0"/>
                  <w:vAlign w:val="center"/>
                </w:tcPr>
                <w:p w14:paraId="25190EC4">
                  <w:pPr>
                    <w:pStyle w:val="44"/>
                    <w:spacing w:before="0" w:line="240" w:lineRule="auto"/>
                    <w:ind w:firstLine="0" w:firstLineChars="0"/>
                    <w:jc w:val="left"/>
                    <w:rPr>
                      <w:rFonts w:hint="default" w:ascii="Times New Roman" w:hAnsi="Times New Roman" w:eastAsia="宋体" w:cs="Times New Roman"/>
                      <w:b/>
                      <w:bCs/>
                      <w:color w:val="auto"/>
                      <w:sz w:val="21"/>
                      <w:szCs w:val="21"/>
                      <w:highlight w:val="none"/>
                    </w:rPr>
                  </w:pPr>
                </w:p>
              </w:tc>
              <w:tc>
                <w:tcPr>
                  <w:tcW w:w="849" w:type="pct"/>
                  <w:gridSpan w:val="4"/>
                  <w:noWrap w:val="0"/>
                  <w:vAlign w:val="center"/>
                </w:tcPr>
                <w:p w14:paraId="1A0CA9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生态环境治理措施</w:t>
                  </w:r>
                </w:p>
              </w:tc>
              <w:tc>
                <w:tcPr>
                  <w:tcW w:w="3720" w:type="pct"/>
                  <w:gridSpan w:val="3"/>
                  <w:noWrap w:val="0"/>
                  <w:vAlign w:val="center"/>
                </w:tcPr>
                <w:p w14:paraId="35F0E838">
                  <w:pPr>
                    <w:keepNext w:val="0"/>
                    <w:keepLines w:val="0"/>
                    <w:pageBreakBefore w:val="0"/>
                    <w:widowControl/>
                    <w:suppressLineNumbers w:val="0"/>
                    <w:kinsoku/>
                    <w:wordWrap/>
                    <w:overflowPunct/>
                    <w:topLinePunct w:val="0"/>
                    <w:autoSpaceDE/>
                    <w:autoSpaceDN/>
                    <w:bidi w:val="0"/>
                    <w:adjustRightInd/>
                    <w:snapToGrid/>
                    <w:spacing w:line="240" w:lineRule="auto"/>
                    <w:ind w:firstLine="456" w:firstLineChars="200"/>
                    <w:jc w:val="both"/>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lang w:val="en-US" w:eastAsia="zh-CN"/>
                    </w:rPr>
                    <w:t>施工期严格控制施工作业范围，控制施工机械、车辆沿固定线路行驶，做好施工人员宣传教育，严禁越过红线进入保护区，严禁随意采伐、猎捕野生动物。项目建设内容为土地整治、</w:t>
                  </w:r>
                  <w:r>
                    <w:rPr>
                      <w:rFonts w:hint="eastAsia" w:cs="Times New Roman"/>
                      <w:color w:val="auto"/>
                      <w:spacing w:val="9"/>
                      <w:sz w:val="21"/>
                      <w:szCs w:val="21"/>
                      <w:highlight w:val="none"/>
                      <w:lang w:val="en-US" w:eastAsia="zh-CN"/>
                    </w:rPr>
                    <w:t>柴胡、黄芪</w:t>
                  </w:r>
                  <w:r>
                    <w:rPr>
                      <w:rFonts w:hint="default" w:ascii="Times New Roman" w:hAnsi="Times New Roman" w:eastAsia="宋体" w:cs="Times New Roman"/>
                      <w:color w:val="auto"/>
                      <w:spacing w:val="9"/>
                      <w:sz w:val="21"/>
                      <w:szCs w:val="21"/>
                      <w:highlight w:val="none"/>
                      <w:lang w:val="en-US" w:eastAsia="zh-CN"/>
                    </w:rPr>
                    <w:t>种植及防风林建设，施工过程为场地平整，种植林草，恢复生境，项目不得引入其他有入侵性的植物种类。</w:t>
                  </w:r>
                </w:p>
              </w:tc>
            </w:tr>
            <w:tr w14:paraId="2552A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20" w:type="pct"/>
                  <w:vMerge w:val="continue"/>
                  <w:noWrap w:val="0"/>
                  <w:vAlign w:val="center"/>
                </w:tcPr>
                <w:p w14:paraId="67DC3BF5">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209" w:type="pct"/>
                  <w:gridSpan w:val="2"/>
                  <w:vMerge w:val="restart"/>
                  <w:noWrap w:val="0"/>
                  <w:vAlign w:val="center"/>
                </w:tcPr>
                <w:p w14:paraId="25F89A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运营期</w:t>
                  </w:r>
                </w:p>
              </w:tc>
              <w:tc>
                <w:tcPr>
                  <w:tcW w:w="849" w:type="pct"/>
                  <w:gridSpan w:val="4"/>
                  <w:noWrap w:val="0"/>
                  <w:vAlign w:val="center"/>
                </w:tcPr>
                <w:p w14:paraId="3EEE2E9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3720" w:type="pct"/>
                  <w:gridSpan w:val="3"/>
                  <w:noWrap w:val="0"/>
                  <w:vAlign w:val="center"/>
                </w:tcPr>
                <w:p w14:paraId="10252C60">
                  <w:pPr>
                    <w:keepNext w:val="0"/>
                    <w:keepLines w:val="0"/>
                    <w:pageBreakBefore w:val="0"/>
                    <w:widowControl/>
                    <w:suppressLineNumbers w:val="0"/>
                    <w:kinsoku/>
                    <w:wordWrap/>
                    <w:overflowPunct/>
                    <w:topLinePunct w:val="0"/>
                    <w:autoSpaceDE/>
                    <w:autoSpaceDN/>
                    <w:bidi w:val="0"/>
                    <w:adjustRightInd/>
                    <w:snapToGrid/>
                    <w:spacing w:line="240" w:lineRule="auto"/>
                    <w:ind w:firstLine="456" w:firstLineChars="200"/>
                    <w:jc w:val="both"/>
                    <w:textAlignment w:val="auto"/>
                    <w:rPr>
                      <w:rFonts w:hint="default" w:ascii="Times New Roman" w:hAnsi="Times New Roman" w:eastAsia="宋体" w:cs="Times New Roman"/>
                      <w:color w:val="auto"/>
                      <w:spacing w:val="9"/>
                      <w:sz w:val="21"/>
                      <w:szCs w:val="21"/>
                      <w:highlight w:val="none"/>
                      <w:lang w:val="en-US" w:eastAsia="zh-CN"/>
                    </w:rPr>
                  </w:pPr>
                  <w:r>
                    <w:rPr>
                      <w:rFonts w:hint="eastAsia" w:cs="Times New Roman"/>
                      <w:color w:val="auto"/>
                      <w:spacing w:val="9"/>
                      <w:sz w:val="21"/>
                      <w:szCs w:val="21"/>
                      <w:highlight w:val="none"/>
                      <w:lang w:val="en-US" w:eastAsia="zh-CN"/>
                    </w:rPr>
                    <w:t>检测中心</w:t>
                  </w:r>
                  <w:r>
                    <w:rPr>
                      <w:rFonts w:hint="default" w:ascii="Times New Roman" w:hAnsi="Times New Roman" w:eastAsia="宋体" w:cs="Times New Roman"/>
                      <w:color w:val="auto"/>
                      <w:spacing w:val="9"/>
                      <w:sz w:val="21"/>
                      <w:szCs w:val="21"/>
                      <w:highlight w:val="none"/>
                      <w:lang w:val="en-US" w:eastAsia="zh-CN"/>
                    </w:rPr>
                    <w:t>有机废气与无机废气经通风橱</w:t>
                  </w:r>
                  <w:r>
                    <w:rPr>
                      <w:rFonts w:hint="eastAsia" w:cs="Times New Roman"/>
                      <w:color w:val="auto"/>
                      <w:spacing w:val="9"/>
                      <w:sz w:val="21"/>
                      <w:szCs w:val="21"/>
                      <w:highlight w:val="none"/>
                      <w:lang w:val="en-US" w:eastAsia="zh-CN"/>
                    </w:rPr>
                    <w:t>无组织</w:t>
                  </w:r>
                  <w:r>
                    <w:rPr>
                      <w:rFonts w:hint="default" w:ascii="Times New Roman" w:hAnsi="Times New Roman" w:eastAsia="宋体" w:cs="Times New Roman"/>
                      <w:color w:val="auto"/>
                      <w:spacing w:val="9"/>
                      <w:sz w:val="21"/>
                      <w:szCs w:val="21"/>
                      <w:highlight w:val="none"/>
                      <w:lang w:val="en-US" w:eastAsia="zh-CN"/>
                    </w:rPr>
                    <w:t>排放；</w:t>
                  </w:r>
                </w:p>
              </w:tc>
            </w:tr>
            <w:tr w14:paraId="3B4F7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20" w:type="pct"/>
                  <w:vMerge w:val="continue"/>
                  <w:noWrap w:val="0"/>
                  <w:vAlign w:val="center"/>
                </w:tcPr>
                <w:p w14:paraId="65B2F0A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209" w:type="pct"/>
                  <w:gridSpan w:val="2"/>
                  <w:vMerge w:val="continue"/>
                  <w:noWrap w:val="0"/>
                  <w:vAlign w:val="center"/>
                </w:tcPr>
                <w:p w14:paraId="795E53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color w:val="auto"/>
                      <w:sz w:val="21"/>
                      <w:szCs w:val="21"/>
                      <w:highlight w:val="none"/>
                      <w:lang w:eastAsia="zh-CN"/>
                    </w:rPr>
                  </w:pPr>
                </w:p>
              </w:tc>
              <w:tc>
                <w:tcPr>
                  <w:tcW w:w="849" w:type="pct"/>
                  <w:gridSpan w:val="4"/>
                  <w:noWrap w:val="0"/>
                  <w:vAlign w:val="center"/>
                </w:tcPr>
                <w:p w14:paraId="5079B52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废水</w:t>
                  </w:r>
                </w:p>
              </w:tc>
              <w:tc>
                <w:tcPr>
                  <w:tcW w:w="3720" w:type="pct"/>
                  <w:gridSpan w:val="3"/>
                  <w:noWrap w:val="0"/>
                  <w:vAlign w:val="center"/>
                </w:tcPr>
                <w:p w14:paraId="1540D69D">
                  <w:pPr>
                    <w:keepNext w:val="0"/>
                    <w:keepLines w:val="0"/>
                    <w:pageBreakBefore w:val="0"/>
                    <w:widowControl/>
                    <w:suppressLineNumbers w:val="0"/>
                    <w:kinsoku/>
                    <w:wordWrap/>
                    <w:overflowPunct/>
                    <w:topLinePunct w:val="0"/>
                    <w:autoSpaceDE/>
                    <w:autoSpaceDN/>
                    <w:bidi w:val="0"/>
                    <w:adjustRightInd/>
                    <w:snapToGrid/>
                    <w:spacing w:line="240" w:lineRule="auto"/>
                    <w:ind w:firstLine="456" w:firstLineChars="200"/>
                    <w:jc w:val="both"/>
                    <w:textAlignment w:val="auto"/>
                    <w:rPr>
                      <w:rFonts w:hint="eastAsia"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lang w:val="en-US" w:eastAsia="zh-CN"/>
                    </w:rPr>
                    <w:t>蜂蜜加工包装车间在加工灌装过程中，产生清洗废水</w:t>
                  </w:r>
                  <w:r>
                    <w:rPr>
                      <w:rFonts w:hint="eastAsia" w:cs="Times New Roman"/>
                      <w:color w:val="auto"/>
                      <w:spacing w:val="9"/>
                      <w:sz w:val="21"/>
                      <w:szCs w:val="21"/>
                      <w:highlight w:val="none"/>
                      <w:lang w:val="en-US" w:eastAsia="zh-CN"/>
                    </w:rPr>
                    <w:t>；</w:t>
                  </w:r>
                </w:p>
                <w:p w14:paraId="29FE72A2">
                  <w:pPr>
                    <w:keepNext w:val="0"/>
                    <w:keepLines w:val="0"/>
                    <w:pageBreakBefore w:val="0"/>
                    <w:widowControl/>
                    <w:suppressLineNumbers w:val="0"/>
                    <w:kinsoku/>
                    <w:wordWrap/>
                    <w:overflowPunct/>
                    <w:topLinePunct w:val="0"/>
                    <w:autoSpaceDE/>
                    <w:autoSpaceDN/>
                    <w:bidi w:val="0"/>
                    <w:adjustRightInd/>
                    <w:snapToGrid/>
                    <w:spacing w:line="240" w:lineRule="auto"/>
                    <w:ind w:firstLine="456" w:firstLineChars="200"/>
                    <w:jc w:val="both"/>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lang w:val="en-US" w:eastAsia="zh-CN"/>
                    </w:rPr>
                    <w:t>中药材相关车间</w:t>
                  </w:r>
                  <w:r>
                    <w:rPr>
                      <w:rFonts w:hint="eastAsia" w:cs="Times New Roman"/>
                      <w:color w:val="auto"/>
                      <w:spacing w:val="9"/>
                      <w:sz w:val="21"/>
                      <w:szCs w:val="21"/>
                      <w:highlight w:val="none"/>
                      <w:lang w:val="en-US" w:eastAsia="zh-CN"/>
                    </w:rPr>
                    <w:t>在</w:t>
                  </w:r>
                  <w:r>
                    <w:rPr>
                      <w:rFonts w:hint="default" w:ascii="Times New Roman" w:hAnsi="Times New Roman" w:eastAsia="宋体" w:cs="Times New Roman"/>
                      <w:color w:val="auto"/>
                      <w:spacing w:val="9"/>
                      <w:sz w:val="21"/>
                      <w:szCs w:val="21"/>
                      <w:highlight w:val="none"/>
                      <w:lang w:val="en-US" w:eastAsia="zh-CN"/>
                    </w:rPr>
                    <w:t>清洗中药材产生一定量的</w:t>
                  </w:r>
                  <w:r>
                    <w:rPr>
                      <w:rFonts w:hint="eastAsia" w:cs="Times New Roman"/>
                      <w:color w:val="auto"/>
                      <w:spacing w:val="9"/>
                      <w:sz w:val="21"/>
                      <w:szCs w:val="21"/>
                      <w:highlight w:val="none"/>
                      <w:lang w:val="en-US" w:eastAsia="zh-CN"/>
                    </w:rPr>
                    <w:t>清洗</w:t>
                  </w:r>
                  <w:r>
                    <w:rPr>
                      <w:rFonts w:hint="default" w:ascii="Times New Roman" w:hAnsi="Times New Roman" w:eastAsia="宋体" w:cs="Times New Roman"/>
                      <w:color w:val="auto"/>
                      <w:spacing w:val="9"/>
                      <w:sz w:val="21"/>
                      <w:szCs w:val="21"/>
                      <w:highlight w:val="none"/>
                      <w:lang w:val="en-US" w:eastAsia="zh-CN"/>
                    </w:rPr>
                    <w:t>废水</w:t>
                  </w:r>
                  <w:r>
                    <w:rPr>
                      <w:rFonts w:hint="eastAsia" w:cs="Times New Roman"/>
                      <w:color w:val="auto"/>
                      <w:spacing w:val="9"/>
                      <w:sz w:val="21"/>
                      <w:szCs w:val="21"/>
                      <w:highlight w:val="none"/>
                      <w:lang w:val="en-US" w:eastAsia="zh-CN"/>
                    </w:rPr>
                    <w:t>；</w:t>
                  </w:r>
                </w:p>
                <w:p w14:paraId="6F4EA653">
                  <w:pPr>
                    <w:keepNext w:val="0"/>
                    <w:keepLines w:val="0"/>
                    <w:pageBreakBefore w:val="0"/>
                    <w:widowControl/>
                    <w:suppressLineNumbers w:val="0"/>
                    <w:kinsoku/>
                    <w:wordWrap/>
                    <w:overflowPunct/>
                    <w:topLinePunct w:val="0"/>
                    <w:autoSpaceDE/>
                    <w:autoSpaceDN/>
                    <w:bidi w:val="0"/>
                    <w:adjustRightInd/>
                    <w:snapToGrid/>
                    <w:spacing w:line="240" w:lineRule="auto"/>
                    <w:ind w:firstLine="456" w:firstLineChars="200"/>
                    <w:jc w:val="both"/>
                    <w:textAlignment w:val="auto"/>
                    <w:rPr>
                      <w:rFonts w:hint="default" w:ascii="Times New Roman" w:hAnsi="Times New Roman" w:eastAsia="宋体" w:cs="Times New Roman"/>
                      <w:color w:val="auto"/>
                      <w:spacing w:val="9"/>
                      <w:sz w:val="21"/>
                      <w:szCs w:val="21"/>
                      <w:highlight w:val="none"/>
                      <w:lang w:val="en-US" w:eastAsia="zh-CN"/>
                    </w:rPr>
                  </w:pPr>
                  <w:r>
                    <w:rPr>
                      <w:rFonts w:hint="eastAsia" w:cs="Times New Roman"/>
                      <w:color w:val="auto"/>
                      <w:spacing w:val="9"/>
                      <w:sz w:val="21"/>
                      <w:szCs w:val="21"/>
                      <w:highlight w:val="none"/>
                      <w:lang w:val="en-US" w:eastAsia="zh-CN"/>
                    </w:rPr>
                    <w:t>检测中心</w:t>
                  </w:r>
                  <w:r>
                    <w:rPr>
                      <w:rFonts w:hint="eastAsia" w:ascii="Times New Roman" w:cs="Times New Roman"/>
                      <w:color w:val="auto"/>
                      <w:sz w:val="21"/>
                      <w:szCs w:val="21"/>
                      <w:highlight w:val="none"/>
                      <w:lang w:val="en-US" w:eastAsia="zh-CN"/>
                    </w:rPr>
                    <w:t>实验</w:t>
                  </w:r>
                  <w:r>
                    <w:rPr>
                      <w:rFonts w:hint="eastAsia" w:cs="Times New Roman"/>
                      <w:color w:val="auto"/>
                      <w:sz w:val="21"/>
                      <w:szCs w:val="21"/>
                      <w:highlight w:val="none"/>
                      <w:lang w:val="en-US" w:eastAsia="zh-CN"/>
                    </w:rPr>
                    <w:t>清洗废水。</w:t>
                  </w:r>
                </w:p>
                <w:p w14:paraId="6942ABD0">
                  <w:pPr>
                    <w:keepNext w:val="0"/>
                    <w:keepLines w:val="0"/>
                    <w:pageBreakBefore w:val="0"/>
                    <w:widowControl/>
                    <w:suppressLineNumbers w:val="0"/>
                    <w:kinsoku/>
                    <w:wordWrap/>
                    <w:overflowPunct/>
                    <w:topLinePunct w:val="0"/>
                    <w:autoSpaceDE/>
                    <w:autoSpaceDN/>
                    <w:bidi w:val="0"/>
                    <w:adjustRightInd/>
                    <w:snapToGrid/>
                    <w:spacing w:line="240" w:lineRule="auto"/>
                    <w:ind w:firstLine="456" w:firstLineChars="200"/>
                    <w:jc w:val="both"/>
                    <w:textAlignment w:val="auto"/>
                    <w:rPr>
                      <w:rFonts w:hint="default" w:ascii="Times New Roman" w:hAnsi="Times New Roman" w:eastAsia="宋体" w:cs="Times New Roman"/>
                      <w:color w:val="auto"/>
                      <w:spacing w:val="9"/>
                      <w:sz w:val="21"/>
                      <w:szCs w:val="21"/>
                      <w:highlight w:val="none"/>
                      <w:lang w:val="en-US"/>
                    </w:rPr>
                  </w:pPr>
                  <w:r>
                    <w:rPr>
                      <w:rFonts w:hint="eastAsia" w:cs="Times New Roman"/>
                      <w:color w:val="auto"/>
                      <w:spacing w:val="9"/>
                      <w:sz w:val="21"/>
                      <w:szCs w:val="21"/>
                      <w:highlight w:val="none"/>
                      <w:lang w:val="en-US" w:eastAsia="zh-CN"/>
                    </w:rPr>
                    <w:t>废水经</w:t>
                  </w:r>
                  <w:r>
                    <w:rPr>
                      <w:rFonts w:hint="default" w:ascii="Times New Roman" w:hAnsi="Times New Roman" w:eastAsia="宋体" w:cs="Times New Roman"/>
                      <w:color w:val="auto"/>
                      <w:spacing w:val="9"/>
                      <w:sz w:val="21"/>
                      <w:szCs w:val="21"/>
                      <w:highlight w:val="none"/>
                      <w:lang w:val="en-US" w:eastAsia="zh-CN"/>
                    </w:rPr>
                    <w:t>车间设三级沉淀池（总容积50m³），采用“格栅+气浮+生物接触氧化”工艺，处理后水质达到《污水综合排放标准》（GB8978-1996）</w:t>
                  </w:r>
                  <w:r>
                    <w:rPr>
                      <w:rFonts w:hint="eastAsia" w:cs="Times New Roman"/>
                      <w:color w:val="auto"/>
                      <w:spacing w:val="9"/>
                      <w:sz w:val="21"/>
                      <w:szCs w:val="21"/>
                      <w:highlight w:val="none"/>
                      <w:lang w:val="en-US" w:eastAsia="zh-CN"/>
                    </w:rPr>
                    <w:t>三</w:t>
                  </w:r>
                  <w:r>
                    <w:rPr>
                      <w:rFonts w:hint="default" w:ascii="Times New Roman" w:hAnsi="Times New Roman" w:eastAsia="宋体" w:cs="Times New Roman"/>
                      <w:color w:val="auto"/>
                      <w:spacing w:val="9"/>
                      <w:sz w:val="21"/>
                      <w:szCs w:val="21"/>
                      <w:highlight w:val="none"/>
                      <w:lang w:val="en-US" w:eastAsia="zh-CN"/>
                    </w:rPr>
                    <w:t>级标准</w:t>
                  </w:r>
                  <w:r>
                    <w:rPr>
                      <w:rFonts w:hint="eastAsia" w:cs="Times New Roman"/>
                      <w:color w:val="auto"/>
                      <w:spacing w:val="9"/>
                      <w:sz w:val="21"/>
                      <w:szCs w:val="21"/>
                      <w:highlight w:val="none"/>
                      <w:lang w:val="en-US" w:eastAsia="zh-CN"/>
                    </w:rPr>
                    <w:t>后进入市政管网。</w:t>
                  </w:r>
                </w:p>
              </w:tc>
            </w:tr>
            <w:tr w14:paraId="717F4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20" w:type="pct"/>
                  <w:vMerge w:val="continue"/>
                  <w:noWrap w:val="0"/>
                  <w:vAlign w:val="center"/>
                </w:tcPr>
                <w:p w14:paraId="1CC2908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209" w:type="pct"/>
                  <w:gridSpan w:val="2"/>
                  <w:vMerge w:val="continue"/>
                  <w:noWrap w:val="0"/>
                  <w:vAlign w:val="center"/>
                </w:tcPr>
                <w:p w14:paraId="47C396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color w:val="auto"/>
                      <w:sz w:val="21"/>
                      <w:szCs w:val="21"/>
                      <w:highlight w:val="none"/>
                      <w:lang w:eastAsia="zh-CN"/>
                    </w:rPr>
                  </w:pPr>
                </w:p>
              </w:tc>
              <w:tc>
                <w:tcPr>
                  <w:tcW w:w="849" w:type="pct"/>
                  <w:gridSpan w:val="4"/>
                  <w:shd w:val="clear" w:color="auto" w:fill="auto"/>
                  <w:noWrap w:val="0"/>
                  <w:vAlign w:val="center"/>
                </w:tcPr>
                <w:p w14:paraId="3DCE5ED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噪声</w:t>
                  </w:r>
                </w:p>
              </w:tc>
              <w:tc>
                <w:tcPr>
                  <w:tcW w:w="3720" w:type="pct"/>
                  <w:gridSpan w:val="3"/>
                  <w:shd w:val="clear" w:color="auto" w:fill="auto"/>
                  <w:noWrap w:val="0"/>
                  <w:vAlign w:val="center"/>
                </w:tcPr>
                <w:p w14:paraId="2070B9CE">
                  <w:pPr>
                    <w:keepNext w:val="0"/>
                    <w:keepLines w:val="0"/>
                    <w:pageBreakBefore w:val="0"/>
                    <w:widowControl/>
                    <w:suppressLineNumbers w:val="0"/>
                    <w:kinsoku/>
                    <w:wordWrap/>
                    <w:overflowPunct/>
                    <w:topLinePunct w:val="0"/>
                    <w:autoSpaceDE/>
                    <w:autoSpaceDN/>
                    <w:bidi w:val="0"/>
                    <w:adjustRightInd/>
                    <w:snapToGrid/>
                    <w:spacing w:line="240" w:lineRule="auto"/>
                    <w:ind w:firstLine="456" w:firstLineChars="200"/>
                    <w:jc w:val="both"/>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选用低噪设备，采取减振、隔声等措施</w:t>
                  </w:r>
                  <w:r>
                    <w:rPr>
                      <w:rFonts w:hint="eastAsia" w:ascii="Times New Roman" w:hAnsi="Times New Roman" w:eastAsia="宋体" w:cs="Times New Roman"/>
                      <w:color w:val="auto"/>
                      <w:spacing w:val="9"/>
                      <w:sz w:val="21"/>
                      <w:szCs w:val="21"/>
                      <w:highlight w:val="none"/>
                      <w:lang w:eastAsia="zh-CN"/>
                    </w:rPr>
                    <w:t>。</w:t>
                  </w:r>
                </w:p>
              </w:tc>
            </w:tr>
            <w:tr w14:paraId="1DA96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20" w:type="pct"/>
                  <w:vMerge w:val="continue"/>
                  <w:noWrap w:val="0"/>
                  <w:vAlign w:val="center"/>
                </w:tcPr>
                <w:p w14:paraId="62612C6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209" w:type="pct"/>
                  <w:gridSpan w:val="2"/>
                  <w:vMerge w:val="continue"/>
                  <w:noWrap w:val="0"/>
                  <w:vAlign w:val="center"/>
                </w:tcPr>
                <w:p w14:paraId="632220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color w:val="auto"/>
                      <w:sz w:val="21"/>
                      <w:szCs w:val="21"/>
                      <w:highlight w:val="none"/>
                      <w:lang w:eastAsia="zh-CN"/>
                    </w:rPr>
                  </w:pPr>
                </w:p>
              </w:tc>
              <w:tc>
                <w:tcPr>
                  <w:tcW w:w="849" w:type="pct"/>
                  <w:gridSpan w:val="4"/>
                  <w:noWrap w:val="0"/>
                  <w:vAlign w:val="center"/>
                </w:tcPr>
                <w:p w14:paraId="6EA09E1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固体废物</w:t>
                  </w:r>
                </w:p>
              </w:tc>
              <w:tc>
                <w:tcPr>
                  <w:tcW w:w="3720" w:type="pct"/>
                  <w:gridSpan w:val="3"/>
                  <w:noWrap w:val="0"/>
                  <w:vAlign w:val="center"/>
                </w:tcPr>
                <w:p w14:paraId="54B715C4">
                  <w:pPr>
                    <w:keepNext w:val="0"/>
                    <w:keepLines w:val="0"/>
                    <w:widowControl/>
                    <w:suppressLineNumbers w:val="0"/>
                    <w:jc w:val="left"/>
                    <w:rPr>
                      <w:rFonts w:hint="default" w:ascii="Times New Roman" w:hAnsi="Times New Roman" w:eastAsia="宋体" w:cs="Times New Roman"/>
                      <w:color w:val="auto"/>
                      <w:spacing w:val="9"/>
                      <w:sz w:val="21"/>
                      <w:szCs w:val="21"/>
                      <w:highlight w:val="none"/>
                      <w:lang w:val="en-US"/>
                    </w:rPr>
                  </w:pPr>
                  <w:r>
                    <w:rPr>
                      <w:rFonts w:hint="default" w:ascii="Times New Roman" w:hAnsi="Times New Roman" w:eastAsia="宋体" w:cs="Times New Roman"/>
                      <w:color w:val="auto"/>
                      <w:spacing w:val="9"/>
                      <w:sz w:val="21"/>
                      <w:szCs w:val="21"/>
                      <w:highlight w:val="none"/>
                      <w:lang w:val="en-US" w:eastAsia="zh-CN"/>
                    </w:rPr>
                    <w:t>一般固废主要为生活垃圾；产生的危险废物主要有废试剂瓶/桶、实验废液、废标液、废培养皿、废培养基、过期药品、过期试剂。生活垃圾集中收集后交由环卫部门进行处置。废试剂瓶/桶、实验废液、废标液、废培养皿、废培养基、过期药品、过期试剂暂存于危废暂存间，交由有资质单位进行处置</w:t>
                  </w:r>
                  <w:r>
                    <w:rPr>
                      <w:rFonts w:hint="eastAsia" w:ascii="Times New Roman" w:hAnsi="Times New Roman" w:eastAsia="宋体" w:cs="Times New Roman"/>
                      <w:color w:val="auto"/>
                      <w:spacing w:val="9"/>
                      <w:sz w:val="21"/>
                      <w:szCs w:val="21"/>
                      <w:highlight w:val="none"/>
                      <w:lang w:val="en-US" w:eastAsia="zh-CN"/>
                    </w:rPr>
                    <w:t>。运营期产生的修剪晾晒枝叶集中收集外售综合利用。</w:t>
                  </w:r>
                </w:p>
              </w:tc>
            </w:tr>
            <w:tr w14:paraId="62A4A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20" w:type="pct"/>
                  <w:vMerge w:val="continue"/>
                  <w:noWrap w:val="0"/>
                  <w:vAlign w:val="center"/>
                </w:tcPr>
                <w:p w14:paraId="1CA48D1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209" w:type="pct"/>
                  <w:gridSpan w:val="2"/>
                  <w:vMerge w:val="continue"/>
                  <w:noWrap w:val="0"/>
                  <w:vAlign w:val="center"/>
                </w:tcPr>
                <w:p w14:paraId="2F65C8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color w:val="auto"/>
                      <w:sz w:val="21"/>
                      <w:szCs w:val="21"/>
                      <w:highlight w:val="none"/>
                      <w:lang w:eastAsia="zh-CN"/>
                    </w:rPr>
                  </w:pPr>
                </w:p>
              </w:tc>
              <w:tc>
                <w:tcPr>
                  <w:tcW w:w="849" w:type="pct"/>
                  <w:gridSpan w:val="4"/>
                  <w:noWrap w:val="0"/>
                  <w:vAlign w:val="center"/>
                </w:tcPr>
                <w:p w14:paraId="58ED57D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防渗</w:t>
                  </w:r>
                </w:p>
              </w:tc>
              <w:tc>
                <w:tcPr>
                  <w:tcW w:w="3720" w:type="pct"/>
                  <w:gridSpan w:val="3"/>
                  <w:noWrap w:val="0"/>
                  <w:vAlign w:val="center"/>
                </w:tcPr>
                <w:p w14:paraId="772F1B88">
                  <w:pPr>
                    <w:keepNext w:val="0"/>
                    <w:keepLines w:val="0"/>
                    <w:widowControl/>
                    <w:suppressLineNumbers w:val="0"/>
                    <w:jc w:val="left"/>
                    <w:rPr>
                      <w:rFonts w:hint="default" w:ascii="Times New Roman" w:hAnsi="Times New Roman" w:eastAsia="宋体" w:cs="Times New Roman"/>
                      <w:color w:val="auto"/>
                      <w:spacing w:val="9"/>
                      <w:sz w:val="21"/>
                      <w:szCs w:val="21"/>
                      <w:highlight w:val="none"/>
                      <w:lang w:val="en-US" w:eastAsia="zh-CN"/>
                    </w:rPr>
                  </w:pPr>
                  <w:r>
                    <w:rPr>
                      <w:rFonts w:hint="eastAsia" w:ascii="Times New Roman" w:hAnsi="Times New Roman" w:eastAsia="宋体" w:cs="Times New Roman"/>
                      <w:color w:val="auto"/>
                      <w:sz w:val="21"/>
                      <w:szCs w:val="21"/>
                      <w:lang w:val="en-US" w:eastAsia="zh-CN"/>
                    </w:rPr>
                    <w:t>检测中心内设1座10m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危险废物暂存间，进行</w:t>
                  </w:r>
                  <w:r>
                    <w:rPr>
                      <w:rFonts w:hint="eastAsia" w:ascii="Times New Roman" w:hAnsi="Times New Roman" w:cs="Times New Roman"/>
                      <w:color w:val="auto"/>
                      <w:sz w:val="21"/>
                      <w:szCs w:val="21"/>
                      <w:lang w:val="en-US" w:eastAsia="zh-CN"/>
                    </w:rPr>
                    <w:t>重点防渗，防渗要求需满足《危险废物贮存污染控制标准》（GB18597-2023）相关要求</w:t>
                  </w:r>
                </w:p>
              </w:tc>
            </w:tr>
            <w:tr w14:paraId="28CFC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220" w:type="pct"/>
                  <w:vMerge w:val="continue"/>
                  <w:noWrap w:val="0"/>
                  <w:vAlign w:val="center"/>
                </w:tcPr>
                <w:p w14:paraId="4BEA5CD7">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209" w:type="pct"/>
                  <w:gridSpan w:val="2"/>
                  <w:vMerge w:val="continue"/>
                  <w:noWrap w:val="0"/>
                  <w:vAlign w:val="center"/>
                </w:tcPr>
                <w:p w14:paraId="3446E8B8">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849" w:type="pct"/>
                  <w:gridSpan w:val="4"/>
                  <w:noWrap w:val="0"/>
                  <w:vAlign w:val="center"/>
                </w:tcPr>
                <w:p w14:paraId="6F65656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生态恢复</w:t>
                  </w:r>
                </w:p>
              </w:tc>
              <w:tc>
                <w:tcPr>
                  <w:tcW w:w="3720" w:type="pct"/>
                  <w:gridSpan w:val="3"/>
                  <w:noWrap w:val="0"/>
                  <w:vAlign w:val="center"/>
                </w:tcPr>
                <w:p w14:paraId="2B2F9208">
                  <w:pPr>
                    <w:keepNext w:val="0"/>
                    <w:keepLines w:val="0"/>
                    <w:pageBreakBefore w:val="0"/>
                    <w:widowControl/>
                    <w:suppressLineNumbers w:val="0"/>
                    <w:kinsoku/>
                    <w:wordWrap/>
                    <w:overflowPunct/>
                    <w:topLinePunct w:val="0"/>
                    <w:autoSpaceDE/>
                    <w:autoSpaceDN/>
                    <w:bidi w:val="0"/>
                    <w:adjustRightInd/>
                    <w:snapToGrid/>
                    <w:spacing w:line="240" w:lineRule="auto"/>
                    <w:ind w:firstLine="456" w:firstLineChars="200"/>
                    <w:jc w:val="both"/>
                    <w:textAlignment w:val="auto"/>
                    <w:rPr>
                      <w:rFonts w:hint="eastAsia" w:ascii="Times New Roman" w:hAnsi="Times New Roman" w:eastAsia="宋体" w:cs="Times New Roman"/>
                      <w:color w:val="auto"/>
                      <w:spacing w:val="9"/>
                      <w:sz w:val="21"/>
                      <w:szCs w:val="21"/>
                      <w:highlight w:val="none"/>
                      <w:lang w:eastAsia="zh-CN"/>
                    </w:rPr>
                  </w:pPr>
                  <w:r>
                    <w:rPr>
                      <w:rFonts w:hint="default" w:ascii="Times New Roman" w:hAnsi="Times New Roman" w:eastAsia="宋体" w:cs="Times New Roman"/>
                      <w:color w:val="auto"/>
                      <w:spacing w:val="9"/>
                      <w:sz w:val="21"/>
                      <w:szCs w:val="21"/>
                      <w:highlight w:val="none"/>
                      <w:lang w:val="en-US" w:eastAsia="zh-CN"/>
                    </w:rPr>
                    <w:t>施工前，应合理规划施工工区，尽量缩小施工范围，减少临时占地面积。②施工结束后，对工程临时占地、弃土场及施工生产生活区占地采取撒播适宜当地生长的草籽。③加强生态保护管理监督，切实落实各项生态恢复措施，确保撒播草种的成活率，使临时施工占地植被覆盖度至少恢复到原有水平</w:t>
                  </w:r>
                  <w:r>
                    <w:rPr>
                      <w:rFonts w:hint="eastAsia" w:cs="Times New Roman"/>
                      <w:color w:val="auto"/>
                      <w:spacing w:val="9"/>
                      <w:sz w:val="21"/>
                      <w:szCs w:val="21"/>
                      <w:highlight w:val="none"/>
                      <w:lang w:val="en-US" w:eastAsia="zh-CN"/>
                    </w:rPr>
                    <w:t>。</w:t>
                  </w:r>
                </w:p>
              </w:tc>
            </w:tr>
          </w:tbl>
          <w:p w14:paraId="120B89FF">
            <w:pPr>
              <w:pStyle w:val="11"/>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textAlignment w:val="auto"/>
              <w:rPr>
                <w:rFonts w:hint="eastAsia" w:eastAsia="仿宋_GB2312" w:cs="Times New Roman"/>
                <w:b/>
                <w:bCs w:val="0"/>
                <w:color w:val="auto"/>
                <w:sz w:val="24"/>
                <w:szCs w:val="24"/>
                <w:highlight w:val="none"/>
                <w:vertAlign w:val="baseline"/>
                <w:lang w:val="en-US" w:eastAsia="zh-CN"/>
              </w:rPr>
            </w:pPr>
            <w:r>
              <w:rPr>
                <w:rFonts w:hint="eastAsia" w:eastAsia="仿宋_GB2312" w:cs="Times New Roman"/>
                <w:b/>
                <w:bCs w:val="0"/>
                <w:color w:val="auto"/>
                <w:sz w:val="24"/>
                <w:szCs w:val="24"/>
                <w:highlight w:val="none"/>
                <w:vertAlign w:val="baseline"/>
                <w:lang w:val="en-US" w:eastAsia="zh-CN"/>
              </w:rPr>
              <w:t>3.公用工程</w:t>
            </w:r>
          </w:p>
          <w:p w14:paraId="17D192ED">
            <w:pPr>
              <w:pStyle w:val="114"/>
              <w:spacing w:line="360" w:lineRule="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供水：</w:t>
            </w:r>
            <w:r>
              <w:rPr>
                <w:rFonts w:hint="default" w:ascii="Times New Roman" w:hAnsi="Times New Roman" w:eastAsia="仿宋_GB2312" w:cs="Times New Roman"/>
                <w:color w:val="auto"/>
                <w:highlight w:val="none"/>
                <w:lang w:val="en-US" w:eastAsia="zh-CN"/>
              </w:rPr>
              <w:t>本项目用水量包括生活用水、生产用水及消防用水三部分，</w:t>
            </w:r>
            <w:r>
              <w:rPr>
                <w:rFonts w:hint="eastAsia" w:ascii="Times New Roman" w:hAnsi="Times New Roman" w:eastAsia="仿宋_GB2312" w:cs="Times New Roman"/>
                <w:color w:val="auto"/>
                <w:highlight w:val="none"/>
                <w:lang w:val="en-US" w:eastAsia="zh-CN"/>
              </w:rPr>
              <w:t>由市政供水管网提供。</w:t>
            </w:r>
            <w:r>
              <w:rPr>
                <w:rFonts w:hint="default" w:ascii="Times New Roman" w:hAnsi="Times New Roman" w:eastAsia="仿宋_GB2312" w:cs="Times New Roman"/>
                <w:color w:val="auto"/>
                <w:highlight w:val="none"/>
                <w:lang w:val="en-US" w:eastAsia="zh-CN"/>
              </w:rPr>
              <w:t>具体计算如下：</w:t>
            </w:r>
          </w:p>
          <w:p w14:paraId="116F7C24">
            <w:pPr>
              <w:pStyle w:val="114"/>
              <w:spacing w:line="360" w:lineRule="auto"/>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1</w:t>
            </w:r>
            <w:r>
              <w:rPr>
                <w:rFonts w:hint="eastAsia" w:ascii="Times New Roman" w:hAnsi="Times New Roman" w:eastAsia="仿宋_GB2312" w:cs="Times New Roman"/>
                <w:color w:val="auto"/>
                <w:highlight w:val="none"/>
                <w:lang w:val="en-US" w:eastAsia="zh-CN"/>
              </w:rPr>
              <w:t>）生活用水：车间工作人员生活用水定额取</w:t>
            </w:r>
            <w:r>
              <w:rPr>
                <w:rFonts w:hint="default" w:ascii="Times New Roman" w:hAnsi="Times New Roman" w:eastAsia="仿宋_GB2312" w:cs="Times New Roman"/>
                <w:color w:val="auto"/>
                <w:highlight w:val="none"/>
                <w:lang w:val="en-US" w:eastAsia="zh-CN"/>
              </w:rPr>
              <w:t>50L/</w:t>
            </w:r>
            <w:r>
              <w:rPr>
                <w:rFonts w:hint="eastAsia" w:ascii="Times New Roman" w:hAnsi="Times New Roman" w:eastAsia="仿宋_GB2312" w:cs="Times New Roman"/>
                <w:color w:val="auto"/>
                <w:highlight w:val="none"/>
                <w:lang w:val="en-US" w:eastAsia="zh-CN"/>
              </w:rPr>
              <w:t>人·</w:t>
            </w:r>
            <w:r>
              <w:rPr>
                <w:rFonts w:hint="default" w:ascii="Times New Roman" w:hAnsi="Times New Roman" w:eastAsia="仿宋_GB2312" w:cs="Times New Roman"/>
                <w:color w:val="auto"/>
                <w:highlight w:val="none"/>
                <w:lang w:val="en-US" w:eastAsia="zh-CN"/>
              </w:rPr>
              <w:t>d</w:t>
            </w:r>
            <w:r>
              <w:rPr>
                <w:rFonts w:hint="eastAsia" w:ascii="Times New Roman" w:hAnsi="Times New Roman" w:eastAsia="仿宋_GB2312" w:cs="Times New Roman"/>
                <w:color w:val="auto"/>
                <w:highlight w:val="none"/>
                <w:lang w:val="en-US" w:eastAsia="zh-CN"/>
              </w:rPr>
              <w:t>，用水时间按</w:t>
            </w:r>
            <w:r>
              <w:rPr>
                <w:rFonts w:hint="default" w:ascii="Times New Roman" w:hAnsi="Times New Roman" w:eastAsia="仿宋_GB2312" w:cs="Times New Roman"/>
                <w:color w:val="auto"/>
                <w:highlight w:val="none"/>
                <w:lang w:val="en-US" w:eastAsia="zh-CN"/>
              </w:rPr>
              <w:t>8h</w:t>
            </w:r>
            <w:r>
              <w:rPr>
                <w:rFonts w:hint="eastAsia" w:ascii="Times New Roman" w:hAnsi="Times New Roman" w:eastAsia="仿宋_GB2312" w:cs="Times New Roman"/>
                <w:color w:val="auto"/>
                <w:highlight w:val="none"/>
                <w:lang w:val="en-US" w:eastAsia="zh-CN"/>
              </w:rPr>
              <w:t>计。各单体生活用水量：蜂蜜加工储存车间按</w:t>
            </w:r>
            <w:r>
              <w:rPr>
                <w:rFonts w:hint="default" w:ascii="Times New Roman" w:hAnsi="Times New Roman" w:eastAsia="仿宋_GB2312" w:cs="Times New Roman"/>
                <w:color w:val="auto"/>
                <w:highlight w:val="none"/>
                <w:lang w:val="en-US" w:eastAsia="zh-CN"/>
              </w:rPr>
              <w:t>10</w:t>
            </w:r>
            <w:r>
              <w:rPr>
                <w:rFonts w:hint="eastAsia" w:ascii="Times New Roman" w:hAnsi="Times New Roman" w:eastAsia="仿宋_GB2312" w:cs="Times New Roman"/>
                <w:color w:val="auto"/>
                <w:highlight w:val="none"/>
                <w:lang w:val="en-US" w:eastAsia="zh-CN"/>
              </w:rPr>
              <w:t>人计，日用水量</w:t>
            </w:r>
            <w:r>
              <w:rPr>
                <w:rFonts w:hint="default" w:ascii="Times New Roman" w:hAnsi="Times New Roman" w:eastAsia="仿宋_GB2312" w:cs="Times New Roman"/>
                <w:color w:val="auto"/>
                <w:highlight w:val="none"/>
                <w:lang w:val="en-US" w:eastAsia="zh-CN"/>
              </w:rPr>
              <w:t>0.5m³</w:t>
            </w:r>
            <w:r>
              <w:rPr>
                <w:rFonts w:hint="eastAsia" w:ascii="Times New Roman" w:hAnsi="Times New Roman" w:eastAsia="仿宋_GB2312" w:cs="Times New Roman"/>
                <w:color w:val="auto"/>
                <w:highlight w:val="none"/>
                <w:lang w:val="en-US" w:eastAsia="zh-CN"/>
              </w:rPr>
              <w:t>；中药材分拣与包装区按</w:t>
            </w:r>
            <w:r>
              <w:rPr>
                <w:rFonts w:hint="default" w:ascii="Times New Roman" w:hAnsi="Times New Roman" w:eastAsia="仿宋_GB2312" w:cs="Times New Roman"/>
                <w:color w:val="auto"/>
                <w:highlight w:val="none"/>
                <w:lang w:val="en-US" w:eastAsia="zh-CN"/>
              </w:rPr>
              <w:t>15</w:t>
            </w:r>
            <w:r>
              <w:rPr>
                <w:rFonts w:hint="eastAsia" w:ascii="Times New Roman" w:hAnsi="Times New Roman" w:eastAsia="仿宋_GB2312" w:cs="Times New Roman"/>
                <w:color w:val="auto"/>
                <w:highlight w:val="none"/>
                <w:lang w:val="en-US" w:eastAsia="zh-CN"/>
              </w:rPr>
              <w:t>人计，日用水量</w:t>
            </w:r>
            <w:r>
              <w:rPr>
                <w:rFonts w:hint="default" w:ascii="Times New Roman" w:hAnsi="Times New Roman" w:eastAsia="仿宋_GB2312" w:cs="Times New Roman"/>
                <w:color w:val="auto"/>
                <w:highlight w:val="none"/>
                <w:lang w:val="en-US" w:eastAsia="zh-CN"/>
              </w:rPr>
              <w:t>0.75m³</w:t>
            </w:r>
            <w:r>
              <w:rPr>
                <w:rFonts w:hint="eastAsia" w:ascii="Times New Roman" w:hAnsi="Times New Roman" w:eastAsia="仿宋_GB2312" w:cs="Times New Roman"/>
                <w:color w:val="auto"/>
                <w:highlight w:val="none"/>
                <w:lang w:val="en-US" w:eastAsia="zh-CN"/>
              </w:rPr>
              <w:t>；物流中转区按</w:t>
            </w:r>
            <w:r>
              <w:rPr>
                <w:rFonts w:hint="default" w:ascii="Times New Roman" w:hAnsi="Times New Roman" w:eastAsia="仿宋_GB2312" w:cs="Times New Roman"/>
                <w:color w:val="auto"/>
                <w:highlight w:val="none"/>
                <w:lang w:val="en-US" w:eastAsia="zh-CN"/>
              </w:rPr>
              <w:t>8</w:t>
            </w:r>
            <w:r>
              <w:rPr>
                <w:rFonts w:hint="eastAsia" w:ascii="Times New Roman" w:hAnsi="Times New Roman" w:eastAsia="仿宋_GB2312" w:cs="Times New Roman"/>
                <w:color w:val="auto"/>
                <w:highlight w:val="none"/>
                <w:lang w:val="en-US" w:eastAsia="zh-CN"/>
              </w:rPr>
              <w:t>人计，日用水量</w:t>
            </w:r>
            <w:r>
              <w:rPr>
                <w:rFonts w:hint="default" w:ascii="Times New Roman" w:hAnsi="Times New Roman" w:eastAsia="仿宋_GB2312" w:cs="Times New Roman"/>
                <w:color w:val="auto"/>
                <w:highlight w:val="none"/>
                <w:lang w:val="en-US" w:eastAsia="zh-CN"/>
              </w:rPr>
              <w:t>0.4m³</w:t>
            </w:r>
            <w:r>
              <w:rPr>
                <w:rFonts w:hint="eastAsia" w:ascii="Times New Roman" w:hAnsi="Times New Roman" w:eastAsia="仿宋_GB2312" w:cs="Times New Roman"/>
                <w:color w:val="auto"/>
                <w:highlight w:val="none"/>
                <w:lang w:val="en-US" w:eastAsia="zh-CN"/>
              </w:rPr>
              <w:t>；中药材储存仓库按</w:t>
            </w:r>
            <w:r>
              <w:rPr>
                <w:rFonts w:hint="default" w:ascii="Times New Roman" w:hAnsi="Times New Roman" w:eastAsia="仿宋_GB2312" w:cs="Times New Roman"/>
                <w:color w:val="auto"/>
                <w:highlight w:val="none"/>
                <w:lang w:val="en-US" w:eastAsia="zh-CN"/>
              </w:rPr>
              <w:t>8</w:t>
            </w:r>
            <w:r>
              <w:rPr>
                <w:rFonts w:hint="eastAsia" w:ascii="Times New Roman" w:hAnsi="Times New Roman" w:eastAsia="仿宋_GB2312" w:cs="Times New Roman"/>
                <w:color w:val="auto"/>
                <w:highlight w:val="none"/>
                <w:lang w:val="en-US" w:eastAsia="zh-CN"/>
              </w:rPr>
              <w:t>人计，日用水量</w:t>
            </w:r>
            <w:r>
              <w:rPr>
                <w:rFonts w:hint="default" w:ascii="Times New Roman" w:hAnsi="Times New Roman" w:eastAsia="仿宋_GB2312" w:cs="Times New Roman"/>
                <w:color w:val="auto"/>
                <w:highlight w:val="none"/>
                <w:lang w:val="en-US" w:eastAsia="zh-CN"/>
              </w:rPr>
              <w:t>0.4m³</w:t>
            </w:r>
            <w:r>
              <w:rPr>
                <w:rFonts w:hint="eastAsia" w:ascii="Times New Roman" w:hAnsi="Times New Roman" w:eastAsia="仿宋_GB2312" w:cs="Times New Roman"/>
                <w:color w:val="auto"/>
                <w:highlight w:val="none"/>
                <w:lang w:val="en-US" w:eastAsia="zh-CN"/>
              </w:rPr>
              <w:t>；中药材质量检测中心按</w:t>
            </w:r>
            <w:r>
              <w:rPr>
                <w:rFonts w:hint="default" w:ascii="Times New Roman" w:hAnsi="Times New Roman" w:eastAsia="仿宋_GB2312" w:cs="Times New Roman"/>
                <w:color w:val="auto"/>
                <w:highlight w:val="none"/>
                <w:lang w:val="en-US" w:eastAsia="zh-CN"/>
              </w:rPr>
              <w:t>6</w:t>
            </w:r>
            <w:r>
              <w:rPr>
                <w:rFonts w:hint="eastAsia" w:ascii="Times New Roman" w:hAnsi="Times New Roman" w:eastAsia="仿宋_GB2312" w:cs="Times New Roman"/>
                <w:color w:val="auto"/>
                <w:highlight w:val="none"/>
                <w:lang w:val="en-US" w:eastAsia="zh-CN"/>
              </w:rPr>
              <w:t>人计，日用水量</w:t>
            </w:r>
            <w:r>
              <w:rPr>
                <w:rFonts w:hint="default" w:ascii="Times New Roman" w:hAnsi="Times New Roman" w:eastAsia="仿宋_GB2312" w:cs="Times New Roman"/>
                <w:color w:val="auto"/>
                <w:highlight w:val="none"/>
                <w:lang w:val="en-US" w:eastAsia="zh-CN"/>
              </w:rPr>
              <w:t>0.3m³</w:t>
            </w:r>
            <w:r>
              <w:rPr>
                <w:rFonts w:hint="eastAsia" w:ascii="Times New Roman" w:hAnsi="Times New Roman" w:eastAsia="仿宋_GB2312" w:cs="Times New Roman"/>
                <w:color w:val="auto"/>
                <w:highlight w:val="none"/>
                <w:lang w:val="en-US" w:eastAsia="zh-CN"/>
              </w:rPr>
              <w:t>；六盘山镇成品库按</w:t>
            </w:r>
            <w:r>
              <w:rPr>
                <w:rFonts w:hint="default" w:ascii="Times New Roman" w:hAnsi="Times New Roman" w:eastAsia="仿宋_GB2312" w:cs="Times New Roman"/>
                <w:color w:val="auto"/>
                <w:highlight w:val="none"/>
                <w:lang w:val="en-US" w:eastAsia="zh-CN"/>
              </w:rPr>
              <w:t>5</w:t>
            </w:r>
            <w:r>
              <w:rPr>
                <w:rFonts w:hint="eastAsia" w:ascii="Times New Roman" w:hAnsi="Times New Roman" w:eastAsia="仿宋_GB2312" w:cs="Times New Roman"/>
                <w:color w:val="auto"/>
                <w:highlight w:val="none"/>
                <w:lang w:val="en-US" w:eastAsia="zh-CN"/>
              </w:rPr>
              <w:t>人计，日用水量</w:t>
            </w:r>
            <w:r>
              <w:rPr>
                <w:rFonts w:hint="default" w:ascii="Times New Roman" w:hAnsi="Times New Roman" w:eastAsia="仿宋_GB2312" w:cs="Times New Roman"/>
                <w:color w:val="auto"/>
                <w:highlight w:val="none"/>
                <w:lang w:val="en-US" w:eastAsia="zh-CN"/>
              </w:rPr>
              <w:t>0.25m³</w:t>
            </w:r>
            <w:r>
              <w:rPr>
                <w:rFonts w:hint="eastAsia" w:ascii="Times New Roman" w:hAnsi="Times New Roman" w:eastAsia="仿宋_GB2312" w:cs="Times New Roman"/>
                <w:color w:val="auto"/>
                <w:highlight w:val="none"/>
                <w:lang w:val="en-US" w:eastAsia="zh-CN"/>
              </w:rPr>
              <w:t>；大湾乡中药材分拣包装车间按</w:t>
            </w:r>
            <w:r>
              <w:rPr>
                <w:rFonts w:hint="default" w:ascii="Times New Roman" w:hAnsi="Times New Roman" w:eastAsia="仿宋_GB2312" w:cs="Times New Roman"/>
                <w:color w:val="auto"/>
                <w:highlight w:val="none"/>
                <w:lang w:val="en-US" w:eastAsia="zh-CN"/>
              </w:rPr>
              <w:t>12</w:t>
            </w:r>
            <w:r>
              <w:rPr>
                <w:rFonts w:hint="eastAsia" w:ascii="Times New Roman" w:hAnsi="Times New Roman" w:eastAsia="仿宋_GB2312" w:cs="Times New Roman"/>
                <w:color w:val="auto"/>
                <w:highlight w:val="none"/>
                <w:lang w:val="en-US" w:eastAsia="zh-CN"/>
              </w:rPr>
              <w:t>人计，日用水量</w:t>
            </w:r>
            <w:r>
              <w:rPr>
                <w:rFonts w:hint="default" w:ascii="Times New Roman" w:hAnsi="Times New Roman" w:eastAsia="仿宋_GB2312" w:cs="Times New Roman"/>
                <w:color w:val="auto"/>
                <w:highlight w:val="none"/>
                <w:lang w:val="en-US" w:eastAsia="zh-CN"/>
              </w:rPr>
              <w:t>0.6m³</w:t>
            </w:r>
            <w:r>
              <w:rPr>
                <w:rFonts w:hint="eastAsia" w:ascii="Times New Roman" w:hAnsi="Times New Roman" w:eastAsia="仿宋_GB2312" w:cs="Times New Roman"/>
                <w:color w:val="auto"/>
                <w:highlight w:val="none"/>
                <w:lang w:val="en-US" w:eastAsia="zh-CN"/>
              </w:rPr>
              <w:t>。合计日生活用水量为</w:t>
            </w:r>
            <w:r>
              <w:rPr>
                <w:rFonts w:hint="default" w:ascii="Times New Roman" w:hAnsi="Times New Roman" w:eastAsia="仿宋_GB2312" w:cs="Times New Roman"/>
                <w:color w:val="auto"/>
                <w:highlight w:val="none"/>
                <w:lang w:val="en-US" w:eastAsia="zh-CN"/>
              </w:rPr>
              <w:t>2.8m³</w:t>
            </w:r>
            <w:r>
              <w:rPr>
                <w:rFonts w:hint="eastAsia" w:ascii="Times New Roman" w:hAnsi="Times New Roman" w:eastAsia="仿宋_GB2312" w:cs="Times New Roman"/>
                <w:color w:val="auto"/>
                <w:highlight w:val="none"/>
                <w:lang w:val="en-US" w:eastAsia="zh-CN"/>
              </w:rPr>
              <w:t>。</w:t>
            </w:r>
          </w:p>
          <w:p w14:paraId="4FC14286">
            <w:pPr>
              <w:pStyle w:val="114"/>
              <w:spacing w:line="360" w:lineRule="auto"/>
              <w:jc w:val="both"/>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2</w:t>
            </w:r>
            <w:r>
              <w:rPr>
                <w:rFonts w:hint="eastAsia" w:ascii="Times New Roman" w:hAnsi="Times New Roman" w:eastAsia="仿宋_GB2312" w:cs="Times New Roman"/>
                <w:color w:val="auto"/>
                <w:highlight w:val="none"/>
                <w:lang w:val="en-US" w:eastAsia="zh-CN"/>
              </w:rPr>
              <w:t>）生产用水：蜂蜜加工车间生产用水主要为设备清洗、原料预处理，日用水量取</w:t>
            </w:r>
            <w:r>
              <w:rPr>
                <w:rFonts w:hint="default" w:ascii="Times New Roman" w:hAnsi="Times New Roman" w:eastAsia="仿宋_GB2312" w:cs="Times New Roman"/>
                <w:color w:val="auto"/>
                <w:highlight w:val="none"/>
                <w:lang w:val="en-US" w:eastAsia="zh-CN"/>
              </w:rPr>
              <w:t>10m³</w:t>
            </w:r>
            <w:r>
              <w:rPr>
                <w:rFonts w:hint="eastAsia" w:ascii="Times New Roman" w:hAnsi="Times New Roman" w:eastAsia="仿宋_GB2312" w:cs="Times New Roman"/>
                <w:color w:val="auto"/>
                <w:highlight w:val="none"/>
                <w:lang w:val="en-US" w:eastAsia="zh-CN"/>
              </w:rPr>
              <w:t>；中药材分拣包装区生产用水为场地清洁、设备清洗，日用水量取</w:t>
            </w:r>
            <w:r>
              <w:rPr>
                <w:rFonts w:hint="default" w:ascii="Times New Roman" w:hAnsi="Times New Roman" w:eastAsia="仿宋_GB2312" w:cs="Times New Roman"/>
                <w:color w:val="auto"/>
                <w:highlight w:val="none"/>
                <w:lang w:val="en-US" w:eastAsia="zh-CN"/>
              </w:rPr>
              <w:t>8m³</w:t>
            </w:r>
            <w:r>
              <w:rPr>
                <w:rFonts w:hint="eastAsia" w:ascii="Times New Roman" w:hAnsi="Times New Roman" w:eastAsia="仿宋_GB2312" w:cs="Times New Roman"/>
                <w:color w:val="auto"/>
                <w:highlight w:val="none"/>
                <w:lang w:val="en-US" w:eastAsia="zh-CN"/>
              </w:rPr>
              <w:t>；储存仓库地面清洁用水日用水量取</w:t>
            </w:r>
            <w:r>
              <w:rPr>
                <w:rFonts w:hint="default" w:ascii="Times New Roman" w:hAnsi="Times New Roman" w:eastAsia="仿宋_GB2312" w:cs="Times New Roman"/>
                <w:color w:val="auto"/>
                <w:highlight w:val="none"/>
                <w:lang w:val="en-US" w:eastAsia="zh-CN"/>
              </w:rPr>
              <w:t>3m³</w:t>
            </w:r>
            <w:r>
              <w:rPr>
                <w:rFonts w:hint="eastAsia" w:ascii="Times New Roman" w:hAnsi="Times New Roman" w:eastAsia="仿宋_GB2312" w:cs="Times New Roman"/>
                <w:color w:val="auto"/>
                <w:highlight w:val="none"/>
                <w:lang w:val="en-US" w:eastAsia="zh-CN"/>
              </w:rPr>
              <w:t>；检测中心实验辅助用水日用水量取0.61</w:t>
            </w:r>
            <w:r>
              <w:rPr>
                <w:rFonts w:hint="default" w:ascii="Times New Roman" w:hAnsi="Times New Roman" w:eastAsia="仿宋_GB2312" w:cs="Times New Roman"/>
                <w:color w:val="auto"/>
                <w:highlight w:val="none"/>
                <w:lang w:val="en-US" w:eastAsia="zh-CN"/>
              </w:rPr>
              <w:t>m³</w:t>
            </w:r>
            <w:r>
              <w:rPr>
                <w:rFonts w:hint="eastAsia" w:ascii="Times New Roman" w:hAnsi="Times New Roman" w:eastAsia="仿宋_GB2312" w:cs="Times New Roman"/>
                <w:color w:val="auto"/>
                <w:highlight w:val="none"/>
                <w:lang w:val="en-US" w:eastAsia="zh-CN"/>
              </w:rPr>
              <w:t>；大湾乡分拣车间场地清洁、设备清洗用水取</w:t>
            </w:r>
            <w:r>
              <w:rPr>
                <w:rFonts w:hint="default" w:ascii="Times New Roman" w:hAnsi="Times New Roman" w:eastAsia="仿宋_GB2312" w:cs="Times New Roman"/>
                <w:color w:val="auto"/>
                <w:highlight w:val="none"/>
                <w:lang w:val="en-US" w:eastAsia="zh-CN"/>
              </w:rPr>
              <w:t>7m³</w:t>
            </w:r>
            <w:r>
              <w:rPr>
                <w:rFonts w:hint="eastAsia" w:ascii="Times New Roman" w:hAnsi="Times New Roman" w:eastAsia="仿宋_GB2312" w:cs="Times New Roman"/>
                <w:color w:val="auto"/>
                <w:highlight w:val="none"/>
                <w:lang w:val="en-US" w:eastAsia="zh-CN"/>
              </w:rPr>
              <w:t>。</w:t>
            </w:r>
          </w:p>
          <w:p w14:paraId="2C35F6FE">
            <w:pPr>
              <w:pStyle w:val="114"/>
              <w:spacing w:line="360" w:lineRule="auto"/>
              <w:rPr>
                <w:rFonts w:hint="eastAsia"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灌溉用水：</w:t>
            </w:r>
          </w:p>
          <w:p w14:paraId="4D3502EE">
            <w:pPr>
              <w:pStyle w:val="114"/>
              <w:spacing w:line="360" w:lineRule="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用水主要为灌溉用水，本项目用水主要为树苗及中药材滴灌用水，项目</w:t>
            </w:r>
            <w:r>
              <w:rPr>
                <w:rFonts w:hint="eastAsia" w:ascii="Times New Roman" w:hAnsi="Times New Roman" w:eastAsia="仿宋_GB2312" w:cs="Times New Roman"/>
                <w:color w:val="auto"/>
                <w:highlight w:val="none"/>
                <w:shd w:val="clear"/>
                <w:lang w:val="en-US" w:eastAsia="zh-CN"/>
              </w:rPr>
              <w:t>灌溉</w:t>
            </w:r>
            <w:r>
              <w:rPr>
                <w:rFonts w:hint="default" w:ascii="Times New Roman" w:hAnsi="Times New Roman" w:eastAsia="仿宋_GB2312" w:cs="Times New Roman"/>
                <w:color w:val="auto"/>
                <w:highlight w:val="none"/>
                <w:shd w:val="clear"/>
                <w:lang w:val="en-US" w:eastAsia="zh-CN"/>
              </w:rPr>
              <w:t>面积1100亩（733333.37m</w:t>
            </w:r>
            <w:r>
              <w:rPr>
                <w:rFonts w:hint="default" w:ascii="Times New Roman" w:hAnsi="Times New Roman" w:eastAsia="仿宋_GB2312" w:cs="Times New Roman"/>
                <w:color w:val="auto"/>
                <w:highlight w:val="none"/>
                <w:shd w:val="clear"/>
                <w:vertAlign w:val="superscript"/>
                <w:lang w:val="en-US" w:eastAsia="zh-CN"/>
              </w:rPr>
              <w:t>2</w:t>
            </w:r>
            <w:r>
              <w:rPr>
                <w:rFonts w:hint="default" w:ascii="Times New Roman" w:hAnsi="Times New Roman" w:eastAsia="仿宋_GB2312" w:cs="Times New Roman"/>
                <w:color w:val="auto"/>
                <w:highlight w:val="none"/>
                <w:shd w:val="clear"/>
                <w:lang w:val="en-US" w:eastAsia="zh-CN"/>
              </w:rPr>
              <w:t>）</w:t>
            </w:r>
            <w:r>
              <w:rPr>
                <w:rFonts w:hint="eastAsia" w:ascii="Times New Roman" w:hAnsi="Times New Roman" w:eastAsia="仿宋_GB2312" w:cs="Times New Roman"/>
                <w:color w:val="auto"/>
                <w:highlight w:val="none"/>
                <w:shd w:val="clear"/>
                <w:lang w:val="en-US" w:eastAsia="zh-CN"/>
              </w:rPr>
              <w:t>。</w:t>
            </w:r>
            <w:r>
              <w:rPr>
                <w:rFonts w:hint="default" w:ascii="Times New Roman" w:hAnsi="Times New Roman" w:eastAsia="仿宋_GB2312" w:cs="Times New Roman"/>
                <w:color w:val="auto"/>
                <w:highlight w:val="none"/>
                <w:lang w:val="en-US" w:eastAsia="zh-CN"/>
              </w:rPr>
              <w:t>根据灌水定额、灌水周期及宁夏乔木生长规律、气候特征和需水分配周期，结合地方种植经验，同时依据《自治区人民政府办公厅关于印发宁夏回族自治区有关行业用水定额（修订）的通知》（宁政办规发</w:t>
            </w:r>
            <w:r>
              <w:rPr>
                <w:rFonts w:hint="eastAsia" w:ascii="Times New Roman" w:hAnsi="Times New Roman" w:eastAsia="仿宋_GB2312" w:cs="Times New Roman"/>
                <w:color w:val="auto"/>
                <w:highlight w:val="none"/>
                <w:lang w:val="en-US" w:eastAsia="zh-CN"/>
              </w:rPr>
              <w:t>〔2020〕20号</w:t>
            </w:r>
            <w:r>
              <w:rPr>
                <w:rFonts w:hint="default" w:ascii="Times New Roman" w:hAnsi="Times New Roman" w:eastAsia="仿宋_GB2312" w:cs="Times New Roman"/>
                <w:color w:val="auto"/>
                <w:highlight w:val="none"/>
                <w:lang w:val="en-US" w:eastAsia="zh-CN"/>
              </w:rPr>
              <w:t>），项目用水参照防护林滴灌用水定额，</w:t>
            </w:r>
            <w:r>
              <w:rPr>
                <w:rFonts w:hint="eastAsia" w:ascii="Times New Roman" w:hAnsi="Times New Roman" w:eastAsia="仿宋_GB2312" w:cs="Times New Roman"/>
                <w:color w:val="auto"/>
                <w:highlight w:val="none"/>
                <w:lang w:val="en-US" w:eastAsia="zh-CN"/>
              </w:rPr>
              <w:t>柴胡、黄芪畦灌</w:t>
            </w:r>
            <w:r>
              <w:rPr>
                <w:rFonts w:hint="default" w:ascii="Times New Roman" w:hAnsi="Times New Roman" w:eastAsia="仿宋_GB2312" w:cs="Times New Roman"/>
                <w:color w:val="auto"/>
                <w:highlight w:val="none"/>
                <w:lang w:val="en-US" w:eastAsia="zh-CN"/>
              </w:rPr>
              <w:t>用水定额为1</w:t>
            </w:r>
            <w:r>
              <w:rPr>
                <w:rFonts w:hint="eastAsia"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eastAsia="zh-CN"/>
              </w:rPr>
              <w:t>0m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/亩，项目年滴灌需水量为</w:t>
            </w:r>
            <w:r>
              <w:rPr>
                <w:rFonts w:hint="eastAsia" w:ascii="Times New Roman" w:hAnsi="Times New Roman" w:eastAsia="仿宋_GB2312" w:cs="Times New Roman"/>
                <w:color w:val="auto"/>
                <w:highlight w:val="none"/>
                <w:lang w:val="en-US" w:eastAsia="zh-CN"/>
              </w:rPr>
              <w:t>13.2</w:t>
            </w:r>
            <w:r>
              <w:rPr>
                <w:rFonts w:hint="default" w:ascii="Times New Roman" w:hAnsi="Times New Roman" w:eastAsia="仿宋_GB2312" w:cs="Times New Roman"/>
                <w:color w:val="auto"/>
                <w:highlight w:val="none"/>
                <w:lang w:val="en-US" w:eastAsia="zh-CN"/>
              </w:rPr>
              <w:t>万m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/a。</w:t>
            </w:r>
            <w:r>
              <w:rPr>
                <w:rFonts w:hint="eastAsia" w:ascii="Times New Roman" w:hAnsi="Times New Roman" w:eastAsia="仿宋_GB2312" w:cs="Times New Roman"/>
                <w:color w:val="auto"/>
                <w:highlight w:val="none"/>
                <w:lang w:val="en-US" w:eastAsia="zh-CN"/>
              </w:rPr>
              <w:t>滴灌</w:t>
            </w:r>
            <w:r>
              <w:rPr>
                <w:rFonts w:hint="default" w:ascii="Times New Roman" w:hAnsi="Times New Roman" w:eastAsia="仿宋_GB2312" w:cs="Times New Roman"/>
                <w:color w:val="auto"/>
                <w:highlight w:val="none"/>
                <w:lang w:val="en-US" w:eastAsia="zh-CN"/>
              </w:rPr>
              <w:t>水源由利用现状河流新建1000m³蓄水池作为水源，通过泵房接至田间实施灌溉</w:t>
            </w:r>
            <w:r>
              <w:rPr>
                <w:rFonts w:hint="eastAsia"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布置1100亩耕地种植中药材供给。</w:t>
            </w:r>
          </w:p>
          <w:p w14:paraId="7EDE2566">
            <w:pPr>
              <w:pStyle w:val="114"/>
              <w:spacing w:line="360" w:lineRule="auto"/>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实验用水</w:t>
            </w:r>
            <w:r>
              <w:rPr>
                <w:rFonts w:hint="eastAsia" w:ascii="Times New Roman" w:hAnsi="Times New Roman" w:eastAsia="仿宋_GB2312" w:cs="Times New Roman"/>
                <w:b/>
                <w:bCs/>
                <w:color w:val="auto"/>
                <w:highlight w:val="none"/>
                <w:lang w:val="en-US" w:eastAsia="zh-CN"/>
              </w:rPr>
              <w:t>：</w:t>
            </w:r>
          </w:p>
          <w:p w14:paraId="25644B07">
            <w:pPr>
              <w:pStyle w:val="114"/>
              <w:spacing w:line="360" w:lineRule="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①中药</w:t>
            </w:r>
            <w:bookmarkStart w:id="1" w:name="OLE_LINK3"/>
            <w:r>
              <w:rPr>
                <w:rFonts w:hint="default" w:ascii="Times New Roman" w:hAnsi="Times New Roman" w:eastAsia="仿宋_GB2312" w:cs="Times New Roman"/>
                <w:color w:val="auto"/>
                <w:highlight w:val="none"/>
                <w:lang w:val="en-US" w:eastAsia="zh-CN"/>
              </w:rPr>
              <w:t>药材洗润、浸泡、蒸煮用水</w:t>
            </w:r>
            <w:bookmarkEnd w:id="1"/>
          </w:p>
          <w:p w14:paraId="1DEC9D1F">
            <w:pPr>
              <w:pStyle w:val="114"/>
              <w:spacing w:line="360" w:lineRule="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本次评价参照生态环境部发布的《排放源统计调查产排污核算方法和系数手册》（2730中药饮片加工业）的产污系数（规模&lt;200吨-中药饮片/年），工业废水量2.17t/t-产品，主要用于药材的洗润、浸泡、蒸煮等。根据建设单位提供的资料，本项目中药药材年使用量约900kg，则中药药材洗润、浸泡、蒸煮年排放水量约1.95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/a</w:t>
            </w:r>
            <w:r>
              <w:rPr>
                <w:rFonts w:hint="eastAsia"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0.01m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/d</w:t>
            </w:r>
            <w:r>
              <w:rPr>
                <w:rFonts w:hint="eastAsia"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。考虑药材洗润、浸泡、蒸煮过程中要吸收损耗一部分水，排水量约占用水量的80%，则</w:t>
            </w:r>
            <w:r>
              <w:rPr>
                <w:rFonts w:hint="eastAsia" w:ascii="Times New Roman" w:hAnsi="Times New Roman" w:eastAsia="仿宋_GB2312" w:cs="Times New Roman"/>
                <w:color w:val="auto"/>
                <w:highlight w:val="none"/>
                <w:lang w:val="en-US" w:eastAsia="zh-CN"/>
              </w:rPr>
              <w:t>排水</w:t>
            </w:r>
            <w:r>
              <w:rPr>
                <w:rFonts w:hint="default" w:ascii="Times New Roman" w:hAnsi="Times New Roman" w:eastAsia="仿宋_GB2312" w:cs="Times New Roman"/>
                <w:color w:val="auto"/>
                <w:highlight w:val="none"/>
                <w:lang w:val="en-US" w:eastAsia="zh-CN"/>
              </w:rPr>
              <w:t>量为</w:t>
            </w:r>
            <w:r>
              <w:rPr>
                <w:rFonts w:hint="eastAsia" w:ascii="Times New Roman" w:hAnsi="Times New Roman" w:eastAsia="仿宋_GB2312" w:cs="Times New Roman"/>
                <w:color w:val="auto"/>
                <w:highlight w:val="none"/>
                <w:lang w:val="en-US" w:eastAsia="zh-CN"/>
              </w:rPr>
              <w:t>1.56</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/a（约0.0</w:t>
            </w:r>
            <w:r>
              <w:rPr>
                <w:rFonts w:hint="eastAsia" w:ascii="Times New Roman" w:hAnsi="Times New Roman" w:eastAsia="仿宋_GB2312" w:cs="Times New Roman"/>
                <w:color w:val="auto"/>
                <w:highlight w:val="none"/>
                <w:lang w:val="en-US" w:eastAsia="zh-CN"/>
              </w:rPr>
              <w:t>078</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/d）。</w:t>
            </w:r>
          </w:p>
          <w:p w14:paraId="2CDA8A65">
            <w:pPr>
              <w:pStyle w:val="114"/>
              <w:spacing w:line="360" w:lineRule="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②器皿清洗用水</w:t>
            </w:r>
          </w:p>
          <w:p w14:paraId="057F2B2F">
            <w:pPr>
              <w:pStyle w:val="114"/>
              <w:spacing w:line="360" w:lineRule="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项目器皿清洗水用水主要为实验检测器皿清洗，根据建设单位提供的资料，年用量约</w:t>
            </w:r>
            <w:r>
              <w:rPr>
                <w:rFonts w:hint="eastAsia" w:ascii="Times New Roman" w:hAnsi="Times New Roman" w:eastAsia="仿宋_GB2312" w:cs="Times New Roman"/>
                <w:color w:val="auto"/>
                <w:highlight w:val="none"/>
                <w:lang w:val="en-US" w:eastAsia="zh-CN"/>
              </w:rPr>
              <w:t>40</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/a，</w:t>
            </w:r>
            <w:r>
              <w:rPr>
                <w:rFonts w:hint="eastAsia" w:ascii="Times New Roman" w:hAnsi="Times New Roman" w:eastAsia="仿宋_GB2312" w:cs="Times New Roman"/>
                <w:color w:val="auto"/>
                <w:highlight w:val="none"/>
                <w:lang w:val="en-US" w:eastAsia="zh-CN"/>
              </w:rPr>
              <w:t>0.2</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/d。污水产生系数按照90%计，则器皿清洗废水产生量为</w:t>
            </w:r>
            <w:r>
              <w:rPr>
                <w:rFonts w:hint="eastAsia" w:ascii="Times New Roman" w:hAnsi="Times New Roman" w:eastAsia="仿宋_GB2312" w:cs="Times New Roman"/>
                <w:color w:val="auto"/>
                <w:highlight w:val="none"/>
                <w:lang w:val="en-US" w:eastAsia="zh-CN"/>
              </w:rPr>
              <w:t>36</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/a，</w:t>
            </w:r>
            <w:r>
              <w:rPr>
                <w:rFonts w:hint="eastAsia" w:ascii="Times New Roman" w:hAnsi="Times New Roman" w:eastAsia="仿宋_GB2312" w:cs="Times New Roman"/>
                <w:color w:val="auto"/>
                <w:highlight w:val="none"/>
                <w:lang w:val="en-US" w:eastAsia="zh-CN"/>
              </w:rPr>
              <w:t>0.18</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/d。</w:t>
            </w:r>
          </w:p>
          <w:p w14:paraId="10AB1C06">
            <w:pPr>
              <w:pStyle w:val="114"/>
              <w:spacing w:line="360" w:lineRule="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③设备清洗用水</w:t>
            </w:r>
          </w:p>
          <w:p w14:paraId="42A6F4E3">
            <w:pPr>
              <w:pStyle w:val="114"/>
              <w:spacing w:line="360" w:lineRule="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项目部分设备如粉碎机，蒸发仪等，需定期清洗，根据建设单位提供资料，年清洗约40次，用水量约10L/次，因此设备清洗用水量为</w:t>
            </w:r>
            <w:r>
              <w:rPr>
                <w:rFonts w:hint="eastAsia" w:ascii="Times New Roman" w:hAnsi="Times New Roman" w:eastAsia="仿宋_GB2312" w:cs="Times New Roman"/>
                <w:color w:val="auto"/>
                <w:highlight w:val="none"/>
                <w:lang w:val="en-US" w:eastAsia="zh-CN"/>
              </w:rPr>
              <w:t>40</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/a，0.</w:t>
            </w:r>
            <w:r>
              <w:rPr>
                <w:rFonts w:hint="eastAsia"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/d。污水产生系数按照90%计，则设备清洗废水产生量为</w:t>
            </w:r>
            <w:r>
              <w:rPr>
                <w:rFonts w:hint="eastAsia" w:ascii="Times New Roman" w:hAnsi="Times New Roman" w:eastAsia="仿宋_GB2312" w:cs="Times New Roman"/>
                <w:color w:val="auto"/>
                <w:highlight w:val="none"/>
                <w:lang w:val="en-US" w:eastAsia="zh-CN"/>
              </w:rPr>
              <w:t>36</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/a，</w:t>
            </w:r>
            <w:r>
              <w:rPr>
                <w:rFonts w:hint="eastAsia" w:ascii="Times New Roman" w:hAnsi="Times New Roman" w:eastAsia="仿宋_GB2312" w:cs="Times New Roman"/>
                <w:color w:val="auto"/>
                <w:highlight w:val="none"/>
                <w:lang w:val="en-US" w:eastAsia="zh-CN"/>
              </w:rPr>
              <w:t>0.18</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/d。</w:t>
            </w:r>
          </w:p>
          <w:p w14:paraId="2F47D6D1">
            <w:pPr>
              <w:pStyle w:val="114"/>
              <w:spacing w:line="360" w:lineRule="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④实验平台及地面清洗用水</w:t>
            </w:r>
          </w:p>
          <w:p w14:paraId="56011AC1">
            <w:pPr>
              <w:pStyle w:val="114"/>
              <w:spacing w:line="360" w:lineRule="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实验平台及地面约每天清洗一次，用水量约0.2m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w:t>
            </w:r>
            <w:r>
              <w:rPr>
                <w:rFonts w:hint="eastAsia" w:ascii="Times New Roman" w:hAnsi="Times New Roman" w:eastAsia="仿宋_GB2312" w:cs="Times New Roman"/>
                <w:color w:val="auto"/>
                <w:highlight w:val="none"/>
                <w:lang w:val="en-US" w:eastAsia="zh-CN"/>
              </w:rPr>
              <w:t>d</w:t>
            </w:r>
            <w:r>
              <w:rPr>
                <w:rFonts w:hint="default" w:ascii="Times New Roman" w:hAnsi="Times New Roman" w:eastAsia="仿宋_GB2312" w:cs="Times New Roman"/>
                <w:color w:val="auto"/>
                <w:highlight w:val="none"/>
                <w:lang w:val="en-US" w:eastAsia="zh-CN"/>
              </w:rPr>
              <w:t>（40m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/a），废水产生量按用水量的90%计算，</w:t>
            </w:r>
            <w:r>
              <w:rPr>
                <w:rFonts w:hint="eastAsia" w:ascii="Times New Roman" w:hAnsi="Times New Roman" w:eastAsia="仿宋_GB2312" w:cs="Times New Roman"/>
                <w:color w:val="auto"/>
                <w:highlight w:val="none"/>
                <w:lang w:val="en-US" w:eastAsia="zh-CN"/>
              </w:rPr>
              <w:t>排水</w:t>
            </w:r>
            <w:r>
              <w:rPr>
                <w:rFonts w:hint="default" w:ascii="Times New Roman" w:hAnsi="Times New Roman" w:eastAsia="仿宋_GB2312" w:cs="Times New Roman"/>
                <w:color w:val="auto"/>
                <w:highlight w:val="none"/>
                <w:lang w:val="en-US" w:eastAsia="zh-CN"/>
              </w:rPr>
              <w:t>量约为0.18m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w:t>
            </w:r>
            <w:r>
              <w:rPr>
                <w:rFonts w:hint="eastAsia" w:ascii="Times New Roman" w:hAnsi="Times New Roman" w:eastAsia="仿宋_GB2312" w:cs="Times New Roman"/>
                <w:color w:val="auto"/>
                <w:highlight w:val="none"/>
                <w:lang w:val="en-US" w:eastAsia="zh-CN"/>
              </w:rPr>
              <w:t>d</w:t>
            </w:r>
            <w:r>
              <w:rPr>
                <w:rFonts w:hint="default" w:ascii="Times New Roman" w:hAnsi="Times New Roman" w:eastAsia="仿宋_GB2312" w:cs="Times New Roman"/>
                <w:color w:val="auto"/>
                <w:highlight w:val="none"/>
                <w:lang w:val="en-US" w:eastAsia="zh-CN"/>
              </w:rPr>
              <w:t>，36m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/a。</w:t>
            </w:r>
          </w:p>
          <w:p w14:paraId="54703211">
            <w:pPr>
              <w:pStyle w:val="114"/>
              <w:spacing w:line="360" w:lineRule="auto"/>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3</w:t>
            </w:r>
            <w:r>
              <w:rPr>
                <w:rFonts w:hint="eastAsia" w:ascii="Times New Roman" w:hAnsi="Times New Roman" w:eastAsia="仿宋_GB2312" w:cs="Times New Roman"/>
                <w:color w:val="auto"/>
                <w:highlight w:val="none"/>
                <w:lang w:val="en-US" w:eastAsia="zh-CN"/>
              </w:rPr>
              <w:t>）消防用水：根据《消防给水及消火栓系统技术规范》（</w:t>
            </w:r>
            <w:r>
              <w:rPr>
                <w:rFonts w:hint="default" w:ascii="Times New Roman" w:hAnsi="Times New Roman" w:eastAsia="仿宋_GB2312" w:cs="Times New Roman"/>
                <w:color w:val="auto"/>
                <w:highlight w:val="none"/>
                <w:lang w:val="en-US" w:eastAsia="zh-CN"/>
              </w:rPr>
              <w:t>GB50974-2014</w:t>
            </w:r>
            <w:r>
              <w:rPr>
                <w:rFonts w:hint="eastAsia" w:ascii="Times New Roman" w:hAnsi="Times New Roman" w:eastAsia="仿宋_GB2312" w:cs="Times New Roman"/>
                <w:color w:val="auto"/>
                <w:highlight w:val="none"/>
                <w:lang w:val="en-US" w:eastAsia="zh-CN"/>
              </w:rPr>
              <w:t>），丙类厂房（仓库）室外消火栓用水量按建筑体积确定：体积≤</w:t>
            </w:r>
            <w:r>
              <w:rPr>
                <w:rFonts w:hint="default" w:ascii="Times New Roman" w:hAnsi="Times New Roman" w:eastAsia="仿宋_GB2312" w:cs="Times New Roman"/>
                <w:color w:val="auto"/>
                <w:highlight w:val="none"/>
                <w:lang w:val="en-US" w:eastAsia="zh-CN"/>
              </w:rPr>
              <w:t>5000m³</w:t>
            </w:r>
            <w:r>
              <w:rPr>
                <w:rFonts w:hint="eastAsia" w:ascii="Times New Roman" w:hAnsi="Times New Roman" w:eastAsia="仿宋_GB2312" w:cs="Times New Roman"/>
                <w:color w:val="auto"/>
                <w:highlight w:val="none"/>
                <w:lang w:val="en-US" w:eastAsia="zh-CN"/>
              </w:rPr>
              <w:t>时取</w:t>
            </w:r>
            <w:r>
              <w:rPr>
                <w:rFonts w:hint="default" w:ascii="Times New Roman" w:hAnsi="Times New Roman" w:eastAsia="仿宋_GB2312" w:cs="Times New Roman"/>
                <w:color w:val="auto"/>
                <w:highlight w:val="none"/>
                <w:lang w:val="en-US" w:eastAsia="zh-CN"/>
              </w:rPr>
              <w:t>20L/s</w:t>
            </w:r>
            <w:r>
              <w:rPr>
                <w:rFonts w:hint="eastAsia" w:ascii="Times New Roman" w:hAnsi="Times New Roman" w:eastAsia="仿宋_GB2312" w:cs="Times New Roman"/>
                <w:color w:val="auto"/>
                <w:highlight w:val="none"/>
                <w:lang w:val="en-US" w:eastAsia="zh-CN"/>
              </w:rPr>
              <w:t>，体积</w:t>
            </w:r>
            <w:r>
              <w:rPr>
                <w:rFonts w:hint="default" w:ascii="Times New Roman" w:hAnsi="Times New Roman" w:eastAsia="仿宋_GB2312" w:cs="Times New Roman"/>
                <w:color w:val="auto"/>
                <w:highlight w:val="none"/>
                <w:lang w:val="en-US" w:eastAsia="zh-CN"/>
              </w:rPr>
              <w:t>&gt;5000m³</w:t>
            </w:r>
            <w:r>
              <w:rPr>
                <w:rFonts w:hint="eastAsia" w:ascii="Times New Roman" w:hAnsi="Times New Roman" w:eastAsia="仿宋_GB2312" w:cs="Times New Roman"/>
                <w:color w:val="auto"/>
                <w:highlight w:val="none"/>
                <w:lang w:val="en-US" w:eastAsia="zh-CN"/>
              </w:rPr>
              <w:t>时取</w:t>
            </w:r>
            <w:r>
              <w:rPr>
                <w:rFonts w:hint="default" w:ascii="Times New Roman" w:hAnsi="Times New Roman" w:eastAsia="仿宋_GB2312" w:cs="Times New Roman"/>
                <w:color w:val="auto"/>
                <w:highlight w:val="none"/>
                <w:lang w:val="en-US" w:eastAsia="zh-CN"/>
              </w:rPr>
              <w:t>25L/s</w:t>
            </w:r>
            <w:r>
              <w:rPr>
                <w:rFonts w:hint="eastAsia" w:ascii="Times New Roman" w:hAnsi="Times New Roman" w:eastAsia="仿宋_GB2312" w:cs="Times New Roman"/>
                <w:color w:val="auto"/>
                <w:highlight w:val="none"/>
                <w:lang w:val="en-US" w:eastAsia="zh-CN"/>
              </w:rPr>
              <w:t>，火灾延续时间按</w:t>
            </w:r>
            <w:r>
              <w:rPr>
                <w:rFonts w:hint="default" w:ascii="Times New Roman" w:hAnsi="Times New Roman" w:eastAsia="仿宋_GB2312" w:cs="Times New Roman"/>
                <w:color w:val="auto"/>
                <w:highlight w:val="none"/>
                <w:lang w:val="en-US" w:eastAsia="zh-CN"/>
              </w:rPr>
              <w:t>2h</w:t>
            </w:r>
            <w:r>
              <w:rPr>
                <w:rFonts w:hint="eastAsia" w:ascii="Times New Roman" w:hAnsi="Times New Roman" w:eastAsia="仿宋_GB2312" w:cs="Times New Roman"/>
                <w:color w:val="auto"/>
                <w:highlight w:val="none"/>
                <w:lang w:val="en-US" w:eastAsia="zh-CN"/>
              </w:rPr>
              <w:t>计。其中中药材储存仓库（体积</w:t>
            </w:r>
            <w:r>
              <w:rPr>
                <w:rFonts w:hint="default" w:ascii="Times New Roman" w:hAnsi="Times New Roman" w:eastAsia="仿宋_GB2312" w:cs="Times New Roman"/>
                <w:color w:val="auto"/>
                <w:highlight w:val="none"/>
                <w:lang w:val="en-US" w:eastAsia="zh-CN"/>
              </w:rPr>
              <w:t>8200m³</w:t>
            </w:r>
            <w:r>
              <w:rPr>
                <w:rFonts w:hint="eastAsia" w:ascii="Times New Roman" w:hAnsi="Times New Roman" w:eastAsia="仿宋_GB2312" w:cs="Times New Roman"/>
                <w:color w:val="auto"/>
                <w:highlight w:val="none"/>
                <w:lang w:val="en-US" w:eastAsia="zh-CN"/>
              </w:rPr>
              <w:t>）、六盘山镇成品库（体积</w:t>
            </w:r>
            <w:r>
              <w:rPr>
                <w:rFonts w:hint="default" w:ascii="Times New Roman" w:hAnsi="Times New Roman" w:eastAsia="仿宋_GB2312" w:cs="Times New Roman"/>
                <w:color w:val="auto"/>
                <w:highlight w:val="none"/>
                <w:lang w:val="en-US" w:eastAsia="zh-CN"/>
              </w:rPr>
              <w:t>6100m³</w:t>
            </w:r>
            <w:r>
              <w:rPr>
                <w:rFonts w:hint="eastAsia" w:ascii="Times New Roman" w:hAnsi="Times New Roman" w:eastAsia="仿宋_GB2312" w:cs="Times New Roman"/>
                <w:color w:val="auto"/>
                <w:highlight w:val="none"/>
                <w:lang w:val="en-US" w:eastAsia="zh-CN"/>
              </w:rPr>
              <w:t>）室外消火栓用水量为</w:t>
            </w:r>
            <w:r>
              <w:rPr>
                <w:rFonts w:hint="default" w:ascii="Times New Roman" w:hAnsi="Times New Roman" w:eastAsia="仿宋_GB2312" w:cs="Times New Roman"/>
                <w:color w:val="auto"/>
                <w:highlight w:val="none"/>
                <w:lang w:val="en-US" w:eastAsia="zh-CN"/>
              </w:rPr>
              <w:t>25L/s</w:t>
            </w:r>
            <w:r>
              <w:rPr>
                <w:rFonts w:hint="eastAsia" w:ascii="Times New Roman" w:hAnsi="Times New Roman" w:eastAsia="仿宋_GB2312" w:cs="Times New Roman"/>
                <w:color w:val="auto"/>
                <w:highlight w:val="none"/>
                <w:lang w:val="en-US" w:eastAsia="zh-CN"/>
              </w:rPr>
              <w:t>，单次火灾用水量为</w:t>
            </w:r>
            <w:r>
              <w:rPr>
                <w:rFonts w:hint="default" w:ascii="Times New Roman" w:hAnsi="Times New Roman" w:eastAsia="仿宋_GB2312" w:cs="Times New Roman"/>
                <w:color w:val="auto"/>
                <w:highlight w:val="none"/>
                <w:lang w:val="en-US" w:eastAsia="zh-CN"/>
              </w:rPr>
              <w:t>25</w:t>
            </w:r>
            <w:r>
              <w:rPr>
                <w:rFonts w:hint="eastAsia"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3600</w:t>
            </w:r>
            <w:r>
              <w:rPr>
                <w:rFonts w:hint="eastAsia"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2=180m³</w:t>
            </w:r>
            <w:r>
              <w:rPr>
                <w:rFonts w:hint="eastAsia" w:ascii="Times New Roman" w:hAnsi="Times New Roman" w:eastAsia="仿宋_GB2312" w:cs="Times New Roman"/>
                <w:color w:val="auto"/>
                <w:highlight w:val="none"/>
                <w:lang w:val="en-US" w:eastAsia="zh-CN"/>
              </w:rPr>
              <w:t>；其余单体室外消火栓用水量为</w:t>
            </w:r>
            <w:r>
              <w:rPr>
                <w:rFonts w:hint="default" w:ascii="Times New Roman" w:hAnsi="Times New Roman" w:eastAsia="仿宋_GB2312" w:cs="Times New Roman"/>
                <w:color w:val="auto"/>
                <w:highlight w:val="none"/>
                <w:lang w:val="en-US" w:eastAsia="zh-CN"/>
              </w:rPr>
              <w:t>20L/s</w:t>
            </w:r>
            <w:r>
              <w:rPr>
                <w:rFonts w:hint="eastAsia"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单次火灾用水量为 20</w:t>
            </w:r>
            <w:r>
              <w:rPr>
                <w:rFonts w:hint="eastAsia"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3600</w:t>
            </w:r>
            <w:r>
              <w:rPr>
                <w:rFonts w:hint="eastAsia"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2=144m³</w:t>
            </w:r>
            <w:r>
              <w:rPr>
                <w:rFonts w:hint="eastAsia" w:ascii="Times New Roman" w:hAnsi="Times New Roman" w:eastAsia="仿宋_GB2312" w:cs="Times New Roman"/>
                <w:color w:val="auto"/>
                <w:highlight w:val="none"/>
                <w:lang w:val="en-US" w:eastAsia="zh-CN"/>
              </w:rPr>
              <w:t>。消防用水按最大单次火灾用水量</w:t>
            </w:r>
            <w:r>
              <w:rPr>
                <w:rFonts w:hint="default" w:ascii="Times New Roman" w:hAnsi="Times New Roman" w:eastAsia="仿宋_GB2312" w:cs="Times New Roman"/>
                <w:color w:val="auto"/>
                <w:highlight w:val="none"/>
                <w:lang w:val="en-US" w:eastAsia="zh-CN"/>
              </w:rPr>
              <w:t>180m³</w:t>
            </w:r>
            <w:r>
              <w:rPr>
                <w:rFonts w:hint="eastAsia" w:ascii="Times New Roman" w:hAnsi="Times New Roman" w:eastAsia="仿宋_GB2312" w:cs="Times New Roman"/>
                <w:color w:val="auto"/>
                <w:highlight w:val="none"/>
                <w:lang w:val="en-US" w:eastAsia="zh-CN"/>
              </w:rPr>
              <w:t>计。</w:t>
            </w:r>
          </w:p>
          <w:p w14:paraId="770C60FE">
            <w:pPr>
              <w:pStyle w:val="114"/>
              <w:spacing w:line="360" w:lineRule="auto"/>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4</w:t>
            </w:r>
            <w:r>
              <w:rPr>
                <w:rFonts w:hint="eastAsia" w:ascii="Times New Roman" w:hAnsi="Times New Roman" w:eastAsia="仿宋_GB2312" w:cs="Times New Roman"/>
                <w:color w:val="auto"/>
                <w:highlight w:val="none"/>
                <w:lang w:val="en-US" w:eastAsia="zh-CN"/>
              </w:rPr>
              <w:t>）总用水量：非火灾工况下总用水量为生活用水</w:t>
            </w:r>
            <w:r>
              <w:rPr>
                <w:rFonts w:hint="default" w:ascii="Times New Roman" w:hAnsi="Times New Roman" w:eastAsia="仿宋_GB2312" w:cs="Times New Roman"/>
                <w:color w:val="auto"/>
                <w:highlight w:val="none"/>
                <w:lang w:val="en-US" w:eastAsia="zh-CN"/>
              </w:rPr>
              <w:t>+</w:t>
            </w:r>
            <w:r>
              <w:rPr>
                <w:rFonts w:hint="eastAsia" w:ascii="Times New Roman" w:hAnsi="Times New Roman" w:eastAsia="仿宋_GB2312" w:cs="Times New Roman"/>
                <w:color w:val="auto"/>
                <w:highlight w:val="none"/>
                <w:lang w:val="en-US" w:eastAsia="zh-CN"/>
              </w:rPr>
              <w:t>生产用水</w:t>
            </w:r>
            <w:r>
              <w:rPr>
                <w:rFonts w:hint="default" w:ascii="Times New Roman" w:hAnsi="Times New Roman" w:eastAsia="仿宋_GB2312" w:cs="Times New Roman"/>
                <w:color w:val="auto"/>
                <w:highlight w:val="none"/>
                <w:lang w:val="en-US" w:eastAsia="zh-CN"/>
              </w:rPr>
              <w:t>=32.8m³/d</w:t>
            </w:r>
            <w:r>
              <w:rPr>
                <w:rFonts w:hint="eastAsia" w:ascii="Times New Roman" w:hAnsi="Times New Roman" w:eastAsia="仿宋_GB2312" w:cs="Times New Roman"/>
                <w:color w:val="auto"/>
                <w:highlight w:val="none"/>
                <w:lang w:val="en-US" w:eastAsia="zh-CN"/>
              </w:rPr>
              <w:t>；火灾工况下总用水量为生活用水</w:t>
            </w:r>
            <w:r>
              <w:rPr>
                <w:rFonts w:hint="default" w:ascii="Times New Roman" w:hAnsi="Times New Roman" w:eastAsia="仿宋_GB2312" w:cs="Times New Roman"/>
                <w:color w:val="auto"/>
                <w:highlight w:val="none"/>
                <w:lang w:val="en-US" w:eastAsia="zh-CN"/>
              </w:rPr>
              <w:t>+</w:t>
            </w:r>
            <w:r>
              <w:rPr>
                <w:rFonts w:hint="eastAsia" w:ascii="Times New Roman" w:hAnsi="Times New Roman" w:eastAsia="仿宋_GB2312" w:cs="Times New Roman"/>
                <w:color w:val="auto"/>
                <w:highlight w:val="none"/>
                <w:lang w:val="en-US" w:eastAsia="zh-CN"/>
              </w:rPr>
              <w:t>生产用水</w:t>
            </w:r>
            <w:r>
              <w:rPr>
                <w:rFonts w:hint="default" w:ascii="Times New Roman" w:hAnsi="Times New Roman" w:eastAsia="仿宋_GB2312" w:cs="Times New Roman"/>
                <w:color w:val="auto"/>
                <w:highlight w:val="none"/>
                <w:lang w:val="en-US" w:eastAsia="zh-CN"/>
              </w:rPr>
              <w:t>+</w:t>
            </w:r>
            <w:r>
              <w:rPr>
                <w:rFonts w:hint="eastAsia" w:ascii="Times New Roman" w:hAnsi="Times New Roman" w:eastAsia="仿宋_GB2312" w:cs="Times New Roman"/>
                <w:color w:val="auto"/>
                <w:highlight w:val="none"/>
                <w:lang w:val="en-US" w:eastAsia="zh-CN"/>
              </w:rPr>
              <w:t>消防用水=</w:t>
            </w:r>
            <w:r>
              <w:rPr>
                <w:rFonts w:hint="default" w:ascii="Times New Roman" w:hAnsi="Times New Roman" w:eastAsia="仿宋_GB2312" w:cs="Times New Roman"/>
                <w:color w:val="auto"/>
                <w:highlight w:val="none"/>
                <w:lang w:val="en-US" w:eastAsia="zh-CN"/>
              </w:rPr>
              <w:t>212.8m³/d</w:t>
            </w:r>
            <w:r>
              <w:rPr>
                <w:rFonts w:hint="eastAsia" w:ascii="Times New Roman" w:hAnsi="Times New Roman" w:eastAsia="仿宋_GB2312" w:cs="Times New Roman"/>
                <w:color w:val="auto"/>
                <w:highlight w:val="none"/>
                <w:lang w:val="en-US" w:eastAsia="zh-CN"/>
              </w:rPr>
              <w:t>。</w:t>
            </w:r>
          </w:p>
          <w:p w14:paraId="5AD59ED5">
            <w:pPr>
              <w:pStyle w:val="114"/>
              <w:spacing w:line="360" w:lineRule="auto"/>
              <w:rPr>
                <w:rFonts w:hint="default" w:ascii="Times New Roman" w:hAnsi="Times New Roman" w:eastAsia="仿宋_GB2312" w:cs="Times New Roman"/>
                <w:b/>
                <w:bCs/>
                <w:color w:val="auto"/>
                <w:highlight w:val="none"/>
              </w:rPr>
            </w:pPr>
            <w:r>
              <w:rPr>
                <w:rFonts w:hint="default" w:ascii="Times New Roman" w:hAnsi="Times New Roman" w:eastAsia="仿宋_GB2312" w:cs="Times New Roman"/>
                <w:b/>
                <w:bCs/>
                <w:color w:val="auto"/>
                <w:highlight w:val="none"/>
              </w:rPr>
              <w:t>排水：</w:t>
            </w:r>
          </w:p>
          <w:p w14:paraId="113057B3">
            <w:pPr>
              <w:pStyle w:val="114"/>
              <w:spacing w:line="360" w:lineRule="auto"/>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项目废水主要为生活污水、生产废水（蜂蜜加工车间设备清洗、原料预处理废水，中药材分拣包装区域设备清洗废水，仓储地面清洗废水，检测中心实验废水，大湾乡分拣车间清洗废水）。</w:t>
            </w:r>
          </w:p>
          <w:p w14:paraId="6B5A8F70">
            <w:pPr>
              <w:pStyle w:val="114"/>
              <w:spacing w:line="360" w:lineRule="auto"/>
              <w:rPr>
                <w:rFonts w:hint="eastAsia"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生活污水产生量按80%计，产生量为</w:t>
            </w:r>
            <w:r>
              <w:rPr>
                <w:rFonts w:hint="eastAsia" w:ascii="Times New Roman" w:hAnsi="Times New Roman" w:eastAsia="仿宋_GB2312" w:cs="Times New Roman"/>
                <w:color w:val="auto"/>
                <w:highlight w:val="none"/>
                <w:lang w:val="en-US" w:eastAsia="zh-CN"/>
              </w:rPr>
              <w:t>448</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/a（</w:t>
            </w:r>
            <w:r>
              <w:rPr>
                <w:rFonts w:hint="eastAsia" w:ascii="Times New Roman" w:hAnsi="Times New Roman" w:eastAsia="仿宋_GB2312" w:cs="Times New Roman"/>
                <w:color w:val="auto"/>
                <w:highlight w:val="none"/>
                <w:lang w:val="en-US" w:eastAsia="zh-CN"/>
              </w:rPr>
              <w:t>2.24</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/d），生活污水排出室外后，排至新建化粪池</w:t>
            </w:r>
            <w:r>
              <w:rPr>
                <w:rFonts w:hint="eastAsia" w:ascii="Times New Roman" w:hAnsi="Times New Roman" w:eastAsia="仿宋_GB2312" w:cs="Times New Roman"/>
                <w:color w:val="auto"/>
                <w:highlight w:val="none"/>
                <w:lang w:val="en-US" w:eastAsia="zh-CN"/>
              </w:rPr>
              <w:t>（5m</w:t>
            </w:r>
            <w:r>
              <w:rPr>
                <w:rFonts w:hint="eastAsia" w:ascii="Times New Roman" w:hAnsi="Times New Roman" w:eastAsia="仿宋_GB2312" w:cs="Times New Roman"/>
                <w:color w:val="auto"/>
                <w:highlight w:val="none"/>
                <w:vertAlign w:val="superscript"/>
                <w:lang w:val="en-US" w:eastAsia="zh-CN"/>
              </w:rPr>
              <w:t>3</w:t>
            </w:r>
            <w:r>
              <w:rPr>
                <w:rFonts w:hint="eastAsia"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内，再</w:t>
            </w:r>
            <w:r>
              <w:rPr>
                <w:rFonts w:hint="eastAsia" w:ascii="Times New Roman" w:hAnsi="Times New Roman" w:eastAsia="仿宋_GB2312" w:cs="Times New Roman"/>
                <w:color w:val="auto"/>
                <w:highlight w:val="none"/>
                <w:lang w:val="en-US" w:eastAsia="zh-CN"/>
              </w:rPr>
              <w:t>排入</w:t>
            </w:r>
            <w:r>
              <w:rPr>
                <w:rFonts w:hint="default" w:ascii="Times New Roman" w:hAnsi="Times New Roman" w:eastAsia="仿宋_GB2312" w:cs="Times New Roman"/>
                <w:color w:val="auto"/>
                <w:highlight w:val="none"/>
                <w:lang w:val="en-US" w:eastAsia="zh-CN"/>
              </w:rPr>
              <w:t>市政污水管网</w:t>
            </w:r>
            <w:r>
              <w:rPr>
                <w:rFonts w:hint="eastAsia" w:ascii="Times New Roman" w:hAnsi="Times New Roman" w:eastAsia="仿宋_GB2312" w:cs="Times New Roman"/>
                <w:color w:val="auto"/>
                <w:highlight w:val="none"/>
                <w:lang w:val="en-US" w:eastAsia="zh-CN"/>
              </w:rPr>
              <w:t>。</w:t>
            </w:r>
          </w:p>
          <w:p w14:paraId="1B8D85EE">
            <w:pPr>
              <w:pStyle w:val="114"/>
              <w:spacing w:line="360" w:lineRule="auto"/>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生产废水（蜂蜜加工车间设备清洗、原料预处理废水，中药材分拣包装区域设备清洗废水，仓储地面清洗废水，检测中心实验废水，大湾乡分拣车间清洗废水）。生产废水产生量为25.749</w:t>
            </w:r>
            <w:r>
              <w:rPr>
                <w:rFonts w:hint="default" w:ascii="Times New Roman" w:hAnsi="Times New Roman" w:eastAsia="仿宋_GB2312" w:cs="Times New Roman"/>
                <w:color w:val="auto"/>
                <w:highlight w:val="none"/>
                <w:lang w:val="en-US" w:eastAsia="zh-CN"/>
              </w:rPr>
              <w:t>m</w:t>
            </w:r>
            <w:r>
              <w:rPr>
                <w:rFonts w:hint="default" w:ascii="Times New Roman" w:hAnsi="Times New Roman" w:eastAsia="仿宋_GB2312" w:cs="Times New Roman"/>
                <w:color w:val="auto"/>
                <w:highlight w:val="none"/>
                <w:vertAlign w:val="superscript"/>
                <w:lang w:val="en-US" w:eastAsia="zh-CN"/>
              </w:rPr>
              <w:t>3</w:t>
            </w:r>
            <w:r>
              <w:rPr>
                <w:rFonts w:hint="default" w:ascii="Times New Roman" w:hAnsi="Times New Roman" w:eastAsia="仿宋_GB2312" w:cs="Times New Roman"/>
                <w:color w:val="auto"/>
                <w:highlight w:val="none"/>
                <w:lang w:val="en-US" w:eastAsia="zh-CN"/>
              </w:rPr>
              <w:t>/d</w:t>
            </w:r>
            <w:r>
              <w:rPr>
                <w:rFonts w:hint="eastAsia" w:ascii="Times New Roman" w:hAnsi="Times New Roman" w:eastAsia="仿宋_GB2312" w:cs="Times New Roman"/>
                <w:color w:val="auto"/>
                <w:highlight w:val="none"/>
                <w:lang w:val="en-US" w:eastAsia="zh-CN"/>
              </w:rPr>
              <w:t>，经车间设三级沉淀池（总容积50m</w:t>
            </w:r>
            <w:r>
              <w:rPr>
                <w:rFonts w:hint="eastAsia" w:ascii="Times New Roman" w:hAnsi="Times New Roman" w:eastAsia="仿宋_GB2312" w:cs="Times New Roman"/>
                <w:color w:val="auto"/>
                <w:highlight w:val="none"/>
                <w:vertAlign w:val="superscript"/>
                <w:lang w:val="en-US" w:eastAsia="zh-CN"/>
              </w:rPr>
              <w:t>3</w:t>
            </w:r>
            <w:r>
              <w:rPr>
                <w:rFonts w:hint="eastAsia" w:ascii="Times New Roman" w:hAnsi="Times New Roman" w:eastAsia="仿宋_GB2312" w:cs="Times New Roman"/>
                <w:color w:val="auto"/>
                <w:highlight w:val="none"/>
                <w:lang w:val="en-US" w:eastAsia="zh-CN"/>
              </w:rPr>
              <w:t>），采用“格栅+气浮+生物接触氧化”工艺，处理后进入市政管网。</w:t>
            </w:r>
          </w:p>
          <w:p w14:paraId="2FCC5002">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eastAsia" w:eastAsia="仿宋_GB2312" w:cs="Times New Roman"/>
                <w:b/>
                <w:bCs w:val="0"/>
                <w:color w:val="auto"/>
                <w:sz w:val="24"/>
                <w:szCs w:val="24"/>
                <w:highlight w:val="none"/>
                <w:vertAlign w:val="baseline"/>
                <w:lang w:val="en-US" w:eastAsia="zh-CN"/>
              </w:rPr>
            </w:pPr>
            <w:r>
              <w:rPr>
                <w:rFonts w:hint="eastAsia" w:eastAsia="仿宋_GB2312" w:cs="Times New Roman"/>
                <w:b/>
                <w:bCs w:val="0"/>
                <w:color w:val="auto"/>
                <w:sz w:val="24"/>
                <w:szCs w:val="24"/>
                <w:highlight w:val="none"/>
                <w:vertAlign w:val="baseline"/>
                <w:lang w:val="en-US" w:eastAsia="zh-CN"/>
              </w:rPr>
              <w:t>4.主要生产设备、检查项目、检测能力和原材料消耗</w:t>
            </w:r>
          </w:p>
          <w:p w14:paraId="215C5EC7">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eastAsia="仿宋_GB2312" w:cs="Times New Roman"/>
                <w:b w:val="0"/>
                <w:bCs/>
                <w:color w:val="auto"/>
                <w:sz w:val="24"/>
                <w:szCs w:val="24"/>
                <w:highlight w:val="none"/>
                <w:vertAlign w:val="baseline"/>
                <w:lang w:val="en-US" w:eastAsia="zh-CN"/>
              </w:rPr>
            </w:pPr>
            <w:r>
              <w:rPr>
                <w:rFonts w:hint="eastAsia" w:eastAsia="仿宋_GB2312" w:cs="Times New Roman"/>
                <w:b w:val="0"/>
                <w:bCs/>
                <w:color w:val="auto"/>
                <w:sz w:val="24"/>
                <w:szCs w:val="24"/>
                <w:highlight w:val="none"/>
                <w:vertAlign w:val="baseline"/>
                <w:lang w:val="en-US" w:eastAsia="zh-CN"/>
              </w:rPr>
              <w:t>(1)主要生产设备</w:t>
            </w:r>
          </w:p>
          <w:p w14:paraId="294C49DA">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eastAsia="仿宋_GB2312" w:cs="Times New Roman"/>
                <w:b w:val="0"/>
                <w:bCs/>
                <w:color w:val="auto"/>
                <w:sz w:val="24"/>
                <w:szCs w:val="24"/>
                <w:highlight w:val="none"/>
                <w:vertAlign w:val="baseline"/>
                <w:lang w:val="en-US" w:eastAsia="zh-CN"/>
              </w:rPr>
            </w:pPr>
            <w:r>
              <w:rPr>
                <w:rFonts w:hint="eastAsia" w:eastAsia="仿宋_GB2312" w:cs="Times New Roman"/>
                <w:b w:val="0"/>
                <w:bCs/>
                <w:color w:val="auto"/>
                <w:sz w:val="24"/>
                <w:szCs w:val="24"/>
                <w:highlight w:val="none"/>
                <w:vertAlign w:val="baseline"/>
                <w:lang w:val="en-US" w:eastAsia="zh-CN"/>
              </w:rPr>
              <w:t>本项目主要设备见表5。</w:t>
            </w:r>
          </w:p>
          <w:p w14:paraId="59C118D9">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auto"/>
              <w:rPr>
                <w:rFonts w:hint="eastAsia" w:ascii="Times New Roman" w:hAnsi="Times New Roman" w:eastAsia="宋体" w:cs="Times New Roman"/>
                <w:b/>
                <w:bCs/>
                <w:color w:val="auto"/>
                <w:u w:val="none" w:color="auto"/>
                <w:vertAlign w:val="baseline"/>
                <w:lang w:eastAsia="zh-CN"/>
              </w:rPr>
            </w:pPr>
            <w:r>
              <w:rPr>
                <w:rFonts w:hint="default" w:ascii="Times New Roman" w:hAnsi="Times New Roman" w:eastAsia="宋体" w:cs="Times New Roman"/>
                <w:b/>
                <w:bCs/>
                <w:color w:val="auto"/>
                <w:szCs w:val="21"/>
                <w:u w:val="none" w:color="auto"/>
              </w:rPr>
              <w:t>表</w:t>
            </w:r>
            <w:r>
              <w:rPr>
                <w:rFonts w:hint="eastAsia" w:ascii="Times New Roman" w:cs="Times New Roman"/>
                <w:b/>
                <w:bCs/>
                <w:color w:val="auto"/>
                <w:szCs w:val="21"/>
                <w:u w:val="none" w:color="auto"/>
                <w:lang w:val="en-US" w:eastAsia="zh-CN"/>
              </w:rPr>
              <w:t>5</w:t>
            </w:r>
            <w:r>
              <w:rPr>
                <w:rFonts w:hint="default" w:ascii="Times New Roman" w:hAnsi="Times New Roman" w:eastAsia="宋体" w:cs="Times New Roman"/>
                <w:b/>
                <w:bCs/>
                <w:color w:val="auto"/>
                <w:szCs w:val="21"/>
                <w:u w:val="none" w:color="auto"/>
              </w:rPr>
              <w:t xml:space="preserve">  </w:t>
            </w:r>
            <w:r>
              <w:rPr>
                <w:rFonts w:hint="eastAsia" w:ascii="Times New Roman" w:cs="Times New Roman"/>
                <w:b/>
                <w:bCs/>
                <w:color w:val="auto"/>
                <w:szCs w:val="21"/>
                <w:u w:val="none" w:color="auto"/>
                <w:lang w:val="en-US" w:eastAsia="zh-CN"/>
              </w:rPr>
              <w:t xml:space="preserve">                        </w:t>
            </w:r>
            <w:r>
              <w:rPr>
                <w:rFonts w:hint="eastAsia" w:cs="Times New Roman"/>
                <w:b/>
                <w:bCs/>
                <w:color w:val="auto"/>
                <w:szCs w:val="24"/>
                <w:u w:val="none" w:color="auto"/>
                <w:lang w:eastAsia="zh-CN"/>
              </w:rPr>
              <w:t>检测</w:t>
            </w:r>
            <w:r>
              <w:rPr>
                <w:rFonts w:hint="eastAsia" w:cs="Times New Roman"/>
                <w:b/>
                <w:bCs/>
                <w:color w:val="auto"/>
                <w:szCs w:val="24"/>
                <w:u w:val="none" w:color="auto"/>
                <w:lang w:val="en-US" w:eastAsia="zh-CN"/>
              </w:rPr>
              <w:t>设备</w:t>
            </w:r>
            <w:r>
              <w:rPr>
                <w:rFonts w:hint="eastAsia" w:cs="Times New Roman"/>
                <w:b/>
                <w:bCs/>
                <w:color w:val="auto"/>
                <w:szCs w:val="24"/>
                <w:u w:val="none" w:color="auto"/>
                <w:lang w:eastAsia="zh-CN"/>
              </w:rPr>
              <w:t>一览表</w:t>
            </w:r>
          </w:p>
          <w:tbl>
            <w:tblPr>
              <w:tblStyle w:val="33"/>
              <w:tblW w:w="4995"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945"/>
              <w:gridCol w:w="2987"/>
              <w:gridCol w:w="3331"/>
              <w:gridCol w:w="1210"/>
            </w:tblGrid>
            <w:tr w14:paraId="530B31E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675D97F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编号</w:t>
                  </w:r>
                </w:p>
              </w:tc>
              <w:tc>
                <w:tcPr>
                  <w:tcW w:w="1762" w:type="pct"/>
                  <w:noWrap w:val="0"/>
                  <w:vAlign w:val="center"/>
                </w:tcPr>
                <w:p w14:paraId="151C7A8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设备名称</w:t>
                  </w:r>
                </w:p>
              </w:tc>
              <w:tc>
                <w:tcPr>
                  <w:tcW w:w="1965" w:type="pct"/>
                  <w:noWrap w:val="0"/>
                  <w:vAlign w:val="center"/>
                </w:tcPr>
                <w:p w14:paraId="0F02820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规格型号</w:t>
                  </w:r>
                </w:p>
              </w:tc>
              <w:tc>
                <w:tcPr>
                  <w:tcW w:w="714" w:type="pct"/>
                  <w:noWrap w:val="0"/>
                  <w:vAlign w:val="center"/>
                </w:tcPr>
                <w:p w14:paraId="2FE4A8C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数量</w:t>
                  </w:r>
                </w:p>
              </w:tc>
            </w:tr>
            <w:tr w14:paraId="2750453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000" w:type="pct"/>
                  <w:gridSpan w:val="4"/>
                  <w:noWrap w:val="0"/>
                  <w:vAlign w:val="center"/>
                </w:tcPr>
                <w:p w14:paraId="1560E23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eastAsia="宋体" w:cs="Times New Roman"/>
                      <w:b/>
                      <w:bCs/>
                      <w:color w:val="auto"/>
                      <w:sz w:val="21"/>
                      <w:szCs w:val="21"/>
                      <w:u w:val="none" w:color="auto"/>
                      <w:lang w:val="en-US" w:eastAsia="zh-CN"/>
                    </w:rPr>
                    <w:t>检测中心</w:t>
                  </w:r>
                </w:p>
              </w:tc>
            </w:tr>
            <w:tr w14:paraId="3C0084C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00A9D90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1762" w:type="pct"/>
                  <w:noWrap w:val="0"/>
                  <w:vAlign w:val="center"/>
                </w:tcPr>
                <w:p w14:paraId="79A9DAF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超声清洗器</w:t>
                  </w:r>
                </w:p>
              </w:tc>
              <w:tc>
                <w:tcPr>
                  <w:tcW w:w="1965" w:type="pct"/>
                  <w:noWrap w:val="0"/>
                  <w:vAlign w:val="center"/>
                </w:tcPr>
                <w:p w14:paraId="29F8A71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 xml:space="preserve"> DTA-27</w:t>
                  </w:r>
                </w:p>
              </w:tc>
              <w:tc>
                <w:tcPr>
                  <w:tcW w:w="714" w:type="pct"/>
                  <w:noWrap w:val="0"/>
                  <w:vAlign w:val="center"/>
                </w:tcPr>
                <w:p w14:paraId="66A910F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r>
                    <w:rPr>
                      <w:rFonts w:hint="default" w:ascii="Times New Roman" w:hAnsi="Times New Roman" w:eastAsia="宋体" w:cs="Times New Roman"/>
                      <w:color w:val="auto"/>
                      <w:sz w:val="21"/>
                      <w:szCs w:val="21"/>
                      <w:u w:val="none" w:color="auto"/>
                      <w:lang w:val="en-US" w:eastAsia="zh-CN"/>
                    </w:rPr>
                    <w:t>台</w:t>
                  </w:r>
                </w:p>
              </w:tc>
            </w:tr>
            <w:tr w14:paraId="6E74A8B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706D70C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w:t>
                  </w:r>
                </w:p>
              </w:tc>
              <w:tc>
                <w:tcPr>
                  <w:tcW w:w="1762" w:type="pct"/>
                  <w:noWrap w:val="0"/>
                  <w:vAlign w:val="center"/>
                </w:tcPr>
                <w:p w14:paraId="6B3C15FE">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color w:val="auto"/>
                      <w:sz w:val="21"/>
                      <w:szCs w:val="21"/>
                      <w:u w:val="none" w:color="auto"/>
                    </w:rPr>
                    <w:t>中药</w:t>
                  </w:r>
                  <w:r>
                    <w:rPr>
                      <w:rFonts w:hint="eastAsia"/>
                      <w:color w:val="auto"/>
                      <w:sz w:val="21"/>
                      <w:szCs w:val="21"/>
                      <w:u w:val="none" w:color="auto"/>
                      <w:lang w:eastAsia="zh-CN"/>
                    </w:rPr>
                    <w:t>材</w:t>
                  </w:r>
                  <w:r>
                    <w:rPr>
                      <w:color w:val="auto"/>
                      <w:sz w:val="21"/>
                      <w:szCs w:val="21"/>
                      <w:u w:val="none" w:color="auto"/>
                    </w:rPr>
                    <w:t>破碎机</w:t>
                  </w:r>
                </w:p>
              </w:tc>
              <w:tc>
                <w:tcPr>
                  <w:tcW w:w="1965" w:type="pct"/>
                  <w:noWrap w:val="0"/>
                  <w:vAlign w:val="center"/>
                </w:tcPr>
                <w:p w14:paraId="0AE305D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color w:val="auto"/>
                      <w:sz w:val="21"/>
                      <w:szCs w:val="21"/>
                      <w:u w:val="none" w:color="auto"/>
                    </w:rPr>
                    <w:t>PS-240</w:t>
                  </w:r>
                  <w:r>
                    <w:rPr>
                      <w:color w:val="auto"/>
                      <w:spacing w:val="-30"/>
                      <w:sz w:val="21"/>
                      <w:szCs w:val="21"/>
                      <w:u w:val="none" w:color="auto"/>
                    </w:rPr>
                    <w:t xml:space="preserve"> 型</w:t>
                  </w:r>
                </w:p>
              </w:tc>
              <w:tc>
                <w:tcPr>
                  <w:tcW w:w="714" w:type="pct"/>
                  <w:noWrap w:val="0"/>
                  <w:vAlign w:val="center"/>
                </w:tcPr>
                <w:p w14:paraId="60C9F275">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5台</w:t>
                  </w:r>
                </w:p>
              </w:tc>
            </w:tr>
            <w:tr w14:paraId="409C662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6AC4E6A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3</w:t>
                  </w:r>
                </w:p>
              </w:tc>
              <w:tc>
                <w:tcPr>
                  <w:tcW w:w="1762" w:type="pct"/>
                  <w:noWrap w:val="0"/>
                  <w:vAlign w:val="center"/>
                </w:tcPr>
                <w:p w14:paraId="5F90841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精密烘箱（自然对流方式）</w:t>
                  </w:r>
                </w:p>
              </w:tc>
              <w:tc>
                <w:tcPr>
                  <w:tcW w:w="1965" w:type="pct"/>
                  <w:noWrap w:val="0"/>
                  <w:vAlign w:val="center"/>
                </w:tcPr>
                <w:p w14:paraId="11612F4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ED240</w:t>
                  </w:r>
                </w:p>
              </w:tc>
              <w:tc>
                <w:tcPr>
                  <w:tcW w:w="714" w:type="pct"/>
                  <w:noWrap w:val="0"/>
                  <w:vAlign w:val="center"/>
                </w:tcPr>
                <w:p w14:paraId="5826E6AE">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3台</w:t>
                  </w:r>
                </w:p>
              </w:tc>
            </w:tr>
            <w:tr w14:paraId="1F270F2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5C102B8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w:t>
                  </w:r>
                </w:p>
              </w:tc>
              <w:tc>
                <w:tcPr>
                  <w:tcW w:w="1762" w:type="pct"/>
                  <w:noWrap w:val="0"/>
                  <w:vAlign w:val="center"/>
                </w:tcPr>
                <w:p w14:paraId="1977CF7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精密烘箱（强制对流方式）</w:t>
                  </w:r>
                </w:p>
              </w:tc>
              <w:tc>
                <w:tcPr>
                  <w:tcW w:w="1965" w:type="pct"/>
                  <w:noWrap w:val="0"/>
                  <w:vAlign w:val="center"/>
                </w:tcPr>
                <w:p w14:paraId="362F54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FD240</w:t>
                  </w:r>
                </w:p>
              </w:tc>
              <w:tc>
                <w:tcPr>
                  <w:tcW w:w="714" w:type="pct"/>
                  <w:noWrap w:val="0"/>
                  <w:vAlign w:val="center"/>
                </w:tcPr>
                <w:p w14:paraId="119A967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r>
                    <w:rPr>
                      <w:rFonts w:hint="default" w:ascii="Times New Roman" w:hAnsi="Times New Roman" w:eastAsia="宋体" w:cs="Times New Roman"/>
                      <w:color w:val="auto"/>
                      <w:sz w:val="21"/>
                      <w:szCs w:val="21"/>
                      <w:u w:val="none" w:color="auto"/>
                      <w:lang w:val="en-US" w:eastAsia="zh-CN"/>
                    </w:rPr>
                    <w:t>台</w:t>
                  </w:r>
                </w:p>
              </w:tc>
            </w:tr>
            <w:tr w14:paraId="07D70DB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018EB9E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w:t>
                  </w:r>
                </w:p>
              </w:tc>
              <w:tc>
                <w:tcPr>
                  <w:tcW w:w="1762" w:type="pct"/>
                  <w:noWrap w:val="0"/>
                  <w:vAlign w:val="center"/>
                </w:tcPr>
                <w:p w14:paraId="624FEE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真空烘箱</w:t>
                  </w:r>
                </w:p>
              </w:tc>
              <w:tc>
                <w:tcPr>
                  <w:tcW w:w="1965" w:type="pct"/>
                  <w:noWrap w:val="0"/>
                  <w:vAlign w:val="center"/>
                </w:tcPr>
                <w:p w14:paraId="3B6A55E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VD53</w:t>
                  </w:r>
                </w:p>
              </w:tc>
              <w:tc>
                <w:tcPr>
                  <w:tcW w:w="714" w:type="pct"/>
                  <w:noWrap w:val="0"/>
                  <w:vAlign w:val="center"/>
                </w:tcPr>
                <w:p w14:paraId="140DC9A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1台</w:t>
                  </w:r>
                </w:p>
              </w:tc>
            </w:tr>
            <w:tr w14:paraId="68D6FEB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1B2146E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w:t>
                  </w:r>
                </w:p>
              </w:tc>
              <w:tc>
                <w:tcPr>
                  <w:tcW w:w="1762" w:type="pct"/>
                  <w:noWrap w:val="0"/>
                  <w:vAlign w:val="center"/>
                </w:tcPr>
                <w:p w14:paraId="4914A5BE">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bidi="ar-SA"/>
                    </w:rPr>
                    <w:t>真空干燥箱</w:t>
                  </w:r>
                </w:p>
              </w:tc>
              <w:tc>
                <w:tcPr>
                  <w:tcW w:w="1965" w:type="pct"/>
                  <w:noWrap w:val="0"/>
                  <w:vAlign w:val="center"/>
                </w:tcPr>
                <w:p w14:paraId="4E5DE24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bidi="ar-SA"/>
                    </w:rPr>
                    <w:t>直径300mm</w:t>
                  </w:r>
                </w:p>
              </w:tc>
              <w:tc>
                <w:tcPr>
                  <w:tcW w:w="714" w:type="pct"/>
                  <w:noWrap w:val="0"/>
                  <w:vAlign w:val="center"/>
                </w:tcPr>
                <w:p w14:paraId="0CFF789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r>
            <w:tr w14:paraId="5D7704D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6F96193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w:t>
                  </w:r>
                </w:p>
              </w:tc>
              <w:tc>
                <w:tcPr>
                  <w:tcW w:w="1762" w:type="pct"/>
                  <w:noWrap w:val="0"/>
                  <w:vAlign w:val="center"/>
                </w:tcPr>
                <w:p w14:paraId="10EF061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旋转蒸发仪 BUCHI</w:t>
                  </w:r>
                </w:p>
              </w:tc>
              <w:tc>
                <w:tcPr>
                  <w:tcW w:w="1965" w:type="pct"/>
                  <w:noWrap w:val="0"/>
                  <w:vAlign w:val="center"/>
                </w:tcPr>
                <w:p w14:paraId="34E157A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R-215</w:t>
                  </w:r>
                </w:p>
              </w:tc>
              <w:tc>
                <w:tcPr>
                  <w:tcW w:w="714" w:type="pct"/>
                  <w:noWrap w:val="0"/>
                  <w:vAlign w:val="center"/>
                </w:tcPr>
                <w:p w14:paraId="3D455B6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1</w:t>
                  </w:r>
                  <w:r>
                    <w:rPr>
                      <w:rFonts w:hint="default" w:ascii="Times New Roman" w:hAnsi="Times New Roman" w:eastAsia="宋体" w:cs="Times New Roman"/>
                      <w:color w:val="auto"/>
                      <w:sz w:val="21"/>
                      <w:szCs w:val="21"/>
                      <w:u w:val="none" w:color="auto"/>
                      <w:lang w:val="en-US" w:eastAsia="zh-CN"/>
                    </w:rPr>
                    <w:t>台</w:t>
                  </w:r>
                </w:p>
              </w:tc>
            </w:tr>
            <w:tr w14:paraId="14000BA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3938AC4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w:t>
                  </w:r>
                </w:p>
              </w:tc>
              <w:tc>
                <w:tcPr>
                  <w:tcW w:w="1762" w:type="pct"/>
                  <w:noWrap w:val="0"/>
                  <w:vAlign w:val="center"/>
                </w:tcPr>
                <w:p w14:paraId="12E6D6BD">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10"/>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超微粉碎机</w:t>
                  </w:r>
                </w:p>
              </w:tc>
              <w:tc>
                <w:tcPr>
                  <w:tcW w:w="1965" w:type="pct"/>
                  <w:noWrap w:val="0"/>
                  <w:vAlign w:val="center"/>
                </w:tcPr>
                <w:p w14:paraId="428D265D">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10"/>
                      <w:sz w:val="21"/>
                      <w:szCs w:val="21"/>
                      <w:u w:val="none" w:color="auto"/>
                      <w:lang w:eastAsia="zh-CN"/>
                    </w:rPr>
                  </w:pPr>
                  <w:r>
                    <w:rPr>
                      <w:rFonts w:hint="eastAsia" w:cs="Times New Roman"/>
                      <w:i w:val="0"/>
                      <w:iCs w:val="0"/>
                      <w:color w:val="auto"/>
                      <w:kern w:val="0"/>
                      <w:sz w:val="21"/>
                      <w:szCs w:val="21"/>
                      <w:u w:val="none" w:color="auto"/>
                      <w:lang w:val="en-US" w:eastAsia="zh-CN" w:bidi="ar"/>
                    </w:rPr>
                    <w:t>赛特</w:t>
                  </w:r>
                </w:p>
              </w:tc>
              <w:tc>
                <w:tcPr>
                  <w:tcW w:w="714" w:type="pct"/>
                  <w:noWrap w:val="0"/>
                  <w:vAlign w:val="center"/>
                </w:tcPr>
                <w:p w14:paraId="1FF5837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r>
                    <w:rPr>
                      <w:rFonts w:hint="default" w:ascii="Times New Roman" w:hAnsi="Times New Roman" w:eastAsia="宋体" w:cs="Times New Roman"/>
                      <w:color w:val="auto"/>
                      <w:sz w:val="21"/>
                      <w:szCs w:val="21"/>
                      <w:u w:val="none" w:color="auto"/>
                      <w:lang w:val="en-US" w:eastAsia="zh-CN"/>
                    </w:rPr>
                    <w:t>台</w:t>
                  </w:r>
                </w:p>
              </w:tc>
            </w:tr>
            <w:tr w14:paraId="09A7433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0BAB9E2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11</w:t>
                  </w:r>
                </w:p>
              </w:tc>
              <w:tc>
                <w:tcPr>
                  <w:tcW w:w="1762" w:type="pct"/>
                  <w:noWrap w:val="0"/>
                  <w:vAlign w:val="center"/>
                </w:tcPr>
                <w:p w14:paraId="045D64D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液相色谱仪（含紫外检测器）</w:t>
                  </w:r>
                </w:p>
              </w:tc>
              <w:tc>
                <w:tcPr>
                  <w:tcW w:w="1965" w:type="pct"/>
                  <w:noWrap w:val="0"/>
                  <w:vAlign w:val="center"/>
                </w:tcPr>
                <w:p w14:paraId="19FB2B3A">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 xml:space="preserve"> E2695</w:t>
                  </w:r>
                </w:p>
              </w:tc>
              <w:tc>
                <w:tcPr>
                  <w:tcW w:w="714" w:type="pct"/>
                  <w:noWrap w:val="0"/>
                  <w:vAlign w:val="center"/>
                </w:tcPr>
                <w:p w14:paraId="3E5B47F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1台</w:t>
                  </w:r>
                </w:p>
              </w:tc>
            </w:tr>
            <w:tr w14:paraId="7D62720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3A0AAC35">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1762" w:type="pct"/>
                  <w:noWrap w:val="0"/>
                  <w:vAlign w:val="center"/>
                </w:tcPr>
                <w:p w14:paraId="68B748E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超高效液相色谱仪</w:t>
                  </w:r>
                </w:p>
              </w:tc>
              <w:tc>
                <w:tcPr>
                  <w:tcW w:w="1965" w:type="pct"/>
                  <w:noWrap w:val="0"/>
                  <w:vAlign w:val="center"/>
                </w:tcPr>
                <w:p w14:paraId="03079CDE">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ACQUITY UPIC H-CLASS (H-CLASS+PDA+ELSD)</w:t>
                  </w:r>
                </w:p>
              </w:tc>
              <w:tc>
                <w:tcPr>
                  <w:tcW w:w="714" w:type="pct"/>
                  <w:noWrap w:val="0"/>
                  <w:vAlign w:val="center"/>
                </w:tcPr>
                <w:p w14:paraId="015C5F8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r>
                    <w:rPr>
                      <w:rFonts w:hint="default" w:ascii="Times New Roman" w:hAnsi="Times New Roman" w:eastAsia="宋体" w:cs="Times New Roman"/>
                      <w:color w:val="auto"/>
                      <w:sz w:val="21"/>
                      <w:szCs w:val="21"/>
                      <w:u w:val="none" w:color="auto"/>
                      <w:lang w:val="en-US" w:eastAsia="zh-CN"/>
                    </w:rPr>
                    <w:t>台</w:t>
                  </w:r>
                </w:p>
              </w:tc>
            </w:tr>
            <w:tr w14:paraId="629DFDB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1E8C920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13</w:t>
                  </w:r>
                </w:p>
              </w:tc>
              <w:tc>
                <w:tcPr>
                  <w:tcW w:w="1762" w:type="pct"/>
                  <w:noWrap w:val="0"/>
                  <w:vAlign w:val="center"/>
                </w:tcPr>
                <w:p w14:paraId="16695E8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原子吸收光谱仪 PE</w:t>
                  </w:r>
                </w:p>
              </w:tc>
              <w:tc>
                <w:tcPr>
                  <w:tcW w:w="1965" w:type="pct"/>
                  <w:noWrap w:val="0"/>
                  <w:vAlign w:val="center"/>
                </w:tcPr>
                <w:p w14:paraId="7B247682">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 xml:space="preserve"> pinAAcle 900T</w:t>
                  </w:r>
                </w:p>
              </w:tc>
              <w:tc>
                <w:tcPr>
                  <w:tcW w:w="714" w:type="pct"/>
                  <w:noWrap w:val="0"/>
                  <w:vAlign w:val="center"/>
                </w:tcPr>
                <w:p w14:paraId="605DB1A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r>
                    <w:rPr>
                      <w:rFonts w:hint="default" w:ascii="Times New Roman" w:hAnsi="Times New Roman" w:eastAsia="宋体" w:cs="Times New Roman"/>
                      <w:color w:val="auto"/>
                      <w:sz w:val="21"/>
                      <w:szCs w:val="21"/>
                      <w:u w:val="none" w:color="auto"/>
                      <w:lang w:val="en-US" w:eastAsia="zh-CN"/>
                    </w:rPr>
                    <w:t>台</w:t>
                  </w:r>
                </w:p>
              </w:tc>
            </w:tr>
            <w:tr w14:paraId="60D1B49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57140E7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14</w:t>
                  </w:r>
                </w:p>
              </w:tc>
              <w:tc>
                <w:tcPr>
                  <w:tcW w:w="1762" w:type="pct"/>
                  <w:noWrap w:val="0"/>
                  <w:vAlign w:val="center"/>
                </w:tcPr>
                <w:p w14:paraId="78BF0C1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离子色谱仪</w:t>
                  </w:r>
                </w:p>
              </w:tc>
              <w:tc>
                <w:tcPr>
                  <w:tcW w:w="1965" w:type="pct"/>
                  <w:noWrap w:val="0"/>
                  <w:vAlign w:val="center"/>
                </w:tcPr>
                <w:p w14:paraId="309B39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ICS5000+</w:t>
                  </w:r>
                </w:p>
              </w:tc>
              <w:tc>
                <w:tcPr>
                  <w:tcW w:w="714" w:type="pct"/>
                  <w:noWrap w:val="0"/>
                  <w:vAlign w:val="center"/>
                </w:tcPr>
                <w:p w14:paraId="526A2C1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r>
                    <w:rPr>
                      <w:rFonts w:hint="default" w:ascii="Times New Roman" w:hAnsi="Times New Roman" w:eastAsia="宋体" w:cs="Times New Roman"/>
                      <w:color w:val="auto"/>
                      <w:sz w:val="21"/>
                      <w:szCs w:val="21"/>
                      <w:u w:val="none" w:color="auto"/>
                      <w:lang w:val="en-US" w:eastAsia="zh-CN"/>
                    </w:rPr>
                    <w:t>台</w:t>
                  </w:r>
                </w:p>
              </w:tc>
            </w:tr>
            <w:tr w14:paraId="2A280C2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48C1A77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15</w:t>
                  </w:r>
                </w:p>
              </w:tc>
              <w:tc>
                <w:tcPr>
                  <w:tcW w:w="1762" w:type="pct"/>
                  <w:noWrap w:val="0"/>
                  <w:vAlign w:val="center"/>
                </w:tcPr>
                <w:p w14:paraId="1CE48DA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液相色谱仪（含二极管阵列检测器）</w:t>
                  </w:r>
                </w:p>
              </w:tc>
              <w:tc>
                <w:tcPr>
                  <w:tcW w:w="1965" w:type="pct"/>
                  <w:noWrap w:val="0"/>
                  <w:vAlign w:val="center"/>
                </w:tcPr>
                <w:p w14:paraId="339C637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 xml:space="preserve"> E2695</w:t>
                  </w:r>
                </w:p>
              </w:tc>
              <w:tc>
                <w:tcPr>
                  <w:tcW w:w="714" w:type="pct"/>
                  <w:noWrap w:val="0"/>
                  <w:vAlign w:val="center"/>
                </w:tcPr>
                <w:p w14:paraId="3690573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4台</w:t>
                  </w:r>
                </w:p>
              </w:tc>
            </w:tr>
            <w:tr w14:paraId="49625AF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21941176">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16</w:t>
                  </w:r>
                </w:p>
              </w:tc>
              <w:tc>
                <w:tcPr>
                  <w:tcW w:w="1762" w:type="pct"/>
                  <w:noWrap w:val="0"/>
                  <w:vAlign w:val="center"/>
                </w:tcPr>
                <w:p w14:paraId="334D49B5">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气相色谱三重四极杆串联质谱仪</w:t>
                  </w:r>
                </w:p>
              </w:tc>
              <w:tc>
                <w:tcPr>
                  <w:tcW w:w="1965" w:type="pct"/>
                  <w:noWrap w:val="0"/>
                  <w:vAlign w:val="center"/>
                </w:tcPr>
                <w:p w14:paraId="26684625">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TSQ8000EVO</w:t>
                  </w:r>
                </w:p>
              </w:tc>
              <w:tc>
                <w:tcPr>
                  <w:tcW w:w="714" w:type="pct"/>
                  <w:noWrap w:val="0"/>
                  <w:vAlign w:val="center"/>
                </w:tcPr>
                <w:p w14:paraId="008E75D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1</w:t>
                  </w:r>
                  <w:r>
                    <w:rPr>
                      <w:rFonts w:hint="default" w:ascii="Times New Roman" w:hAnsi="Times New Roman" w:eastAsia="宋体" w:cs="Times New Roman"/>
                      <w:color w:val="auto"/>
                      <w:sz w:val="21"/>
                      <w:szCs w:val="21"/>
                      <w:u w:val="none" w:color="auto"/>
                      <w:lang w:val="en-US" w:eastAsia="zh-CN"/>
                    </w:rPr>
                    <w:t>台</w:t>
                  </w:r>
                </w:p>
              </w:tc>
            </w:tr>
            <w:tr w14:paraId="2A1C3B2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7BA6A65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17</w:t>
                  </w:r>
                </w:p>
              </w:tc>
              <w:tc>
                <w:tcPr>
                  <w:tcW w:w="1762" w:type="pct"/>
                  <w:noWrap w:val="0"/>
                  <w:vAlign w:val="center"/>
                </w:tcPr>
                <w:p w14:paraId="7987F539">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微波消解仪</w:t>
                  </w:r>
                </w:p>
              </w:tc>
              <w:tc>
                <w:tcPr>
                  <w:tcW w:w="1965" w:type="pct"/>
                  <w:noWrap w:val="0"/>
                  <w:vAlign w:val="center"/>
                </w:tcPr>
                <w:p w14:paraId="78661E9F">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MARS6</w:t>
                  </w:r>
                </w:p>
              </w:tc>
              <w:tc>
                <w:tcPr>
                  <w:tcW w:w="714" w:type="pct"/>
                  <w:noWrap w:val="0"/>
                  <w:vAlign w:val="center"/>
                </w:tcPr>
                <w:p w14:paraId="03F07EA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2台</w:t>
                  </w:r>
                </w:p>
              </w:tc>
            </w:tr>
            <w:tr w14:paraId="649E106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55212D7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18</w:t>
                  </w:r>
                </w:p>
              </w:tc>
              <w:tc>
                <w:tcPr>
                  <w:tcW w:w="1762" w:type="pct"/>
                  <w:noWrap w:val="0"/>
                  <w:vAlign w:val="center"/>
                </w:tcPr>
                <w:p w14:paraId="356C3964">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超高效液相三重四极杆串联质谱联用仪</w:t>
                  </w:r>
                </w:p>
              </w:tc>
              <w:tc>
                <w:tcPr>
                  <w:tcW w:w="1965" w:type="pct"/>
                  <w:noWrap w:val="0"/>
                  <w:vAlign w:val="center"/>
                </w:tcPr>
                <w:p w14:paraId="39EE7A13">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WATERS</w:t>
                  </w:r>
                </w:p>
              </w:tc>
              <w:tc>
                <w:tcPr>
                  <w:tcW w:w="714" w:type="pct"/>
                  <w:noWrap w:val="0"/>
                  <w:vAlign w:val="center"/>
                </w:tcPr>
                <w:p w14:paraId="3C59F7B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r>
            <w:tr w14:paraId="292E18F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69BB182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19</w:t>
                  </w:r>
                </w:p>
              </w:tc>
              <w:tc>
                <w:tcPr>
                  <w:tcW w:w="1762" w:type="pct"/>
                  <w:noWrap w:val="0"/>
                  <w:vAlign w:val="center"/>
                </w:tcPr>
                <w:p w14:paraId="2C16D8D4">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高效液相色谱仪（含紫外检测器、荧光检测仪、和柱后衍生系统</w:t>
                  </w:r>
                </w:p>
              </w:tc>
              <w:tc>
                <w:tcPr>
                  <w:tcW w:w="1965" w:type="pct"/>
                  <w:noWrap w:val="0"/>
                  <w:vAlign w:val="center"/>
                </w:tcPr>
                <w:p w14:paraId="182268FA">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 xml:space="preserve"> E2695</w:t>
                  </w:r>
                </w:p>
              </w:tc>
              <w:tc>
                <w:tcPr>
                  <w:tcW w:w="714" w:type="pct"/>
                  <w:noWrap w:val="0"/>
                  <w:vAlign w:val="center"/>
                </w:tcPr>
                <w:p w14:paraId="5E1A967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r>
            <w:tr w14:paraId="6922E27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63B4490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w:t>
                  </w:r>
                </w:p>
              </w:tc>
              <w:tc>
                <w:tcPr>
                  <w:tcW w:w="1762" w:type="pct"/>
                  <w:noWrap w:val="0"/>
                  <w:vAlign w:val="center"/>
                </w:tcPr>
                <w:p w14:paraId="1D8A19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高效液相色谱仪辅助设备(示差检测仪、</w:t>
                  </w:r>
                  <w:r>
                    <w:rPr>
                      <w:rFonts w:hint="default" w:ascii="Times New Roman" w:hAnsi="Times New Roman" w:eastAsia="宋体" w:cs="Times New Roman"/>
                      <w:i w:val="0"/>
                      <w:iCs w:val="0"/>
                      <w:color w:val="auto"/>
                      <w:kern w:val="0"/>
                      <w:sz w:val="21"/>
                      <w:szCs w:val="21"/>
                      <w:u w:val="none" w:color="auto"/>
                      <w:lang w:val="en-US" w:eastAsia="zh-CN" w:bidi="ar"/>
                    </w:rPr>
                    <w:br w:type="textWrapping"/>
                  </w:r>
                  <w:r>
                    <w:rPr>
                      <w:rFonts w:hint="default" w:ascii="Times New Roman" w:hAnsi="Times New Roman" w:eastAsia="宋体" w:cs="Times New Roman"/>
                      <w:i w:val="0"/>
                      <w:iCs w:val="0"/>
                      <w:color w:val="auto"/>
                      <w:kern w:val="0"/>
                      <w:sz w:val="21"/>
                      <w:szCs w:val="21"/>
                      <w:u w:val="none" w:color="auto"/>
                      <w:lang w:val="en-US" w:eastAsia="zh-CN" w:bidi="ar"/>
                    </w:rPr>
                    <w:t>荧光检测器、柱后光化学衍生仪、移液器）</w:t>
                  </w:r>
                </w:p>
              </w:tc>
              <w:tc>
                <w:tcPr>
                  <w:tcW w:w="1965" w:type="pct"/>
                  <w:noWrap w:val="0"/>
                  <w:vAlign w:val="center"/>
                </w:tcPr>
                <w:p w14:paraId="77240E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美国waters2414</w:t>
                  </w:r>
                  <w:r>
                    <w:rPr>
                      <w:rFonts w:hint="default" w:ascii="Times New Roman" w:hAnsi="Times New Roman" w:eastAsia="宋体" w:cs="Times New Roman"/>
                      <w:i w:val="0"/>
                      <w:iCs w:val="0"/>
                      <w:color w:val="auto"/>
                      <w:kern w:val="0"/>
                      <w:sz w:val="21"/>
                      <w:szCs w:val="21"/>
                      <w:u w:val="none" w:color="auto"/>
                      <w:lang w:val="en-US" w:eastAsia="zh-CN" w:bidi="ar"/>
                    </w:rPr>
                    <w:br w:type="textWrapping"/>
                  </w:r>
                  <w:r>
                    <w:rPr>
                      <w:rFonts w:hint="default" w:ascii="Times New Roman" w:hAnsi="Times New Roman" w:eastAsia="宋体" w:cs="Times New Roman"/>
                      <w:i w:val="0"/>
                      <w:iCs w:val="0"/>
                      <w:color w:val="auto"/>
                      <w:kern w:val="0"/>
                      <w:sz w:val="21"/>
                      <w:szCs w:val="21"/>
                      <w:u w:val="none" w:color="auto"/>
                      <w:lang w:val="en-US" w:eastAsia="zh-CN" w:bidi="ar"/>
                    </w:rPr>
                    <w:t>美国AURA PHRED</w:t>
                  </w:r>
                  <w:r>
                    <w:rPr>
                      <w:rFonts w:hint="default" w:ascii="Times New Roman" w:hAnsi="Times New Roman" w:eastAsia="宋体" w:cs="Times New Roman"/>
                      <w:i w:val="0"/>
                      <w:iCs w:val="0"/>
                      <w:color w:val="auto"/>
                      <w:kern w:val="0"/>
                      <w:sz w:val="21"/>
                      <w:szCs w:val="21"/>
                      <w:u w:val="none" w:color="auto"/>
                      <w:lang w:val="en-US" w:eastAsia="zh-CN" w:bidi="ar"/>
                    </w:rPr>
                    <w:br w:type="textWrapping"/>
                  </w:r>
                  <w:r>
                    <w:rPr>
                      <w:rFonts w:hint="default" w:ascii="Times New Roman" w:hAnsi="Times New Roman" w:eastAsia="宋体" w:cs="Times New Roman"/>
                      <w:i w:val="0"/>
                      <w:iCs w:val="0"/>
                      <w:color w:val="auto"/>
                      <w:kern w:val="0"/>
                      <w:sz w:val="21"/>
                      <w:szCs w:val="21"/>
                      <w:u w:val="none" w:color="auto"/>
                      <w:lang w:val="en-US" w:eastAsia="zh-CN" w:bidi="ar"/>
                    </w:rPr>
                    <w:t>美国 Eppendorf 100-1000ul（单道）</w:t>
                  </w:r>
                  <w:r>
                    <w:rPr>
                      <w:rFonts w:hint="default" w:ascii="Times New Roman" w:hAnsi="Times New Roman" w:eastAsia="宋体" w:cs="Times New Roman"/>
                      <w:i w:val="0"/>
                      <w:iCs w:val="0"/>
                      <w:color w:val="auto"/>
                      <w:kern w:val="0"/>
                      <w:sz w:val="21"/>
                      <w:szCs w:val="21"/>
                      <w:u w:val="none" w:color="auto"/>
                      <w:lang w:val="en-US" w:eastAsia="zh-CN" w:bidi="ar"/>
                    </w:rPr>
                    <w:br w:type="textWrapping"/>
                  </w:r>
                  <w:r>
                    <w:rPr>
                      <w:rFonts w:hint="default" w:ascii="Times New Roman" w:hAnsi="Times New Roman" w:eastAsia="宋体" w:cs="Times New Roman"/>
                      <w:i w:val="0"/>
                      <w:iCs w:val="0"/>
                      <w:color w:val="auto"/>
                      <w:kern w:val="0"/>
                      <w:sz w:val="21"/>
                      <w:szCs w:val="21"/>
                      <w:u w:val="none" w:color="auto"/>
                      <w:lang w:val="en-US" w:eastAsia="zh-CN" w:bidi="ar"/>
                    </w:rPr>
                    <w:t>0.25-2.5ml(单道）</w:t>
                  </w:r>
                  <w:r>
                    <w:rPr>
                      <w:rFonts w:hint="default" w:ascii="Times New Roman" w:hAnsi="Times New Roman" w:eastAsia="宋体" w:cs="Times New Roman"/>
                      <w:i w:val="0"/>
                      <w:iCs w:val="0"/>
                      <w:color w:val="auto"/>
                      <w:kern w:val="0"/>
                      <w:sz w:val="21"/>
                      <w:szCs w:val="21"/>
                      <w:u w:val="none" w:color="auto"/>
                      <w:lang w:val="en-US" w:eastAsia="zh-CN" w:bidi="ar"/>
                    </w:rPr>
                    <w:br w:type="textWrapping"/>
                  </w:r>
                  <w:r>
                    <w:rPr>
                      <w:rFonts w:hint="default" w:ascii="Times New Roman" w:hAnsi="Times New Roman" w:eastAsia="宋体" w:cs="Times New Roman"/>
                      <w:i w:val="0"/>
                      <w:iCs w:val="0"/>
                      <w:color w:val="auto"/>
                      <w:kern w:val="0"/>
                      <w:sz w:val="21"/>
                      <w:szCs w:val="21"/>
                      <w:u w:val="none" w:color="auto"/>
                      <w:lang w:val="en-US" w:eastAsia="zh-CN" w:bidi="ar"/>
                    </w:rPr>
                    <w:t>10-100ul（八道）</w:t>
                  </w:r>
                  <w:r>
                    <w:rPr>
                      <w:rFonts w:hint="default" w:ascii="Times New Roman" w:hAnsi="Times New Roman" w:eastAsia="宋体" w:cs="Times New Roman"/>
                      <w:i w:val="0"/>
                      <w:iCs w:val="0"/>
                      <w:color w:val="auto"/>
                      <w:kern w:val="0"/>
                      <w:sz w:val="21"/>
                      <w:szCs w:val="21"/>
                      <w:u w:val="none" w:color="auto"/>
                      <w:lang w:val="en-US" w:eastAsia="zh-CN" w:bidi="ar"/>
                    </w:rPr>
                    <w:br w:type="textWrapping"/>
                  </w:r>
                  <w:r>
                    <w:rPr>
                      <w:rFonts w:hint="default" w:ascii="Times New Roman" w:hAnsi="Times New Roman" w:eastAsia="宋体" w:cs="Times New Roman"/>
                      <w:i w:val="0"/>
                      <w:iCs w:val="0"/>
                      <w:color w:val="auto"/>
                      <w:kern w:val="0"/>
                      <w:sz w:val="21"/>
                      <w:szCs w:val="21"/>
                      <w:u w:val="none" w:color="auto"/>
                      <w:lang w:val="en-US" w:eastAsia="zh-CN" w:bidi="ar"/>
                    </w:rPr>
                    <w:t>30-300ul（八道）</w:t>
                  </w:r>
                </w:p>
              </w:tc>
              <w:tc>
                <w:tcPr>
                  <w:tcW w:w="714" w:type="pct"/>
                  <w:noWrap w:val="0"/>
                  <w:vAlign w:val="center"/>
                </w:tcPr>
                <w:p w14:paraId="66C6975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r>
            <w:tr w14:paraId="14751D1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2CFD0CB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21</w:t>
                  </w:r>
                </w:p>
              </w:tc>
              <w:tc>
                <w:tcPr>
                  <w:tcW w:w="1762" w:type="pct"/>
                  <w:noWrap w:val="0"/>
                  <w:vAlign w:val="center"/>
                </w:tcPr>
                <w:p w14:paraId="0A7F2B69">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气相色谱仪（含ECD)</w:t>
                  </w:r>
                </w:p>
              </w:tc>
              <w:tc>
                <w:tcPr>
                  <w:tcW w:w="1965" w:type="pct"/>
                  <w:noWrap w:val="0"/>
                  <w:vAlign w:val="center"/>
                </w:tcPr>
                <w:p w14:paraId="6A51D882">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Agilent7890B</w:t>
                  </w:r>
                </w:p>
              </w:tc>
              <w:tc>
                <w:tcPr>
                  <w:tcW w:w="714" w:type="pct"/>
                  <w:noWrap w:val="0"/>
                  <w:vAlign w:val="center"/>
                </w:tcPr>
                <w:p w14:paraId="19FA03F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r>
            <w:tr w14:paraId="05F964B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5DD626E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22</w:t>
                  </w:r>
                </w:p>
              </w:tc>
              <w:tc>
                <w:tcPr>
                  <w:tcW w:w="1762" w:type="pct"/>
                  <w:noWrap w:val="0"/>
                  <w:vAlign w:val="center"/>
                </w:tcPr>
                <w:p w14:paraId="4C59813C">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气相色谱仪（含FPD)</w:t>
                  </w:r>
                </w:p>
              </w:tc>
              <w:tc>
                <w:tcPr>
                  <w:tcW w:w="1965" w:type="pct"/>
                  <w:noWrap w:val="0"/>
                  <w:vAlign w:val="center"/>
                </w:tcPr>
                <w:p w14:paraId="5180DAE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Agilent 7890B</w:t>
                  </w:r>
                </w:p>
              </w:tc>
              <w:tc>
                <w:tcPr>
                  <w:tcW w:w="714" w:type="pct"/>
                  <w:noWrap w:val="0"/>
                  <w:vAlign w:val="center"/>
                </w:tcPr>
                <w:p w14:paraId="758F3499">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1</w:t>
                  </w:r>
                  <w:r>
                    <w:rPr>
                      <w:rFonts w:hint="default" w:ascii="Times New Roman" w:hAnsi="Times New Roman" w:eastAsia="宋体" w:cs="Times New Roman"/>
                      <w:color w:val="auto"/>
                      <w:sz w:val="21"/>
                      <w:szCs w:val="21"/>
                      <w:u w:val="none" w:color="auto"/>
                      <w:lang w:val="en-US" w:eastAsia="zh-CN"/>
                    </w:rPr>
                    <w:t>台</w:t>
                  </w:r>
                </w:p>
              </w:tc>
            </w:tr>
            <w:tr w14:paraId="15FCEE6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3D5A55F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23</w:t>
                  </w:r>
                </w:p>
              </w:tc>
              <w:tc>
                <w:tcPr>
                  <w:tcW w:w="1762" w:type="pct"/>
                  <w:noWrap w:val="0"/>
                  <w:vAlign w:val="center"/>
                </w:tcPr>
                <w:p w14:paraId="075A29E9">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气相色谱仪（含FID)</w:t>
                  </w:r>
                </w:p>
              </w:tc>
              <w:tc>
                <w:tcPr>
                  <w:tcW w:w="1965" w:type="pct"/>
                  <w:noWrap w:val="0"/>
                  <w:vAlign w:val="center"/>
                </w:tcPr>
                <w:p w14:paraId="4EE91FF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Agilent 7890B</w:t>
                  </w:r>
                </w:p>
              </w:tc>
              <w:tc>
                <w:tcPr>
                  <w:tcW w:w="714" w:type="pct"/>
                  <w:noWrap w:val="0"/>
                  <w:vAlign w:val="center"/>
                </w:tcPr>
                <w:p w14:paraId="7DE6AB9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1</w:t>
                  </w:r>
                  <w:r>
                    <w:rPr>
                      <w:rFonts w:hint="default" w:ascii="Times New Roman" w:hAnsi="Times New Roman" w:eastAsia="宋体" w:cs="Times New Roman"/>
                      <w:color w:val="auto"/>
                      <w:sz w:val="21"/>
                      <w:szCs w:val="21"/>
                      <w:u w:val="none" w:color="auto"/>
                      <w:lang w:val="en-US" w:eastAsia="zh-CN"/>
                    </w:rPr>
                    <w:t>台</w:t>
                  </w:r>
                </w:p>
              </w:tc>
            </w:tr>
            <w:tr w14:paraId="577FE59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5C77370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24</w:t>
                  </w:r>
                </w:p>
              </w:tc>
              <w:tc>
                <w:tcPr>
                  <w:tcW w:w="1762" w:type="pct"/>
                  <w:noWrap w:val="0"/>
                  <w:vAlign w:val="center"/>
                </w:tcPr>
                <w:p w14:paraId="23719587">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 xml:space="preserve">立体显微镜  </w:t>
                  </w:r>
                </w:p>
              </w:tc>
              <w:tc>
                <w:tcPr>
                  <w:tcW w:w="1965" w:type="pct"/>
                  <w:noWrap w:val="0"/>
                  <w:vAlign w:val="center"/>
                </w:tcPr>
                <w:p w14:paraId="6D3FD60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 xml:space="preserve">  EZ4W</w:t>
                  </w:r>
                </w:p>
              </w:tc>
              <w:tc>
                <w:tcPr>
                  <w:tcW w:w="714" w:type="pct"/>
                  <w:noWrap w:val="0"/>
                  <w:vAlign w:val="center"/>
                </w:tcPr>
                <w:p w14:paraId="721D114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r>
            <w:tr w14:paraId="09C55C9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318D509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25</w:t>
                  </w:r>
                </w:p>
              </w:tc>
              <w:tc>
                <w:tcPr>
                  <w:tcW w:w="1762" w:type="pct"/>
                  <w:noWrap w:val="0"/>
                  <w:vAlign w:val="center"/>
                </w:tcPr>
                <w:p w14:paraId="7E644224">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偏光显微镜</w:t>
                  </w:r>
                </w:p>
              </w:tc>
              <w:tc>
                <w:tcPr>
                  <w:tcW w:w="1965" w:type="pct"/>
                  <w:noWrap w:val="0"/>
                  <w:vAlign w:val="center"/>
                </w:tcPr>
                <w:p w14:paraId="3E63E00B">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 xml:space="preserve"> DM2700P</w:t>
                  </w:r>
                </w:p>
              </w:tc>
              <w:tc>
                <w:tcPr>
                  <w:tcW w:w="714" w:type="pct"/>
                  <w:noWrap w:val="0"/>
                  <w:vAlign w:val="center"/>
                </w:tcPr>
                <w:p w14:paraId="7D88431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r>
            <w:tr w14:paraId="5CB0200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715075D6">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26</w:t>
                  </w:r>
                </w:p>
              </w:tc>
              <w:tc>
                <w:tcPr>
                  <w:tcW w:w="1762" w:type="pct"/>
                  <w:noWrap w:val="0"/>
                  <w:vAlign w:val="center"/>
                </w:tcPr>
                <w:p w14:paraId="75140F6D">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电导率仪</w:t>
                  </w:r>
                </w:p>
              </w:tc>
              <w:tc>
                <w:tcPr>
                  <w:tcW w:w="1965" w:type="pct"/>
                  <w:noWrap w:val="0"/>
                  <w:vAlign w:val="center"/>
                </w:tcPr>
                <w:p w14:paraId="0EEA5F93">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S230</w:t>
                  </w:r>
                </w:p>
              </w:tc>
              <w:tc>
                <w:tcPr>
                  <w:tcW w:w="714" w:type="pct"/>
                  <w:noWrap w:val="0"/>
                  <w:vAlign w:val="center"/>
                </w:tcPr>
                <w:p w14:paraId="0910E71E">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r>
            <w:tr w14:paraId="762D3CE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23A7EB1E">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27</w:t>
                  </w:r>
                </w:p>
              </w:tc>
              <w:tc>
                <w:tcPr>
                  <w:tcW w:w="1762" w:type="pct"/>
                  <w:noWrap w:val="0"/>
                  <w:vAlign w:val="center"/>
                </w:tcPr>
                <w:p w14:paraId="133BDA62">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电子天平 （0.1mg）</w:t>
                  </w:r>
                </w:p>
              </w:tc>
              <w:tc>
                <w:tcPr>
                  <w:tcW w:w="1965" w:type="pct"/>
                  <w:noWrap w:val="0"/>
                  <w:vAlign w:val="center"/>
                </w:tcPr>
                <w:p w14:paraId="05A6BE9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AX224ZH</w:t>
                  </w:r>
                </w:p>
              </w:tc>
              <w:tc>
                <w:tcPr>
                  <w:tcW w:w="714" w:type="pct"/>
                  <w:noWrap w:val="0"/>
                  <w:vAlign w:val="center"/>
                </w:tcPr>
                <w:p w14:paraId="42C340F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6</w:t>
                  </w:r>
                  <w:r>
                    <w:rPr>
                      <w:rFonts w:hint="default" w:ascii="Times New Roman" w:hAnsi="Times New Roman" w:eastAsia="宋体" w:cs="Times New Roman"/>
                      <w:color w:val="auto"/>
                      <w:sz w:val="21"/>
                      <w:szCs w:val="21"/>
                      <w:u w:val="none" w:color="auto"/>
                      <w:lang w:val="en-US" w:eastAsia="zh-CN"/>
                    </w:rPr>
                    <w:t>台</w:t>
                  </w:r>
                </w:p>
              </w:tc>
            </w:tr>
            <w:tr w14:paraId="126F90C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12D81A8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28</w:t>
                  </w:r>
                </w:p>
              </w:tc>
              <w:tc>
                <w:tcPr>
                  <w:tcW w:w="1762" w:type="pct"/>
                  <w:noWrap w:val="0"/>
                  <w:vAlign w:val="center"/>
                </w:tcPr>
                <w:p w14:paraId="068F7CBC">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电子天平 （0.01mg）</w:t>
                  </w:r>
                </w:p>
              </w:tc>
              <w:tc>
                <w:tcPr>
                  <w:tcW w:w="1965" w:type="pct"/>
                  <w:noWrap w:val="0"/>
                  <w:vAlign w:val="center"/>
                </w:tcPr>
                <w:p w14:paraId="573FF4B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MSE225S</w:t>
                  </w:r>
                </w:p>
              </w:tc>
              <w:tc>
                <w:tcPr>
                  <w:tcW w:w="714" w:type="pct"/>
                  <w:noWrap w:val="0"/>
                  <w:vAlign w:val="center"/>
                </w:tcPr>
                <w:p w14:paraId="4BB3B05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6台</w:t>
                  </w:r>
                </w:p>
              </w:tc>
            </w:tr>
            <w:tr w14:paraId="0EF0B04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7756C1D5">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29</w:t>
                  </w:r>
                </w:p>
              </w:tc>
              <w:tc>
                <w:tcPr>
                  <w:tcW w:w="1762" w:type="pct"/>
                  <w:noWrap w:val="0"/>
                  <w:vAlign w:val="center"/>
                </w:tcPr>
                <w:p w14:paraId="548C9C9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电子天平 （0.001mg）</w:t>
                  </w:r>
                </w:p>
              </w:tc>
              <w:tc>
                <w:tcPr>
                  <w:tcW w:w="1965" w:type="pct"/>
                  <w:noWrap w:val="0"/>
                  <w:vAlign w:val="center"/>
                </w:tcPr>
                <w:p w14:paraId="2D4C2B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XPE56C</w:t>
                  </w:r>
                </w:p>
              </w:tc>
              <w:tc>
                <w:tcPr>
                  <w:tcW w:w="714" w:type="pct"/>
                  <w:noWrap w:val="0"/>
                  <w:vAlign w:val="center"/>
                </w:tcPr>
                <w:p w14:paraId="22FDEC5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r>
            <w:tr w14:paraId="150FF87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1A6DE2F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30</w:t>
                  </w:r>
                </w:p>
              </w:tc>
              <w:tc>
                <w:tcPr>
                  <w:tcW w:w="1762" w:type="pct"/>
                  <w:noWrap w:val="0"/>
                  <w:vAlign w:val="center"/>
                </w:tcPr>
                <w:p w14:paraId="3AE4E22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永停滴定仪</w:t>
                  </w:r>
                </w:p>
              </w:tc>
              <w:tc>
                <w:tcPr>
                  <w:tcW w:w="1965" w:type="pct"/>
                  <w:noWrap w:val="0"/>
                  <w:vAlign w:val="center"/>
                </w:tcPr>
                <w:p w14:paraId="77367D3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ZYT-2</w:t>
                  </w:r>
                </w:p>
              </w:tc>
              <w:tc>
                <w:tcPr>
                  <w:tcW w:w="714" w:type="pct"/>
                  <w:noWrap w:val="0"/>
                  <w:vAlign w:val="center"/>
                </w:tcPr>
                <w:p w14:paraId="47866375">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r>
            <w:tr w14:paraId="1E8CD17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7B849A5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31</w:t>
                  </w:r>
                </w:p>
              </w:tc>
              <w:tc>
                <w:tcPr>
                  <w:tcW w:w="1762" w:type="pct"/>
                  <w:noWrap w:val="0"/>
                  <w:vAlign w:val="center"/>
                </w:tcPr>
                <w:p w14:paraId="57E2F64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台式ph计</w:t>
                  </w:r>
                </w:p>
              </w:tc>
              <w:tc>
                <w:tcPr>
                  <w:tcW w:w="1965" w:type="pct"/>
                  <w:noWrap w:val="0"/>
                  <w:vAlign w:val="center"/>
                </w:tcPr>
                <w:p w14:paraId="7B494B8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S400K</w:t>
                  </w:r>
                </w:p>
              </w:tc>
              <w:tc>
                <w:tcPr>
                  <w:tcW w:w="714" w:type="pct"/>
                  <w:noWrap w:val="0"/>
                  <w:vAlign w:val="center"/>
                </w:tcPr>
                <w:p w14:paraId="5CB399CE">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2台</w:t>
                  </w:r>
                </w:p>
              </w:tc>
            </w:tr>
            <w:tr w14:paraId="55F3CE7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2961775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32</w:t>
                  </w:r>
                </w:p>
              </w:tc>
              <w:tc>
                <w:tcPr>
                  <w:tcW w:w="1762" w:type="pct"/>
                  <w:noWrap w:val="0"/>
                  <w:vAlign w:val="center"/>
                </w:tcPr>
                <w:p w14:paraId="13C0A4F0">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超纯水机</w:t>
                  </w:r>
                </w:p>
              </w:tc>
              <w:tc>
                <w:tcPr>
                  <w:tcW w:w="1965" w:type="pct"/>
                  <w:noWrap w:val="0"/>
                  <w:vAlign w:val="center"/>
                </w:tcPr>
                <w:p w14:paraId="71FEAE67">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Advantage A10</w:t>
                  </w:r>
                </w:p>
              </w:tc>
              <w:tc>
                <w:tcPr>
                  <w:tcW w:w="714" w:type="pct"/>
                  <w:noWrap w:val="0"/>
                  <w:vAlign w:val="center"/>
                </w:tcPr>
                <w:p w14:paraId="4BDCBB3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3台</w:t>
                  </w:r>
                </w:p>
              </w:tc>
            </w:tr>
            <w:tr w14:paraId="21410AD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24902EF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33</w:t>
                  </w:r>
                </w:p>
              </w:tc>
              <w:tc>
                <w:tcPr>
                  <w:tcW w:w="1762" w:type="pct"/>
                  <w:noWrap w:val="0"/>
                  <w:vAlign w:val="center"/>
                </w:tcPr>
                <w:p w14:paraId="4114E00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卡尔费休水分测定</w:t>
                  </w:r>
                </w:p>
              </w:tc>
              <w:tc>
                <w:tcPr>
                  <w:tcW w:w="1965" w:type="pct"/>
                  <w:noWrap w:val="0"/>
                  <w:vAlign w:val="center"/>
                </w:tcPr>
                <w:p w14:paraId="1FBE227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AKF-2010W</w:t>
                  </w:r>
                </w:p>
              </w:tc>
              <w:tc>
                <w:tcPr>
                  <w:tcW w:w="714" w:type="pct"/>
                  <w:noWrap w:val="0"/>
                  <w:vAlign w:val="center"/>
                </w:tcPr>
                <w:p w14:paraId="7CA24FB9">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r>
            <w:tr w14:paraId="2699E64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23523FC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34</w:t>
                  </w:r>
                </w:p>
              </w:tc>
              <w:tc>
                <w:tcPr>
                  <w:tcW w:w="1762" w:type="pct"/>
                  <w:noWrap w:val="0"/>
                  <w:vAlign w:val="center"/>
                </w:tcPr>
                <w:p w14:paraId="0ADDAA8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阿贝折射仪</w:t>
                  </w:r>
                </w:p>
              </w:tc>
              <w:tc>
                <w:tcPr>
                  <w:tcW w:w="1965" w:type="pct"/>
                  <w:noWrap w:val="0"/>
                  <w:vAlign w:val="center"/>
                </w:tcPr>
                <w:p w14:paraId="67B89D4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A670</w:t>
                  </w:r>
                </w:p>
              </w:tc>
              <w:tc>
                <w:tcPr>
                  <w:tcW w:w="714" w:type="pct"/>
                  <w:noWrap w:val="0"/>
                  <w:vAlign w:val="center"/>
                </w:tcPr>
                <w:p w14:paraId="0351AAA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r>
            <w:tr w14:paraId="6BA09DB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29BCC77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35</w:t>
                  </w:r>
                </w:p>
              </w:tc>
              <w:tc>
                <w:tcPr>
                  <w:tcW w:w="1762" w:type="pct"/>
                  <w:noWrap w:val="0"/>
                  <w:vAlign w:val="center"/>
                </w:tcPr>
                <w:p w14:paraId="70C7C402">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水浴锅</w:t>
                  </w:r>
                </w:p>
              </w:tc>
              <w:tc>
                <w:tcPr>
                  <w:tcW w:w="1965" w:type="pct"/>
                  <w:noWrap w:val="0"/>
                  <w:vAlign w:val="center"/>
                </w:tcPr>
                <w:p w14:paraId="16A6A40D">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 xml:space="preserve"> DZKW-D-4</w:t>
                  </w:r>
                </w:p>
              </w:tc>
              <w:tc>
                <w:tcPr>
                  <w:tcW w:w="714" w:type="pct"/>
                  <w:noWrap w:val="0"/>
                  <w:vAlign w:val="center"/>
                </w:tcPr>
                <w:p w14:paraId="5CFC20E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4台</w:t>
                  </w:r>
                </w:p>
              </w:tc>
            </w:tr>
            <w:tr w14:paraId="3BAE1CB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29D6AF1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36</w:t>
                  </w:r>
                </w:p>
              </w:tc>
              <w:tc>
                <w:tcPr>
                  <w:tcW w:w="1762" w:type="pct"/>
                  <w:noWrap w:val="0"/>
                  <w:vAlign w:val="center"/>
                </w:tcPr>
                <w:p w14:paraId="71CB945B">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水浴锅</w:t>
                  </w:r>
                </w:p>
              </w:tc>
              <w:tc>
                <w:tcPr>
                  <w:tcW w:w="1965" w:type="pct"/>
                  <w:noWrap w:val="0"/>
                  <w:vAlign w:val="center"/>
                </w:tcPr>
                <w:p w14:paraId="405CF95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 xml:space="preserve"> DZKW-S-6</w:t>
                  </w:r>
                </w:p>
              </w:tc>
              <w:tc>
                <w:tcPr>
                  <w:tcW w:w="714" w:type="pct"/>
                  <w:noWrap w:val="0"/>
                  <w:vAlign w:val="center"/>
                </w:tcPr>
                <w:p w14:paraId="5D3B59C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2台</w:t>
                  </w:r>
                </w:p>
              </w:tc>
            </w:tr>
            <w:tr w14:paraId="4B93D3D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1CAFB62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37</w:t>
                  </w:r>
                </w:p>
              </w:tc>
              <w:tc>
                <w:tcPr>
                  <w:tcW w:w="1762" w:type="pct"/>
                  <w:noWrap w:val="0"/>
                  <w:vAlign w:val="center"/>
                </w:tcPr>
                <w:p w14:paraId="67B48700">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蛋白质测定仪</w:t>
                  </w:r>
                  <w:r>
                    <w:rPr>
                      <w:rStyle w:val="120"/>
                      <w:rFonts w:hint="default" w:ascii="Times New Roman" w:hAnsi="Times New Roman" w:eastAsia="宋体" w:cs="Times New Roman"/>
                      <w:color w:val="auto"/>
                      <w:sz w:val="21"/>
                      <w:szCs w:val="21"/>
                      <w:u w:val="none" w:color="auto"/>
                      <w:lang w:val="en-US" w:eastAsia="zh-CN" w:bidi="ar"/>
                    </w:rPr>
                    <w:t>+在线自动滴定仪</w:t>
                  </w:r>
                </w:p>
              </w:tc>
              <w:tc>
                <w:tcPr>
                  <w:tcW w:w="1965" w:type="pct"/>
                  <w:noWrap w:val="0"/>
                  <w:vAlign w:val="center"/>
                </w:tcPr>
                <w:p w14:paraId="402E8FD7">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 xml:space="preserve"> UDK169+DKL8</w:t>
                  </w:r>
                </w:p>
              </w:tc>
              <w:tc>
                <w:tcPr>
                  <w:tcW w:w="714" w:type="pct"/>
                  <w:noWrap w:val="0"/>
                  <w:vAlign w:val="center"/>
                </w:tcPr>
                <w:p w14:paraId="1E8319F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r>
            <w:tr w14:paraId="7E287C4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5CB48A8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38</w:t>
                  </w:r>
                </w:p>
              </w:tc>
              <w:tc>
                <w:tcPr>
                  <w:tcW w:w="1762" w:type="pct"/>
                  <w:noWrap w:val="0"/>
                  <w:vAlign w:val="center"/>
                </w:tcPr>
                <w:p w14:paraId="7E9F262C">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脂肪测定仪</w:t>
                  </w:r>
                </w:p>
              </w:tc>
              <w:tc>
                <w:tcPr>
                  <w:tcW w:w="1965" w:type="pct"/>
                  <w:noWrap w:val="0"/>
                  <w:vAlign w:val="center"/>
                </w:tcPr>
                <w:p w14:paraId="038A193A">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SHR158/6</w:t>
                  </w:r>
                </w:p>
              </w:tc>
              <w:tc>
                <w:tcPr>
                  <w:tcW w:w="714" w:type="pct"/>
                  <w:noWrap w:val="0"/>
                  <w:vAlign w:val="center"/>
                </w:tcPr>
                <w:p w14:paraId="7FDCBDC6">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r>
            <w:tr w14:paraId="6B32186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06E8AD7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39</w:t>
                  </w:r>
                </w:p>
              </w:tc>
              <w:tc>
                <w:tcPr>
                  <w:tcW w:w="1762" w:type="pct"/>
                  <w:noWrap w:val="0"/>
                  <w:vAlign w:val="center"/>
                </w:tcPr>
                <w:p w14:paraId="1651FEB5">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毛细管电泳仪（紫外检测器）</w:t>
                  </w:r>
                </w:p>
              </w:tc>
              <w:tc>
                <w:tcPr>
                  <w:tcW w:w="1965" w:type="pct"/>
                  <w:noWrap w:val="0"/>
                  <w:vAlign w:val="center"/>
                </w:tcPr>
                <w:p w14:paraId="0A23BAF4">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Cl1040</w:t>
                  </w:r>
                </w:p>
              </w:tc>
              <w:tc>
                <w:tcPr>
                  <w:tcW w:w="714" w:type="pct"/>
                  <w:noWrap w:val="0"/>
                  <w:vAlign w:val="center"/>
                </w:tcPr>
                <w:p w14:paraId="29E00E1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r>
            <w:tr w14:paraId="3070DB6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610198A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40</w:t>
                  </w:r>
                </w:p>
              </w:tc>
              <w:tc>
                <w:tcPr>
                  <w:tcW w:w="1762" w:type="pct"/>
                  <w:noWrap w:val="0"/>
                  <w:vAlign w:val="center"/>
                </w:tcPr>
                <w:p w14:paraId="69888B64">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 xml:space="preserve">全自动凝胶净化定量浓缩联机系统 </w:t>
                  </w:r>
                </w:p>
              </w:tc>
              <w:tc>
                <w:tcPr>
                  <w:tcW w:w="1965" w:type="pct"/>
                  <w:noWrap w:val="0"/>
                  <w:vAlign w:val="center"/>
                </w:tcPr>
                <w:p w14:paraId="3C46438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Freestyle GPC+EVA</w:t>
                  </w:r>
                </w:p>
              </w:tc>
              <w:tc>
                <w:tcPr>
                  <w:tcW w:w="714" w:type="pct"/>
                  <w:noWrap w:val="0"/>
                  <w:vAlign w:val="center"/>
                </w:tcPr>
                <w:p w14:paraId="4F89060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r>
            <w:tr w14:paraId="64D8416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2DE97016">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41</w:t>
                  </w:r>
                </w:p>
              </w:tc>
              <w:tc>
                <w:tcPr>
                  <w:tcW w:w="1762" w:type="pct"/>
                  <w:noWrap w:val="0"/>
                  <w:vAlign w:val="center"/>
                </w:tcPr>
                <w:p w14:paraId="72388F2A">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全自动控温旋光仪</w:t>
                  </w:r>
                </w:p>
              </w:tc>
              <w:tc>
                <w:tcPr>
                  <w:tcW w:w="1965" w:type="pct"/>
                  <w:noWrap w:val="0"/>
                  <w:vAlign w:val="center"/>
                </w:tcPr>
                <w:p w14:paraId="7ED0EDA2">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P850</w:t>
                  </w:r>
                </w:p>
              </w:tc>
              <w:tc>
                <w:tcPr>
                  <w:tcW w:w="714" w:type="pct"/>
                  <w:noWrap w:val="0"/>
                  <w:vAlign w:val="center"/>
                </w:tcPr>
                <w:p w14:paraId="7D90026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r>
            <w:tr w14:paraId="711D039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53ABF11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42</w:t>
                  </w:r>
                </w:p>
              </w:tc>
              <w:tc>
                <w:tcPr>
                  <w:tcW w:w="1762" w:type="pct"/>
                  <w:noWrap w:val="0"/>
                  <w:vAlign w:val="center"/>
                </w:tcPr>
                <w:p w14:paraId="20AA276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离心机</w:t>
                  </w:r>
                </w:p>
              </w:tc>
              <w:tc>
                <w:tcPr>
                  <w:tcW w:w="1965" w:type="pct"/>
                  <w:noWrap w:val="0"/>
                  <w:vAlign w:val="center"/>
                </w:tcPr>
                <w:p w14:paraId="7925252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HC-3018</w:t>
                  </w:r>
                </w:p>
              </w:tc>
              <w:tc>
                <w:tcPr>
                  <w:tcW w:w="714" w:type="pct"/>
                  <w:noWrap w:val="0"/>
                  <w:vAlign w:val="center"/>
                </w:tcPr>
                <w:p w14:paraId="7609717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2台</w:t>
                  </w:r>
                </w:p>
              </w:tc>
            </w:tr>
            <w:tr w14:paraId="44102AF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48DC4906">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43</w:t>
                  </w:r>
                </w:p>
              </w:tc>
              <w:tc>
                <w:tcPr>
                  <w:tcW w:w="1762" w:type="pct"/>
                  <w:noWrap w:val="0"/>
                  <w:vAlign w:val="center"/>
                </w:tcPr>
                <w:p w14:paraId="4737CF0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冷冻离心机</w:t>
                  </w:r>
                </w:p>
              </w:tc>
              <w:tc>
                <w:tcPr>
                  <w:tcW w:w="1965" w:type="pct"/>
                  <w:noWrap w:val="0"/>
                  <w:vAlign w:val="center"/>
                </w:tcPr>
                <w:p w14:paraId="49F470B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HC-3018R</w:t>
                  </w:r>
                </w:p>
              </w:tc>
              <w:tc>
                <w:tcPr>
                  <w:tcW w:w="714" w:type="pct"/>
                  <w:noWrap w:val="0"/>
                  <w:vAlign w:val="center"/>
                </w:tcPr>
                <w:p w14:paraId="773010E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r>
            <w:tr w14:paraId="7CA48CA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68A9112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44</w:t>
                  </w:r>
                </w:p>
              </w:tc>
              <w:tc>
                <w:tcPr>
                  <w:tcW w:w="1762" w:type="pct"/>
                  <w:noWrap w:val="0"/>
                  <w:vAlign w:val="center"/>
                </w:tcPr>
                <w:p w14:paraId="226F97B4">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生物显微镜，三目，四孔转换器</w:t>
                  </w:r>
                </w:p>
              </w:tc>
              <w:tc>
                <w:tcPr>
                  <w:tcW w:w="1965" w:type="pct"/>
                  <w:noWrap w:val="0"/>
                  <w:vAlign w:val="center"/>
                </w:tcPr>
                <w:p w14:paraId="67E0DECD">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XSP-300</w:t>
                  </w:r>
                </w:p>
              </w:tc>
              <w:tc>
                <w:tcPr>
                  <w:tcW w:w="714" w:type="pct"/>
                  <w:noWrap w:val="0"/>
                  <w:vAlign w:val="center"/>
                </w:tcPr>
                <w:p w14:paraId="01E4D5C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2台</w:t>
                  </w:r>
                </w:p>
              </w:tc>
            </w:tr>
            <w:tr w14:paraId="0388031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600981C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45</w:t>
                  </w:r>
                </w:p>
              </w:tc>
              <w:tc>
                <w:tcPr>
                  <w:tcW w:w="1762" w:type="pct"/>
                  <w:noWrap w:val="0"/>
                  <w:vAlign w:val="center"/>
                </w:tcPr>
                <w:p w14:paraId="101D521D">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高拍仪，A4,1000万像素，270°旋转镜头</w:t>
                  </w:r>
                  <w:r>
                    <w:rPr>
                      <w:rFonts w:hint="default" w:ascii="Times New Roman" w:hAnsi="Times New Roman" w:eastAsia="宋体" w:cs="Times New Roman"/>
                      <w:i w:val="0"/>
                      <w:iCs w:val="0"/>
                      <w:color w:val="auto"/>
                      <w:kern w:val="0"/>
                      <w:sz w:val="21"/>
                      <w:szCs w:val="21"/>
                      <w:u w:val="none" w:color="auto"/>
                      <w:lang w:val="en-US" w:eastAsia="zh-CN" w:bidi="ar"/>
                    </w:rPr>
                    <w:br w:type="textWrapping"/>
                  </w:r>
                  <w:r>
                    <w:rPr>
                      <w:rFonts w:hint="default" w:ascii="Times New Roman" w:hAnsi="Times New Roman" w:eastAsia="宋体" w:cs="Times New Roman"/>
                      <w:i w:val="0"/>
                      <w:iCs w:val="0"/>
                      <w:color w:val="auto"/>
                      <w:kern w:val="0"/>
                      <w:sz w:val="21"/>
                      <w:szCs w:val="21"/>
                      <w:u w:val="none" w:color="auto"/>
                      <w:lang w:val="en-US" w:eastAsia="zh-CN" w:bidi="ar"/>
                    </w:rPr>
                    <w:t>，视频拍照</w:t>
                  </w:r>
                </w:p>
              </w:tc>
              <w:tc>
                <w:tcPr>
                  <w:tcW w:w="1965" w:type="pct"/>
                  <w:noWrap w:val="0"/>
                  <w:vAlign w:val="center"/>
                </w:tcPr>
                <w:p w14:paraId="37BBDDC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S1010</w:t>
                  </w:r>
                </w:p>
              </w:tc>
              <w:tc>
                <w:tcPr>
                  <w:tcW w:w="714" w:type="pct"/>
                  <w:noWrap w:val="0"/>
                  <w:vAlign w:val="center"/>
                </w:tcPr>
                <w:p w14:paraId="475457E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3台</w:t>
                  </w:r>
                </w:p>
              </w:tc>
            </w:tr>
            <w:tr w14:paraId="253636E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3E1341F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rPr>
                  </w:pPr>
                  <w:r>
                    <w:rPr>
                      <w:rFonts w:hint="eastAsia" w:ascii="Times New Roman" w:hAnsi="Times New Roman" w:eastAsia="宋体" w:cs="Times New Roman"/>
                      <w:color w:val="auto"/>
                      <w:sz w:val="21"/>
                      <w:szCs w:val="21"/>
                      <w:u w:val="none" w:color="auto"/>
                      <w:lang w:val="en-US" w:eastAsia="zh-CN"/>
                    </w:rPr>
                    <w:t>46</w:t>
                  </w:r>
                </w:p>
              </w:tc>
              <w:tc>
                <w:tcPr>
                  <w:tcW w:w="1762" w:type="pct"/>
                  <w:noWrap w:val="0"/>
                  <w:vAlign w:val="center"/>
                </w:tcPr>
                <w:p w14:paraId="52C5597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自动进样瓶清洗机</w:t>
                  </w:r>
                </w:p>
              </w:tc>
              <w:tc>
                <w:tcPr>
                  <w:tcW w:w="1965" w:type="pct"/>
                  <w:noWrap w:val="0"/>
                  <w:vAlign w:val="center"/>
                </w:tcPr>
                <w:p w14:paraId="23175B7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Q720</w:t>
                  </w:r>
                </w:p>
              </w:tc>
              <w:tc>
                <w:tcPr>
                  <w:tcW w:w="714" w:type="pct"/>
                  <w:noWrap w:val="0"/>
                  <w:vAlign w:val="center"/>
                </w:tcPr>
                <w:p w14:paraId="5B3F3D86">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1</w:t>
                  </w:r>
                  <w:r>
                    <w:rPr>
                      <w:rFonts w:hint="default" w:ascii="Times New Roman" w:hAnsi="Times New Roman" w:eastAsia="宋体" w:cs="Times New Roman"/>
                      <w:color w:val="auto"/>
                      <w:sz w:val="21"/>
                      <w:szCs w:val="21"/>
                      <w:u w:val="none" w:color="auto"/>
                      <w:lang w:val="en-US" w:eastAsia="zh-CN"/>
                    </w:rPr>
                    <w:t>台</w:t>
                  </w:r>
                </w:p>
              </w:tc>
            </w:tr>
            <w:tr w14:paraId="0C8E7F7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0CE235E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47</w:t>
                  </w:r>
                </w:p>
              </w:tc>
              <w:tc>
                <w:tcPr>
                  <w:tcW w:w="1762" w:type="pct"/>
                  <w:noWrap w:val="0"/>
                  <w:vAlign w:val="center"/>
                </w:tcPr>
                <w:p w14:paraId="53C53284">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超低温冰箱（-40摄氏度）（卧式）</w:t>
                  </w:r>
                </w:p>
              </w:tc>
              <w:tc>
                <w:tcPr>
                  <w:tcW w:w="1965" w:type="pct"/>
                  <w:noWrap w:val="0"/>
                  <w:vAlign w:val="center"/>
                </w:tcPr>
                <w:p w14:paraId="5D0CB609">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 xml:space="preserve"> DW-FQ351</w:t>
                  </w:r>
                </w:p>
              </w:tc>
              <w:tc>
                <w:tcPr>
                  <w:tcW w:w="714" w:type="pct"/>
                  <w:noWrap w:val="0"/>
                  <w:vAlign w:val="center"/>
                </w:tcPr>
                <w:p w14:paraId="0DC73BF6">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r>
            <w:tr w14:paraId="0387626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6FFAF93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48</w:t>
                  </w:r>
                </w:p>
              </w:tc>
              <w:tc>
                <w:tcPr>
                  <w:tcW w:w="1762" w:type="pct"/>
                  <w:noWrap w:val="0"/>
                  <w:vAlign w:val="center"/>
                </w:tcPr>
                <w:p w14:paraId="35860C24">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超低温冰箱（-25摄氏度）</w:t>
                  </w:r>
                </w:p>
              </w:tc>
              <w:tc>
                <w:tcPr>
                  <w:tcW w:w="1965" w:type="pct"/>
                  <w:noWrap w:val="0"/>
                  <w:vAlign w:val="center"/>
                </w:tcPr>
                <w:p w14:paraId="1C5E926F">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 xml:space="preserve"> DW-YW196A</w:t>
                  </w:r>
                </w:p>
              </w:tc>
              <w:tc>
                <w:tcPr>
                  <w:tcW w:w="714" w:type="pct"/>
                  <w:noWrap w:val="0"/>
                  <w:vAlign w:val="center"/>
                </w:tcPr>
                <w:p w14:paraId="19F2891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4台</w:t>
                  </w:r>
                </w:p>
              </w:tc>
            </w:tr>
            <w:tr w14:paraId="5E4A3F1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7478152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49</w:t>
                  </w:r>
                </w:p>
              </w:tc>
              <w:tc>
                <w:tcPr>
                  <w:tcW w:w="1762" w:type="pct"/>
                  <w:noWrap w:val="0"/>
                  <w:vAlign w:val="center"/>
                </w:tcPr>
                <w:p w14:paraId="40B437A7">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冷藏柜（单、双玻璃门，双锁）</w:t>
                  </w:r>
                </w:p>
              </w:tc>
              <w:tc>
                <w:tcPr>
                  <w:tcW w:w="1965" w:type="pct"/>
                  <w:noWrap w:val="0"/>
                  <w:vAlign w:val="center"/>
                </w:tcPr>
                <w:p w14:paraId="4260B317">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YC-260L</w:t>
                  </w:r>
                </w:p>
              </w:tc>
              <w:tc>
                <w:tcPr>
                  <w:tcW w:w="714" w:type="pct"/>
                  <w:noWrap w:val="0"/>
                  <w:vAlign w:val="center"/>
                </w:tcPr>
                <w:p w14:paraId="44F91BE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8</w:t>
                  </w:r>
                  <w:r>
                    <w:rPr>
                      <w:rFonts w:hint="default" w:ascii="Times New Roman" w:hAnsi="Times New Roman" w:eastAsia="宋体" w:cs="Times New Roman"/>
                      <w:color w:val="auto"/>
                      <w:sz w:val="21"/>
                      <w:szCs w:val="21"/>
                      <w:u w:val="none" w:color="auto"/>
                      <w:lang w:val="en-US" w:eastAsia="zh-CN"/>
                    </w:rPr>
                    <w:t>台</w:t>
                  </w:r>
                </w:p>
              </w:tc>
            </w:tr>
            <w:tr w14:paraId="5B1D32E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3CFFE71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50</w:t>
                  </w:r>
                </w:p>
              </w:tc>
              <w:tc>
                <w:tcPr>
                  <w:tcW w:w="1762" w:type="pct"/>
                  <w:noWrap w:val="0"/>
                  <w:vAlign w:val="center"/>
                </w:tcPr>
                <w:p w14:paraId="1EBB70E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冷藏柜</w:t>
                  </w:r>
                </w:p>
              </w:tc>
              <w:tc>
                <w:tcPr>
                  <w:tcW w:w="1965" w:type="pct"/>
                  <w:noWrap w:val="0"/>
                  <w:vAlign w:val="center"/>
                </w:tcPr>
                <w:p w14:paraId="1B69915B">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YC-728A1L(GSP)</w:t>
                  </w:r>
                </w:p>
              </w:tc>
              <w:tc>
                <w:tcPr>
                  <w:tcW w:w="714" w:type="pct"/>
                  <w:noWrap w:val="0"/>
                  <w:vAlign w:val="center"/>
                </w:tcPr>
                <w:p w14:paraId="740E05C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2台</w:t>
                  </w:r>
                </w:p>
              </w:tc>
            </w:tr>
            <w:tr w14:paraId="67E2188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10819AE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44</w:t>
                  </w:r>
                </w:p>
              </w:tc>
              <w:tc>
                <w:tcPr>
                  <w:tcW w:w="1762" w:type="pct"/>
                  <w:noWrap w:val="0"/>
                  <w:vAlign w:val="center"/>
                </w:tcPr>
                <w:p w14:paraId="5EC0BB0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真空包装机</w:t>
                  </w:r>
                </w:p>
              </w:tc>
              <w:tc>
                <w:tcPr>
                  <w:tcW w:w="1965" w:type="pct"/>
                  <w:noWrap w:val="0"/>
                  <w:vAlign w:val="center"/>
                </w:tcPr>
                <w:p w14:paraId="30E152B5">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V320A</w:t>
                  </w:r>
                </w:p>
              </w:tc>
              <w:tc>
                <w:tcPr>
                  <w:tcW w:w="714" w:type="pct"/>
                  <w:noWrap w:val="0"/>
                  <w:vAlign w:val="center"/>
                </w:tcPr>
                <w:p w14:paraId="167453E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8</w:t>
                  </w:r>
                  <w:r>
                    <w:rPr>
                      <w:rFonts w:hint="default" w:ascii="Times New Roman" w:hAnsi="Times New Roman" w:eastAsia="宋体" w:cs="Times New Roman"/>
                      <w:color w:val="auto"/>
                      <w:sz w:val="21"/>
                      <w:szCs w:val="21"/>
                      <w:u w:val="none" w:color="auto"/>
                      <w:lang w:val="en-US" w:eastAsia="zh-CN"/>
                    </w:rPr>
                    <w:t>台</w:t>
                  </w:r>
                </w:p>
              </w:tc>
            </w:tr>
            <w:tr w14:paraId="605DC4B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489FF2E6">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51</w:t>
                  </w:r>
                </w:p>
              </w:tc>
              <w:tc>
                <w:tcPr>
                  <w:tcW w:w="1762" w:type="pct"/>
                  <w:noWrap w:val="0"/>
                  <w:vAlign w:val="center"/>
                </w:tcPr>
                <w:p w14:paraId="0DB8082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中央空调</w:t>
                  </w:r>
                </w:p>
              </w:tc>
              <w:tc>
                <w:tcPr>
                  <w:tcW w:w="1965" w:type="pct"/>
                  <w:noWrap w:val="0"/>
                  <w:vAlign w:val="center"/>
                </w:tcPr>
                <w:p w14:paraId="32CDCF3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KF-71LW/NY</w:t>
                  </w:r>
                </w:p>
              </w:tc>
              <w:tc>
                <w:tcPr>
                  <w:tcW w:w="714" w:type="pct"/>
                  <w:noWrap w:val="0"/>
                  <w:vAlign w:val="center"/>
                </w:tcPr>
                <w:p w14:paraId="36B96F3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rPr>
                    <w:t>8</w:t>
                  </w:r>
                  <w:r>
                    <w:rPr>
                      <w:rFonts w:hint="default" w:ascii="Times New Roman" w:hAnsi="Times New Roman" w:eastAsia="宋体" w:cs="Times New Roman"/>
                      <w:color w:val="auto"/>
                      <w:sz w:val="21"/>
                      <w:szCs w:val="21"/>
                      <w:u w:val="none" w:color="auto"/>
                      <w:lang w:val="en-US" w:eastAsia="zh-CN"/>
                    </w:rPr>
                    <w:t>台</w:t>
                  </w:r>
                </w:p>
              </w:tc>
            </w:tr>
            <w:tr w14:paraId="14BF988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09EE1B29">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52</w:t>
                  </w:r>
                </w:p>
              </w:tc>
              <w:tc>
                <w:tcPr>
                  <w:tcW w:w="1762" w:type="pct"/>
                  <w:noWrap w:val="0"/>
                  <w:vAlign w:val="center"/>
                </w:tcPr>
                <w:p w14:paraId="63BEC73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风机</w:t>
                  </w:r>
                </w:p>
              </w:tc>
              <w:tc>
                <w:tcPr>
                  <w:tcW w:w="1965" w:type="pct"/>
                  <w:noWrap w:val="0"/>
                  <w:vAlign w:val="center"/>
                </w:tcPr>
                <w:p w14:paraId="7A7A55D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5000</w:t>
                  </w:r>
                  <w:r>
                    <w:rPr>
                      <w:rFonts w:hint="default" w:ascii="Times New Roman" w:hAnsi="Times New Roman" w:eastAsia="宋体" w:cs="Times New Roman"/>
                      <w:color w:val="auto"/>
                      <w:sz w:val="21"/>
                      <w:szCs w:val="21"/>
                      <w:u w:val="none" w:color="auto"/>
                      <w:lang w:val="en-US" w:eastAsia="zh-CN"/>
                    </w:rPr>
                    <w:t>m</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/h</w:t>
                  </w:r>
                </w:p>
              </w:tc>
              <w:tc>
                <w:tcPr>
                  <w:tcW w:w="714" w:type="pct"/>
                  <w:noWrap w:val="0"/>
                  <w:vAlign w:val="center"/>
                </w:tcPr>
                <w:p w14:paraId="513343A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r>
            <w:tr w14:paraId="6C1DDE5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000" w:type="pct"/>
                  <w:gridSpan w:val="4"/>
                  <w:noWrap w:val="0"/>
                  <w:vAlign w:val="center"/>
                </w:tcPr>
                <w:p w14:paraId="7037935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eastAsia" w:cs="Times New Roman"/>
                      <w:color w:val="auto"/>
                      <w:sz w:val="21"/>
                      <w:szCs w:val="21"/>
                      <w:u w:val="none" w:color="auto"/>
                      <w:lang w:val="en-US" w:eastAsia="zh-CN"/>
                    </w:rPr>
                  </w:pPr>
                  <w:r>
                    <w:rPr>
                      <w:rFonts w:hint="eastAsia" w:cs="Times New Roman"/>
                      <w:b/>
                      <w:bCs/>
                      <w:color w:val="auto"/>
                      <w:sz w:val="21"/>
                      <w:szCs w:val="21"/>
                      <w:u w:val="none" w:color="auto"/>
                      <w:lang w:val="en-US" w:eastAsia="zh-CN"/>
                    </w:rPr>
                    <w:t>蜂蜜加工包装车间建设工程</w:t>
                  </w:r>
                </w:p>
              </w:tc>
            </w:tr>
            <w:tr w14:paraId="2CD2A44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42542846">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w:t>
                  </w:r>
                </w:p>
              </w:tc>
              <w:tc>
                <w:tcPr>
                  <w:tcW w:w="1762" w:type="pct"/>
                  <w:noWrap w:val="0"/>
                  <w:vAlign w:val="center"/>
                </w:tcPr>
                <w:p w14:paraId="18E4F68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真空浓缩机</w:t>
                  </w:r>
                </w:p>
              </w:tc>
              <w:tc>
                <w:tcPr>
                  <w:tcW w:w="1965" w:type="pct"/>
                  <w:noWrap w:val="0"/>
                  <w:vAlign w:val="center"/>
                </w:tcPr>
                <w:p w14:paraId="577F8479">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ZN-500</w:t>
                  </w:r>
                </w:p>
              </w:tc>
              <w:tc>
                <w:tcPr>
                  <w:tcW w:w="714" w:type="pct"/>
                  <w:noWrap w:val="0"/>
                  <w:vAlign w:val="center"/>
                </w:tcPr>
                <w:p w14:paraId="25EE35D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1台</w:t>
                  </w:r>
                </w:p>
              </w:tc>
            </w:tr>
            <w:tr w14:paraId="07C3C1D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42464F4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2</w:t>
                  </w:r>
                </w:p>
              </w:tc>
              <w:tc>
                <w:tcPr>
                  <w:tcW w:w="1762" w:type="pct"/>
                  <w:noWrap w:val="0"/>
                  <w:vAlign w:val="center"/>
                </w:tcPr>
                <w:p w14:paraId="5D74192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全自动灌装机</w:t>
                  </w:r>
                </w:p>
              </w:tc>
              <w:tc>
                <w:tcPr>
                  <w:tcW w:w="1965" w:type="pct"/>
                  <w:noWrap w:val="0"/>
                  <w:vAlign w:val="center"/>
                </w:tcPr>
                <w:p w14:paraId="1EA000B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GZ-200</w:t>
                  </w:r>
                </w:p>
              </w:tc>
              <w:tc>
                <w:tcPr>
                  <w:tcW w:w="714" w:type="pct"/>
                  <w:noWrap w:val="0"/>
                  <w:vAlign w:val="center"/>
                </w:tcPr>
                <w:p w14:paraId="28C5224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3台</w:t>
                  </w:r>
                </w:p>
              </w:tc>
            </w:tr>
            <w:tr w14:paraId="64F1436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3A09D4A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3</w:t>
                  </w:r>
                </w:p>
              </w:tc>
              <w:tc>
                <w:tcPr>
                  <w:tcW w:w="1762" w:type="pct"/>
                  <w:noWrap w:val="0"/>
                  <w:vAlign w:val="center"/>
                </w:tcPr>
                <w:p w14:paraId="2794C3D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离心分离机</w:t>
                  </w:r>
                </w:p>
              </w:tc>
              <w:tc>
                <w:tcPr>
                  <w:tcW w:w="1965" w:type="pct"/>
                  <w:noWrap w:val="0"/>
                  <w:vAlign w:val="center"/>
                </w:tcPr>
                <w:p w14:paraId="5826184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GF105</w:t>
                  </w:r>
                </w:p>
              </w:tc>
              <w:tc>
                <w:tcPr>
                  <w:tcW w:w="714" w:type="pct"/>
                  <w:noWrap w:val="0"/>
                  <w:vAlign w:val="center"/>
                </w:tcPr>
                <w:p w14:paraId="7E4F63B6">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1台</w:t>
                  </w:r>
                </w:p>
              </w:tc>
            </w:tr>
            <w:tr w14:paraId="53575B6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001AABE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4</w:t>
                  </w:r>
                </w:p>
              </w:tc>
              <w:tc>
                <w:tcPr>
                  <w:tcW w:w="1762" w:type="pct"/>
                  <w:noWrap w:val="0"/>
                  <w:vAlign w:val="center"/>
                </w:tcPr>
                <w:p w14:paraId="60E3149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皮带输送机</w:t>
                  </w:r>
                </w:p>
              </w:tc>
              <w:tc>
                <w:tcPr>
                  <w:tcW w:w="1965" w:type="pct"/>
                  <w:noWrap w:val="0"/>
                  <w:vAlign w:val="center"/>
                </w:tcPr>
                <w:p w14:paraId="2DF76C3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B650</w:t>
                  </w:r>
                </w:p>
              </w:tc>
              <w:tc>
                <w:tcPr>
                  <w:tcW w:w="714" w:type="pct"/>
                  <w:noWrap w:val="0"/>
                  <w:vAlign w:val="center"/>
                </w:tcPr>
                <w:p w14:paraId="4DC4AFE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2台</w:t>
                  </w:r>
                </w:p>
              </w:tc>
            </w:tr>
            <w:tr w14:paraId="038221D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000" w:type="pct"/>
                  <w:gridSpan w:val="4"/>
                  <w:noWrap w:val="0"/>
                  <w:vAlign w:val="center"/>
                </w:tcPr>
                <w:p w14:paraId="5356DDA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eastAsia" w:cs="Times New Roman"/>
                      <w:color w:val="auto"/>
                      <w:sz w:val="21"/>
                      <w:szCs w:val="21"/>
                      <w:u w:val="none" w:color="auto"/>
                      <w:lang w:val="en-US" w:eastAsia="zh-CN"/>
                    </w:rPr>
                  </w:pPr>
                  <w:r>
                    <w:rPr>
                      <w:rFonts w:hint="eastAsia" w:cs="Times New Roman"/>
                      <w:b/>
                      <w:bCs/>
                      <w:color w:val="auto"/>
                      <w:sz w:val="21"/>
                      <w:szCs w:val="21"/>
                      <w:u w:val="none" w:color="auto"/>
                      <w:lang w:val="en-US" w:eastAsia="zh-CN"/>
                    </w:rPr>
                    <w:t>中药材种苗培育基地建设项目</w:t>
                  </w:r>
                </w:p>
              </w:tc>
            </w:tr>
            <w:tr w14:paraId="127EE59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7D06588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w:t>
                  </w:r>
                </w:p>
              </w:tc>
              <w:tc>
                <w:tcPr>
                  <w:tcW w:w="1762" w:type="pct"/>
                  <w:noWrap w:val="0"/>
                  <w:vAlign w:val="center"/>
                </w:tcPr>
                <w:p w14:paraId="62FBB12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泵</w:t>
                  </w:r>
                </w:p>
              </w:tc>
              <w:tc>
                <w:tcPr>
                  <w:tcW w:w="1965" w:type="pct"/>
                  <w:noWrap w:val="0"/>
                  <w:vAlign w:val="center"/>
                </w:tcPr>
                <w:p w14:paraId="426114A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714" w:type="pct"/>
                  <w:noWrap w:val="0"/>
                  <w:vAlign w:val="center"/>
                </w:tcPr>
                <w:p w14:paraId="6DD1678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1台</w:t>
                  </w:r>
                </w:p>
              </w:tc>
            </w:tr>
            <w:tr w14:paraId="5CD0ECB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000" w:type="pct"/>
                  <w:gridSpan w:val="4"/>
                  <w:noWrap w:val="0"/>
                  <w:vAlign w:val="center"/>
                </w:tcPr>
                <w:p w14:paraId="2B5DA80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eastAsia" w:cs="Times New Roman"/>
                      <w:color w:val="auto"/>
                      <w:sz w:val="21"/>
                      <w:szCs w:val="21"/>
                      <w:u w:val="none" w:color="auto"/>
                      <w:lang w:val="en-US" w:eastAsia="zh-CN"/>
                    </w:rPr>
                  </w:pPr>
                  <w:r>
                    <w:rPr>
                      <w:rFonts w:hint="eastAsia" w:cs="Times New Roman"/>
                      <w:b/>
                      <w:bCs/>
                      <w:color w:val="auto"/>
                      <w:sz w:val="21"/>
                      <w:szCs w:val="21"/>
                      <w:u w:val="none" w:color="auto"/>
                      <w:lang w:val="en-US" w:eastAsia="zh-CN"/>
                    </w:rPr>
                    <w:t>中药材物流中转集散地建设工程</w:t>
                  </w:r>
                </w:p>
              </w:tc>
            </w:tr>
            <w:tr w14:paraId="255ABBE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31E1782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w:t>
                  </w:r>
                </w:p>
              </w:tc>
              <w:tc>
                <w:tcPr>
                  <w:tcW w:w="1762" w:type="pct"/>
                  <w:noWrap w:val="0"/>
                  <w:vAlign w:val="center"/>
                </w:tcPr>
                <w:p w14:paraId="2902F42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叉车</w:t>
                  </w:r>
                </w:p>
              </w:tc>
              <w:tc>
                <w:tcPr>
                  <w:tcW w:w="1965" w:type="pct"/>
                  <w:noWrap w:val="0"/>
                  <w:vAlign w:val="center"/>
                </w:tcPr>
                <w:p w14:paraId="5E28337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714" w:type="pct"/>
                  <w:noWrap w:val="0"/>
                  <w:vAlign w:val="center"/>
                </w:tcPr>
                <w:p w14:paraId="29578B0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eastAsia"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5台</w:t>
                  </w:r>
                </w:p>
              </w:tc>
            </w:tr>
            <w:tr w14:paraId="5F7B34E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57EFB8F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2</w:t>
                  </w:r>
                </w:p>
              </w:tc>
              <w:tc>
                <w:tcPr>
                  <w:tcW w:w="1762" w:type="pct"/>
                  <w:noWrap w:val="0"/>
                  <w:vAlign w:val="center"/>
                </w:tcPr>
                <w:p w14:paraId="743F1D9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手动液压搬运车</w:t>
                  </w:r>
                </w:p>
              </w:tc>
              <w:tc>
                <w:tcPr>
                  <w:tcW w:w="1965" w:type="pct"/>
                  <w:noWrap w:val="0"/>
                  <w:vAlign w:val="center"/>
                </w:tcPr>
                <w:p w14:paraId="11A36A0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714" w:type="pct"/>
                  <w:noWrap w:val="0"/>
                  <w:vAlign w:val="center"/>
                </w:tcPr>
                <w:p w14:paraId="4FD4AF2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eastAsia"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10台</w:t>
                  </w:r>
                </w:p>
              </w:tc>
            </w:tr>
            <w:tr w14:paraId="0F98F4B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11E3DFB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3</w:t>
                  </w:r>
                </w:p>
              </w:tc>
              <w:tc>
                <w:tcPr>
                  <w:tcW w:w="1762" w:type="pct"/>
                  <w:noWrap w:val="0"/>
                  <w:vAlign w:val="center"/>
                </w:tcPr>
                <w:p w14:paraId="5472C84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自动包装机</w:t>
                  </w:r>
                </w:p>
              </w:tc>
              <w:tc>
                <w:tcPr>
                  <w:tcW w:w="1965" w:type="pct"/>
                  <w:noWrap w:val="0"/>
                  <w:vAlign w:val="center"/>
                </w:tcPr>
                <w:p w14:paraId="3E13474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714" w:type="pct"/>
                  <w:noWrap w:val="0"/>
                  <w:vAlign w:val="center"/>
                </w:tcPr>
                <w:p w14:paraId="6655AB09">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eastAsia"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3台</w:t>
                  </w:r>
                </w:p>
              </w:tc>
            </w:tr>
            <w:tr w14:paraId="60B9865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734694DE">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4</w:t>
                  </w:r>
                </w:p>
              </w:tc>
              <w:tc>
                <w:tcPr>
                  <w:tcW w:w="1762" w:type="pct"/>
                  <w:noWrap w:val="0"/>
                  <w:vAlign w:val="center"/>
                </w:tcPr>
                <w:p w14:paraId="6BE1280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半自动捆扎机</w:t>
                  </w:r>
                </w:p>
              </w:tc>
              <w:tc>
                <w:tcPr>
                  <w:tcW w:w="1965" w:type="pct"/>
                  <w:noWrap w:val="0"/>
                  <w:vAlign w:val="center"/>
                </w:tcPr>
                <w:p w14:paraId="54805E8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714" w:type="pct"/>
                  <w:noWrap w:val="0"/>
                  <w:vAlign w:val="center"/>
                </w:tcPr>
                <w:p w14:paraId="73118CFE">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eastAsia"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3台</w:t>
                  </w:r>
                </w:p>
              </w:tc>
            </w:tr>
            <w:tr w14:paraId="5B18D4D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4069E23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5</w:t>
                  </w:r>
                </w:p>
              </w:tc>
              <w:tc>
                <w:tcPr>
                  <w:tcW w:w="1762" w:type="pct"/>
                  <w:noWrap w:val="0"/>
                  <w:vAlign w:val="center"/>
                </w:tcPr>
                <w:p w14:paraId="68797ED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真空包装机</w:t>
                  </w:r>
                </w:p>
              </w:tc>
              <w:tc>
                <w:tcPr>
                  <w:tcW w:w="1965" w:type="pct"/>
                  <w:noWrap w:val="0"/>
                  <w:vAlign w:val="center"/>
                </w:tcPr>
                <w:p w14:paraId="77C1285E">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714" w:type="pct"/>
                  <w:noWrap w:val="0"/>
                  <w:vAlign w:val="center"/>
                </w:tcPr>
                <w:p w14:paraId="57FFD94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eastAsia"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2台</w:t>
                  </w:r>
                </w:p>
              </w:tc>
            </w:tr>
            <w:tr w14:paraId="3E767A2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585E6685">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6</w:t>
                  </w:r>
                </w:p>
              </w:tc>
              <w:tc>
                <w:tcPr>
                  <w:tcW w:w="1762" w:type="pct"/>
                  <w:noWrap w:val="0"/>
                  <w:vAlign w:val="center"/>
                </w:tcPr>
                <w:p w14:paraId="5BD8E10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空气压缩机</w:t>
                  </w:r>
                </w:p>
              </w:tc>
              <w:tc>
                <w:tcPr>
                  <w:tcW w:w="1965" w:type="pct"/>
                  <w:noWrap w:val="0"/>
                  <w:vAlign w:val="center"/>
                </w:tcPr>
                <w:p w14:paraId="20CFD3B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714" w:type="pct"/>
                  <w:noWrap w:val="0"/>
                  <w:vAlign w:val="center"/>
                </w:tcPr>
                <w:p w14:paraId="2835405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1台</w:t>
                  </w:r>
                </w:p>
              </w:tc>
            </w:tr>
            <w:tr w14:paraId="0C1EA1A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5F928C3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7</w:t>
                  </w:r>
                </w:p>
              </w:tc>
              <w:tc>
                <w:tcPr>
                  <w:tcW w:w="1762" w:type="pct"/>
                  <w:noWrap w:val="0"/>
                  <w:vAlign w:val="center"/>
                </w:tcPr>
                <w:p w14:paraId="740687C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工业吸尘器</w:t>
                  </w:r>
                </w:p>
              </w:tc>
              <w:tc>
                <w:tcPr>
                  <w:tcW w:w="1965" w:type="pct"/>
                  <w:noWrap w:val="0"/>
                  <w:vAlign w:val="center"/>
                </w:tcPr>
                <w:p w14:paraId="707D8A4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714" w:type="pct"/>
                  <w:noWrap w:val="0"/>
                  <w:vAlign w:val="center"/>
                </w:tcPr>
                <w:p w14:paraId="6FA7C31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2台</w:t>
                  </w:r>
                </w:p>
              </w:tc>
            </w:tr>
            <w:tr w14:paraId="4E2069B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227" w:hRule="atLeast"/>
                <w:jc w:val="center"/>
              </w:trPr>
              <w:tc>
                <w:tcPr>
                  <w:tcW w:w="5000" w:type="pct"/>
                  <w:gridSpan w:val="4"/>
                  <w:noWrap w:val="0"/>
                  <w:vAlign w:val="center"/>
                </w:tcPr>
                <w:p w14:paraId="7238D0D0">
                  <w:pPr>
                    <w:keepNext w:val="0"/>
                    <w:keepLines w:val="0"/>
                    <w:widowControl/>
                    <w:suppressLineNumbers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Times New Roman" w:cs="Times New Roman"/>
                      <w:b/>
                      <w:bCs/>
                      <w:color w:val="auto"/>
                      <w:kern w:val="2"/>
                      <w:sz w:val="21"/>
                      <w:szCs w:val="21"/>
                      <w:u w:val="none" w:color="auto"/>
                      <w:lang w:val="en-US" w:eastAsia="zh-CN" w:bidi="zh-CN"/>
                    </w:rPr>
                    <w:t>中药材分拣包装晾晒车间建设项目</w:t>
                  </w:r>
                </w:p>
              </w:tc>
            </w:tr>
            <w:tr w14:paraId="062AF08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5D7C1BE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w:t>
                  </w:r>
                </w:p>
              </w:tc>
              <w:tc>
                <w:tcPr>
                  <w:tcW w:w="1762" w:type="pct"/>
                  <w:noWrap w:val="0"/>
                  <w:vAlign w:val="center"/>
                </w:tcPr>
                <w:p w14:paraId="73F298F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智能分拣系统</w:t>
                  </w:r>
                </w:p>
              </w:tc>
              <w:tc>
                <w:tcPr>
                  <w:tcW w:w="1965" w:type="pct"/>
                  <w:noWrap w:val="0"/>
                  <w:vAlign w:val="center"/>
                </w:tcPr>
                <w:p w14:paraId="1C7364E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cs="Times New Roman"/>
                      <w:color w:val="auto"/>
                      <w:sz w:val="21"/>
                      <w:szCs w:val="21"/>
                      <w:u w:val="none" w:color="auto"/>
                      <w:lang w:val="en-US" w:eastAsia="zh-CN"/>
                    </w:rPr>
                  </w:pPr>
                </w:p>
              </w:tc>
              <w:tc>
                <w:tcPr>
                  <w:tcW w:w="714" w:type="pct"/>
                  <w:shd w:val="clear" w:color="auto" w:fill="auto"/>
                  <w:noWrap w:val="0"/>
                  <w:vAlign w:val="center"/>
                </w:tcPr>
                <w:p w14:paraId="7034D8C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eastAsia" w:eastAsia="宋体" w:cs="Times New Roman"/>
                      <w:color w:val="auto"/>
                      <w:sz w:val="21"/>
                      <w:szCs w:val="21"/>
                      <w:u w:val="none" w:color="auto"/>
                      <w:lang w:val="en-US" w:eastAsia="zh-CN"/>
                    </w:rPr>
                    <w:t>3台</w:t>
                  </w:r>
                </w:p>
              </w:tc>
            </w:tr>
            <w:tr w14:paraId="0C02531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07D4DC5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2</w:t>
                  </w:r>
                </w:p>
              </w:tc>
              <w:tc>
                <w:tcPr>
                  <w:tcW w:w="1762" w:type="pct"/>
                  <w:shd w:val="clear" w:color="auto" w:fill="auto"/>
                  <w:noWrap w:val="0"/>
                  <w:vAlign w:val="center"/>
                </w:tcPr>
                <w:p w14:paraId="5BDB7E05">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自动包装机</w:t>
                  </w:r>
                </w:p>
              </w:tc>
              <w:tc>
                <w:tcPr>
                  <w:tcW w:w="1965" w:type="pct"/>
                  <w:noWrap w:val="0"/>
                  <w:vAlign w:val="center"/>
                </w:tcPr>
                <w:p w14:paraId="04EB7BB5">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cs="Times New Roman"/>
                      <w:color w:val="auto"/>
                      <w:sz w:val="21"/>
                      <w:szCs w:val="21"/>
                      <w:u w:val="none" w:color="auto"/>
                      <w:lang w:val="en-US" w:eastAsia="zh-CN"/>
                    </w:rPr>
                  </w:pPr>
                </w:p>
              </w:tc>
              <w:tc>
                <w:tcPr>
                  <w:tcW w:w="714" w:type="pct"/>
                  <w:shd w:val="clear" w:color="auto" w:fill="auto"/>
                  <w:noWrap w:val="0"/>
                  <w:vAlign w:val="center"/>
                </w:tcPr>
                <w:p w14:paraId="1C4079B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2台</w:t>
                  </w:r>
                </w:p>
              </w:tc>
            </w:tr>
            <w:tr w14:paraId="53E94A6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227" w:hRule="atLeast"/>
                <w:jc w:val="center"/>
              </w:trPr>
              <w:tc>
                <w:tcPr>
                  <w:tcW w:w="557" w:type="pct"/>
                  <w:noWrap w:val="0"/>
                  <w:vAlign w:val="center"/>
                </w:tcPr>
                <w:p w14:paraId="0AD0987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3</w:t>
                  </w:r>
                </w:p>
              </w:tc>
              <w:tc>
                <w:tcPr>
                  <w:tcW w:w="1762" w:type="pct"/>
                  <w:shd w:val="clear" w:color="auto" w:fill="auto"/>
                  <w:noWrap w:val="0"/>
                  <w:vAlign w:val="center"/>
                </w:tcPr>
                <w:p w14:paraId="0467162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半自动捆扎机</w:t>
                  </w:r>
                </w:p>
              </w:tc>
              <w:tc>
                <w:tcPr>
                  <w:tcW w:w="1965" w:type="pct"/>
                  <w:noWrap w:val="0"/>
                  <w:vAlign w:val="center"/>
                </w:tcPr>
                <w:p w14:paraId="161B55F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cs="Times New Roman"/>
                      <w:color w:val="auto"/>
                      <w:sz w:val="21"/>
                      <w:szCs w:val="21"/>
                      <w:u w:val="none" w:color="auto"/>
                      <w:lang w:val="en-US" w:eastAsia="zh-CN"/>
                    </w:rPr>
                  </w:pPr>
                </w:p>
              </w:tc>
              <w:tc>
                <w:tcPr>
                  <w:tcW w:w="714" w:type="pct"/>
                  <w:shd w:val="clear" w:color="auto" w:fill="auto"/>
                  <w:noWrap w:val="0"/>
                  <w:vAlign w:val="center"/>
                </w:tcPr>
                <w:p w14:paraId="4CF6BB45">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eastAsia" w:cs="Times New Roman"/>
                      <w:color w:val="auto"/>
                      <w:sz w:val="21"/>
                      <w:szCs w:val="21"/>
                      <w:u w:val="none" w:color="auto"/>
                      <w:lang w:val="en-US" w:eastAsia="zh-CN"/>
                    </w:rPr>
                    <w:t>1台</w:t>
                  </w:r>
                </w:p>
              </w:tc>
            </w:tr>
            <w:tr w14:paraId="51A1468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5713BF59">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4</w:t>
                  </w:r>
                </w:p>
              </w:tc>
              <w:tc>
                <w:tcPr>
                  <w:tcW w:w="1762" w:type="pct"/>
                  <w:shd w:val="clear" w:color="auto" w:fill="auto"/>
                  <w:noWrap w:val="0"/>
                  <w:vAlign w:val="center"/>
                </w:tcPr>
                <w:p w14:paraId="14E1A79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叉车</w:t>
                  </w:r>
                </w:p>
              </w:tc>
              <w:tc>
                <w:tcPr>
                  <w:tcW w:w="1965" w:type="pct"/>
                  <w:noWrap w:val="0"/>
                  <w:vAlign w:val="center"/>
                </w:tcPr>
                <w:p w14:paraId="08C2039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cs="Times New Roman"/>
                      <w:color w:val="auto"/>
                      <w:sz w:val="21"/>
                      <w:szCs w:val="21"/>
                      <w:u w:val="none" w:color="auto"/>
                      <w:lang w:val="en-US" w:eastAsia="zh-CN"/>
                    </w:rPr>
                  </w:pPr>
                </w:p>
              </w:tc>
              <w:tc>
                <w:tcPr>
                  <w:tcW w:w="714" w:type="pct"/>
                  <w:shd w:val="clear" w:color="auto" w:fill="auto"/>
                  <w:noWrap w:val="0"/>
                  <w:vAlign w:val="center"/>
                </w:tcPr>
                <w:p w14:paraId="00E4A2B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2台</w:t>
                  </w:r>
                </w:p>
              </w:tc>
            </w:tr>
            <w:tr w14:paraId="1654EE9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5CF51EA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5</w:t>
                  </w:r>
                </w:p>
              </w:tc>
              <w:tc>
                <w:tcPr>
                  <w:tcW w:w="1762" w:type="pct"/>
                  <w:shd w:val="clear" w:color="auto" w:fill="auto"/>
                  <w:noWrap w:val="0"/>
                  <w:vAlign w:val="center"/>
                </w:tcPr>
                <w:p w14:paraId="213D8B0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贴标机</w:t>
                  </w:r>
                </w:p>
              </w:tc>
              <w:tc>
                <w:tcPr>
                  <w:tcW w:w="1965" w:type="pct"/>
                  <w:noWrap w:val="0"/>
                  <w:vAlign w:val="center"/>
                </w:tcPr>
                <w:p w14:paraId="280048B5">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cs="Times New Roman"/>
                      <w:color w:val="auto"/>
                      <w:sz w:val="21"/>
                      <w:szCs w:val="21"/>
                      <w:u w:val="none" w:color="auto"/>
                      <w:lang w:val="en-US" w:eastAsia="zh-CN"/>
                    </w:rPr>
                  </w:pPr>
                </w:p>
              </w:tc>
              <w:tc>
                <w:tcPr>
                  <w:tcW w:w="714" w:type="pct"/>
                  <w:noWrap w:val="0"/>
                  <w:vAlign w:val="center"/>
                </w:tcPr>
                <w:p w14:paraId="6E26747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2台</w:t>
                  </w:r>
                </w:p>
              </w:tc>
            </w:tr>
            <w:tr w14:paraId="2ADAF1B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000" w:type="pct"/>
                  <w:gridSpan w:val="4"/>
                  <w:noWrap w:val="0"/>
                  <w:vAlign w:val="center"/>
                </w:tcPr>
                <w:p w14:paraId="703D744E">
                  <w:pPr>
                    <w:keepNext w:val="0"/>
                    <w:keepLines w:val="0"/>
                    <w:widowControl/>
                    <w:suppressLineNumbers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Times New Roman" w:cs="Times New Roman"/>
                      <w:b/>
                      <w:bCs/>
                      <w:color w:val="auto"/>
                      <w:kern w:val="2"/>
                      <w:sz w:val="21"/>
                      <w:szCs w:val="21"/>
                      <w:u w:val="none" w:color="auto"/>
                      <w:lang w:val="en-US" w:eastAsia="zh-CN" w:bidi="zh-CN"/>
                    </w:rPr>
                    <w:t>大湾乡中药材分拣包装晾晒车间建设工程</w:t>
                  </w:r>
                </w:p>
              </w:tc>
            </w:tr>
            <w:tr w14:paraId="4482A0F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227" w:hRule="atLeast"/>
                <w:jc w:val="center"/>
              </w:trPr>
              <w:tc>
                <w:tcPr>
                  <w:tcW w:w="557" w:type="pct"/>
                  <w:noWrap w:val="0"/>
                  <w:vAlign w:val="center"/>
                </w:tcPr>
                <w:p w14:paraId="2917CE0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w:t>
                  </w:r>
                </w:p>
              </w:tc>
              <w:tc>
                <w:tcPr>
                  <w:tcW w:w="1762" w:type="pct"/>
                  <w:shd w:val="clear" w:color="auto" w:fill="auto"/>
                  <w:noWrap w:val="0"/>
                  <w:vAlign w:val="center"/>
                </w:tcPr>
                <w:p w14:paraId="4331ED4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包装设备</w:t>
                  </w:r>
                </w:p>
              </w:tc>
              <w:tc>
                <w:tcPr>
                  <w:tcW w:w="1965" w:type="pct"/>
                  <w:noWrap w:val="0"/>
                  <w:vAlign w:val="center"/>
                </w:tcPr>
                <w:p w14:paraId="142B0C9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714" w:type="pct"/>
                  <w:noWrap w:val="0"/>
                  <w:vAlign w:val="center"/>
                </w:tcPr>
                <w:p w14:paraId="125B159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4台</w:t>
                  </w:r>
                </w:p>
              </w:tc>
            </w:tr>
            <w:tr w14:paraId="6010351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458786D9">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2</w:t>
                  </w:r>
                </w:p>
              </w:tc>
              <w:tc>
                <w:tcPr>
                  <w:tcW w:w="1762" w:type="pct"/>
                  <w:shd w:val="clear" w:color="auto" w:fill="auto"/>
                  <w:noWrap w:val="0"/>
                  <w:vAlign w:val="center"/>
                </w:tcPr>
                <w:p w14:paraId="37CE421E">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晾晒架</w:t>
                  </w:r>
                </w:p>
              </w:tc>
              <w:tc>
                <w:tcPr>
                  <w:tcW w:w="1965" w:type="pct"/>
                  <w:noWrap w:val="0"/>
                  <w:vAlign w:val="center"/>
                </w:tcPr>
                <w:p w14:paraId="1524CA56">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714" w:type="pct"/>
                  <w:noWrap w:val="0"/>
                  <w:vAlign w:val="center"/>
                </w:tcPr>
                <w:p w14:paraId="6E75CB5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50组</w:t>
                  </w:r>
                </w:p>
              </w:tc>
            </w:tr>
            <w:tr w14:paraId="6D8532E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20CE944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3</w:t>
                  </w:r>
                </w:p>
              </w:tc>
              <w:tc>
                <w:tcPr>
                  <w:tcW w:w="1762" w:type="pct"/>
                  <w:shd w:val="clear" w:color="auto" w:fill="auto"/>
                  <w:noWrap w:val="0"/>
                  <w:vAlign w:val="center"/>
                </w:tcPr>
                <w:p w14:paraId="50A6E5F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振动筛</w:t>
                  </w:r>
                </w:p>
              </w:tc>
              <w:tc>
                <w:tcPr>
                  <w:tcW w:w="1965" w:type="pct"/>
                  <w:noWrap w:val="0"/>
                  <w:vAlign w:val="center"/>
                </w:tcPr>
                <w:p w14:paraId="137382E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ZS-1000</w:t>
                  </w:r>
                </w:p>
              </w:tc>
              <w:tc>
                <w:tcPr>
                  <w:tcW w:w="714" w:type="pct"/>
                  <w:noWrap w:val="0"/>
                  <w:vAlign w:val="center"/>
                </w:tcPr>
                <w:p w14:paraId="450B7C77">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2台</w:t>
                  </w:r>
                </w:p>
              </w:tc>
            </w:tr>
            <w:tr w14:paraId="343B08F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2C62480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4</w:t>
                  </w:r>
                </w:p>
              </w:tc>
              <w:tc>
                <w:tcPr>
                  <w:tcW w:w="1762" w:type="pct"/>
                  <w:shd w:val="clear" w:color="auto" w:fill="auto"/>
                  <w:noWrap w:val="0"/>
                  <w:vAlign w:val="center"/>
                </w:tcPr>
                <w:p w14:paraId="2E03A58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色选机</w:t>
                  </w:r>
                </w:p>
              </w:tc>
              <w:tc>
                <w:tcPr>
                  <w:tcW w:w="1965" w:type="pct"/>
                  <w:noWrap w:val="0"/>
                  <w:vAlign w:val="center"/>
                </w:tcPr>
                <w:p w14:paraId="6743E06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CC-600</w:t>
                  </w:r>
                </w:p>
              </w:tc>
              <w:tc>
                <w:tcPr>
                  <w:tcW w:w="714" w:type="pct"/>
                  <w:noWrap w:val="0"/>
                  <w:vAlign w:val="center"/>
                </w:tcPr>
                <w:p w14:paraId="2304FB3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1台</w:t>
                  </w:r>
                </w:p>
              </w:tc>
            </w:tr>
            <w:tr w14:paraId="6675CAC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326024DF">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5</w:t>
                  </w:r>
                </w:p>
              </w:tc>
              <w:tc>
                <w:tcPr>
                  <w:tcW w:w="1762" w:type="pct"/>
                  <w:shd w:val="clear" w:color="auto" w:fill="auto"/>
                  <w:noWrap w:val="0"/>
                  <w:vAlign w:val="center"/>
                </w:tcPr>
                <w:p w14:paraId="2946975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封口机</w:t>
                  </w:r>
                </w:p>
              </w:tc>
              <w:tc>
                <w:tcPr>
                  <w:tcW w:w="1965" w:type="pct"/>
                  <w:noWrap w:val="0"/>
                  <w:vAlign w:val="center"/>
                </w:tcPr>
                <w:p w14:paraId="45B4A7B5">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FK-100</w:t>
                  </w:r>
                </w:p>
              </w:tc>
              <w:tc>
                <w:tcPr>
                  <w:tcW w:w="714" w:type="pct"/>
                  <w:noWrap w:val="0"/>
                  <w:vAlign w:val="center"/>
                </w:tcPr>
                <w:p w14:paraId="07FC7E8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3台</w:t>
                  </w:r>
                </w:p>
              </w:tc>
            </w:tr>
            <w:tr w14:paraId="0EEBDA3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57" w:type="pct"/>
                  <w:noWrap w:val="0"/>
                  <w:vAlign w:val="center"/>
                </w:tcPr>
                <w:p w14:paraId="148117CE">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6</w:t>
                  </w:r>
                </w:p>
              </w:tc>
              <w:tc>
                <w:tcPr>
                  <w:tcW w:w="1762" w:type="pct"/>
                  <w:shd w:val="clear" w:color="auto" w:fill="auto"/>
                  <w:noWrap w:val="0"/>
                  <w:vAlign w:val="center"/>
                </w:tcPr>
                <w:p w14:paraId="39CFE3B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打包机</w:t>
                  </w:r>
                </w:p>
              </w:tc>
              <w:tc>
                <w:tcPr>
                  <w:tcW w:w="1965" w:type="pct"/>
                  <w:noWrap w:val="0"/>
                  <w:vAlign w:val="center"/>
                </w:tcPr>
                <w:p w14:paraId="2157A52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DB-50</w:t>
                  </w:r>
                </w:p>
              </w:tc>
              <w:tc>
                <w:tcPr>
                  <w:tcW w:w="714" w:type="pct"/>
                  <w:noWrap w:val="0"/>
                  <w:vAlign w:val="center"/>
                </w:tcPr>
                <w:p w14:paraId="415F9374">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jc w:val="center"/>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1台</w:t>
                  </w:r>
                </w:p>
              </w:tc>
            </w:tr>
          </w:tbl>
          <w:p w14:paraId="4E070E8B">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eastAsia="仿宋_GB2312" w:cs="Times New Roman"/>
                <w:b w:val="0"/>
                <w:bCs/>
                <w:color w:val="auto"/>
                <w:sz w:val="24"/>
                <w:szCs w:val="24"/>
                <w:highlight w:val="none"/>
                <w:vertAlign w:val="baseline"/>
                <w:lang w:val="en-US" w:eastAsia="zh-CN"/>
              </w:rPr>
            </w:pPr>
            <w:r>
              <w:rPr>
                <w:rFonts w:hint="eastAsia" w:eastAsia="仿宋_GB2312" w:cs="Times New Roman"/>
                <w:b w:val="0"/>
                <w:bCs/>
                <w:color w:val="auto"/>
                <w:sz w:val="24"/>
                <w:szCs w:val="24"/>
                <w:highlight w:val="none"/>
                <w:vertAlign w:val="baseline"/>
                <w:lang w:val="en-US" w:eastAsia="zh-CN"/>
              </w:rPr>
              <w:t>(2)检测中心检测项目一览表</w:t>
            </w:r>
          </w:p>
          <w:p w14:paraId="6E13E6B0">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eastAsia="仿宋_GB2312" w:cs="Times New Roman"/>
                <w:b w:val="0"/>
                <w:bCs/>
                <w:color w:val="auto"/>
                <w:sz w:val="24"/>
                <w:szCs w:val="24"/>
                <w:highlight w:val="none"/>
                <w:vertAlign w:val="baseline"/>
                <w:lang w:val="en-US" w:eastAsia="zh-CN"/>
              </w:rPr>
            </w:pPr>
            <w:r>
              <w:rPr>
                <w:rFonts w:hint="default" w:eastAsia="仿宋_GB2312" w:cs="Times New Roman"/>
                <w:b w:val="0"/>
                <w:bCs/>
                <w:color w:val="auto"/>
                <w:sz w:val="24"/>
                <w:szCs w:val="24"/>
                <w:highlight w:val="none"/>
                <w:vertAlign w:val="baseline"/>
                <w:lang w:val="en-US" w:eastAsia="zh-CN"/>
              </w:rPr>
              <w:t>本项目</w:t>
            </w:r>
            <w:r>
              <w:rPr>
                <w:rFonts w:hint="eastAsia" w:eastAsia="仿宋_GB2312" w:cs="Times New Roman"/>
                <w:b w:val="0"/>
                <w:bCs/>
                <w:color w:val="auto"/>
                <w:sz w:val="24"/>
                <w:szCs w:val="24"/>
                <w:highlight w:val="none"/>
                <w:vertAlign w:val="baseline"/>
                <w:lang w:val="en-US" w:eastAsia="zh-CN"/>
              </w:rPr>
              <w:t>检测项目一览表</w:t>
            </w:r>
            <w:r>
              <w:rPr>
                <w:rFonts w:hint="default" w:eastAsia="仿宋_GB2312" w:cs="Times New Roman"/>
                <w:b w:val="0"/>
                <w:bCs/>
                <w:color w:val="auto"/>
                <w:sz w:val="24"/>
                <w:szCs w:val="24"/>
                <w:highlight w:val="none"/>
                <w:vertAlign w:val="baseline"/>
                <w:lang w:val="en-US" w:eastAsia="zh-CN"/>
              </w:rPr>
              <w:t>见表</w:t>
            </w:r>
            <w:r>
              <w:rPr>
                <w:rFonts w:hint="eastAsia" w:eastAsia="仿宋_GB2312" w:cs="Times New Roman"/>
                <w:b w:val="0"/>
                <w:bCs/>
                <w:color w:val="auto"/>
                <w:sz w:val="24"/>
                <w:szCs w:val="24"/>
                <w:highlight w:val="none"/>
                <w:vertAlign w:val="baseline"/>
                <w:lang w:val="en-US" w:eastAsia="zh-CN"/>
              </w:rPr>
              <w:t>6</w:t>
            </w:r>
            <w:r>
              <w:rPr>
                <w:rFonts w:hint="default" w:eastAsia="仿宋_GB2312" w:cs="Times New Roman"/>
                <w:b w:val="0"/>
                <w:bCs/>
                <w:color w:val="auto"/>
                <w:sz w:val="24"/>
                <w:szCs w:val="24"/>
                <w:highlight w:val="none"/>
                <w:vertAlign w:val="baseline"/>
                <w:lang w:val="en-US" w:eastAsia="zh-CN"/>
              </w:rPr>
              <w:t>。</w:t>
            </w:r>
          </w:p>
          <w:p w14:paraId="26E578DD">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auto"/>
              <w:rPr>
                <w:rFonts w:hint="eastAsia" w:ascii="Times New Roman" w:hAnsi="Times New Roman" w:eastAsia="宋体" w:cs="Times New Roman"/>
                <w:b/>
                <w:bCs/>
                <w:color w:val="auto"/>
                <w:u w:val="none" w:color="auto"/>
                <w:vertAlign w:val="baseline"/>
                <w:lang w:eastAsia="zh-CN"/>
              </w:rPr>
            </w:pPr>
            <w:r>
              <w:rPr>
                <w:rFonts w:hint="default" w:ascii="Times New Roman" w:hAnsi="Times New Roman" w:eastAsia="宋体" w:cs="Times New Roman"/>
                <w:b/>
                <w:bCs/>
                <w:color w:val="auto"/>
                <w:szCs w:val="21"/>
                <w:u w:val="none" w:color="auto"/>
              </w:rPr>
              <w:t>表</w:t>
            </w:r>
            <w:r>
              <w:rPr>
                <w:rFonts w:hint="eastAsia" w:ascii="Times New Roman" w:cs="Times New Roman"/>
                <w:b/>
                <w:bCs/>
                <w:color w:val="auto"/>
                <w:szCs w:val="21"/>
                <w:u w:val="none" w:color="auto"/>
                <w:lang w:val="en-US" w:eastAsia="zh-CN"/>
              </w:rPr>
              <w:t>6</w:t>
            </w:r>
            <w:r>
              <w:rPr>
                <w:rFonts w:hint="default" w:ascii="Times New Roman" w:hAnsi="Times New Roman" w:eastAsia="宋体" w:cs="Times New Roman"/>
                <w:b/>
                <w:bCs/>
                <w:color w:val="auto"/>
                <w:szCs w:val="21"/>
                <w:u w:val="none" w:color="auto"/>
              </w:rPr>
              <w:t xml:space="preserve">  </w:t>
            </w:r>
            <w:r>
              <w:rPr>
                <w:rFonts w:hint="eastAsia" w:ascii="Times New Roman" w:cs="Times New Roman"/>
                <w:b/>
                <w:bCs/>
                <w:color w:val="auto"/>
                <w:szCs w:val="21"/>
                <w:u w:val="none" w:color="auto"/>
                <w:lang w:val="en-US" w:eastAsia="zh-CN"/>
              </w:rPr>
              <w:t xml:space="preserve">                   </w:t>
            </w:r>
            <w:r>
              <w:rPr>
                <w:rFonts w:hint="eastAsia" w:cs="Times New Roman"/>
                <w:b/>
                <w:bCs/>
                <w:color w:val="auto"/>
                <w:szCs w:val="24"/>
                <w:u w:val="none" w:color="auto"/>
                <w:lang w:eastAsia="zh-CN"/>
              </w:rPr>
              <w:t>检测项目一览表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1"/>
              <w:gridCol w:w="707"/>
              <w:gridCol w:w="1190"/>
              <w:gridCol w:w="4135"/>
              <w:gridCol w:w="1645"/>
            </w:tblGrid>
            <w:tr w14:paraId="5BAA3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restart"/>
                  <w:noWrap w:val="0"/>
                  <w:vAlign w:val="center"/>
                </w:tcPr>
                <w:p w14:paraId="1629F7D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类别</w:t>
                  </w:r>
                </w:p>
              </w:tc>
              <w:tc>
                <w:tcPr>
                  <w:tcW w:w="1118" w:type="pct"/>
                  <w:gridSpan w:val="2"/>
                  <w:noWrap w:val="0"/>
                  <w:vAlign w:val="center"/>
                </w:tcPr>
                <w:p w14:paraId="4F13AA9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序号</w:t>
                  </w:r>
                  <w:r>
                    <w:rPr>
                      <w:rFonts w:hint="eastAsia" w:ascii="Times New Roman" w:hAnsi="Times New Roman" w:eastAsia="宋体" w:cs="Times New Roman"/>
                      <w:color w:val="auto"/>
                      <w:sz w:val="21"/>
                      <w:szCs w:val="21"/>
                      <w:u w:val="none" w:color="auto"/>
                      <w:vertAlign w:val="baseline"/>
                      <w:lang w:val="en-US" w:eastAsia="zh-CN"/>
                    </w:rPr>
                    <w:t>/项目</w:t>
                  </w:r>
                </w:p>
              </w:tc>
              <w:tc>
                <w:tcPr>
                  <w:tcW w:w="2438" w:type="pct"/>
                  <w:vMerge w:val="restart"/>
                  <w:noWrap w:val="0"/>
                  <w:vAlign w:val="center"/>
                </w:tcPr>
                <w:p w14:paraId="56B9288F">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依据的标准（方法）名称及编号（含年号）</w:t>
                  </w:r>
                </w:p>
              </w:tc>
              <w:tc>
                <w:tcPr>
                  <w:tcW w:w="970" w:type="pct"/>
                  <w:vMerge w:val="restart"/>
                  <w:noWrap w:val="0"/>
                  <w:vAlign w:val="center"/>
                </w:tcPr>
                <w:p w14:paraId="65776D6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限制范围</w:t>
                  </w:r>
                </w:p>
              </w:tc>
            </w:tr>
            <w:tr w14:paraId="1B0A3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3B216EDF">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556B840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序号</w:t>
                  </w:r>
                </w:p>
              </w:tc>
              <w:tc>
                <w:tcPr>
                  <w:tcW w:w="701" w:type="pct"/>
                  <w:noWrap w:val="0"/>
                  <w:vAlign w:val="center"/>
                </w:tcPr>
                <w:p w14:paraId="13A1045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名称</w:t>
                  </w:r>
                </w:p>
              </w:tc>
              <w:tc>
                <w:tcPr>
                  <w:tcW w:w="2438" w:type="pct"/>
                  <w:vMerge w:val="continue"/>
                  <w:noWrap w:val="0"/>
                  <w:vAlign w:val="center"/>
                </w:tcPr>
                <w:p w14:paraId="7C8B81CF">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970" w:type="pct"/>
                  <w:vMerge w:val="continue"/>
                  <w:noWrap w:val="0"/>
                  <w:vAlign w:val="center"/>
                </w:tcPr>
                <w:p w14:paraId="3992C4C7">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r>
            <w:tr w14:paraId="7B639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restart"/>
                  <w:noWrap w:val="0"/>
                  <w:vAlign w:val="center"/>
                </w:tcPr>
                <w:p w14:paraId="7EAC47F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中药材</w:t>
                  </w:r>
                </w:p>
              </w:tc>
              <w:tc>
                <w:tcPr>
                  <w:tcW w:w="416" w:type="pct"/>
                  <w:vMerge w:val="restart"/>
                  <w:noWrap w:val="0"/>
                  <w:vAlign w:val="center"/>
                </w:tcPr>
                <w:p w14:paraId="233619A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w:t>
                  </w:r>
                </w:p>
              </w:tc>
              <w:tc>
                <w:tcPr>
                  <w:tcW w:w="701" w:type="pct"/>
                  <w:vMerge w:val="restart"/>
                  <w:noWrap w:val="0"/>
                  <w:vAlign w:val="center"/>
                </w:tcPr>
                <w:p w14:paraId="719F46C7">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鉴别</w:t>
                  </w:r>
                </w:p>
              </w:tc>
              <w:tc>
                <w:tcPr>
                  <w:tcW w:w="2438" w:type="pct"/>
                  <w:noWrap w:val="0"/>
                  <w:vAlign w:val="center"/>
                </w:tcPr>
                <w:p w14:paraId="24A7A5DF">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2020年版四部通则0431质谱法</w:t>
                  </w:r>
                </w:p>
              </w:tc>
              <w:tc>
                <w:tcPr>
                  <w:tcW w:w="970" w:type="pct"/>
                  <w:noWrap w:val="0"/>
                  <w:vAlign w:val="center"/>
                </w:tcPr>
                <w:p w14:paraId="7745DBA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eastAsia="宋体" w:cs="Times New Roman"/>
                      <w:color w:val="auto"/>
                      <w:sz w:val="21"/>
                      <w:szCs w:val="21"/>
                      <w:u w:val="none" w:color="auto"/>
                      <w:vertAlign w:val="baseline"/>
                      <w:lang w:val="en-US" w:eastAsia="zh-CN"/>
                    </w:rPr>
                    <w:t>/</w:t>
                  </w:r>
                </w:p>
              </w:tc>
            </w:tr>
            <w:tr w14:paraId="6DE61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589E4DB4">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416" w:type="pct"/>
                  <w:vMerge w:val="continue"/>
                  <w:noWrap w:val="0"/>
                  <w:vAlign w:val="center"/>
                </w:tcPr>
                <w:p w14:paraId="5E25E038">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0A301F0F">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7755F937">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2020年版四部通则0301一般鉴别实验</w:t>
                  </w:r>
                </w:p>
              </w:tc>
              <w:tc>
                <w:tcPr>
                  <w:tcW w:w="970" w:type="pct"/>
                  <w:noWrap w:val="0"/>
                  <w:vAlign w:val="center"/>
                </w:tcPr>
                <w:p w14:paraId="5CEB500C">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eastAsia="宋体" w:cs="Times New Roman"/>
                      <w:color w:val="auto"/>
                      <w:sz w:val="21"/>
                      <w:szCs w:val="21"/>
                      <w:u w:val="none" w:color="auto"/>
                      <w:vertAlign w:val="baseline"/>
                      <w:lang w:val="en-US" w:eastAsia="zh-CN"/>
                    </w:rPr>
                    <w:t>/</w:t>
                  </w:r>
                </w:p>
              </w:tc>
            </w:tr>
            <w:tr w14:paraId="6B873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218450C6">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416" w:type="pct"/>
                  <w:vMerge w:val="continue"/>
                  <w:noWrap w:val="0"/>
                  <w:vAlign w:val="center"/>
                </w:tcPr>
                <w:p w14:paraId="3F5F37EC">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4526A04C">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22AC04D0">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2020年版四部通则0401紫外-可见分光光度法</w:t>
                  </w:r>
                </w:p>
              </w:tc>
              <w:tc>
                <w:tcPr>
                  <w:tcW w:w="970" w:type="pct"/>
                  <w:shd w:val="clear" w:color="auto" w:fill="auto"/>
                  <w:noWrap w:val="0"/>
                  <w:vAlign w:val="center"/>
                </w:tcPr>
                <w:p w14:paraId="312167EF">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29810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09EBB009">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416" w:type="pct"/>
                  <w:vMerge w:val="continue"/>
                  <w:noWrap w:val="0"/>
                  <w:vAlign w:val="center"/>
                </w:tcPr>
                <w:p w14:paraId="422AC5A5">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7BBEE57A">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327F05C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2020年版四部通则0501纸色谱法</w:t>
                  </w:r>
                </w:p>
              </w:tc>
              <w:tc>
                <w:tcPr>
                  <w:tcW w:w="970" w:type="pct"/>
                  <w:shd w:val="clear" w:color="auto" w:fill="auto"/>
                  <w:noWrap w:val="0"/>
                  <w:vAlign w:val="center"/>
                </w:tcPr>
                <w:p w14:paraId="659F9B58">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55FE4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0103E50F">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416" w:type="pct"/>
                  <w:vMerge w:val="continue"/>
                  <w:noWrap w:val="0"/>
                  <w:vAlign w:val="center"/>
                </w:tcPr>
                <w:p w14:paraId="62E47D9E">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1D19F069">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5266465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2020年版四部通则0502薄层色谱法</w:t>
                  </w:r>
                </w:p>
              </w:tc>
              <w:tc>
                <w:tcPr>
                  <w:tcW w:w="970" w:type="pct"/>
                  <w:shd w:val="clear" w:color="auto" w:fill="auto"/>
                  <w:noWrap w:val="0"/>
                  <w:vAlign w:val="center"/>
                </w:tcPr>
                <w:p w14:paraId="66F20E36">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6EBCE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5C146C38">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416" w:type="pct"/>
                  <w:vMerge w:val="continue"/>
                  <w:noWrap w:val="0"/>
                  <w:vAlign w:val="center"/>
                </w:tcPr>
                <w:p w14:paraId="51813C93">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16204AB0">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2FBD66B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2020年版四部通则0511柱色谱法</w:t>
                  </w:r>
                </w:p>
              </w:tc>
              <w:tc>
                <w:tcPr>
                  <w:tcW w:w="970" w:type="pct"/>
                  <w:shd w:val="clear" w:color="auto" w:fill="auto"/>
                  <w:noWrap w:val="0"/>
                  <w:vAlign w:val="center"/>
                </w:tcPr>
                <w:p w14:paraId="617DE1F2">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5C669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04DDC8ED">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416" w:type="pct"/>
                  <w:vMerge w:val="continue"/>
                  <w:noWrap w:val="0"/>
                  <w:vAlign w:val="center"/>
                </w:tcPr>
                <w:p w14:paraId="064C518E">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10F8FDD7">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42FB3D9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2020年版四部通则0512高效液相色谱法</w:t>
                  </w:r>
                </w:p>
              </w:tc>
              <w:tc>
                <w:tcPr>
                  <w:tcW w:w="970" w:type="pct"/>
                  <w:shd w:val="clear" w:color="auto" w:fill="auto"/>
                  <w:noWrap w:val="0"/>
                  <w:vAlign w:val="center"/>
                </w:tcPr>
                <w:p w14:paraId="2E1B0581">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009F1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2DC97CA6">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416" w:type="pct"/>
                  <w:vMerge w:val="continue"/>
                  <w:noWrap w:val="0"/>
                  <w:vAlign w:val="center"/>
                </w:tcPr>
                <w:p w14:paraId="3BF6E1C7">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58C25C57">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3303896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2020年版四部通则2001显微鉴别法</w:t>
                  </w:r>
                </w:p>
              </w:tc>
              <w:tc>
                <w:tcPr>
                  <w:tcW w:w="970" w:type="pct"/>
                  <w:shd w:val="clear" w:color="auto" w:fill="auto"/>
                  <w:noWrap w:val="0"/>
                  <w:vAlign w:val="center"/>
                </w:tcPr>
                <w:p w14:paraId="67AA60ED">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2DF48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11F51FC1">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416" w:type="pct"/>
                  <w:vMerge w:val="continue"/>
                  <w:noWrap w:val="0"/>
                  <w:vAlign w:val="center"/>
                </w:tcPr>
                <w:p w14:paraId="16A6B3BA">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4A5A451B">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149CC73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2020年版四部通则0521</w:t>
                  </w:r>
                  <w:r>
                    <w:rPr>
                      <w:rFonts w:hint="eastAsia" w:cs="Times New Roman"/>
                      <w:color w:val="auto"/>
                      <w:sz w:val="21"/>
                      <w:szCs w:val="21"/>
                      <w:u w:val="none" w:color="auto"/>
                      <w:vertAlign w:val="baseline"/>
                      <w:lang w:val="en-US" w:eastAsia="zh-CN"/>
                    </w:rPr>
                    <w:t>气相色谱法</w:t>
                  </w:r>
                </w:p>
              </w:tc>
              <w:tc>
                <w:tcPr>
                  <w:tcW w:w="970" w:type="pct"/>
                  <w:shd w:val="clear" w:color="auto" w:fill="auto"/>
                  <w:noWrap w:val="0"/>
                  <w:vAlign w:val="center"/>
                </w:tcPr>
                <w:p w14:paraId="6D1628C5">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1075F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158DEBAE">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416" w:type="pct"/>
                  <w:vMerge w:val="continue"/>
                  <w:noWrap w:val="0"/>
                  <w:vAlign w:val="center"/>
                </w:tcPr>
                <w:p w14:paraId="1549968F">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16D3630E">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317CFD15">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国家药品标准各论</w:t>
                  </w:r>
                </w:p>
              </w:tc>
              <w:tc>
                <w:tcPr>
                  <w:tcW w:w="970" w:type="pct"/>
                  <w:shd w:val="clear" w:color="auto" w:fill="auto"/>
                  <w:noWrap w:val="0"/>
                  <w:vAlign w:val="center"/>
                </w:tcPr>
                <w:p w14:paraId="20831708">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00622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7C5928F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7361D29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2</w:t>
                  </w:r>
                </w:p>
              </w:tc>
              <w:tc>
                <w:tcPr>
                  <w:tcW w:w="701" w:type="pct"/>
                  <w:noWrap w:val="0"/>
                  <w:vAlign w:val="center"/>
                </w:tcPr>
                <w:p w14:paraId="1F76A7E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检查</w:t>
                  </w:r>
                </w:p>
              </w:tc>
              <w:tc>
                <w:tcPr>
                  <w:tcW w:w="2438" w:type="pct"/>
                  <w:noWrap w:val="0"/>
                  <w:vAlign w:val="center"/>
                </w:tcPr>
                <w:p w14:paraId="6ACD4652">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2020年版四部通则0431质谱法</w:t>
                  </w:r>
                </w:p>
              </w:tc>
              <w:tc>
                <w:tcPr>
                  <w:tcW w:w="970" w:type="pct"/>
                  <w:shd w:val="clear" w:color="auto" w:fill="auto"/>
                  <w:noWrap w:val="0"/>
                  <w:vAlign w:val="center"/>
                </w:tcPr>
                <w:p w14:paraId="3CA929B4">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1B341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671271B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restart"/>
                  <w:noWrap w:val="0"/>
                  <w:vAlign w:val="center"/>
                </w:tcPr>
                <w:p w14:paraId="7C1F756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3</w:t>
                  </w:r>
                </w:p>
              </w:tc>
              <w:tc>
                <w:tcPr>
                  <w:tcW w:w="701" w:type="pct"/>
                  <w:vMerge w:val="restart"/>
                  <w:noWrap w:val="0"/>
                  <w:vAlign w:val="center"/>
                </w:tcPr>
                <w:p w14:paraId="1688465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含量测定</w:t>
                  </w:r>
                </w:p>
              </w:tc>
              <w:tc>
                <w:tcPr>
                  <w:tcW w:w="2438" w:type="pct"/>
                  <w:noWrap w:val="0"/>
                  <w:vAlign w:val="center"/>
                </w:tcPr>
                <w:p w14:paraId="07DC78B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2020年版四部通则0431质谱法</w:t>
                  </w:r>
                </w:p>
              </w:tc>
              <w:tc>
                <w:tcPr>
                  <w:tcW w:w="970" w:type="pct"/>
                  <w:shd w:val="clear" w:color="auto" w:fill="auto"/>
                  <w:noWrap w:val="0"/>
                  <w:vAlign w:val="center"/>
                </w:tcPr>
                <w:p w14:paraId="679A1FFD">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04645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7B2AC3E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continue"/>
                  <w:noWrap w:val="0"/>
                  <w:vAlign w:val="center"/>
                </w:tcPr>
                <w:p w14:paraId="4CDA81D6">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1A3FEE3C">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705F8EA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2020年版四部通则0401紫外-可见分光光度法</w:t>
                  </w:r>
                </w:p>
              </w:tc>
              <w:tc>
                <w:tcPr>
                  <w:tcW w:w="970" w:type="pct"/>
                  <w:shd w:val="clear" w:color="auto" w:fill="auto"/>
                  <w:noWrap w:val="0"/>
                  <w:vAlign w:val="center"/>
                </w:tcPr>
                <w:p w14:paraId="2BF1124B">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733B3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346F06E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continue"/>
                  <w:noWrap w:val="0"/>
                  <w:vAlign w:val="center"/>
                </w:tcPr>
                <w:p w14:paraId="2BF4D0DA">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74A83AD6">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7AEA842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2020年版四部通则0406原子吸收分光光度法</w:t>
                  </w:r>
                </w:p>
              </w:tc>
              <w:tc>
                <w:tcPr>
                  <w:tcW w:w="970" w:type="pct"/>
                  <w:shd w:val="clear" w:color="auto" w:fill="auto"/>
                  <w:noWrap w:val="0"/>
                  <w:vAlign w:val="center"/>
                </w:tcPr>
                <w:p w14:paraId="1B200241">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4E7D2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06509092">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continue"/>
                  <w:noWrap w:val="0"/>
                  <w:vAlign w:val="center"/>
                </w:tcPr>
                <w:p w14:paraId="7CD5D0B8">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19E0B18C">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4AA3C9E0">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2020年版四部通则0411电感耦合等离子原子发射光谱法</w:t>
                  </w:r>
                </w:p>
              </w:tc>
              <w:tc>
                <w:tcPr>
                  <w:tcW w:w="970" w:type="pct"/>
                  <w:shd w:val="clear" w:color="auto" w:fill="auto"/>
                  <w:noWrap w:val="0"/>
                  <w:vAlign w:val="center"/>
                </w:tcPr>
                <w:p w14:paraId="721AF6AC">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3AFED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5C9D3C7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continue"/>
                  <w:noWrap w:val="0"/>
                  <w:vAlign w:val="center"/>
                </w:tcPr>
                <w:p w14:paraId="7E8F51CC">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2E23ED1F">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40BFA31D">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2020年版四部通则0412电感耦合等离子体质谱法</w:t>
                  </w:r>
                </w:p>
              </w:tc>
              <w:tc>
                <w:tcPr>
                  <w:tcW w:w="970" w:type="pct"/>
                  <w:shd w:val="clear" w:color="auto" w:fill="auto"/>
                  <w:noWrap w:val="0"/>
                  <w:vAlign w:val="center"/>
                </w:tcPr>
                <w:p w14:paraId="1E250045">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134AF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437863F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continue"/>
                  <w:noWrap w:val="0"/>
                  <w:vAlign w:val="center"/>
                </w:tcPr>
                <w:p w14:paraId="0D4DDFB4">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5BEAB49E">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5D730C40">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2020年版四部通则0512高效液相色谱法</w:t>
                  </w:r>
                </w:p>
              </w:tc>
              <w:tc>
                <w:tcPr>
                  <w:tcW w:w="970" w:type="pct"/>
                  <w:shd w:val="clear" w:color="auto" w:fill="auto"/>
                  <w:noWrap w:val="0"/>
                  <w:vAlign w:val="center"/>
                </w:tcPr>
                <w:p w14:paraId="280D1357">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7E53C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67382EA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continue"/>
                  <w:noWrap w:val="0"/>
                  <w:vAlign w:val="center"/>
                </w:tcPr>
                <w:p w14:paraId="7425EB5B">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065244F4">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5FC0A2F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2020年版四部通则0513离子色谱法</w:t>
                  </w:r>
                </w:p>
              </w:tc>
              <w:tc>
                <w:tcPr>
                  <w:tcW w:w="970" w:type="pct"/>
                  <w:shd w:val="clear" w:color="auto" w:fill="auto"/>
                  <w:noWrap w:val="0"/>
                  <w:vAlign w:val="center"/>
                </w:tcPr>
                <w:p w14:paraId="5CAFB20E">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3C2E9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08124E9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continue"/>
                  <w:noWrap w:val="0"/>
                  <w:vAlign w:val="center"/>
                </w:tcPr>
                <w:p w14:paraId="17930AD1">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586A1399">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1B579A4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2020年版四部通则0521</w:t>
                  </w:r>
                  <w:r>
                    <w:rPr>
                      <w:rFonts w:hint="eastAsia" w:cs="Times New Roman"/>
                      <w:color w:val="auto"/>
                      <w:sz w:val="21"/>
                      <w:szCs w:val="21"/>
                      <w:u w:val="none" w:color="auto"/>
                      <w:vertAlign w:val="baseline"/>
                      <w:lang w:val="en-US" w:eastAsia="zh-CN"/>
                    </w:rPr>
                    <w:t>气相色谱法</w:t>
                  </w:r>
                </w:p>
              </w:tc>
              <w:tc>
                <w:tcPr>
                  <w:tcW w:w="970" w:type="pct"/>
                  <w:shd w:val="clear" w:color="auto" w:fill="auto"/>
                  <w:noWrap w:val="0"/>
                  <w:vAlign w:val="center"/>
                </w:tcPr>
                <w:p w14:paraId="0E9ADD35">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7F41E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54D9F40C">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continue"/>
                  <w:noWrap w:val="0"/>
                  <w:vAlign w:val="center"/>
                </w:tcPr>
                <w:p w14:paraId="56CC3DE0">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17595921">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7593AEF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2020年版四部通则0701电位滴定法与永停滴定法</w:t>
                  </w:r>
                </w:p>
              </w:tc>
              <w:tc>
                <w:tcPr>
                  <w:tcW w:w="970" w:type="pct"/>
                  <w:shd w:val="clear" w:color="auto" w:fill="auto"/>
                  <w:noWrap w:val="0"/>
                  <w:vAlign w:val="center"/>
                </w:tcPr>
                <w:p w14:paraId="441D3995">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67FE8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4DACE328">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continue"/>
                  <w:noWrap w:val="0"/>
                  <w:vAlign w:val="center"/>
                </w:tcPr>
                <w:p w14:paraId="006F14A9">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0C623025">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6F42CBE6">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2020年版各论容量分析法</w:t>
                  </w:r>
                </w:p>
              </w:tc>
              <w:tc>
                <w:tcPr>
                  <w:tcW w:w="970" w:type="pct"/>
                  <w:shd w:val="clear" w:color="auto" w:fill="auto"/>
                  <w:noWrap w:val="0"/>
                  <w:vAlign w:val="center"/>
                </w:tcPr>
                <w:p w14:paraId="30991533">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629F2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191234CC">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continue"/>
                  <w:noWrap w:val="0"/>
                  <w:vAlign w:val="center"/>
                </w:tcPr>
                <w:p w14:paraId="02956AD2">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28993FBD">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p>
              </w:tc>
              <w:tc>
                <w:tcPr>
                  <w:tcW w:w="2438" w:type="pct"/>
                  <w:noWrap w:val="0"/>
                  <w:vAlign w:val="center"/>
                </w:tcPr>
                <w:p w14:paraId="68614D4E">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2020年版各论重量分析法</w:t>
                  </w:r>
                </w:p>
              </w:tc>
              <w:tc>
                <w:tcPr>
                  <w:tcW w:w="970" w:type="pct"/>
                  <w:shd w:val="clear" w:color="auto" w:fill="auto"/>
                  <w:noWrap w:val="0"/>
                  <w:vAlign w:val="center"/>
                </w:tcPr>
                <w:p w14:paraId="4E596355">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606EB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7F19CA1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5AECD34F">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4</w:t>
                  </w:r>
                </w:p>
              </w:tc>
              <w:tc>
                <w:tcPr>
                  <w:tcW w:w="701" w:type="pct"/>
                  <w:noWrap w:val="0"/>
                  <w:vAlign w:val="center"/>
                </w:tcPr>
                <w:p w14:paraId="3B8BCEFC">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凝点</w:t>
                  </w:r>
                </w:p>
              </w:tc>
              <w:tc>
                <w:tcPr>
                  <w:tcW w:w="2438" w:type="pct"/>
                  <w:noWrap w:val="0"/>
                  <w:vAlign w:val="center"/>
                </w:tcPr>
                <w:p w14:paraId="38A1C71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2020年版四部通则0613凝点测定法</w:t>
                  </w:r>
                </w:p>
              </w:tc>
              <w:tc>
                <w:tcPr>
                  <w:tcW w:w="970" w:type="pct"/>
                  <w:noWrap w:val="0"/>
                  <w:vAlign w:val="center"/>
                </w:tcPr>
                <w:p w14:paraId="79D3D65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eastAsia="宋体" w:cs="Times New Roman"/>
                      <w:color w:val="auto"/>
                      <w:sz w:val="21"/>
                      <w:szCs w:val="21"/>
                      <w:u w:val="none" w:color="auto"/>
                      <w:vertAlign w:val="baseline"/>
                      <w:lang w:val="en-US" w:eastAsia="zh-CN"/>
                    </w:rPr>
                    <w:t>/</w:t>
                  </w:r>
                </w:p>
              </w:tc>
            </w:tr>
            <w:tr w14:paraId="21E58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3440C99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0D7C81C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5</w:t>
                  </w:r>
                </w:p>
              </w:tc>
              <w:tc>
                <w:tcPr>
                  <w:tcW w:w="701" w:type="pct"/>
                  <w:noWrap w:val="0"/>
                  <w:vAlign w:val="center"/>
                </w:tcPr>
                <w:p w14:paraId="13C4EDE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砷盐</w:t>
                  </w:r>
                </w:p>
              </w:tc>
              <w:tc>
                <w:tcPr>
                  <w:tcW w:w="2438" w:type="pct"/>
                  <w:noWrap w:val="0"/>
                  <w:vAlign w:val="center"/>
                </w:tcPr>
                <w:p w14:paraId="6A05558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2020年版四部通则0822砷盐检查法</w:t>
                  </w:r>
                </w:p>
              </w:tc>
              <w:tc>
                <w:tcPr>
                  <w:tcW w:w="970" w:type="pct"/>
                  <w:noWrap w:val="0"/>
                  <w:vAlign w:val="center"/>
                </w:tcPr>
                <w:p w14:paraId="274CE03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只用第二法</w:t>
                  </w:r>
                </w:p>
              </w:tc>
            </w:tr>
            <w:tr w14:paraId="5583B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75937ED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314D840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6</w:t>
                  </w:r>
                </w:p>
              </w:tc>
              <w:tc>
                <w:tcPr>
                  <w:tcW w:w="701" w:type="pct"/>
                  <w:noWrap w:val="0"/>
                  <w:vAlign w:val="center"/>
                </w:tcPr>
                <w:p w14:paraId="6180011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val="en-US" w:eastAsia="zh-CN"/>
                    </w:rPr>
                    <w:t>汞和砷元素形态及其价态</w:t>
                  </w:r>
                </w:p>
              </w:tc>
              <w:tc>
                <w:tcPr>
                  <w:tcW w:w="2438" w:type="pct"/>
                  <w:noWrap w:val="0"/>
                  <w:vAlign w:val="center"/>
                </w:tcPr>
                <w:p w14:paraId="7DDD950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2020年版四部通则2322汞和砷元素形态及其价态测定法</w:t>
                  </w:r>
                </w:p>
              </w:tc>
              <w:tc>
                <w:tcPr>
                  <w:tcW w:w="970" w:type="pct"/>
                  <w:shd w:val="clear" w:color="auto" w:fill="auto"/>
                  <w:noWrap w:val="0"/>
                  <w:vAlign w:val="center"/>
                </w:tcPr>
                <w:p w14:paraId="466FACDD">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77DE7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7A7A5A0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51CD7C17">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7</w:t>
                  </w:r>
                </w:p>
              </w:tc>
              <w:tc>
                <w:tcPr>
                  <w:tcW w:w="701" w:type="pct"/>
                  <w:noWrap w:val="0"/>
                  <w:vAlign w:val="center"/>
                </w:tcPr>
                <w:p w14:paraId="2B829EC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val="en-US" w:eastAsia="zh-CN"/>
                    </w:rPr>
                    <w:t>硝酸盐</w:t>
                  </w:r>
                </w:p>
              </w:tc>
              <w:tc>
                <w:tcPr>
                  <w:tcW w:w="2438" w:type="pct"/>
                  <w:noWrap w:val="0"/>
                  <w:vAlign w:val="center"/>
                </w:tcPr>
                <w:p w14:paraId="14299AC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w:t>
                  </w:r>
                  <w:r>
                    <w:rPr>
                      <w:rFonts w:hint="eastAsia" w:ascii="Times New Roman" w:hAnsi="Times New Roman" w:eastAsia="宋体" w:cs="Times New Roman"/>
                      <w:color w:val="auto"/>
                      <w:sz w:val="21"/>
                      <w:szCs w:val="21"/>
                      <w:u w:val="none" w:color="auto"/>
                      <w:vertAlign w:val="baseline"/>
                      <w:lang w:eastAsia="zh-CN"/>
                    </w:rPr>
                    <w:t>二部纯化水等各论</w:t>
                  </w:r>
                </w:p>
              </w:tc>
              <w:tc>
                <w:tcPr>
                  <w:tcW w:w="970" w:type="pct"/>
                  <w:shd w:val="clear" w:color="auto" w:fill="auto"/>
                  <w:noWrap w:val="0"/>
                  <w:vAlign w:val="center"/>
                </w:tcPr>
                <w:p w14:paraId="52B09F0E">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66CF7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23B6FDF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032B1AB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8</w:t>
                  </w:r>
                </w:p>
              </w:tc>
              <w:tc>
                <w:tcPr>
                  <w:tcW w:w="701" w:type="pct"/>
                  <w:noWrap w:val="0"/>
                  <w:vAlign w:val="center"/>
                </w:tcPr>
                <w:p w14:paraId="721EA83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val="en-US" w:eastAsia="zh-CN"/>
                    </w:rPr>
                    <w:t>亚硝酸盐</w:t>
                  </w:r>
                </w:p>
              </w:tc>
              <w:tc>
                <w:tcPr>
                  <w:tcW w:w="2438" w:type="pct"/>
                  <w:noWrap w:val="0"/>
                  <w:vAlign w:val="center"/>
                </w:tcPr>
                <w:p w14:paraId="3CB3531C">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w:t>
                  </w:r>
                  <w:r>
                    <w:rPr>
                      <w:rFonts w:hint="eastAsia" w:ascii="Times New Roman" w:hAnsi="Times New Roman" w:eastAsia="宋体" w:cs="Times New Roman"/>
                      <w:color w:val="auto"/>
                      <w:sz w:val="21"/>
                      <w:szCs w:val="21"/>
                      <w:u w:val="none" w:color="auto"/>
                      <w:vertAlign w:val="baseline"/>
                      <w:lang w:eastAsia="zh-CN"/>
                    </w:rPr>
                    <w:t>二部纯化水等各论</w:t>
                  </w:r>
                </w:p>
              </w:tc>
              <w:tc>
                <w:tcPr>
                  <w:tcW w:w="970" w:type="pct"/>
                  <w:shd w:val="clear" w:color="auto" w:fill="auto"/>
                  <w:noWrap w:val="0"/>
                  <w:vAlign w:val="center"/>
                </w:tcPr>
                <w:p w14:paraId="2E6027EF">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0E1DE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264C7F0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7EBC3D9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9</w:t>
                  </w:r>
                </w:p>
              </w:tc>
              <w:tc>
                <w:tcPr>
                  <w:tcW w:w="701" w:type="pct"/>
                  <w:noWrap w:val="0"/>
                  <w:vAlign w:val="center"/>
                </w:tcPr>
                <w:p w14:paraId="2F67998D">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氨</w:t>
                  </w:r>
                </w:p>
              </w:tc>
              <w:tc>
                <w:tcPr>
                  <w:tcW w:w="2438" w:type="pct"/>
                  <w:noWrap w:val="0"/>
                  <w:vAlign w:val="center"/>
                </w:tcPr>
                <w:p w14:paraId="05A391F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w:t>
                  </w:r>
                  <w:r>
                    <w:rPr>
                      <w:rFonts w:hint="eastAsia" w:ascii="Times New Roman" w:hAnsi="Times New Roman" w:eastAsia="宋体" w:cs="Times New Roman"/>
                      <w:color w:val="auto"/>
                      <w:sz w:val="21"/>
                      <w:szCs w:val="21"/>
                      <w:u w:val="none" w:color="auto"/>
                      <w:vertAlign w:val="baseline"/>
                      <w:lang w:eastAsia="zh-CN"/>
                    </w:rPr>
                    <w:t>二部纯化水等各论</w:t>
                  </w:r>
                </w:p>
              </w:tc>
              <w:tc>
                <w:tcPr>
                  <w:tcW w:w="970" w:type="pct"/>
                  <w:shd w:val="clear" w:color="auto" w:fill="auto"/>
                  <w:noWrap w:val="0"/>
                  <w:vAlign w:val="center"/>
                </w:tcPr>
                <w:p w14:paraId="6EC818F9">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0FAA6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4B47996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70FEFFC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10</w:t>
                  </w:r>
                </w:p>
              </w:tc>
              <w:tc>
                <w:tcPr>
                  <w:tcW w:w="701" w:type="pct"/>
                  <w:noWrap w:val="0"/>
                  <w:vAlign w:val="center"/>
                </w:tcPr>
                <w:p w14:paraId="54001409">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易氧化物</w:t>
                  </w:r>
                </w:p>
              </w:tc>
              <w:tc>
                <w:tcPr>
                  <w:tcW w:w="2438" w:type="pct"/>
                  <w:noWrap w:val="0"/>
                  <w:vAlign w:val="center"/>
                </w:tcPr>
                <w:p w14:paraId="39E496C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w:t>
                  </w:r>
                  <w:r>
                    <w:rPr>
                      <w:rFonts w:hint="eastAsia" w:ascii="Times New Roman" w:hAnsi="Times New Roman" w:eastAsia="宋体" w:cs="Times New Roman"/>
                      <w:color w:val="auto"/>
                      <w:sz w:val="21"/>
                      <w:szCs w:val="21"/>
                      <w:u w:val="none" w:color="auto"/>
                      <w:vertAlign w:val="baseline"/>
                      <w:lang w:eastAsia="zh-CN"/>
                    </w:rPr>
                    <w:t>二部纯化水等各论</w:t>
                  </w:r>
                </w:p>
              </w:tc>
              <w:tc>
                <w:tcPr>
                  <w:tcW w:w="970" w:type="pct"/>
                  <w:shd w:val="clear" w:color="auto" w:fill="auto"/>
                  <w:noWrap w:val="0"/>
                  <w:vAlign w:val="center"/>
                </w:tcPr>
                <w:p w14:paraId="77B78201">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6A891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2504794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2BB7060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11</w:t>
                  </w:r>
                </w:p>
              </w:tc>
              <w:tc>
                <w:tcPr>
                  <w:tcW w:w="701" w:type="pct"/>
                  <w:noWrap w:val="0"/>
                  <w:vAlign w:val="center"/>
                </w:tcPr>
                <w:p w14:paraId="75E6A9D1">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有关物质</w:t>
                  </w:r>
                </w:p>
              </w:tc>
              <w:tc>
                <w:tcPr>
                  <w:tcW w:w="2438" w:type="pct"/>
                  <w:noWrap w:val="0"/>
                  <w:vAlign w:val="center"/>
                </w:tcPr>
                <w:p w14:paraId="79C9D471">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w:t>
                  </w:r>
                  <w:r>
                    <w:rPr>
                      <w:rFonts w:hint="eastAsia" w:ascii="Times New Roman" w:hAnsi="Times New Roman" w:eastAsia="宋体" w:cs="Times New Roman"/>
                      <w:color w:val="auto"/>
                      <w:sz w:val="21"/>
                      <w:szCs w:val="21"/>
                      <w:u w:val="none" w:color="auto"/>
                      <w:vertAlign w:val="baseline"/>
                      <w:lang w:eastAsia="zh-CN"/>
                    </w:rPr>
                    <w:t>二部各论</w:t>
                  </w:r>
                </w:p>
              </w:tc>
              <w:tc>
                <w:tcPr>
                  <w:tcW w:w="970" w:type="pct"/>
                  <w:shd w:val="clear" w:color="auto" w:fill="auto"/>
                  <w:noWrap w:val="0"/>
                  <w:vAlign w:val="center"/>
                </w:tcPr>
                <w:p w14:paraId="29580E68">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6C547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08C33DC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6EB7C17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12</w:t>
                  </w:r>
                </w:p>
              </w:tc>
              <w:tc>
                <w:tcPr>
                  <w:tcW w:w="701" w:type="pct"/>
                  <w:noWrap w:val="0"/>
                  <w:vAlign w:val="center"/>
                </w:tcPr>
                <w:p w14:paraId="114FD03B">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不溶物</w:t>
                  </w:r>
                </w:p>
              </w:tc>
              <w:tc>
                <w:tcPr>
                  <w:tcW w:w="2438" w:type="pct"/>
                  <w:noWrap w:val="0"/>
                  <w:vAlign w:val="center"/>
                </w:tcPr>
                <w:p w14:paraId="3D43DD5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2020年版四部通则0183煎膏剂（膏滋）</w:t>
                  </w:r>
                </w:p>
              </w:tc>
              <w:tc>
                <w:tcPr>
                  <w:tcW w:w="970" w:type="pct"/>
                  <w:shd w:val="clear" w:color="auto" w:fill="auto"/>
                  <w:noWrap w:val="0"/>
                  <w:vAlign w:val="center"/>
                </w:tcPr>
                <w:p w14:paraId="6F6D6C88">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7BC5D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388190DF">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52C99F3C">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13</w:t>
                  </w:r>
                </w:p>
              </w:tc>
              <w:tc>
                <w:tcPr>
                  <w:tcW w:w="701" w:type="pct"/>
                  <w:noWrap w:val="0"/>
                  <w:vAlign w:val="center"/>
                </w:tcPr>
                <w:p w14:paraId="3456E0F5">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总固体</w:t>
                  </w:r>
                </w:p>
              </w:tc>
              <w:tc>
                <w:tcPr>
                  <w:tcW w:w="2438" w:type="pct"/>
                  <w:noWrap w:val="0"/>
                  <w:vAlign w:val="center"/>
                </w:tcPr>
                <w:p w14:paraId="58A3AB1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2020年版四部通则0185酒剂</w:t>
                  </w:r>
                </w:p>
              </w:tc>
              <w:tc>
                <w:tcPr>
                  <w:tcW w:w="970" w:type="pct"/>
                  <w:shd w:val="clear" w:color="auto" w:fill="auto"/>
                  <w:noWrap w:val="0"/>
                  <w:vAlign w:val="center"/>
                </w:tcPr>
                <w:p w14:paraId="7563A560">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51952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429E2F40">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3F9337C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14</w:t>
                  </w:r>
                </w:p>
              </w:tc>
              <w:tc>
                <w:tcPr>
                  <w:tcW w:w="701" w:type="pct"/>
                  <w:noWrap w:val="0"/>
                  <w:vAlign w:val="center"/>
                </w:tcPr>
                <w:p w14:paraId="045A2413">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铬</w:t>
                  </w:r>
                </w:p>
              </w:tc>
              <w:tc>
                <w:tcPr>
                  <w:tcW w:w="2438" w:type="pct"/>
                  <w:noWrap w:val="0"/>
                  <w:vAlign w:val="center"/>
                </w:tcPr>
                <w:p w14:paraId="2F8EB038">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2020年版四部通则0406原子吸收分光光度法</w:t>
                  </w:r>
                </w:p>
              </w:tc>
              <w:tc>
                <w:tcPr>
                  <w:tcW w:w="970" w:type="pct"/>
                  <w:shd w:val="clear" w:color="auto" w:fill="auto"/>
                  <w:noWrap w:val="0"/>
                  <w:vAlign w:val="center"/>
                </w:tcPr>
                <w:p w14:paraId="5BDC1D48">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19D03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1D955312">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57E34F8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15</w:t>
                  </w:r>
                </w:p>
              </w:tc>
              <w:tc>
                <w:tcPr>
                  <w:tcW w:w="701" w:type="pct"/>
                  <w:noWrap w:val="0"/>
                  <w:vAlign w:val="center"/>
                </w:tcPr>
                <w:p w14:paraId="42747F3E">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相对密度</w:t>
                  </w:r>
                </w:p>
              </w:tc>
              <w:tc>
                <w:tcPr>
                  <w:tcW w:w="2438" w:type="pct"/>
                  <w:noWrap w:val="0"/>
                  <w:vAlign w:val="center"/>
                </w:tcPr>
                <w:p w14:paraId="37543D7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0601相对密度测定法</w:t>
                  </w:r>
                </w:p>
              </w:tc>
              <w:tc>
                <w:tcPr>
                  <w:tcW w:w="970" w:type="pct"/>
                  <w:shd w:val="clear" w:color="auto" w:fill="auto"/>
                  <w:noWrap w:val="0"/>
                  <w:vAlign w:val="center"/>
                </w:tcPr>
                <w:p w14:paraId="34BEB1C5">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253A6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1336E128">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327EADF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16</w:t>
                  </w:r>
                </w:p>
              </w:tc>
              <w:tc>
                <w:tcPr>
                  <w:tcW w:w="701" w:type="pct"/>
                  <w:noWrap w:val="0"/>
                  <w:vAlign w:val="center"/>
                </w:tcPr>
                <w:p w14:paraId="79827A7C">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熔点</w:t>
                  </w:r>
                </w:p>
              </w:tc>
              <w:tc>
                <w:tcPr>
                  <w:tcW w:w="2438" w:type="pct"/>
                  <w:noWrap w:val="0"/>
                  <w:vAlign w:val="center"/>
                </w:tcPr>
                <w:p w14:paraId="4E3C91A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0612熔点测定法</w:t>
                  </w:r>
                </w:p>
              </w:tc>
              <w:tc>
                <w:tcPr>
                  <w:tcW w:w="970" w:type="pct"/>
                  <w:shd w:val="clear" w:color="auto" w:fill="auto"/>
                  <w:noWrap w:val="0"/>
                  <w:vAlign w:val="center"/>
                </w:tcPr>
                <w:p w14:paraId="1F78A72B">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2D35D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4F7B7BA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67B6BF3C">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17</w:t>
                  </w:r>
                </w:p>
              </w:tc>
              <w:tc>
                <w:tcPr>
                  <w:tcW w:w="701" w:type="pct"/>
                  <w:noWrap w:val="0"/>
                  <w:vAlign w:val="center"/>
                </w:tcPr>
                <w:p w14:paraId="3E293EDD">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旋光度</w:t>
                  </w:r>
                </w:p>
              </w:tc>
              <w:tc>
                <w:tcPr>
                  <w:tcW w:w="2438" w:type="pct"/>
                  <w:noWrap w:val="0"/>
                  <w:vAlign w:val="center"/>
                </w:tcPr>
                <w:p w14:paraId="24B09E3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0621旋光度测定法</w:t>
                  </w:r>
                </w:p>
              </w:tc>
              <w:tc>
                <w:tcPr>
                  <w:tcW w:w="970" w:type="pct"/>
                  <w:shd w:val="clear" w:color="auto" w:fill="auto"/>
                  <w:noWrap w:val="0"/>
                  <w:vAlign w:val="center"/>
                </w:tcPr>
                <w:p w14:paraId="0F5614C3">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426F5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70ADDD7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46403D0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18</w:t>
                  </w:r>
                </w:p>
              </w:tc>
              <w:tc>
                <w:tcPr>
                  <w:tcW w:w="701" w:type="pct"/>
                  <w:noWrap w:val="0"/>
                  <w:vAlign w:val="center"/>
                </w:tcPr>
                <w:p w14:paraId="27C26EE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pH值（酸度、酸碱度）</w:t>
                  </w:r>
                </w:p>
              </w:tc>
              <w:tc>
                <w:tcPr>
                  <w:tcW w:w="2438" w:type="pct"/>
                  <w:noWrap w:val="0"/>
                  <w:vAlign w:val="center"/>
                </w:tcPr>
                <w:p w14:paraId="588D8BD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0631pH值测定法</w:t>
                  </w:r>
                </w:p>
              </w:tc>
              <w:tc>
                <w:tcPr>
                  <w:tcW w:w="970" w:type="pct"/>
                  <w:shd w:val="clear" w:color="auto" w:fill="auto"/>
                  <w:noWrap w:val="0"/>
                  <w:vAlign w:val="center"/>
                </w:tcPr>
                <w:p w14:paraId="084DDDEF">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7AE4E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602EB07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6B7F90D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19</w:t>
                  </w:r>
                </w:p>
              </w:tc>
              <w:tc>
                <w:tcPr>
                  <w:tcW w:w="701" w:type="pct"/>
                  <w:noWrap w:val="0"/>
                  <w:vAlign w:val="center"/>
                </w:tcPr>
                <w:p w14:paraId="27276E1B">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氮测定</w:t>
                  </w:r>
                </w:p>
              </w:tc>
              <w:tc>
                <w:tcPr>
                  <w:tcW w:w="2438" w:type="pct"/>
                  <w:noWrap w:val="0"/>
                  <w:vAlign w:val="center"/>
                </w:tcPr>
                <w:p w14:paraId="6BD60BE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0704氮测定发</w:t>
                  </w:r>
                </w:p>
              </w:tc>
              <w:tc>
                <w:tcPr>
                  <w:tcW w:w="970" w:type="pct"/>
                  <w:shd w:val="clear" w:color="auto" w:fill="auto"/>
                  <w:noWrap w:val="0"/>
                  <w:vAlign w:val="center"/>
                </w:tcPr>
                <w:p w14:paraId="6375C01A">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377F7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0196D29F">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1FEBCD30">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20</w:t>
                  </w:r>
                </w:p>
              </w:tc>
              <w:tc>
                <w:tcPr>
                  <w:tcW w:w="701" w:type="pct"/>
                  <w:noWrap w:val="0"/>
                  <w:vAlign w:val="center"/>
                </w:tcPr>
                <w:p w14:paraId="3B0113ED">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脂肪与脂肪油</w:t>
                  </w:r>
                </w:p>
              </w:tc>
              <w:tc>
                <w:tcPr>
                  <w:tcW w:w="2438" w:type="pct"/>
                  <w:noWrap w:val="0"/>
                  <w:vAlign w:val="center"/>
                </w:tcPr>
                <w:p w14:paraId="3C345587">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0713脂肪与脂肪油测定法</w:t>
                  </w:r>
                </w:p>
              </w:tc>
              <w:tc>
                <w:tcPr>
                  <w:tcW w:w="970" w:type="pct"/>
                  <w:noWrap w:val="0"/>
                  <w:vAlign w:val="center"/>
                </w:tcPr>
                <w:p w14:paraId="5B7F085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cs="Times New Roman"/>
                      <w:color w:val="auto"/>
                      <w:sz w:val="21"/>
                      <w:szCs w:val="21"/>
                      <w:u w:val="none" w:color="auto"/>
                      <w:vertAlign w:val="baseline"/>
                      <w:lang w:eastAsia="zh-CN"/>
                    </w:rPr>
                    <w:t>不测折光率、脂肪酸凝点、不皂化物、甾醇组成、脂肪酸组成、碱性杂质、甲氧基苯胺值、反式脂肪酸</w:t>
                  </w:r>
                </w:p>
              </w:tc>
            </w:tr>
            <w:tr w14:paraId="4A8C4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7C8C43E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6D2E247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21</w:t>
                  </w:r>
                </w:p>
              </w:tc>
              <w:tc>
                <w:tcPr>
                  <w:tcW w:w="701" w:type="pct"/>
                  <w:noWrap w:val="0"/>
                  <w:vAlign w:val="center"/>
                </w:tcPr>
                <w:p w14:paraId="2ECCCB63">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氯化物</w:t>
                  </w:r>
                </w:p>
              </w:tc>
              <w:tc>
                <w:tcPr>
                  <w:tcW w:w="2438" w:type="pct"/>
                  <w:noWrap w:val="0"/>
                  <w:vAlign w:val="center"/>
                </w:tcPr>
                <w:p w14:paraId="2E11584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0801氯化物检查法</w:t>
                  </w:r>
                </w:p>
              </w:tc>
              <w:tc>
                <w:tcPr>
                  <w:tcW w:w="970" w:type="pct"/>
                  <w:shd w:val="clear" w:color="auto" w:fill="auto"/>
                  <w:noWrap w:val="0"/>
                  <w:vAlign w:val="center"/>
                </w:tcPr>
                <w:p w14:paraId="08C02BF9">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3457D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6741AA0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607E8A3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22</w:t>
                  </w:r>
                </w:p>
              </w:tc>
              <w:tc>
                <w:tcPr>
                  <w:tcW w:w="701" w:type="pct"/>
                  <w:noWrap w:val="0"/>
                  <w:vAlign w:val="center"/>
                </w:tcPr>
                <w:p w14:paraId="06D0E43A">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硫酸盐</w:t>
                  </w:r>
                </w:p>
              </w:tc>
              <w:tc>
                <w:tcPr>
                  <w:tcW w:w="2438" w:type="pct"/>
                  <w:noWrap w:val="0"/>
                  <w:vAlign w:val="center"/>
                </w:tcPr>
                <w:p w14:paraId="3DF96038">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0802硫酸盐检查法</w:t>
                  </w:r>
                </w:p>
              </w:tc>
              <w:tc>
                <w:tcPr>
                  <w:tcW w:w="970" w:type="pct"/>
                  <w:shd w:val="clear" w:color="auto" w:fill="auto"/>
                  <w:noWrap w:val="0"/>
                  <w:vAlign w:val="center"/>
                </w:tcPr>
                <w:p w14:paraId="56EA6AAF">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65FC3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51D96C08">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218EC98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23</w:t>
                  </w:r>
                </w:p>
              </w:tc>
              <w:tc>
                <w:tcPr>
                  <w:tcW w:w="701" w:type="pct"/>
                  <w:noWrap w:val="0"/>
                  <w:vAlign w:val="center"/>
                </w:tcPr>
                <w:p w14:paraId="3E4D1CB0">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硫化物</w:t>
                  </w:r>
                </w:p>
              </w:tc>
              <w:tc>
                <w:tcPr>
                  <w:tcW w:w="2438" w:type="pct"/>
                  <w:noWrap w:val="0"/>
                  <w:vAlign w:val="center"/>
                </w:tcPr>
                <w:p w14:paraId="7B3DEA38">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0803硫化物检查法</w:t>
                  </w:r>
                </w:p>
              </w:tc>
              <w:tc>
                <w:tcPr>
                  <w:tcW w:w="970" w:type="pct"/>
                  <w:shd w:val="clear" w:color="auto" w:fill="auto"/>
                  <w:noWrap w:val="0"/>
                  <w:vAlign w:val="center"/>
                </w:tcPr>
                <w:p w14:paraId="28BEFE84">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6F436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3D834BA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5FBCBDC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24</w:t>
                  </w:r>
                </w:p>
              </w:tc>
              <w:tc>
                <w:tcPr>
                  <w:tcW w:w="701" w:type="pct"/>
                  <w:noWrap w:val="0"/>
                  <w:vAlign w:val="center"/>
                </w:tcPr>
                <w:p w14:paraId="22A6A9A5">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硒</w:t>
                  </w:r>
                </w:p>
              </w:tc>
              <w:tc>
                <w:tcPr>
                  <w:tcW w:w="2438" w:type="pct"/>
                  <w:noWrap w:val="0"/>
                  <w:vAlign w:val="center"/>
                </w:tcPr>
                <w:p w14:paraId="15A7BC7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0804硒检查法</w:t>
                  </w:r>
                </w:p>
              </w:tc>
              <w:tc>
                <w:tcPr>
                  <w:tcW w:w="970" w:type="pct"/>
                  <w:shd w:val="clear" w:color="auto" w:fill="auto"/>
                  <w:noWrap w:val="0"/>
                  <w:vAlign w:val="center"/>
                </w:tcPr>
                <w:p w14:paraId="31B0BD3A">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5EEC8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7964A36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35935DE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25</w:t>
                  </w:r>
                </w:p>
              </w:tc>
              <w:tc>
                <w:tcPr>
                  <w:tcW w:w="701" w:type="pct"/>
                  <w:noWrap w:val="0"/>
                  <w:vAlign w:val="center"/>
                </w:tcPr>
                <w:p w14:paraId="6917FF14">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氟</w:t>
                  </w:r>
                </w:p>
              </w:tc>
              <w:tc>
                <w:tcPr>
                  <w:tcW w:w="2438" w:type="pct"/>
                  <w:noWrap w:val="0"/>
                  <w:vAlign w:val="center"/>
                </w:tcPr>
                <w:p w14:paraId="7D70A167">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0805氟检查法</w:t>
                  </w:r>
                </w:p>
              </w:tc>
              <w:tc>
                <w:tcPr>
                  <w:tcW w:w="970" w:type="pct"/>
                  <w:shd w:val="clear" w:color="auto" w:fill="auto"/>
                  <w:noWrap w:val="0"/>
                  <w:vAlign w:val="center"/>
                </w:tcPr>
                <w:p w14:paraId="4CFF5810">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1DBB3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2641A0F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77CCFAE2">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26</w:t>
                  </w:r>
                </w:p>
              </w:tc>
              <w:tc>
                <w:tcPr>
                  <w:tcW w:w="701" w:type="pct"/>
                  <w:noWrap w:val="0"/>
                  <w:vAlign w:val="center"/>
                </w:tcPr>
                <w:p w14:paraId="6589468B">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氰化物</w:t>
                  </w:r>
                </w:p>
              </w:tc>
              <w:tc>
                <w:tcPr>
                  <w:tcW w:w="2438" w:type="pct"/>
                  <w:noWrap w:val="0"/>
                  <w:vAlign w:val="center"/>
                </w:tcPr>
                <w:p w14:paraId="327F0A5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0806氰化物检查法</w:t>
                  </w:r>
                </w:p>
              </w:tc>
              <w:tc>
                <w:tcPr>
                  <w:tcW w:w="970" w:type="pct"/>
                  <w:shd w:val="clear" w:color="auto" w:fill="auto"/>
                  <w:noWrap w:val="0"/>
                  <w:vAlign w:val="center"/>
                </w:tcPr>
                <w:p w14:paraId="71FCC77C">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2076B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7ABB309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4536F55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27</w:t>
                  </w:r>
                </w:p>
              </w:tc>
              <w:tc>
                <w:tcPr>
                  <w:tcW w:w="701" w:type="pct"/>
                  <w:noWrap w:val="0"/>
                  <w:vAlign w:val="center"/>
                </w:tcPr>
                <w:p w14:paraId="1C622FBD">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铁盐</w:t>
                  </w:r>
                </w:p>
              </w:tc>
              <w:tc>
                <w:tcPr>
                  <w:tcW w:w="2438" w:type="pct"/>
                  <w:noWrap w:val="0"/>
                  <w:vAlign w:val="center"/>
                </w:tcPr>
                <w:p w14:paraId="7CE8FA2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0807盐检查法</w:t>
                  </w:r>
                </w:p>
              </w:tc>
              <w:tc>
                <w:tcPr>
                  <w:tcW w:w="970" w:type="pct"/>
                  <w:shd w:val="clear" w:color="auto" w:fill="auto"/>
                  <w:noWrap w:val="0"/>
                  <w:vAlign w:val="center"/>
                </w:tcPr>
                <w:p w14:paraId="796C1B65">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380FF8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5C702AF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0253F2C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28</w:t>
                  </w:r>
                </w:p>
              </w:tc>
              <w:tc>
                <w:tcPr>
                  <w:tcW w:w="701" w:type="pct"/>
                  <w:noWrap w:val="0"/>
                  <w:vAlign w:val="center"/>
                </w:tcPr>
                <w:p w14:paraId="6CA92A32">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铵盐</w:t>
                  </w:r>
                </w:p>
              </w:tc>
              <w:tc>
                <w:tcPr>
                  <w:tcW w:w="2438" w:type="pct"/>
                  <w:noWrap w:val="0"/>
                  <w:vAlign w:val="center"/>
                </w:tcPr>
                <w:p w14:paraId="07055CB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0808铵盐检查法</w:t>
                  </w:r>
                </w:p>
              </w:tc>
              <w:tc>
                <w:tcPr>
                  <w:tcW w:w="970" w:type="pct"/>
                  <w:shd w:val="clear" w:color="auto" w:fill="auto"/>
                  <w:noWrap w:val="0"/>
                  <w:vAlign w:val="center"/>
                </w:tcPr>
                <w:p w14:paraId="59DD9F54">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5F3A1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15D271C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49343A9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29</w:t>
                  </w:r>
                </w:p>
              </w:tc>
              <w:tc>
                <w:tcPr>
                  <w:tcW w:w="701" w:type="pct"/>
                  <w:noWrap w:val="0"/>
                  <w:vAlign w:val="center"/>
                </w:tcPr>
                <w:p w14:paraId="6D86FC98">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重金属</w:t>
                  </w:r>
                </w:p>
              </w:tc>
              <w:tc>
                <w:tcPr>
                  <w:tcW w:w="2438" w:type="pct"/>
                  <w:noWrap w:val="0"/>
                  <w:vAlign w:val="center"/>
                </w:tcPr>
                <w:p w14:paraId="0D9E6568">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0821重金属检查法</w:t>
                  </w:r>
                </w:p>
              </w:tc>
              <w:tc>
                <w:tcPr>
                  <w:tcW w:w="970" w:type="pct"/>
                  <w:shd w:val="clear" w:color="auto" w:fill="auto"/>
                  <w:noWrap w:val="0"/>
                  <w:vAlign w:val="center"/>
                </w:tcPr>
                <w:p w14:paraId="5892168C">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45E7C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70132F2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11ACEAC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30</w:t>
                  </w:r>
                </w:p>
              </w:tc>
              <w:tc>
                <w:tcPr>
                  <w:tcW w:w="701" w:type="pct"/>
                  <w:noWrap w:val="0"/>
                  <w:vAlign w:val="center"/>
                </w:tcPr>
                <w:p w14:paraId="0BE16153">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砷盐</w:t>
                  </w:r>
                </w:p>
              </w:tc>
              <w:tc>
                <w:tcPr>
                  <w:tcW w:w="2438" w:type="pct"/>
                  <w:noWrap w:val="0"/>
                  <w:vAlign w:val="center"/>
                </w:tcPr>
                <w:p w14:paraId="054DFA0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0822砷盐检查法</w:t>
                  </w:r>
                </w:p>
              </w:tc>
              <w:tc>
                <w:tcPr>
                  <w:tcW w:w="970" w:type="pct"/>
                  <w:shd w:val="clear" w:color="auto" w:fill="auto"/>
                  <w:noWrap w:val="0"/>
                  <w:vAlign w:val="center"/>
                </w:tcPr>
                <w:p w14:paraId="62DF8ADA">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1C7440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4318D82C">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23E15DD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31</w:t>
                  </w:r>
                </w:p>
              </w:tc>
              <w:tc>
                <w:tcPr>
                  <w:tcW w:w="701" w:type="pct"/>
                  <w:noWrap w:val="0"/>
                  <w:vAlign w:val="center"/>
                </w:tcPr>
                <w:p w14:paraId="16ACD0F6">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干燥失重</w:t>
                  </w:r>
                </w:p>
              </w:tc>
              <w:tc>
                <w:tcPr>
                  <w:tcW w:w="2438" w:type="pct"/>
                  <w:noWrap w:val="0"/>
                  <w:vAlign w:val="center"/>
                </w:tcPr>
                <w:p w14:paraId="1E7C3A9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0831干燥失重测定法</w:t>
                  </w:r>
                </w:p>
              </w:tc>
              <w:tc>
                <w:tcPr>
                  <w:tcW w:w="970" w:type="pct"/>
                  <w:shd w:val="clear" w:color="auto" w:fill="auto"/>
                  <w:noWrap w:val="0"/>
                  <w:vAlign w:val="center"/>
                </w:tcPr>
                <w:p w14:paraId="262EE09A">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782D8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0155F8C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315A2C3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32</w:t>
                  </w:r>
                </w:p>
              </w:tc>
              <w:tc>
                <w:tcPr>
                  <w:tcW w:w="701" w:type="pct"/>
                  <w:noWrap w:val="0"/>
                  <w:vAlign w:val="center"/>
                </w:tcPr>
                <w:p w14:paraId="07FDDE74">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水分</w:t>
                  </w:r>
                </w:p>
              </w:tc>
              <w:tc>
                <w:tcPr>
                  <w:tcW w:w="2438" w:type="pct"/>
                  <w:noWrap w:val="0"/>
                  <w:vAlign w:val="center"/>
                </w:tcPr>
                <w:p w14:paraId="6B3F6BD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0832水分测定法</w:t>
                  </w:r>
                </w:p>
              </w:tc>
              <w:tc>
                <w:tcPr>
                  <w:tcW w:w="970" w:type="pct"/>
                  <w:shd w:val="clear" w:color="auto" w:fill="auto"/>
                  <w:noWrap w:val="0"/>
                  <w:vAlign w:val="center"/>
                </w:tcPr>
                <w:p w14:paraId="066318CF">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1260B6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34696B82">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43586E7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33</w:t>
                  </w:r>
                </w:p>
              </w:tc>
              <w:tc>
                <w:tcPr>
                  <w:tcW w:w="701" w:type="pct"/>
                  <w:noWrap w:val="0"/>
                  <w:vAlign w:val="center"/>
                </w:tcPr>
                <w:p w14:paraId="587CEBF3">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炽灼残渣</w:t>
                  </w:r>
                </w:p>
              </w:tc>
              <w:tc>
                <w:tcPr>
                  <w:tcW w:w="2438" w:type="pct"/>
                  <w:noWrap w:val="0"/>
                  <w:vAlign w:val="center"/>
                </w:tcPr>
                <w:p w14:paraId="1EDF0F1F">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0841炽灼残渣检查法</w:t>
                  </w:r>
                </w:p>
              </w:tc>
              <w:tc>
                <w:tcPr>
                  <w:tcW w:w="970" w:type="pct"/>
                  <w:shd w:val="clear" w:color="auto" w:fill="auto"/>
                  <w:noWrap w:val="0"/>
                  <w:vAlign w:val="center"/>
                </w:tcPr>
                <w:p w14:paraId="41F95489">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7EE47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332FCB3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08C0AEE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34</w:t>
                  </w:r>
                </w:p>
              </w:tc>
              <w:tc>
                <w:tcPr>
                  <w:tcW w:w="701" w:type="pct"/>
                  <w:noWrap w:val="0"/>
                  <w:vAlign w:val="center"/>
                </w:tcPr>
                <w:p w14:paraId="09A65853">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易碳化物</w:t>
                  </w:r>
                </w:p>
              </w:tc>
              <w:tc>
                <w:tcPr>
                  <w:tcW w:w="2438" w:type="pct"/>
                  <w:noWrap w:val="0"/>
                  <w:vAlign w:val="center"/>
                </w:tcPr>
                <w:p w14:paraId="3DA46B42">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0842易碳化物检查法</w:t>
                  </w:r>
                </w:p>
              </w:tc>
              <w:tc>
                <w:tcPr>
                  <w:tcW w:w="970" w:type="pct"/>
                  <w:shd w:val="clear" w:color="auto" w:fill="auto"/>
                  <w:noWrap w:val="0"/>
                  <w:vAlign w:val="center"/>
                </w:tcPr>
                <w:p w14:paraId="7365A83E">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578E6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77FB775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491685EC">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35</w:t>
                  </w:r>
                </w:p>
              </w:tc>
              <w:tc>
                <w:tcPr>
                  <w:tcW w:w="701" w:type="pct"/>
                  <w:noWrap w:val="0"/>
                  <w:vAlign w:val="center"/>
                </w:tcPr>
                <w:p w14:paraId="0FDA8A1B">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残留溶剂</w:t>
                  </w:r>
                </w:p>
              </w:tc>
              <w:tc>
                <w:tcPr>
                  <w:tcW w:w="2438" w:type="pct"/>
                  <w:noWrap w:val="0"/>
                  <w:vAlign w:val="center"/>
                </w:tcPr>
                <w:p w14:paraId="2A6AA2F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0861残留溶剂测定法</w:t>
                  </w:r>
                </w:p>
              </w:tc>
              <w:tc>
                <w:tcPr>
                  <w:tcW w:w="970" w:type="pct"/>
                  <w:shd w:val="clear" w:color="auto" w:fill="auto"/>
                  <w:noWrap w:val="0"/>
                  <w:vAlign w:val="center"/>
                </w:tcPr>
                <w:p w14:paraId="6DD22272">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2CD1F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312641D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2C303872">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36</w:t>
                  </w:r>
                </w:p>
              </w:tc>
              <w:tc>
                <w:tcPr>
                  <w:tcW w:w="701" w:type="pct"/>
                  <w:noWrap w:val="0"/>
                  <w:vAlign w:val="center"/>
                </w:tcPr>
                <w:p w14:paraId="253A3535">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甲醇量</w:t>
                  </w:r>
                </w:p>
              </w:tc>
              <w:tc>
                <w:tcPr>
                  <w:tcW w:w="2438" w:type="pct"/>
                  <w:noWrap w:val="0"/>
                  <w:vAlign w:val="center"/>
                </w:tcPr>
                <w:p w14:paraId="79D503AF">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0871甲醇量检查法</w:t>
                  </w:r>
                </w:p>
              </w:tc>
              <w:tc>
                <w:tcPr>
                  <w:tcW w:w="970" w:type="pct"/>
                  <w:shd w:val="clear" w:color="auto" w:fill="auto"/>
                  <w:noWrap w:val="0"/>
                  <w:vAlign w:val="center"/>
                </w:tcPr>
                <w:p w14:paraId="3F6C95BA">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5B46E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08484B2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3B27B70C">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37</w:t>
                  </w:r>
                </w:p>
              </w:tc>
              <w:tc>
                <w:tcPr>
                  <w:tcW w:w="701" w:type="pct"/>
                  <w:noWrap w:val="0"/>
                  <w:vAlign w:val="center"/>
                </w:tcPr>
                <w:p w14:paraId="4E413687">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溶液颜色</w:t>
                  </w:r>
                </w:p>
              </w:tc>
              <w:tc>
                <w:tcPr>
                  <w:tcW w:w="2438" w:type="pct"/>
                  <w:noWrap w:val="0"/>
                  <w:vAlign w:val="center"/>
                </w:tcPr>
                <w:p w14:paraId="3B60476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0901溶液颜色检查法</w:t>
                  </w:r>
                </w:p>
              </w:tc>
              <w:tc>
                <w:tcPr>
                  <w:tcW w:w="970" w:type="pct"/>
                  <w:noWrap w:val="0"/>
                  <w:vAlign w:val="center"/>
                </w:tcPr>
                <w:p w14:paraId="7B6BFAC8">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cs="Times New Roman"/>
                      <w:color w:val="auto"/>
                      <w:sz w:val="21"/>
                      <w:szCs w:val="21"/>
                      <w:u w:val="none" w:color="auto"/>
                      <w:vertAlign w:val="baseline"/>
                      <w:lang w:eastAsia="zh-CN"/>
                    </w:rPr>
                    <w:t>只用第一、第二法</w:t>
                  </w:r>
                </w:p>
              </w:tc>
            </w:tr>
            <w:tr w14:paraId="33966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58EA5AE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436642C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38</w:t>
                  </w:r>
                </w:p>
              </w:tc>
              <w:tc>
                <w:tcPr>
                  <w:tcW w:w="701" w:type="pct"/>
                  <w:noWrap w:val="0"/>
                  <w:vAlign w:val="center"/>
                </w:tcPr>
                <w:p w14:paraId="71BC5E8C">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崩解时限</w:t>
                  </w:r>
                </w:p>
              </w:tc>
              <w:tc>
                <w:tcPr>
                  <w:tcW w:w="2438" w:type="pct"/>
                  <w:noWrap w:val="0"/>
                  <w:vAlign w:val="center"/>
                </w:tcPr>
                <w:p w14:paraId="724BAC6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0921崩解时限检查法</w:t>
                  </w:r>
                </w:p>
              </w:tc>
              <w:tc>
                <w:tcPr>
                  <w:tcW w:w="970" w:type="pct"/>
                  <w:shd w:val="clear" w:color="auto" w:fill="auto"/>
                  <w:noWrap w:val="0"/>
                  <w:vAlign w:val="center"/>
                </w:tcPr>
                <w:p w14:paraId="122D30E4">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0216B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0364670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restart"/>
                  <w:noWrap w:val="0"/>
                  <w:vAlign w:val="center"/>
                </w:tcPr>
                <w:p w14:paraId="37071267">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39</w:t>
                  </w:r>
                </w:p>
              </w:tc>
              <w:tc>
                <w:tcPr>
                  <w:tcW w:w="701" w:type="pct"/>
                  <w:vMerge w:val="restart"/>
                  <w:noWrap w:val="0"/>
                  <w:vAlign w:val="center"/>
                </w:tcPr>
                <w:p w14:paraId="5751F070">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微生物限度</w:t>
                  </w:r>
                </w:p>
              </w:tc>
              <w:tc>
                <w:tcPr>
                  <w:tcW w:w="2438" w:type="pct"/>
                  <w:noWrap w:val="0"/>
                  <w:vAlign w:val="center"/>
                </w:tcPr>
                <w:p w14:paraId="6C00D347">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1105非无菌产品微生物限度检查：微生物计数法</w:t>
                  </w:r>
                </w:p>
              </w:tc>
              <w:tc>
                <w:tcPr>
                  <w:tcW w:w="970" w:type="pct"/>
                  <w:shd w:val="clear" w:color="auto" w:fill="auto"/>
                  <w:noWrap w:val="0"/>
                  <w:vAlign w:val="center"/>
                </w:tcPr>
                <w:p w14:paraId="4068D1FF">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3BF937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62F6B98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continue"/>
                  <w:noWrap w:val="0"/>
                  <w:vAlign w:val="center"/>
                </w:tcPr>
                <w:p w14:paraId="3B6228B1">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2DBDD1E4">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2438" w:type="pct"/>
                  <w:noWrap w:val="0"/>
                  <w:vAlign w:val="center"/>
                </w:tcPr>
                <w:p w14:paraId="4D261E88">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1106非无菌产品微生物限度检查：控制菌检查法</w:t>
                  </w:r>
                </w:p>
              </w:tc>
              <w:tc>
                <w:tcPr>
                  <w:tcW w:w="970" w:type="pct"/>
                  <w:shd w:val="clear" w:color="auto" w:fill="auto"/>
                  <w:noWrap w:val="0"/>
                  <w:vAlign w:val="center"/>
                </w:tcPr>
                <w:p w14:paraId="7DD3EBD7">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49F6B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14D742A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vMerge w:val="continue"/>
                  <w:noWrap w:val="0"/>
                  <w:vAlign w:val="center"/>
                </w:tcPr>
                <w:p w14:paraId="747D044B">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701" w:type="pct"/>
                  <w:vMerge w:val="continue"/>
                  <w:noWrap w:val="0"/>
                  <w:vAlign w:val="center"/>
                </w:tcPr>
                <w:p w14:paraId="58BF227B">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p>
              </w:tc>
              <w:tc>
                <w:tcPr>
                  <w:tcW w:w="2438" w:type="pct"/>
                  <w:noWrap w:val="0"/>
                  <w:vAlign w:val="center"/>
                </w:tcPr>
                <w:p w14:paraId="026BC610">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1107非无菌产品微生物限度标准</w:t>
                  </w:r>
                </w:p>
              </w:tc>
              <w:tc>
                <w:tcPr>
                  <w:tcW w:w="970" w:type="pct"/>
                  <w:shd w:val="clear" w:color="auto" w:fill="auto"/>
                  <w:noWrap w:val="0"/>
                  <w:vAlign w:val="center"/>
                </w:tcPr>
                <w:p w14:paraId="4DFCDEE9">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3DF29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7C45378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46FE70D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40</w:t>
                  </w:r>
                </w:p>
              </w:tc>
              <w:tc>
                <w:tcPr>
                  <w:tcW w:w="701" w:type="pct"/>
                  <w:noWrap w:val="0"/>
                  <w:vAlign w:val="center"/>
                </w:tcPr>
                <w:p w14:paraId="195E219E">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浸出物</w:t>
                  </w:r>
                </w:p>
              </w:tc>
              <w:tc>
                <w:tcPr>
                  <w:tcW w:w="2438" w:type="pct"/>
                  <w:noWrap w:val="0"/>
                  <w:vAlign w:val="center"/>
                </w:tcPr>
                <w:p w14:paraId="4EC706C2">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2201浸出物测定法</w:t>
                  </w:r>
                </w:p>
              </w:tc>
              <w:tc>
                <w:tcPr>
                  <w:tcW w:w="970" w:type="pct"/>
                  <w:shd w:val="clear" w:color="auto" w:fill="auto"/>
                  <w:noWrap w:val="0"/>
                  <w:vAlign w:val="center"/>
                </w:tcPr>
                <w:p w14:paraId="0BDB20FF">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52168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63EEE80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1E4139C2">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41</w:t>
                  </w:r>
                </w:p>
              </w:tc>
              <w:tc>
                <w:tcPr>
                  <w:tcW w:w="701" w:type="pct"/>
                  <w:noWrap w:val="0"/>
                  <w:vAlign w:val="center"/>
                </w:tcPr>
                <w:p w14:paraId="04202A82">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鞣制含量</w:t>
                  </w:r>
                </w:p>
              </w:tc>
              <w:tc>
                <w:tcPr>
                  <w:tcW w:w="2438" w:type="pct"/>
                  <w:noWrap w:val="0"/>
                  <w:vAlign w:val="center"/>
                </w:tcPr>
                <w:p w14:paraId="010F041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2202鞣制含量测定法</w:t>
                  </w:r>
                </w:p>
              </w:tc>
              <w:tc>
                <w:tcPr>
                  <w:tcW w:w="970" w:type="pct"/>
                  <w:shd w:val="clear" w:color="auto" w:fill="auto"/>
                  <w:noWrap w:val="0"/>
                  <w:vAlign w:val="center"/>
                </w:tcPr>
                <w:p w14:paraId="5CE035F0">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1CF80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5128522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3D18D01C">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42</w:t>
                  </w:r>
                </w:p>
              </w:tc>
              <w:tc>
                <w:tcPr>
                  <w:tcW w:w="701" w:type="pct"/>
                  <w:noWrap w:val="0"/>
                  <w:vAlign w:val="center"/>
                </w:tcPr>
                <w:p w14:paraId="7C708F05">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桉油精含量</w:t>
                  </w:r>
                </w:p>
              </w:tc>
              <w:tc>
                <w:tcPr>
                  <w:tcW w:w="2438" w:type="pct"/>
                  <w:noWrap w:val="0"/>
                  <w:vAlign w:val="center"/>
                </w:tcPr>
                <w:p w14:paraId="74C88DFE">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2203桉油精含量测定法</w:t>
                  </w:r>
                </w:p>
              </w:tc>
              <w:tc>
                <w:tcPr>
                  <w:tcW w:w="970" w:type="pct"/>
                  <w:shd w:val="clear" w:color="auto" w:fill="auto"/>
                  <w:noWrap w:val="0"/>
                  <w:vAlign w:val="center"/>
                </w:tcPr>
                <w:p w14:paraId="3BF7997D">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15650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41A0542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4552E34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43</w:t>
                  </w:r>
                </w:p>
              </w:tc>
              <w:tc>
                <w:tcPr>
                  <w:tcW w:w="701" w:type="pct"/>
                  <w:noWrap w:val="0"/>
                  <w:vAlign w:val="center"/>
                </w:tcPr>
                <w:p w14:paraId="0C493B0A">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挥发油</w:t>
                  </w:r>
                </w:p>
              </w:tc>
              <w:tc>
                <w:tcPr>
                  <w:tcW w:w="2438" w:type="pct"/>
                  <w:noWrap w:val="0"/>
                  <w:vAlign w:val="center"/>
                </w:tcPr>
                <w:p w14:paraId="0BA4509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2204挥发油测定法</w:t>
                  </w:r>
                </w:p>
              </w:tc>
              <w:tc>
                <w:tcPr>
                  <w:tcW w:w="970" w:type="pct"/>
                  <w:shd w:val="clear" w:color="auto" w:fill="auto"/>
                  <w:noWrap w:val="0"/>
                  <w:vAlign w:val="center"/>
                </w:tcPr>
                <w:p w14:paraId="1496F29B">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282D4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2A6F7D78">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724CF0F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44</w:t>
                  </w:r>
                </w:p>
              </w:tc>
              <w:tc>
                <w:tcPr>
                  <w:tcW w:w="701" w:type="pct"/>
                  <w:noWrap w:val="0"/>
                  <w:vAlign w:val="center"/>
                </w:tcPr>
                <w:p w14:paraId="31120BF1">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杂质</w:t>
                  </w:r>
                </w:p>
              </w:tc>
              <w:tc>
                <w:tcPr>
                  <w:tcW w:w="2438" w:type="pct"/>
                  <w:noWrap w:val="0"/>
                  <w:vAlign w:val="center"/>
                </w:tcPr>
                <w:p w14:paraId="6956761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2301杂质检查法</w:t>
                  </w:r>
                </w:p>
              </w:tc>
              <w:tc>
                <w:tcPr>
                  <w:tcW w:w="970" w:type="pct"/>
                  <w:shd w:val="clear" w:color="auto" w:fill="auto"/>
                  <w:noWrap w:val="0"/>
                  <w:vAlign w:val="center"/>
                </w:tcPr>
                <w:p w14:paraId="4EE92209">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79D5A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2CF2744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4A28A67F">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45</w:t>
                  </w:r>
                </w:p>
              </w:tc>
              <w:tc>
                <w:tcPr>
                  <w:tcW w:w="701" w:type="pct"/>
                  <w:noWrap w:val="0"/>
                  <w:vAlign w:val="center"/>
                </w:tcPr>
                <w:p w14:paraId="47F31252">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灰分</w:t>
                  </w:r>
                </w:p>
              </w:tc>
              <w:tc>
                <w:tcPr>
                  <w:tcW w:w="2438" w:type="pct"/>
                  <w:noWrap w:val="0"/>
                  <w:vAlign w:val="center"/>
                </w:tcPr>
                <w:p w14:paraId="74446330">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2302灰分测定法</w:t>
                  </w:r>
                </w:p>
              </w:tc>
              <w:tc>
                <w:tcPr>
                  <w:tcW w:w="970" w:type="pct"/>
                  <w:shd w:val="clear" w:color="auto" w:fill="auto"/>
                  <w:noWrap w:val="0"/>
                  <w:vAlign w:val="center"/>
                </w:tcPr>
                <w:p w14:paraId="7731EE1B">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5F09A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3CF414E7">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11FAFA7C">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46</w:t>
                  </w:r>
                </w:p>
              </w:tc>
              <w:tc>
                <w:tcPr>
                  <w:tcW w:w="701" w:type="pct"/>
                  <w:noWrap w:val="0"/>
                  <w:vAlign w:val="center"/>
                </w:tcPr>
                <w:p w14:paraId="71F56D8C">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酸败度</w:t>
                  </w:r>
                </w:p>
              </w:tc>
              <w:tc>
                <w:tcPr>
                  <w:tcW w:w="2438" w:type="pct"/>
                  <w:noWrap w:val="0"/>
                  <w:vAlign w:val="center"/>
                </w:tcPr>
                <w:p w14:paraId="3CC35A5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2303酸败度测定法</w:t>
                  </w:r>
                </w:p>
              </w:tc>
              <w:tc>
                <w:tcPr>
                  <w:tcW w:w="970" w:type="pct"/>
                  <w:shd w:val="clear" w:color="auto" w:fill="auto"/>
                  <w:noWrap w:val="0"/>
                  <w:vAlign w:val="center"/>
                </w:tcPr>
                <w:p w14:paraId="65D854C0">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19D9B4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33AFA23F">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20B01E2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47</w:t>
                  </w:r>
                </w:p>
              </w:tc>
              <w:tc>
                <w:tcPr>
                  <w:tcW w:w="701" w:type="pct"/>
                  <w:noWrap w:val="0"/>
                  <w:vAlign w:val="center"/>
                </w:tcPr>
                <w:p w14:paraId="670CE5C5">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铅、镉、砷、汞、铜</w:t>
                  </w:r>
                </w:p>
              </w:tc>
              <w:tc>
                <w:tcPr>
                  <w:tcW w:w="2438" w:type="pct"/>
                  <w:noWrap w:val="0"/>
                  <w:vAlign w:val="center"/>
                </w:tcPr>
                <w:p w14:paraId="46A96016">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2321铅、镉、砷、汞、铜测定法</w:t>
                  </w:r>
                </w:p>
              </w:tc>
              <w:tc>
                <w:tcPr>
                  <w:tcW w:w="970" w:type="pct"/>
                  <w:shd w:val="clear" w:color="auto" w:fill="auto"/>
                  <w:noWrap w:val="0"/>
                  <w:vAlign w:val="center"/>
                </w:tcPr>
                <w:p w14:paraId="18F19D18">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7BF08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6F804A3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060CD31B">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48</w:t>
                  </w:r>
                </w:p>
              </w:tc>
              <w:tc>
                <w:tcPr>
                  <w:tcW w:w="701" w:type="pct"/>
                  <w:noWrap w:val="0"/>
                  <w:vAlign w:val="center"/>
                </w:tcPr>
                <w:p w14:paraId="503C0500">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二氧化硫残留量</w:t>
                  </w:r>
                </w:p>
              </w:tc>
              <w:tc>
                <w:tcPr>
                  <w:tcW w:w="2438" w:type="pct"/>
                  <w:noWrap w:val="0"/>
                  <w:vAlign w:val="center"/>
                </w:tcPr>
                <w:p w14:paraId="17111A93">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二氧化硫残留量测定法</w:t>
                  </w:r>
                </w:p>
              </w:tc>
              <w:tc>
                <w:tcPr>
                  <w:tcW w:w="970" w:type="pct"/>
                  <w:shd w:val="clear" w:color="auto" w:fill="auto"/>
                  <w:noWrap w:val="0"/>
                  <w:vAlign w:val="center"/>
                </w:tcPr>
                <w:p w14:paraId="7179C472">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4B65C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606AE64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23BEC0EC">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49</w:t>
                  </w:r>
                </w:p>
              </w:tc>
              <w:tc>
                <w:tcPr>
                  <w:tcW w:w="701" w:type="pct"/>
                  <w:noWrap w:val="0"/>
                  <w:vAlign w:val="center"/>
                </w:tcPr>
                <w:p w14:paraId="05E9B521">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农药残留量</w:t>
                  </w:r>
                </w:p>
              </w:tc>
              <w:tc>
                <w:tcPr>
                  <w:tcW w:w="2438" w:type="pct"/>
                  <w:noWrap w:val="0"/>
                  <w:vAlign w:val="center"/>
                </w:tcPr>
                <w:p w14:paraId="44B590B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2341农药残留量测定法</w:t>
                  </w:r>
                </w:p>
              </w:tc>
              <w:tc>
                <w:tcPr>
                  <w:tcW w:w="970" w:type="pct"/>
                  <w:shd w:val="clear" w:color="auto" w:fill="auto"/>
                  <w:noWrap w:val="0"/>
                  <w:vAlign w:val="center"/>
                </w:tcPr>
                <w:p w14:paraId="5B14FF9A">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510466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2AADD42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7D35F73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50</w:t>
                  </w:r>
                </w:p>
              </w:tc>
              <w:tc>
                <w:tcPr>
                  <w:tcW w:w="701" w:type="pct"/>
                  <w:noWrap w:val="0"/>
                  <w:vAlign w:val="center"/>
                </w:tcPr>
                <w:p w14:paraId="17F227A3">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真菌毒素</w:t>
                  </w:r>
                </w:p>
              </w:tc>
              <w:tc>
                <w:tcPr>
                  <w:tcW w:w="2438" w:type="pct"/>
                  <w:noWrap w:val="0"/>
                  <w:vAlign w:val="center"/>
                </w:tcPr>
                <w:p w14:paraId="0853720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2351真菌毒素测定法</w:t>
                  </w:r>
                </w:p>
              </w:tc>
              <w:tc>
                <w:tcPr>
                  <w:tcW w:w="970" w:type="pct"/>
                  <w:noWrap w:val="0"/>
                  <w:vAlign w:val="center"/>
                </w:tcPr>
                <w:p w14:paraId="488765B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cs="Times New Roman"/>
                      <w:color w:val="auto"/>
                      <w:sz w:val="21"/>
                      <w:szCs w:val="21"/>
                      <w:u w:val="none" w:color="auto"/>
                      <w:vertAlign w:val="baseline"/>
                      <w:lang w:eastAsia="zh-CN"/>
                    </w:rPr>
                    <w:t>只测黄曲霉毒素</w:t>
                  </w:r>
                </w:p>
              </w:tc>
            </w:tr>
            <w:tr w14:paraId="22185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15591ED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7FFC343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51</w:t>
                  </w:r>
                </w:p>
              </w:tc>
              <w:tc>
                <w:tcPr>
                  <w:tcW w:w="701" w:type="pct"/>
                  <w:noWrap w:val="0"/>
                  <w:vAlign w:val="center"/>
                </w:tcPr>
                <w:p w14:paraId="7B7A7020">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澄清度</w:t>
                  </w:r>
                </w:p>
              </w:tc>
              <w:tc>
                <w:tcPr>
                  <w:tcW w:w="2438" w:type="pct"/>
                  <w:noWrap w:val="0"/>
                  <w:vAlign w:val="center"/>
                </w:tcPr>
                <w:p w14:paraId="0315F97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0902澄清度检查法</w:t>
                  </w:r>
                </w:p>
              </w:tc>
              <w:tc>
                <w:tcPr>
                  <w:tcW w:w="970" w:type="pct"/>
                  <w:noWrap w:val="0"/>
                  <w:vAlign w:val="center"/>
                </w:tcPr>
                <w:p w14:paraId="4096BBF4">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cs="Times New Roman"/>
                      <w:color w:val="auto"/>
                      <w:sz w:val="21"/>
                      <w:szCs w:val="21"/>
                      <w:u w:val="none" w:color="auto"/>
                      <w:vertAlign w:val="baseline"/>
                      <w:lang w:eastAsia="zh-CN"/>
                    </w:rPr>
                    <w:t>只用第一法</w:t>
                  </w:r>
                </w:p>
              </w:tc>
            </w:tr>
            <w:tr w14:paraId="6455E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2CB94F0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5DE66852">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52</w:t>
                  </w:r>
                </w:p>
              </w:tc>
              <w:tc>
                <w:tcPr>
                  <w:tcW w:w="701" w:type="pct"/>
                  <w:noWrap w:val="0"/>
                  <w:vAlign w:val="center"/>
                </w:tcPr>
                <w:p w14:paraId="5A0C6BA8">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外观均匀度</w:t>
                  </w:r>
                </w:p>
              </w:tc>
              <w:tc>
                <w:tcPr>
                  <w:tcW w:w="2438" w:type="pct"/>
                  <w:noWrap w:val="0"/>
                  <w:vAlign w:val="center"/>
                </w:tcPr>
                <w:p w14:paraId="0D654E59">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0115散剂</w:t>
                  </w:r>
                </w:p>
              </w:tc>
              <w:tc>
                <w:tcPr>
                  <w:tcW w:w="970" w:type="pct"/>
                  <w:shd w:val="clear" w:color="auto" w:fill="auto"/>
                  <w:noWrap w:val="0"/>
                  <w:vAlign w:val="center"/>
                </w:tcPr>
                <w:p w14:paraId="553A76A5">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54D16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406E526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599F792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52</w:t>
                  </w:r>
                </w:p>
              </w:tc>
              <w:tc>
                <w:tcPr>
                  <w:tcW w:w="701" w:type="pct"/>
                  <w:noWrap w:val="0"/>
                  <w:vAlign w:val="center"/>
                </w:tcPr>
                <w:p w14:paraId="6BC78322">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含量均匀度</w:t>
                  </w:r>
                </w:p>
              </w:tc>
              <w:tc>
                <w:tcPr>
                  <w:tcW w:w="2438" w:type="pct"/>
                  <w:noWrap w:val="0"/>
                  <w:vAlign w:val="center"/>
                </w:tcPr>
                <w:p w14:paraId="631C107D">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0941含量均匀度检查法</w:t>
                  </w:r>
                </w:p>
              </w:tc>
              <w:tc>
                <w:tcPr>
                  <w:tcW w:w="970" w:type="pct"/>
                  <w:shd w:val="clear" w:color="auto" w:fill="auto"/>
                  <w:noWrap w:val="0"/>
                  <w:vAlign w:val="center"/>
                </w:tcPr>
                <w:p w14:paraId="01DD3EAB">
                  <w:pPr>
                    <w:adjustRightInd w:val="0"/>
                    <w:snapToGrid w:val="0"/>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eastAsia="宋体" w:cs="Times New Roman"/>
                      <w:color w:val="auto"/>
                      <w:sz w:val="21"/>
                      <w:szCs w:val="21"/>
                      <w:u w:val="none" w:color="auto"/>
                      <w:vertAlign w:val="baseline"/>
                      <w:lang w:val="en-US" w:eastAsia="zh-CN"/>
                    </w:rPr>
                    <w:t>/</w:t>
                  </w:r>
                </w:p>
              </w:tc>
            </w:tr>
            <w:tr w14:paraId="6D10E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4440E381">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59B12792">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53</w:t>
                  </w:r>
                </w:p>
              </w:tc>
              <w:tc>
                <w:tcPr>
                  <w:tcW w:w="701" w:type="pct"/>
                  <w:noWrap w:val="0"/>
                  <w:vAlign w:val="center"/>
                </w:tcPr>
                <w:p w14:paraId="5F6974A8">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耐热性</w:t>
                  </w:r>
                </w:p>
              </w:tc>
              <w:tc>
                <w:tcPr>
                  <w:tcW w:w="2438" w:type="pct"/>
                  <w:noWrap w:val="0"/>
                  <w:vAlign w:val="center"/>
                </w:tcPr>
                <w:p w14:paraId="44EC966A">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0122贴膏剂</w:t>
                  </w:r>
                </w:p>
              </w:tc>
              <w:tc>
                <w:tcPr>
                  <w:tcW w:w="970" w:type="pct"/>
                  <w:noWrap w:val="0"/>
                  <w:vAlign w:val="center"/>
                </w:tcPr>
                <w:p w14:paraId="601173F5">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eastAsia="宋体" w:cs="Times New Roman"/>
                      <w:color w:val="auto"/>
                      <w:sz w:val="21"/>
                      <w:szCs w:val="21"/>
                      <w:u w:val="none" w:color="auto"/>
                      <w:vertAlign w:val="baseline"/>
                      <w:lang w:val="en-US" w:eastAsia="zh-CN"/>
                    </w:rPr>
                    <w:t>/</w:t>
                  </w:r>
                </w:p>
              </w:tc>
            </w:tr>
            <w:tr w14:paraId="592F7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4107865E">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14EC83BF">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54</w:t>
                  </w:r>
                </w:p>
              </w:tc>
              <w:tc>
                <w:tcPr>
                  <w:tcW w:w="701" w:type="pct"/>
                  <w:noWrap w:val="0"/>
                  <w:vAlign w:val="center"/>
                </w:tcPr>
                <w:p w14:paraId="49525472">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粒度</w:t>
                  </w:r>
                </w:p>
              </w:tc>
              <w:tc>
                <w:tcPr>
                  <w:tcW w:w="2438" w:type="pct"/>
                  <w:noWrap w:val="0"/>
                  <w:vAlign w:val="center"/>
                </w:tcPr>
                <w:p w14:paraId="425AA9E7">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0982粒度和粒度分布测定法</w:t>
                  </w:r>
                </w:p>
              </w:tc>
              <w:tc>
                <w:tcPr>
                  <w:tcW w:w="970" w:type="pct"/>
                  <w:noWrap w:val="0"/>
                  <w:vAlign w:val="center"/>
                </w:tcPr>
                <w:p w14:paraId="2F428E7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cs="Times New Roman"/>
                      <w:color w:val="auto"/>
                      <w:sz w:val="21"/>
                      <w:szCs w:val="21"/>
                      <w:u w:val="none" w:color="auto"/>
                      <w:vertAlign w:val="baseline"/>
                      <w:lang w:eastAsia="zh-CN"/>
                    </w:rPr>
                    <w:t>只用第一、第二法</w:t>
                  </w:r>
                </w:p>
              </w:tc>
            </w:tr>
            <w:tr w14:paraId="523AA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Merge w:val="continue"/>
                  <w:noWrap w:val="0"/>
                  <w:vAlign w:val="center"/>
                </w:tcPr>
                <w:p w14:paraId="65AFD2A0">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p>
              </w:tc>
              <w:tc>
                <w:tcPr>
                  <w:tcW w:w="416" w:type="pct"/>
                  <w:noWrap w:val="0"/>
                  <w:vAlign w:val="center"/>
                </w:tcPr>
                <w:p w14:paraId="0E12C29F">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55</w:t>
                  </w:r>
                </w:p>
              </w:tc>
              <w:tc>
                <w:tcPr>
                  <w:tcW w:w="701" w:type="pct"/>
                  <w:noWrap w:val="0"/>
                  <w:vAlign w:val="center"/>
                </w:tcPr>
                <w:p w14:paraId="2F095B48">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出芽率</w:t>
                  </w:r>
                </w:p>
              </w:tc>
              <w:tc>
                <w:tcPr>
                  <w:tcW w:w="2438" w:type="pct"/>
                  <w:noWrap w:val="0"/>
                  <w:vAlign w:val="center"/>
                </w:tcPr>
                <w:p w14:paraId="15FCE21F">
                  <w:pPr>
                    <w:adjustRightInd w:val="0"/>
                    <w:snapToGrid w:val="0"/>
                    <w:spacing w:line="240" w:lineRule="auto"/>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2020年版四部通则</w:t>
                  </w:r>
                  <w:r>
                    <w:rPr>
                      <w:rFonts w:hint="eastAsia" w:cs="Times New Roman"/>
                      <w:color w:val="auto"/>
                      <w:sz w:val="21"/>
                      <w:szCs w:val="21"/>
                      <w:u w:val="none" w:color="auto"/>
                      <w:vertAlign w:val="baseline"/>
                      <w:lang w:val="en-US" w:eastAsia="zh-CN"/>
                    </w:rPr>
                    <w:t>0211药材取样法测定法</w:t>
                  </w:r>
                  <w:r>
                    <w:rPr>
                      <w:rFonts w:hint="eastAsia" w:ascii="Times New Roman" w:hAnsi="Times New Roman" w:eastAsia="宋体" w:cs="Times New Roman"/>
                      <w:color w:val="auto"/>
                      <w:sz w:val="21"/>
                      <w:szCs w:val="21"/>
                      <w:u w:val="none" w:color="auto"/>
                      <w:vertAlign w:val="baseline"/>
                      <w:lang w:eastAsia="zh-CN"/>
                    </w:rPr>
                    <w:t>中国药典</w:t>
                  </w:r>
                  <w:r>
                    <w:rPr>
                      <w:rFonts w:hint="eastAsia" w:ascii="Times New Roman" w:hAnsi="Times New Roman" w:eastAsia="宋体" w:cs="Times New Roman"/>
                      <w:color w:val="auto"/>
                      <w:sz w:val="21"/>
                      <w:szCs w:val="21"/>
                      <w:u w:val="none" w:color="auto"/>
                      <w:vertAlign w:val="baseline"/>
                      <w:lang w:val="en-US" w:eastAsia="zh-CN"/>
                    </w:rPr>
                    <w:t>2020年版</w:t>
                  </w:r>
                  <w:r>
                    <w:rPr>
                      <w:rFonts w:hint="eastAsia" w:cs="Times New Roman"/>
                      <w:color w:val="auto"/>
                      <w:sz w:val="21"/>
                      <w:szCs w:val="21"/>
                      <w:u w:val="none" w:color="auto"/>
                      <w:vertAlign w:val="baseline"/>
                      <w:lang w:val="en-US" w:eastAsia="zh-CN"/>
                    </w:rPr>
                    <w:t>一部各论</w:t>
                  </w:r>
                </w:p>
              </w:tc>
              <w:tc>
                <w:tcPr>
                  <w:tcW w:w="970" w:type="pct"/>
                  <w:noWrap w:val="0"/>
                  <w:vAlign w:val="center"/>
                </w:tcPr>
                <w:p w14:paraId="6AA32873">
                  <w:pPr>
                    <w:adjustRightInd w:val="0"/>
                    <w:snapToGrid w:val="0"/>
                    <w:spacing w:line="240" w:lineRule="auto"/>
                    <w:jc w:val="center"/>
                    <w:rPr>
                      <w:rFonts w:hint="default" w:ascii="Times New Roman" w:hAnsi="Times New Roman" w:eastAsia="宋体" w:cs="Times New Roman"/>
                      <w:color w:val="auto"/>
                      <w:sz w:val="21"/>
                      <w:szCs w:val="21"/>
                      <w:u w:val="none" w:color="auto"/>
                      <w:vertAlign w:val="baseline"/>
                      <w:lang w:eastAsia="zh-CN"/>
                    </w:rPr>
                  </w:pPr>
                  <w:r>
                    <w:rPr>
                      <w:rFonts w:hint="eastAsia" w:eastAsia="宋体" w:cs="Times New Roman"/>
                      <w:color w:val="auto"/>
                      <w:sz w:val="21"/>
                      <w:szCs w:val="21"/>
                      <w:u w:val="none" w:color="auto"/>
                      <w:vertAlign w:val="baseline"/>
                      <w:lang w:val="en-US" w:eastAsia="zh-CN"/>
                    </w:rPr>
                    <w:t>/</w:t>
                  </w:r>
                </w:p>
              </w:tc>
            </w:tr>
          </w:tbl>
          <w:p w14:paraId="4918427D">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仿宋_GB2312" w:cs="Times New Roman"/>
                <w:b w:val="0"/>
                <w:bCs/>
                <w:color w:val="auto"/>
                <w:sz w:val="24"/>
                <w:szCs w:val="24"/>
                <w:highlight w:val="none"/>
                <w:vertAlign w:val="baseline"/>
                <w:lang w:val="en-US" w:eastAsia="zh-CN"/>
              </w:rPr>
            </w:pPr>
            <w:r>
              <w:rPr>
                <w:rFonts w:hint="eastAsia" w:ascii="Times New Roman" w:hAnsi="Times New Roman" w:eastAsia="仿宋_GB2312" w:cs="Times New Roman"/>
                <w:b w:val="0"/>
                <w:bCs/>
                <w:color w:val="auto"/>
                <w:sz w:val="24"/>
                <w:szCs w:val="24"/>
                <w:highlight w:val="none"/>
                <w:vertAlign w:val="baseline"/>
                <w:lang w:val="en-US" w:eastAsia="zh-CN"/>
              </w:rPr>
              <w:t>(3)检测能力</w:t>
            </w:r>
          </w:p>
          <w:p w14:paraId="72D5F9BD">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仿宋_GB2312" w:cs="Times New Roman"/>
                <w:b w:val="0"/>
                <w:bCs/>
                <w:color w:val="auto"/>
                <w:sz w:val="24"/>
                <w:szCs w:val="24"/>
                <w:highlight w:val="none"/>
                <w:vertAlign w:val="baseline"/>
                <w:lang w:val="en-US" w:eastAsia="zh-CN"/>
              </w:rPr>
            </w:pPr>
            <w:r>
              <w:rPr>
                <w:rFonts w:hint="eastAsia" w:ascii="Times New Roman" w:hAnsi="Times New Roman" w:eastAsia="仿宋_GB2312" w:cs="Times New Roman"/>
                <w:b w:val="0"/>
                <w:bCs/>
                <w:color w:val="auto"/>
                <w:sz w:val="24"/>
                <w:szCs w:val="24"/>
                <w:highlight w:val="none"/>
                <w:vertAlign w:val="baseline"/>
                <w:lang w:val="en-US" w:eastAsia="zh-CN"/>
              </w:rPr>
              <w:t>年检测量约900kg，项目中药材检测量</w:t>
            </w:r>
            <w:r>
              <w:rPr>
                <w:rFonts w:hint="default" w:ascii="Times New Roman" w:hAnsi="Times New Roman" w:eastAsia="仿宋_GB2312" w:cs="Times New Roman"/>
                <w:b w:val="0"/>
                <w:bCs/>
                <w:color w:val="auto"/>
                <w:sz w:val="24"/>
                <w:szCs w:val="24"/>
                <w:highlight w:val="none"/>
                <w:vertAlign w:val="baseline"/>
                <w:lang w:val="en-US" w:eastAsia="zh-CN"/>
              </w:rPr>
              <w:t>见表</w:t>
            </w:r>
            <w:r>
              <w:rPr>
                <w:rFonts w:hint="eastAsia" w:eastAsia="仿宋_GB2312" w:cs="Times New Roman"/>
                <w:b w:val="0"/>
                <w:bCs/>
                <w:color w:val="auto"/>
                <w:sz w:val="24"/>
                <w:szCs w:val="24"/>
                <w:highlight w:val="none"/>
                <w:vertAlign w:val="baseline"/>
                <w:lang w:val="en-US" w:eastAsia="zh-CN"/>
              </w:rPr>
              <w:t>7</w:t>
            </w:r>
            <w:r>
              <w:rPr>
                <w:rFonts w:hint="default" w:ascii="Times New Roman" w:hAnsi="Times New Roman" w:eastAsia="仿宋_GB2312" w:cs="Times New Roman"/>
                <w:b w:val="0"/>
                <w:bCs/>
                <w:color w:val="auto"/>
                <w:sz w:val="24"/>
                <w:szCs w:val="24"/>
                <w:highlight w:val="none"/>
                <w:vertAlign w:val="baseline"/>
                <w:lang w:val="en-US" w:eastAsia="zh-CN"/>
              </w:rPr>
              <w:t>。</w:t>
            </w:r>
          </w:p>
          <w:p w14:paraId="0FBF2DA7">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auto"/>
              <w:rPr>
                <w:rFonts w:hint="default" w:ascii="Times New Roman" w:hAnsi="Times New Roman" w:eastAsia="宋体" w:cs="Times New Roman"/>
                <w:b/>
                <w:bCs/>
                <w:color w:val="auto"/>
                <w:szCs w:val="21"/>
                <w:u w:val="none" w:color="auto"/>
              </w:rPr>
            </w:pPr>
            <w:r>
              <w:rPr>
                <w:rFonts w:hint="default" w:ascii="Times New Roman" w:hAnsi="Times New Roman" w:eastAsia="宋体" w:cs="Times New Roman"/>
                <w:b/>
                <w:bCs/>
                <w:color w:val="auto"/>
                <w:szCs w:val="21"/>
                <w:u w:val="none" w:color="auto"/>
              </w:rPr>
              <w:t>表</w:t>
            </w:r>
            <w:r>
              <w:rPr>
                <w:rFonts w:hint="eastAsia" w:ascii="Times New Roman" w:cs="Times New Roman"/>
                <w:b/>
                <w:bCs/>
                <w:color w:val="auto"/>
                <w:szCs w:val="21"/>
                <w:u w:val="none" w:color="auto"/>
                <w:lang w:val="en-US" w:eastAsia="zh-CN"/>
              </w:rPr>
              <w:t>7</w:t>
            </w:r>
            <w:r>
              <w:rPr>
                <w:rFonts w:hint="default" w:ascii="Times New Roman" w:hAnsi="Times New Roman" w:eastAsia="宋体" w:cs="Times New Roman"/>
                <w:b/>
                <w:bCs/>
                <w:color w:val="auto"/>
                <w:szCs w:val="21"/>
                <w:u w:val="none" w:color="auto"/>
              </w:rPr>
              <w:t xml:space="preserve"> </w:t>
            </w:r>
            <w:r>
              <w:rPr>
                <w:rFonts w:hint="eastAsia" w:ascii="Times New Roman" w:cs="Times New Roman"/>
                <w:b/>
                <w:bCs/>
                <w:color w:val="auto"/>
                <w:szCs w:val="21"/>
                <w:u w:val="none" w:color="auto"/>
                <w:lang w:val="en-US" w:eastAsia="zh-CN"/>
              </w:rPr>
              <w:t xml:space="preserve">                  </w:t>
            </w:r>
            <w:r>
              <w:rPr>
                <w:rFonts w:hint="default" w:ascii="Times New Roman" w:hAnsi="Times New Roman" w:eastAsia="宋体" w:cs="Times New Roman"/>
                <w:b/>
                <w:bCs/>
                <w:color w:val="auto"/>
                <w:szCs w:val="21"/>
                <w:u w:val="none" w:color="auto"/>
              </w:rPr>
              <w:t xml:space="preserve"> </w:t>
            </w:r>
            <w:r>
              <w:rPr>
                <w:rFonts w:hint="eastAsia" w:cs="Times New Roman"/>
                <w:b/>
                <w:bCs w:val="0"/>
                <w:color w:val="auto"/>
                <w:u w:val="none" w:color="auto"/>
                <w:lang w:eastAsia="zh-CN"/>
              </w:rPr>
              <w:t>项目中药材检测量</w:t>
            </w:r>
            <w:r>
              <w:rPr>
                <w:rFonts w:hint="default" w:ascii="Times New Roman" w:hAnsi="Times New Roman" w:eastAsia="宋体" w:cs="Times New Roman"/>
                <w:b/>
                <w:bCs w:val="0"/>
                <w:color w:val="auto"/>
                <w:szCs w:val="21"/>
                <w:u w:val="none" w:color="auto"/>
              </w:rPr>
              <w:t>一览表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456"/>
              <w:gridCol w:w="2528"/>
              <w:gridCol w:w="2502"/>
            </w:tblGrid>
            <w:tr w14:paraId="6D35B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85" w:type="pct"/>
                  <w:tcBorders>
                    <w:tl2br w:val="nil"/>
                    <w:tr2bl w:val="nil"/>
                  </w:tcBorders>
                  <w:noWrap w:val="0"/>
                  <w:vAlign w:val="center"/>
                </w:tcPr>
                <w:p w14:paraId="6DEEC9CB">
                  <w:pPr>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序号</w:t>
                  </w:r>
                </w:p>
              </w:tc>
              <w:tc>
                <w:tcPr>
                  <w:tcW w:w="1448" w:type="pct"/>
                  <w:tcBorders>
                    <w:tl2br w:val="nil"/>
                    <w:tr2bl w:val="nil"/>
                  </w:tcBorders>
                  <w:noWrap w:val="0"/>
                  <w:vAlign w:val="center"/>
                </w:tcPr>
                <w:p w14:paraId="0595903E">
                  <w:pPr>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产品名称</w:t>
                  </w:r>
                </w:p>
              </w:tc>
              <w:tc>
                <w:tcPr>
                  <w:tcW w:w="1490" w:type="pct"/>
                  <w:tcBorders>
                    <w:tl2br w:val="nil"/>
                    <w:tr2bl w:val="nil"/>
                  </w:tcBorders>
                  <w:noWrap w:val="0"/>
                  <w:vAlign w:val="center"/>
                </w:tcPr>
                <w:p w14:paraId="50D03FFC">
                  <w:pPr>
                    <w:jc w:val="center"/>
                    <w:rPr>
                      <w:rFonts w:hint="default" w:ascii="Times New Roman" w:hAnsi="Times New Roman" w:eastAsia="宋体" w:cs="Times New Roman"/>
                      <w:b/>
                      <w:color w:val="auto"/>
                      <w:sz w:val="21"/>
                      <w:szCs w:val="21"/>
                      <w:u w:val="none" w:color="auto"/>
                      <w:lang w:val="en-US" w:eastAsia="zh-CN"/>
                    </w:rPr>
                  </w:pPr>
                  <w:r>
                    <w:rPr>
                      <w:rFonts w:hint="eastAsia" w:cs="Times New Roman"/>
                      <w:b/>
                      <w:bCs w:val="0"/>
                      <w:color w:val="auto"/>
                      <w:sz w:val="21"/>
                      <w:szCs w:val="21"/>
                      <w:u w:val="none" w:color="auto"/>
                      <w:lang w:eastAsia="zh-CN"/>
                    </w:rPr>
                    <w:t>数量（样本数</w:t>
                  </w:r>
                  <w:r>
                    <w:rPr>
                      <w:rFonts w:hint="eastAsia" w:cs="Times New Roman"/>
                      <w:b/>
                      <w:bCs w:val="0"/>
                      <w:color w:val="auto"/>
                      <w:sz w:val="21"/>
                      <w:szCs w:val="21"/>
                      <w:u w:val="none" w:color="auto"/>
                      <w:lang w:val="en-US" w:eastAsia="zh-CN"/>
                    </w:rPr>
                    <w:t>/年）</w:t>
                  </w:r>
                </w:p>
              </w:tc>
              <w:tc>
                <w:tcPr>
                  <w:tcW w:w="1475" w:type="pct"/>
                  <w:tcBorders>
                    <w:tl2br w:val="nil"/>
                    <w:tr2bl w:val="nil"/>
                  </w:tcBorders>
                  <w:noWrap w:val="0"/>
                  <w:vAlign w:val="center"/>
                </w:tcPr>
                <w:p w14:paraId="0670BA19">
                  <w:pPr>
                    <w:jc w:val="center"/>
                    <w:rPr>
                      <w:rFonts w:hint="default" w:ascii="Times New Roman" w:hAnsi="Times New Roman" w:eastAsia="宋体" w:cs="Times New Roman"/>
                      <w:b/>
                      <w:color w:val="auto"/>
                      <w:sz w:val="21"/>
                      <w:szCs w:val="21"/>
                      <w:u w:val="none" w:color="auto"/>
                      <w:lang w:val="en-US" w:eastAsia="zh-CN"/>
                    </w:rPr>
                  </w:pPr>
                  <w:r>
                    <w:rPr>
                      <w:rFonts w:hint="default" w:ascii="Times New Roman" w:hAnsi="Times New Roman" w:eastAsia="宋体" w:cs="Times New Roman"/>
                      <w:b/>
                      <w:color w:val="auto"/>
                      <w:sz w:val="21"/>
                      <w:szCs w:val="21"/>
                      <w:u w:val="none" w:color="auto"/>
                      <w:lang w:val="en-US" w:eastAsia="zh-CN"/>
                    </w:rPr>
                    <w:t>备注</w:t>
                  </w:r>
                </w:p>
              </w:tc>
            </w:tr>
            <w:tr w14:paraId="3B903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85" w:type="pct"/>
                  <w:tcBorders>
                    <w:tl2br w:val="nil"/>
                    <w:tr2bl w:val="nil"/>
                  </w:tcBorders>
                  <w:noWrap w:val="0"/>
                  <w:vAlign w:val="center"/>
                </w:tcPr>
                <w:p w14:paraId="3CDFCD30">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w:t>
                  </w:r>
                </w:p>
              </w:tc>
              <w:tc>
                <w:tcPr>
                  <w:tcW w:w="1448" w:type="pct"/>
                  <w:tcBorders>
                    <w:tl2br w:val="nil"/>
                    <w:tr2bl w:val="nil"/>
                  </w:tcBorders>
                  <w:noWrap w:val="0"/>
                  <w:vAlign w:val="center"/>
                </w:tcPr>
                <w:p w14:paraId="648B7C70">
                  <w:pPr>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固态样本</w:t>
                  </w:r>
                </w:p>
              </w:tc>
              <w:tc>
                <w:tcPr>
                  <w:tcW w:w="1490" w:type="pct"/>
                  <w:tcBorders>
                    <w:tl2br w:val="nil"/>
                    <w:tr2bl w:val="nil"/>
                  </w:tcBorders>
                  <w:noWrap w:val="0"/>
                  <w:vAlign w:val="center"/>
                </w:tcPr>
                <w:p w14:paraId="4D22D2CB">
                  <w:pPr>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300</w:t>
                  </w:r>
                </w:p>
              </w:tc>
              <w:tc>
                <w:tcPr>
                  <w:tcW w:w="1475" w:type="pct"/>
                  <w:tcBorders>
                    <w:tl2br w:val="nil"/>
                    <w:tr2bl w:val="nil"/>
                  </w:tcBorders>
                  <w:noWrap w:val="0"/>
                  <w:vAlign w:val="center"/>
                </w:tcPr>
                <w:p w14:paraId="0D78C16B">
                  <w:pPr>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柴胡、黄芪、芍药</w:t>
                  </w:r>
                </w:p>
              </w:tc>
            </w:tr>
            <w:tr w14:paraId="571FD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033" w:type="pct"/>
                  <w:gridSpan w:val="2"/>
                  <w:tcBorders>
                    <w:tl2br w:val="nil"/>
                    <w:tr2bl w:val="nil"/>
                  </w:tcBorders>
                  <w:noWrap w:val="0"/>
                  <w:vAlign w:val="center"/>
                </w:tcPr>
                <w:p w14:paraId="410E563D">
                  <w:pPr>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合计</w:t>
                  </w:r>
                </w:p>
              </w:tc>
              <w:tc>
                <w:tcPr>
                  <w:tcW w:w="1490" w:type="pct"/>
                  <w:tcBorders>
                    <w:tl2br w:val="nil"/>
                    <w:tr2bl w:val="nil"/>
                  </w:tcBorders>
                  <w:noWrap w:val="0"/>
                  <w:vAlign w:val="center"/>
                </w:tcPr>
                <w:p w14:paraId="35BBD386">
                  <w:pPr>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300</w:t>
                  </w:r>
                </w:p>
              </w:tc>
              <w:tc>
                <w:tcPr>
                  <w:tcW w:w="1475" w:type="pct"/>
                  <w:tcBorders>
                    <w:tl2br w:val="nil"/>
                    <w:tr2bl w:val="nil"/>
                  </w:tcBorders>
                  <w:noWrap w:val="0"/>
                  <w:vAlign w:val="center"/>
                </w:tcPr>
                <w:p w14:paraId="305A7A15">
                  <w:pPr>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r>
          </w:tbl>
          <w:p w14:paraId="374AD0C2">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仿宋_GB2312" w:cs="Times New Roman"/>
                <w:b w:val="0"/>
                <w:bCs/>
                <w:color w:val="auto"/>
                <w:sz w:val="24"/>
                <w:szCs w:val="24"/>
                <w:highlight w:val="none"/>
                <w:vertAlign w:val="baseline"/>
                <w:lang w:val="en-US" w:eastAsia="zh-CN"/>
              </w:rPr>
            </w:pPr>
            <w:r>
              <w:rPr>
                <w:rFonts w:hint="eastAsia" w:ascii="Times New Roman" w:hAnsi="Times New Roman" w:eastAsia="仿宋_GB2312" w:cs="Times New Roman"/>
                <w:b w:val="0"/>
                <w:bCs/>
                <w:color w:val="auto"/>
                <w:sz w:val="24"/>
                <w:szCs w:val="24"/>
                <w:highlight w:val="none"/>
                <w:vertAlign w:val="baseline"/>
                <w:lang w:val="en-US" w:eastAsia="zh-CN"/>
              </w:rPr>
              <w:t>4）</w:t>
            </w:r>
            <w:r>
              <w:rPr>
                <w:rFonts w:hint="default" w:ascii="Times New Roman" w:hAnsi="Times New Roman" w:eastAsia="仿宋_GB2312" w:cs="Times New Roman"/>
                <w:b w:val="0"/>
                <w:bCs/>
                <w:color w:val="auto"/>
                <w:sz w:val="24"/>
                <w:szCs w:val="24"/>
                <w:highlight w:val="none"/>
                <w:vertAlign w:val="baseline"/>
                <w:lang w:val="en-US" w:eastAsia="zh-CN"/>
              </w:rPr>
              <w:t>主要原辅材料</w:t>
            </w:r>
          </w:p>
          <w:p w14:paraId="2A6A3F54">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仿宋_GB2312" w:cs="Times New Roman"/>
                <w:b w:val="0"/>
                <w:bCs/>
                <w:color w:val="auto"/>
                <w:sz w:val="24"/>
                <w:szCs w:val="24"/>
                <w:highlight w:val="none"/>
                <w:vertAlign w:val="baseline"/>
                <w:lang w:val="en-US" w:eastAsia="zh-CN"/>
              </w:rPr>
            </w:pPr>
            <w:r>
              <w:rPr>
                <w:rFonts w:hint="default" w:ascii="Times New Roman" w:hAnsi="Times New Roman" w:eastAsia="仿宋_GB2312" w:cs="Times New Roman"/>
                <w:b w:val="0"/>
                <w:bCs/>
                <w:color w:val="auto"/>
                <w:sz w:val="24"/>
                <w:szCs w:val="24"/>
                <w:highlight w:val="none"/>
                <w:vertAlign w:val="baseline"/>
                <w:lang w:val="en-US" w:eastAsia="zh-CN"/>
              </w:rPr>
              <w:t>本项目中药材质量检测中心主要原辅材料</w:t>
            </w:r>
            <w:r>
              <w:rPr>
                <w:rFonts w:hint="eastAsia" w:ascii="Times New Roman" w:hAnsi="Times New Roman" w:eastAsia="仿宋_GB2312" w:cs="Times New Roman"/>
                <w:b w:val="0"/>
                <w:bCs/>
                <w:color w:val="auto"/>
                <w:sz w:val="24"/>
                <w:szCs w:val="24"/>
                <w:highlight w:val="none"/>
                <w:vertAlign w:val="baseline"/>
                <w:lang w:val="en-US" w:eastAsia="zh-CN"/>
              </w:rPr>
              <w:t>及能源</w:t>
            </w:r>
            <w:r>
              <w:rPr>
                <w:rFonts w:hint="default" w:ascii="Times New Roman" w:hAnsi="Times New Roman" w:eastAsia="仿宋_GB2312" w:cs="Times New Roman"/>
                <w:b w:val="0"/>
                <w:bCs/>
                <w:color w:val="auto"/>
                <w:sz w:val="24"/>
                <w:szCs w:val="24"/>
                <w:highlight w:val="none"/>
                <w:vertAlign w:val="baseline"/>
                <w:lang w:val="en-US" w:eastAsia="zh-CN"/>
              </w:rPr>
              <w:t>消耗情况见表</w:t>
            </w:r>
            <w:r>
              <w:rPr>
                <w:rFonts w:hint="eastAsia" w:eastAsia="仿宋_GB2312" w:cs="Times New Roman"/>
                <w:b w:val="0"/>
                <w:bCs/>
                <w:color w:val="auto"/>
                <w:sz w:val="24"/>
                <w:szCs w:val="24"/>
                <w:highlight w:val="none"/>
                <w:vertAlign w:val="baseline"/>
                <w:lang w:val="en-US" w:eastAsia="zh-CN"/>
              </w:rPr>
              <w:t>8</w:t>
            </w:r>
            <w:r>
              <w:rPr>
                <w:rFonts w:hint="default" w:ascii="Times New Roman" w:hAnsi="Times New Roman" w:eastAsia="仿宋_GB2312" w:cs="Times New Roman"/>
                <w:b w:val="0"/>
                <w:bCs/>
                <w:color w:val="auto"/>
                <w:sz w:val="24"/>
                <w:szCs w:val="24"/>
                <w:highlight w:val="none"/>
                <w:vertAlign w:val="baseline"/>
                <w:lang w:val="en-US" w:eastAsia="zh-CN"/>
              </w:rPr>
              <w:t>。</w:t>
            </w:r>
          </w:p>
          <w:p w14:paraId="47F1103B">
            <w:pPr>
              <w:adjustRightInd w:val="0"/>
              <w:snapToGrid w:val="0"/>
              <w:ind w:firstLine="422" w:firstLineChars="200"/>
              <w:jc w:val="both"/>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表</w:t>
            </w:r>
            <w:r>
              <w:rPr>
                <w:rFonts w:hint="eastAsia" w:cs="Times New Roman"/>
                <w:b/>
                <w:bCs/>
                <w:color w:val="auto"/>
                <w:u w:val="none" w:color="auto"/>
                <w:lang w:val="en-US" w:eastAsia="zh-CN"/>
              </w:rPr>
              <w:t xml:space="preserve">8              </w:t>
            </w:r>
            <w:r>
              <w:rPr>
                <w:rFonts w:hint="default" w:ascii="Times New Roman" w:hAnsi="Times New Roman" w:eastAsia="宋体" w:cs="Times New Roman"/>
                <w:b/>
                <w:bCs/>
                <w:color w:val="auto"/>
                <w:u w:val="none" w:color="auto"/>
              </w:rPr>
              <w:t xml:space="preserve"> </w:t>
            </w:r>
            <w:r>
              <w:rPr>
                <w:rFonts w:hint="eastAsia" w:cs="Times New Roman"/>
                <w:b/>
                <w:bCs/>
                <w:color w:val="auto"/>
                <w:u w:val="none" w:color="auto"/>
                <w:lang w:val="en-US" w:eastAsia="zh-CN"/>
              </w:rPr>
              <w:t>中药材质量检测中心</w:t>
            </w:r>
            <w:r>
              <w:rPr>
                <w:rFonts w:hint="default" w:ascii="Times New Roman" w:hAnsi="Times New Roman" w:eastAsia="宋体" w:cs="Times New Roman"/>
                <w:b/>
                <w:bCs/>
                <w:color w:val="auto"/>
                <w:u w:val="none" w:color="auto"/>
              </w:rPr>
              <w:t>原辅材料消耗情况一览表</w:t>
            </w:r>
          </w:p>
          <w:tbl>
            <w:tblPr>
              <w:tblStyle w:val="3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54"/>
              <w:gridCol w:w="1667"/>
              <w:gridCol w:w="855"/>
              <w:gridCol w:w="1654"/>
              <w:gridCol w:w="1121"/>
              <w:gridCol w:w="726"/>
            </w:tblGrid>
            <w:tr w14:paraId="1879B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12" w:type="pct"/>
                  <w:noWrap w:val="0"/>
                  <w:vAlign w:val="center"/>
                </w:tcPr>
                <w:p w14:paraId="66AD5633">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b/>
                      <w:bCs/>
                      <w:color w:val="auto"/>
                      <w:sz w:val="21"/>
                      <w:szCs w:val="21"/>
                      <w:u w:val="none" w:color="auto"/>
                      <w:vertAlign w:val="baseline"/>
                    </w:rPr>
                  </w:pPr>
                  <w:r>
                    <w:rPr>
                      <w:rFonts w:hint="eastAsia" w:ascii="Times New Roman" w:hAnsi="Times New Roman" w:eastAsia="宋体" w:cs="Times New Roman"/>
                      <w:b/>
                      <w:bCs/>
                      <w:color w:val="auto"/>
                      <w:sz w:val="21"/>
                      <w:szCs w:val="21"/>
                      <w:u w:val="none" w:color="auto"/>
                      <w:vertAlign w:val="baseline"/>
                      <w:lang w:eastAsia="zh-CN"/>
                    </w:rPr>
                    <w:t>序号</w:t>
                  </w:r>
                </w:p>
              </w:tc>
              <w:tc>
                <w:tcPr>
                  <w:tcW w:w="1034" w:type="pct"/>
                  <w:noWrap w:val="0"/>
                  <w:vAlign w:val="center"/>
                </w:tcPr>
                <w:p w14:paraId="3D178CC5">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b/>
                      <w:bCs/>
                      <w:color w:val="auto"/>
                      <w:sz w:val="21"/>
                      <w:szCs w:val="21"/>
                      <w:u w:val="none" w:color="auto"/>
                      <w:vertAlign w:val="baseline"/>
                    </w:rPr>
                  </w:pPr>
                  <w:r>
                    <w:rPr>
                      <w:rFonts w:hint="eastAsia" w:ascii="Times New Roman" w:hAnsi="Times New Roman" w:eastAsia="宋体" w:cs="Times New Roman"/>
                      <w:b/>
                      <w:bCs/>
                      <w:color w:val="auto"/>
                      <w:sz w:val="21"/>
                      <w:szCs w:val="21"/>
                      <w:u w:val="none" w:color="auto"/>
                      <w:vertAlign w:val="baseline"/>
                      <w:lang w:eastAsia="zh-CN"/>
                    </w:rPr>
                    <w:t>名称</w:t>
                  </w:r>
                </w:p>
              </w:tc>
              <w:tc>
                <w:tcPr>
                  <w:tcW w:w="983" w:type="pct"/>
                  <w:noWrap w:val="0"/>
                  <w:vAlign w:val="center"/>
                </w:tcPr>
                <w:p w14:paraId="5D507DFC">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b/>
                      <w:bCs/>
                      <w:color w:val="auto"/>
                      <w:sz w:val="21"/>
                      <w:szCs w:val="21"/>
                      <w:u w:val="none" w:color="auto"/>
                      <w:vertAlign w:val="baseline"/>
                    </w:rPr>
                  </w:pPr>
                  <w:r>
                    <w:rPr>
                      <w:rFonts w:hint="eastAsia" w:ascii="Times New Roman" w:hAnsi="Times New Roman" w:eastAsia="宋体" w:cs="Times New Roman"/>
                      <w:b/>
                      <w:bCs/>
                      <w:color w:val="auto"/>
                      <w:sz w:val="21"/>
                      <w:szCs w:val="21"/>
                      <w:u w:val="none" w:color="auto"/>
                      <w:vertAlign w:val="baseline"/>
                      <w:lang w:eastAsia="zh-CN"/>
                    </w:rPr>
                    <w:t>规格</w:t>
                  </w:r>
                </w:p>
              </w:tc>
              <w:tc>
                <w:tcPr>
                  <w:tcW w:w="504" w:type="pct"/>
                  <w:noWrap w:val="0"/>
                  <w:vAlign w:val="center"/>
                </w:tcPr>
                <w:p w14:paraId="20AE0827">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b/>
                      <w:bCs/>
                      <w:color w:val="auto"/>
                      <w:sz w:val="21"/>
                      <w:szCs w:val="21"/>
                      <w:u w:val="none" w:color="auto"/>
                      <w:vertAlign w:val="baseline"/>
                    </w:rPr>
                  </w:pPr>
                  <w:r>
                    <w:rPr>
                      <w:rFonts w:hint="eastAsia" w:ascii="Times New Roman" w:hAnsi="Times New Roman" w:eastAsia="宋体" w:cs="Times New Roman"/>
                      <w:b/>
                      <w:bCs/>
                      <w:color w:val="auto"/>
                      <w:sz w:val="21"/>
                      <w:szCs w:val="21"/>
                      <w:u w:val="none" w:color="auto"/>
                      <w:vertAlign w:val="baseline"/>
                      <w:lang w:eastAsia="zh-CN"/>
                    </w:rPr>
                    <w:t>数量（瓶）</w:t>
                  </w:r>
                </w:p>
              </w:tc>
              <w:tc>
                <w:tcPr>
                  <w:tcW w:w="975" w:type="pct"/>
                  <w:noWrap w:val="0"/>
                  <w:vAlign w:val="center"/>
                </w:tcPr>
                <w:p w14:paraId="475A6E85">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b/>
                      <w:bCs/>
                      <w:color w:val="auto"/>
                      <w:sz w:val="21"/>
                      <w:szCs w:val="21"/>
                      <w:u w:val="none" w:color="auto"/>
                      <w:vertAlign w:val="baseline"/>
                    </w:rPr>
                  </w:pPr>
                  <w:r>
                    <w:rPr>
                      <w:rFonts w:hint="eastAsia" w:ascii="Times New Roman" w:hAnsi="Times New Roman" w:eastAsia="宋体" w:cs="Times New Roman"/>
                      <w:b/>
                      <w:bCs/>
                      <w:color w:val="auto"/>
                      <w:sz w:val="21"/>
                      <w:szCs w:val="21"/>
                      <w:u w:val="none" w:color="auto"/>
                      <w:vertAlign w:val="baseline"/>
                      <w:lang w:eastAsia="zh-CN"/>
                    </w:rPr>
                    <w:t>年用量</w:t>
                  </w:r>
                </w:p>
              </w:tc>
              <w:tc>
                <w:tcPr>
                  <w:tcW w:w="661" w:type="pct"/>
                  <w:noWrap w:val="0"/>
                  <w:vAlign w:val="center"/>
                </w:tcPr>
                <w:p w14:paraId="545A47E9">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b/>
                      <w:bCs/>
                      <w:color w:val="auto"/>
                      <w:sz w:val="21"/>
                      <w:szCs w:val="21"/>
                      <w:u w:val="none" w:color="auto"/>
                      <w:vertAlign w:val="baseline"/>
                    </w:rPr>
                  </w:pPr>
                  <w:r>
                    <w:rPr>
                      <w:rFonts w:hint="eastAsia" w:ascii="Times New Roman" w:hAnsi="Times New Roman" w:eastAsia="宋体" w:cs="Times New Roman"/>
                      <w:b/>
                      <w:bCs/>
                      <w:color w:val="auto"/>
                      <w:sz w:val="21"/>
                      <w:szCs w:val="21"/>
                      <w:u w:val="none" w:color="auto"/>
                      <w:vertAlign w:val="baseline"/>
                      <w:lang w:eastAsia="zh-CN"/>
                    </w:rPr>
                    <w:t>来源</w:t>
                  </w:r>
                </w:p>
              </w:tc>
              <w:tc>
                <w:tcPr>
                  <w:tcW w:w="428" w:type="pct"/>
                  <w:noWrap w:val="0"/>
                  <w:vAlign w:val="center"/>
                </w:tcPr>
                <w:p w14:paraId="2609D420">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b/>
                      <w:bCs/>
                      <w:color w:val="auto"/>
                      <w:sz w:val="21"/>
                      <w:szCs w:val="21"/>
                      <w:u w:val="none" w:color="auto"/>
                      <w:vertAlign w:val="baseline"/>
                    </w:rPr>
                  </w:pPr>
                  <w:r>
                    <w:rPr>
                      <w:rFonts w:hint="eastAsia" w:ascii="Times New Roman" w:hAnsi="Times New Roman" w:eastAsia="宋体" w:cs="Times New Roman"/>
                      <w:b/>
                      <w:bCs/>
                      <w:color w:val="auto"/>
                      <w:sz w:val="21"/>
                      <w:szCs w:val="21"/>
                      <w:u w:val="none" w:color="auto"/>
                      <w:vertAlign w:val="baseline"/>
                      <w:lang w:eastAsia="zh-CN"/>
                    </w:rPr>
                    <w:t>备注</w:t>
                  </w:r>
                </w:p>
              </w:tc>
            </w:tr>
            <w:tr w14:paraId="791A4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179097FF">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w:t>
                  </w:r>
                </w:p>
              </w:tc>
              <w:tc>
                <w:tcPr>
                  <w:tcW w:w="1034" w:type="pct"/>
                  <w:noWrap w:val="0"/>
                  <w:vAlign w:val="center"/>
                </w:tcPr>
                <w:p w14:paraId="2E33ED84">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eastAsia="zh-CN"/>
                    </w:rPr>
                    <w:t>石油醚</w:t>
                  </w:r>
                  <w:r>
                    <w:rPr>
                      <w:rFonts w:hint="eastAsia"/>
                      <w:color w:val="auto"/>
                      <w:sz w:val="21"/>
                      <w:szCs w:val="21"/>
                      <w:u w:val="none" w:color="auto"/>
                      <w:vertAlign w:val="baseline"/>
                      <w:lang w:val="en-US" w:eastAsia="zh-CN"/>
                    </w:rPr>
                    <w:t>30-60</w:t>
                  </w:r>
                </w:p>
              </w:tc>
              <w:tc>
                <w:tcPr>
                  <w:tcW w:w="983" w:type="pct"/>
                  <w:noWrap w:val="0"/>
                  <w:vAlign w:val="center"/>
                </w:tcPr>
                <w:p w14:paraId="0F732790">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500ml，AR</w:t>
                  </w:r>
                </w:p>
              </w:tc>
              <w:tc>
                <w:tcPr>
                  <w:tcW w:w="504" w:type="pct"/>
                  <w:noWrap w:val="0"/>
                  <w:vAlign w:val="center"/>
                </w:tcPr>
                <w:p w14:paraId="38D5F057">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1132</w:t>
                  </w:r>
                </w:p>
              </w:tc>
              <w:tc>
                <w:tcPr>
                  <w:tcW w:w="975" w:type="pct"/>
                  <w:noWrap w:val="0"/>
                  <w:vAlign w:val="center"/>
                </w:tcPr>
                <w:p w14:paraId="68BAF106">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566000ml</w:t>
                  </w:r>
                </w:p>
              </w:tc>
              <w:tc>
                <w:tcPr>
                  <w:tcW w:w="661" w:type="pct"/>
                  <w:noWrap w:val="0"/>
                  <w:vAlign w:val="center"/>
                </w:tcPr>
                <w:p w14:paraId="554587ED">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外购</w:t>
                  </w:r>
                </w:p>
              </w:tc>
              <w:tc>
                <w:tcPr>
                  <w:tcW w:w="428" w:type="pct"/>
                  <w:noWrap w:val="0"/>
                  <w:vAlign w:val="center"/>
                </w:tcPr>
                <w:p w14:paraId="2A77776B">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082FA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08E1658A">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w:t>
                  </w:r>
                </w:p>
              </w:tc>
              <w:tc>
                <w:tcPr>
                  <w:tcW w:w="1034" w:type="pct"/>
                  <w:noWrap w:val="0"/>
                  <w:vAlign w:val="center"/>
                </w:tcPr>
                <w:p w14:paraId="7EC2F7BB">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无水乙醇</w:t>
                  </w:r>
                </w:p>
              </w:tc>
              <w:tc>
                <w:tcPr>
                  <w:tcW w:w="983" w:type="pct"/>
                  <w:noWrap w:val="0"/>
                  <w:vAlign w:val="center"/>
                </w:tcPr>
                <w:p w14:paraId="4FEE59C1">
                  <w:pPr>
                    <w:jc w:val="center"/>
                    <w:rPr>
                      <w:rFonts w:hint="default"/>
                      <w:color w:val="auto"/>
                      <w:sz w:val="21"/>
                      <w:szCs w:val="21"/>
                      <w:u w:val="none" w:color="auto"/>
                      <w:vertAlign w:val="baseline"/>
                      <w:lang w:val="en-US"/>
                    </w:rPr>
                  </w:pPr>
                  <w:r>
                    <w:rPr>
                      <w:rFonts w:hint="eastAsia"/>
                      <w:color w:val="auto"/>
                      <w:sz w:val="21"/>
                      <w:szCs w:val="21"/>
                      <w:u w:val="none" w:color="auto"/>
                      <w:vertAlign w:val="baseline"/>
                      <w:lang w:val="en-US" w:eastAsia="zh-CN"/>
                    </w:rPr>
                    <w:t>500ml，AR，500mlHPCL</w:t>
                  </w:r>
                </w:p>
              </w:tc>
              <w:tc>
                <w:tcPr>
                  <w:tcW w:w="504" w:type="pct"/>
                  <w:noWrap w:val="0"/>
                  <w:vAlign w:val="center"/>
                </w:tcPr>
                <w:p w14:paraId="5A949678">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280</w:t>
                  </w:r>
                </w:p>
              </w:tc>
              <w:tc>
                <w:tcPr>
                  <w:tcW w:w="975" w:type="pct"/>
                  <w:noWrap w:val="0"/>
                  <w:vAlign w:val="center"/>
                </w:tcPr>
                <w:p w14:paraId="0EC6576B">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140000ml</w:t>
                  </w:r>
                </w:p>
              </w:tc>
              <w:tc>
                <w:tcPr>
                  <w:tcW w:w="661" w:type="pct"/>
                  <w:noWrap w:val="0"/>
                  <w:vAlign w:val="center"/>
                </w:tcPr>
                <w:p w14:paraId="68E864EA">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038E87A5">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42AFB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47714652">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3</w:t>
                  </w:r>
                </w:p>
              </w:tc>
              <w:tc>
                <w:tcPr>
                  <w:tcW w:w="1034" w:type="pct"/>
                  <w:noWrap w:val="0"/>
                  <w:vAlign w:val="center"/>
                </w:tcPr>
                <w:p w14:paraId="42CD4540">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75%乙醇</w:t>
                  </w:r>
                </w:p>
              </w:tc>
              <w:tc>
                <w:tcPr>
                  <w:tcW w:w="983" w:type="pct"/>
                  <w:noWrap w:val="0"/>
                  <w:vAlign w:val="center"/>
                </w:tcPr>
                <w:p w14:paraId="469FC1E5">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500ml</w:t>
                  </w:r>
                </w:p>
              </w:tc>
              <w:tc>
                <w:tcPr>
                  <w:tcW w:w="504" w:type="pct"/>
                  <w:noWrap w:val="0"/>
                  <w:vAlign w:val="center"/>
                </w:tcPr>
                <w:p w14:paraId="0397D2A9">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240</w:t>
                  </w:r>
                </w:p>
              </w:tc>
              <w:tc>
                <w:tcPr>
                  <w:tcW w:w="975" w:type="pct"/>
                  <w:noWrap w:val="0"/>
                  <w:vAlign w:val="center"/>
                </w:tcPr>
                <w:p w14:paraId="20D8F01A">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120000ml</w:t>
                  </w:r>
                </w:p>
              </w:tc>
              <w:tc>
                <w:tcPr>
                  <w:tcW w:w="661" w:type="pct"/>
                  <w:noWrap w:val="0"/>
                  <w:vAlign w:val="center"/>
                </w:tcPr>
                <w:p w14:paraId="181D8478">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4ACDA5F9">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62275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55B99576">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4</w:t>
                  </w:r>
                </w:p>
              </w:tc>
              <w:tc>
                <w:tcPr>
                  <w:tcW w:w="1034" w:type="pct"/>
                  <w:noWrap w:val="0"/>
                  <w:vAlign w:val="center"/>
                </w:tcPr>
                <w:p w14:paraId="0C3C67FE">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氯化钠</w:t>
                  </w:r>
                </w:p>
              </w:tc>
              <w:tc>
                <w:tcPr>
                  <w:tcW w:w="983" w:type="pct"/>
                  <w:noWrap w:val="0"/>
                  <w:vAlign w:val="center"/>
                </w:tcPr>
                <w:p w14:paraId="5339D61A">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AR/500g</w:t>
                  </w:r>
                </w:p>
              </w:tc>
              <w:tc>
                <w:tcPr>
                  <w:tcW w:w="504" w:type="pct"/>
                  <w:noWrap w:val="0"/>
                  <w:vAlign w:val="center"/>
                </w:tcPr>
                <w:p w14:paraId="7AD3E422">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230</w:t>
                  </w:r>
                </w:p>
              </w:tc>
              <w:tc>
                <w:tcPr>
                  <w:tcW w:w="975" w:type="pct"/>
                  <w:noWrap w:val="0"/>
                  <w:vAlign w:val="center"/>
                </w:tcPr>
                <w:p w14:paraId="35A8EC7C">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115000g</w:t>
                  </w:r>
                </w:p>
              </w:tc>
              <w:tc>
                <w:tcPr>
                  <w:tcW w:w="661" w:type="pct"/>
                  <w:noWrap w:val="0"/>
                  <w:vAlign w:val="center"/>
                </w:tcPr>
                <w:p w14:paraId="1AB6A667">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2666F0AD">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2571E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noWrap w:val="0"/>
                  <w:vAlign w:val="center"/>
                </w:tcPr>
                <w:p w14:paraId="4D2EFA3E">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w:t>
                  </w:r>
                </w:p>
              </w:tc>
              <w:tc>
                <w:tcPr>
                  <w:tcW w:w="1034" w:type="pct"/>
                  <w:noWrap w:val="0"/>
                  <w:vAlign w:val="center"/>
                </w:tcPr>
                <w:p w14:paraId="32F7BCBC">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乙腈</w:t>
                  </w:r>
                </w:p>
              </w:tc>
              <w:tc>
                <w:tcPr>
                  <w:tcW w:w="983" w:type="pct"/>
                  <w:noWrap w:val="0"/>
                  <w:vAlign w:val="center"/>
                </w:tcPr>
                <w:p w14:paraId="52DBBF06">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4L</w:t>
                  </w:r>
                </w:p>
              </w:tc>
              <w:tc>
                <w:tcPr>
                  <w:tcW w:w="504" w:type="pct"/>
                  <w:noWrap w:val="0"/>
                  <w:vAlign w:val="center"/>
                </w:tcPr>
                <w:p w14:paraId="49993EC3">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230</w:t>
                  </w:r>
                </w:p>
              </w:tc>
              <w:tc>
                <w:tcPr>
                  <w:tcW w:w="975" w:type="pct"/>
                  <w:noWrap w:val="0"/>
                  <w:vAlign w:val="center"/>
                </w:tcPr>
                <w:p w14:paraId="2E773011">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920000ml</w:t>
                  </w:r>
                </w:p>
              </w:tc>
              <w:tc>
                <w:tcPr>
                  <w:tcW w:w="661" w:type="pct"/>
                  <w:noWrap w:val="0"/>
                  <w:vAlign w:val="center"/>
                </w:tcPr>
                <w:p w14:paraId="0BF3BBCC">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5ABFDF56">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6DCE8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6D72B0B5">
                  <w:pPr>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6</w:t>
                  </w:r>
                </w:p>
              </w:tc>
              <w:tc>
                <w:tcPr>
                  <w:tcW w:w="1034" w:type="pct"/>
                  <w:noWrap w:val="0"/>
                  <w:vAlign w:val="center"/>
                </w:tcPr>
                <w:p w14:paraId="1D2896D5">
                  <w:pPr>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eastAsia="zh-CN"/>
                    </w:rPr>
                    <w:t>盐酸（</w:t>
                  </w:r>
                  <w:r>
                    <w:rPr>
                      <w:rFonts w:hint="eastAsia"/>
                      <w:color w:val="auto"/>
                      <w:sz w:val="21"/>
                      <w:szCs w:val="21"/>
                      <w:u w:val="none" w:color="auto"/>
                      <w:vertAlign w:val="baseline"/>
                      <w:lang w:val="en-US" w:eastAsia="zh-CN"/>
                    </w:rPr>
                    <w:t>36%）</w:t>
                  </w:r>
                </w:p>
              </w:tc>
              <w:tc>
                <w:tcPr>
                  <w:tcW w:w="983" w:type="pct"/>
                  <w:noWrap w:val="0"/>
                  <w:vAlign w:val="center"/>
                </w:tcPr>
                <w:p w14:paraId="3A2490A2">
                  <w:pPr>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500ml</w:t>
                  </w:r>
                </w:p>
              </w:tc>
              <w:tc>
                <w:tcPr>
                  <w:tcW w:w="504" w:type="pct"/>
                  <w:noWrap w:val="0"/>
                  <w:vAlign w:val="center"/>
                </w:tcPr>
                <w:p w14:paraId="5077B05F">
                  <w:pPr>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70</w:t>
                  </w:r>
                </w:p>
              </w:tc>
              <w:tc>
                <w:tcPr>
                  <w:tcW w:w="975" w:type="pct"/>
                  <w:noWrap w:val="0"/>
                  <w:vAlign w:val="center"/>
                </w:tcPr>
                <w:p w14:paraId="4CF24232">
                  <w:pPr>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35000ml</w:t>
                  </w:r>
                </w:p>
              </w:tc>
              <w:tc>
                <w:tcPr>
                  <w:tcW w:w="661" w:type="pct"/>
                  <w:noWrap w:val="0"/>
                  <w:vAlign w:val="center"/>
                </w:tcPr>
                <w:p w14:paraId="4F072C2E">
                  <w:pPr>
                    <w:jc w:val="center"/>
                    <w:rPr>
                      <w:rFonts w:hint="eastAsia"/>
                      <w:color w:val="auto"/>
                      <w:sz w:val="21"/>
                      <w:szCs w:val="21"/>
                      <w:u w:val="none" w:color="auto"/>
                      <w:vertAlign w:val="baseline"/>
                      <w:lang w:eastAsia="zh-CN"/>
                    </w:rPr>
                  </w:pPr>
                  <w:r>
                    <w:rPr>
                      <w:rFonts w:hint="eastAsia"/>
                      <w:color w:val="auto"/>
                      <w:sz w:val="21"/>
                      <w:szCs w:val="21"/>
                      <w:u w:val="none" w:color="auto"/>
                      <w:vertAlign w:val="baseline"/>
                      <w:lang w:eastAsia="zh-CN"/>
                    </w:rPr>
                    <w:t>外购</w:t>
                  </w:r>
                </w:p>
              </w:tc>
              <w:tc>
                <w:tcPr>
                  <w:tcW w:w="428" w:type="pct"/>
                  <w:noWrap w:val="0"/>
                  <w:vAlign w:val="center"/>
                </w:tcPr>
                <w:p w14:paraId="435B149E">
                  <w:pPr>
                    <w:jc w:val="center"/>
                    <w:rPr>
                      <w:rFonts w:hint="eastAsia"/>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r>
            <w:tr w14:paraId="3C07A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65FF1B65">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7</w:t>
                  </w:r>
                </w:p>
              </w:tc>
              <w:tc>
                <w:tcPr>
                  <w:tcW w:w="1034" w:type="pct"/>
                  <w:noWrap w:val="0"/>
                  <w:vAlign w:val="center"/>
                </w:tcPr>
                <w:p w14:paraId="057844A6">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eastAsia="zh-CN"/>
                    </w:rPr>
                    <w:t>硫酸（</w:t>
                  </w:r>
                  <w:r>
                    <w:rPr>
                      <w:rFonts w:hint="eastAsia"/>
                      <w:color w:val="auto"/>
                      <w:sz w:val="21"/>
                      <w:szCs w:val="21"/>
                      <w:u w:val="none" w:color="auto"/>
                      <w:vertAlign w:val="baseline"/>
                      <w:lang w:val="en-US" w:eastAsia="zh-CN"/>
                    </w:rPr>
                    <w:t>95%）</w:t>
                  </w:r>
                </w:p>
              </w:tc>
              <w:tc>
                <w:tcPr>
                  <w:tcW w:w="983" w:type="pct"/>
                  <w:noWrap w:val="0"/>
                  <w:vAlign w:val="center"/>
                </w:tcPr>
                <w:p w14:paraId="546CDF41">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500ml,GR,AR</w:t>
                  </w:r>
                </w:p>
              </w:tc>
              <w:tc>
                <w:tcPr>
                  <w:tcW w:w="504" w:type="pct"/>
                  <w:noWrap w:val="0"/>
                  <w:vAlign w:val="center"/>
                </w:tcPr>
                <w:p w14:paraId="335D019D">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100</w:t>
                  </w:r>
                </w:p>
              </w:tc>
              <w:tc>
                <w:tcPr>
                  <w:tcW w:w="975" w:type="pct"/>
                  <w:noWrap w:val="0"/>
                  <w:vAlign w:val="center"/>
                </w:tcPr>
                <w:p w14:paraId="5D25396D">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50000ml</w:t>
                  </w:r>
                </w:p>
              </w:tc>
              <w:tc>
                <w:tcPr>
                  <w:tcW w:w="661" w:type="pct"/>
                  <w:noWrap w:val="0"/>
                  <w:vAlign w:val="center"/>
                </w:tcPr>
                <w:p w14:paraId="7A0BD7CA">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71568D3C">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7C9C0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45BF9BC0">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8</w:t>
                  </w:r>
                </w:p>
              </w:tc>
              <w:tc>
                <w:tcPr>
                  <w:tcW w:w="1034" w:type="pct"/>
                  <w:noWrap w:val="0"/>
                  <w:vAlign w:val="center"/>
                </w:tcPr>
                <w:p w14:paraId="5E11ECFF">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硝酸（65%）</w:t>
                  </w:r>
                </w:p>
              </w:tc>
              <w:tc>
                <w:tcPr>
                  <w:tcW w:w="983" w:type="pct"/>
                  <w:noWrap w:val="0"/>
                  <w:vAlign w:val="center"/>
                </w:tcPr>
                <w:p w14:paraId="3AB07344">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2.5L，500ml/GR</w:t>
                  </w:r>
                </w:p>
              </w:tc>
              <w:tc>
                <w:tcPr>
                  <w:tcW w:w="504" w:type="pct"/>
                  <w:noWrap w:val="0"/>
                  <w:vAlign w:val="center"/>
                </w:tcPr>
                <w:p w14:paraId="35C7AE17">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10</w:t>
                  </w:r>
                </w:p>
              </w:tc>
              <w:tc>
                <w:tcPr>
                  <w:tcW w:w="975" w:type="pct"/>
                  <w:noWrap w:val="0"/>
                  <w:vAlign w:val="center"/>
                </w:tcPr>
                <w:p w14:paraId="4D42ACC8">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5000ml</w:t>
                  </w:r>
                </w:p>
              </w:tc>
              <w:tc>
                <w:tcPr>
                  <w:tcW w:w="661" w:type="pct"/>
                  <w:noWrap w:val="0"/>
                  <w:vAlign w:val="center"/>
                </w:tcPr>
                <w:p w14:paraId="28C6BD1C">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0ABB7EBF">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5B883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3118448C">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9</w:t>
                  </w:r>
                </w:p>
              </w:tc>
              <w:tc>
                <w:tcPr>
                  <w:tcW w:w="1034" w:type="pct"/>
                  <w:noWrap w:val="0"/>
                  <w:vAlign w:val="center"/>
                </w:tcPr>
                <w:p w14:paraId="3BCFC6BC">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氢氧化钠</w:t>
                  </w:r>
                </w:p>
              </w:tc>
              <w:tc>
                <w:tcPr>
                  <w:tcW w:w="983" w:type="pct"/>
                  <w:noWrap w:val="0"/>
                  <w:vAlign w:val="center"/>
                </w:tcPr>
                <w:p w14:paraId="273E83D4">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500g</w:t>
                  </w:r>
                </w:p>
              </w:tc>
              <w:tc>
                <w:tcPr>
                  <w:tcW w:w="504" w:type="pct"/>
                  <w:noWrap w:val="0"/>
                  <w:vAlign w:val="center"/>
                </w:tcPr>
                <w:p w14:paraId="4E6E6E98">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100</w:t>
                  </w:r>
                </w:p>
              </w:tc>
              <w:tc>
                <w:tcPr>
                  <w:tcW w:w="975" w:type="pct"/>
                  <w:noWrap w:val="0"/>
                  <w:vAlign w:val="center"/>
                </w:tcPr>
                <w:p w14:paraId="15096902">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50000g</w:t>
                  </w:r>
                </w:p>
              </w:tc>
              <w:tc>
                <w:tcPr>
                  <w:tcW w:w="661" w:type="pct"/>
                  <w:noWrap w:val="0"/>
                  <w:vAlign w:val="center"/>
                </w:tcPr>
                <w:p w14:paraId="3706E195">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620BCF34">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215D1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64FD401C">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10</w:t>
                  </w:r>
                </w:p>
              </w:tc>
              <w:tc>
                <w:tcPr>
                  <w:tcW w:w="1034" w:type="pct"/>
                  <w:noWrap w:val="0"/>
                  <w:vAlign w:val="center"/>
                </w:tcPr>
                <w:p w14:paraId="7B6F55E9">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乙醚</w:t>
                  </w:r>
                </w:p>
              </w:tc>
              <w:tc>
                <w:tcPr>
                  <w:tcW w:w="983" w:type="pct"/>
                  <w:noWrap w:val="0"/>
                  <w:vAlign w:val="center"/>
                </w:tcPr>
                <w:p w14:paraId="6721E334">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500ml，AR</w:t>
                  </w:r>
                </w:p>
              </w:tc>
              <w:tc>
                <w:tcPr>
                  <w:tcW w:w="504" w:type="pct"/>
                  <w:noWrap w:val="0"/>
                  <w:vAlign w:val="center"/>
                </w:tcPr>
                <w:p w14:paraId="0A662304">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120</w:t>
                  </w:r>
                </w:p>
              </w:tc>
              <w:tc>
                <w:tcPr>
                  <w:tcW w:w="975" w:type="pct"/>
                  <w:noWrap w:val="0"/>
                  <w:vAlign w:val="center"/>
                </w:tcPr>
                <w:p w14:paraId="0AC4EBE7">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60000ml</w:t>
                  </w:r>
                </w:p>
              </w:tc>
              <w:tc>
                <w:tcPr>
                  <w:tcW w:w="661" w:type="pct"/>
                  <w:noWrap w:val="0"/>
                  <w:vAlign w:val="center"/>
                </w:tcPr>
                <w:p w14:paraId="125EDA73">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5311064F">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2104A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515586F5">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11</w:t>
                  </w:r>
                </w:p>
              </w:tc>
              <w:tc>
                <w:tcPr>
                  <w:tcW w:w="1034" w:type="pct"/>
                  <w:noWrap w:val="0"/>
                  <w:vAlign w:val="center"/>
                </w:tcPr>
                <w:p w14:paraId="6D31B90E">
                  <w:pPr>
                    <w:jc w:val="center"/>
                    <w:rPr>
                      <w:color w:val="auto"/>
                      <w:sz w:val="21"/>
                      <w:szCs w:val="21"/>
                      <w:u w:val="none" w:color="auto"/>
                      <w:vertAlign w:val="baseline"/>
                    </w:rPr>
                  </w:pPr>
                  <w:r>
                    <w:rPr>
                      <w:rFonts w:hint="eastAsia"/>
                      <w:color w:val="auto"/>
                      <w:sz w:val="21"/>
                      <w:szCs w:val="21"/>
                      <w:u w:val="none" w:color="auto"/>
                      <w:vertAlign w:val="baseline"/>
                      <w:lang w:eastAsia="zh-CN"/>
                    </w:rPr>
                    <w:t>乙酸（冰酸醋）</w:t>
                  </w:r>
                </w:p>
              </w:tc>
              <w:tc>
                <w:tcPr>
                  <w:tcW w:w="983" w:type="pct"/>
                  <w:noWrap w:val="0"/>
                  <w:vAlign w:val="center"/>
                </w:tcPr>
                <w:p w14:paraId="7941DA17">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500ml，AR</w:t>
                  </w:r>
                </w:p>
              </w:tc>
              <w:tc>
                <w:tcPr>
                  <w:tcW w:w="504" w:type="pct"/>
                  <w:noWrap w:val="0"/>
                  <w:vAlign w:val="center"/>
                </w:tcPr>
                <w:p w14:paraId="41E26D70">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90</w:t>
                  </w:r>
                </w:p>
              </w:tc>
              <w:tc>
                <w:tcPr>
                  <w:tcW w:w="975" w:type="pct"/>
                  <w:noWrap w:val="0"/>
                  <w:vAlign w:val="center"/>
                </w:tcPr>
                <w:p w14:paraId="558070B1">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36000ml</w:t>
                  </w:r>
                </w:p>
              </w:tc>
              <w:tc>
                <w:tcPr>
                  <w:tcW w:w="661" w:type="pct"/>
                  <w:noWrap w:val="0"/>
                  <w:vAlign w:val="center"/>
                </w:tcPr>
                <w:p w14:paraId="193A9C87">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7063658C">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4C361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73886C96">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12</w:t>
                  </w:r>
                </w:p>
              </w:tc>
              <w:tc>
                <w:tcPr>
                  <w:tcW w:w="1034" w:type="pct"/>
                  <w:noWrap w:val="0"/>
                  <w:vAlign w:val="center"/>
                </w:tcPr>
                <w:p w14:paraId="702304E4">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甲酸</w:t>
                  </w:r>
                </w:p>
              </w:tc>
              <w:tc>
                <w:tcPr>
                  <w:tcW w:w="983" w:type="pct"/>
                  <w:noWrap w:val="0"/>
                  <w:vAlign w:val="center"/>
                </w:tcPr>
                <w:p w14:paraId="278F5B03">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500mlHPCL</w:t>
                  </w:r>
                </w:p>
              </w:tc>
              <w:tc>
                <w:tcPr>
                  <w:tcW w:w="504" w:type="pct"/>
                  <w:noWrap w:val="0"/>
                  <w:vAlign w:val="center"/>
                </w:tcPr>
                <w:p w14:paraId="208CCA9D">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3</w:t>
                  </w:r>
                </w:p>
              </w:tc>
              <w:tc>
                <w:tcPr>
                  <w:tcW w:w="975" w:type="pct"/>
                  <w:noWrap w:val="0"/>
                  <w:vAlign w:val="center"/>
                </w:tcPr>
                <w:p w14:paraId="19F4EA6A">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1500ml</w:t>
                  </w:r>
                </w:p>
              </w:tc>
              <w:tc>
                <w:tcPr>
                  <w:tcW w:w="661" w:type="pct"/>
                  <w:noWrap w:val="0"/>
                  <w:vAlign w:val="center"/>
                </w:tcPr>
                <w:p w14:paraId="52AAC270">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2D49D785">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33C73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3A0EE13A">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13</w:t>
                  </w:r>
                </w:p>
              </w:tc>
              <w:tc>
                <w:tcPr>
                  <w:tcW w:w="1034" w:type="pct"/>
                  <w:noWrap w:val="0"/>
                  <w:vAlign w:val="center"/>
                </w:tcPr>
                <w:p w14:paraId="19EEDB04">
                  <w:pPr>
                    <w:jc w:val="center"/>
                    <w:rPr>
                      <w:color w:val="auto"/>
                      <w:sz w:val="21"/>
                      <w:szCs w:val="21"/>
                      <w:u w:val="none" w:color="auto"/>
                      <w:vertAlign w:val="baseline"/>
                    </w:rPr>
                  </w:pPr>
                  <w:r>
                    <w:rPr>
                      <w:rFonts w:hint="eastAsia"/>
                      <w:color w:val="auto"/>
                      <w:sz w:val="21"/>
                      <w:szCs w:val="21"/>
                      <w:u w:val="none" w:color="auto"/>
                      <w:vertAlign w:val="baseline"/>
                      <w:lang w:eastAsia="zh-CN"/>
                    </w:rPr>
                    <w:t>乙酸乙酯</w:t>
                  </w:r>
                </w:p>
              </w:tc>
              <w:tc>
                <w:tcPr>
                  <w:tcW w:w="983" w:type="pct"/>
                  <w:noWrap w:val="0"/>
                  <w:vAlign w:val="center"/>
                </w:tcPr>
                <w:p w14:paraId="5D22615B">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4LHPLC，500mlAR</w:t>
                  </w:r>
                </w:p>
              </w:tc>
              <w:tc>
                <w:tcPr>
                  <w:tcW w:w="504" w:type="pct"/>
                  <w:noWrap w:val="0"/>
                  <w:vAlign w:val="center"/>
                </w:tcPr>
                <w:p w14:paraId="57E1142C">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60</w:t>
                  </w:r>
                </w:p>
              </w:tc>
              <w:tc>
                <w:tcPr>
                  <w:tcW w:w="975" w:type="pct"/>
                  <w:noWrap w:val="0"/>
                  <w:vAlign w:val="center"/>
                </w:tcPr>
                <w:p w14:paraId="131342EC">
                  <w:pPr>
                    <w:jc w:val="center"/>
                    <w:rPr>
                      <w:rFonts w:hint="default"/>
                      <w:color w:val="auto"/>
                      <w:sz w:val="21"/>
                      <w:szCs w:val="21"/>
                      <w:u w:val="none" w:color="auto"/>
                      <w:lang w:val="en-US" w:eastAsia="zh-CN"/>
                    </w:rPr>
                  </w:pPr>
                  <w:r>
                    <w:rPr>
                      <w:rFonts w:hint="eastAsia"/>
                      <w:color w:val="auto"/>
                      <w:sz w:val="21"/>
                      <w:szCs w:val="21"/>
                      <w:u w:val="none" w:color="auto"/>
                      <w:lang w:val="en-US" w:eastAsia="zh-CN"/>
                    </w:rPr>
                    <w:t>30000ml</w:t>
                  </w:r>
                </w:p>
              </w:tc>
              <w:tc>
                <w:tcPr>
                  <w:tcW w:w="661" w:type="pct"/>
                  <w:noWrap w:val="0"/>
                  <w:vAlign w:val="center"/>
                </w:tcPr>
                <w:p w14:paraId="69F6E1AB">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034595F5">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539A1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0214D4D1">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14</w:t>
                  </w:r>
                </w:p>
              </w:tc>
              <w:tc>
                <w:tcPr>
                  <w:tcW w:w="1034" w:type="pct"/>
                  <w:noWrap w:val="0"/>
                  <w:vAlign w:val="center"/>
                </w:tcPr>
                <w:p w14:paraId="58EFDDDD">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95%乙醇</w:t>
                  </w:r>
                </w:p>
              </w:tc>
              <w:tc>
                <w:tcPr>
                  <w:tcW w:w="983" w:type="pct"/>
                  <w:noWrap w:val="0"/>
                  <w:vAlign w:val="center"/>
                </w:tcPr>
                <w:p w14:paraId="4414E67E">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500ml，AR</w:t>
                  </w:r>
                </w:p>
              </w:tc>
              <w:tc>
                <w:tcPr>
                  <w:tcW w:w="504" w:type="pct"/>
                  <w:noWrap w:val="0"/>
                  <w:vAlign w:val="center"/>
                </w:tcPr>
                <w:p w14:paraId="0E58B632">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35</w:t>
                  </w:r>
                </w:p>
              </w:tc>
              <w:tc>
                <w:tcPr>
                  <w:tcW w:w="975" w:type="pct"/>
                  <w:noWrap w:val="0"/>
                  <w:vAlign w:val="center"/>
                </w:tcPr>
                <w:p w14:paraId="40A0FAC3">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19500ml</w:t>
                  </w:r>
                </w:p>
              </w:tc>
              <w:tc>
                <w:tcPr>
                  <w:tcW w:w="661" w:type="pct"/>
                  <w:noWrap w:val="0"/>
                  <w:vAlign w:val="center"/>
                </w:tcPr>
                <w:p w14:paraId="0958BA62">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0E993DAB">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492BF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03EF4421">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15</w:t>
                  </w:r>
                </w:p>
              </w:tc>
              <w:tc>
                <w:tcPr>
                  <w:tcW w:w="1034" w:type="pct"/>
                  <w:noWrap w:val="0"/>
                  <w:vAlign w:val="center"/>
                </w:tcPr>
                <w:p w14:paraId="6DECF733">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eastAsia="zh-CN"/>
                    </w:rPr>
                    <w:t>硫酸钾</w:t>
                  </w:r>
                </w:p>
              </w:tc>
              <w:tc>
                <w:tcPr>
                  <w:tcW w:w="983" w:type="pct"/>
                  <w:noWrap w:val="0"/>
                  <w:vAlign w:val="center"/>
                </w:tcPr>
                <w:p w14:paraId="1DBB5EE0">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500g，AR</w:t>
                  </w:r>
                </w:p>
              </w:tc>
              <w:tc>
                <w:tcPr>
                  <w:tcW w:w="504" w:type="pct"/>
                  <w:noWrap w:val="0"/>
                  <w:vAlign w:val="center"/>
                </w:tcPr>
                <w:p w14:paraId="1C74C916">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24</w:t>
                  </w:r>
                </w:p>
              </w:tc>
              <w:tc>
                <w:tcPr>
                  <w:tcW w:w="975" w:type="pct"/>
                  <w:noWrap w:val="0"/>
                  <w:vAlign w:val="center"/>
                </w:tcPr>
                <w:p w14:paraId="4627F085">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12000g</w:t>
                  </w:r>
                </w:p>
              </w:tc>
              <w:tc>
                <w:tcPr>
                  <w:tcW w:w="661" w:type="pct"/>
                  <w:noWrap w:val="0"/>
                  <w:vAlign w:val="center"/>
                </w:tcPr>
                <w:p w14:paraId="49905697">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3EC36F1F">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3B259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161A45F0">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16</w:t>
                  </w:r>
                </w:p>
              </w:tc>
              <w:tc>
                <w:tcPr>
                  <w:tcW w:w="1034" w:type="pct"/>
                  <w:noWrap w:val="0"/>
                  <w:vAlign w:val="center"/>
                </w:tcPr>
                <w:p w14:paraId="37914C22">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乙酸锌，二水</w:t>
                  </w:r>
                </w:p>
              </w:tc>
              <w:tc>
                <w:tcPr>
                  <w:tcW w:w="983" w:type="pct"/>
                  <w:noWrap w:val="0"/>
                  <w:vAlign w:val="center"/>
                </w:tcPr>
                <w:p w14:paraId="12453EB2">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500g，AR</w:t>
                  </w:r>
                </w:p>
              </w:tc>
              <w:tc>
                <w:tcPr>
                  <w:tcW w:w="504" w:type="pct"/>
                  <w:noWrap w:val="0"/>
                  <w:vAlign w:val="center"/>
                </w:tcPr>
                <w:p w14:paraId="6822D603">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12</w:t>
                  </w:r>
                </w:p>
              </w:tc>
              <w:tc>
                <w:tcPr>
                  <w:tcW w:w="975" w:type="pct"/>
                  <w:noWrap w:val="0"/>
                  <w:vAlign w:val="center"/>
                </w:tcPr>
                <w:p w14:paraId="433DE16D">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6000g</w:t>
                  </w:r>
                </w:p>
              </w:tc>
              <w:tc>
                <w:tcPr>
                  <w:tcW w:w="661" w:type="pct"/>
                  <w:noWrap w:val="0"/>
                  <w:vAlign w:val="center"/>
                </w:tcPr>
                <w:p w14:paraId="3DF9A93F">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15F53059">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4AB45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034A1FDB">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17</w:t>
                  </w:r>
                </w:p>
              </w:tc>
              <w:tc>
                <w:tcPr>
                  <w:tcW w:w="1034" w:type="pct"/>
                  <w:noWrap w:val="0"/>
                  <w:vAlign w:val="center"/>
                </w:tcPr>
                <w:p w14:paraId="66D44FD9">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碘化钾</w:t>
                  </w:r>
                </w:p>
              </w:tc>
              <w:tc>
                <w:tcPr>
                  <w:tcW w:w="983" w:type="pct"/>
                  <w:noWrap w:val="0"/>
                  <w:vAlign w:val="center"/>
                </w:tcPr>
                <w:p w14:paraId="2459F011">
                  <w:pPr>
                    <w:jc w:val="center"/>
                    <w:rPr>
                      <w:color w:val="auto"/>
                      <w:sz w:val="21"/>
                      <w:szCs w:val="21"/>
                      <w:u w:val="none" w:color="auto"/>
                      <w:vertAlign w:val="baseline"/>
                    </w:rPr>
                  </w:pPr>
                  <w:r>
                    <w:rPr>
                      <w:rFonts w:hint="eastAsia"/>
                      <w:color w:val="auto"/>
                      <w:sz w:val="21"/>
                      <w:szCs w:val="21"/>
                      <w:u w:val="none" w:color="auto"/>
                      <w:vertAlign w:val="baseline"/>
                      <w:lang w:val="en-US" w:eastAsia="zh-CN"/>
                    </w:rPr>
                    <w:t>500g，AR</w:t>
                  </w:r>
                </w:p>
              </w:tc>
              <w:tc>
                <w:tcPr>
                  <w:tcW w:w="504" w:type="pct"/>
                  <w:noWrap w:val="0"/>
                  <w:vAlign w:val="center"/>
                </w:tcPr>
                <w:p w14:paraId="0A08ECFF">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8</w:t>
                  </w:r>
                </w:p>
              </w:tc>
              <w:tc>
                <w:tcPr>
                  <w:tcW w:w="975" w:type="pct"/>
                  <w:noWrap w:val="0"/>
                  <w:vAlign w:val="center"/>
                </w:tcPr>
                <w:p w14:paraId="66CFBF48">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4000g</w:t>
                  </w:r>
                </w:p>
              </w:tc>
              <w:tc>
                <w:tcPr>
                  <w:tcW w:w="661" w:type="pct"/>
                  <w:noWrap w:val="0"/>
                  <w:vAlign w:val="center"/>
                </w:tcPr>
                <w:p w14:paraId="307C1F29">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28BE76F4">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57F09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76DC4802">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18</w:t>
                  </w:r>
                </w:p>
              </w:tc>
              <w:tc>
                <w:tcPr>
                  <w:tcW w:w="1034" w:type="pct"/>
                  <w:noWrap w:val="0"/>
                  <w:vAlign w:val="center"/>
                </w:tcPr>
                <w:p w14:paraId="2D15A79A">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PH缓冲液</w:t>
                  </w:r>
                </w:p>
              </w:tc>
              <w:tc>
                <w:tcPr>
                  <w:tcW w:w="983" w:type="pct"/>
                  <w:noWrap w:val="0"/>
                  <w:vAlign w:val="center"/>
                </w:tcPr>
                <w:p w14:paraId="0225C775">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PH：10.5,500ml</w:t>
                  </w:r>
                </w:p>
              </w:tc>
              <w:tc>
                <w:tcPr>
                  <w:tcW w:w="504" w:type="pct"/>
                  <w:noWrap w:val="0"/>
                  <w:vAlign w:val="center"/>
                </w:tcPr>
                <w:p w14:paraId="2294298F">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3</w:t>
                  </w:r>
                </w:p>
              </w:tc>
              <w:tc>
                <w:tcPr>
                  <w:tcW w:w="975" w:type="pct"/>
                  <w:noWrap w:val="0"/>
                  <w:vAlign w:val="center"/>
                </w:tcPr>
                <w:p w14:paraId="5D3B2EF0">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1500ml</w:t>
                  </w:r>
                </w:p>
              </w:tc>
              <w:tc>
                <w:tcPr>
                  <w:tcW w:w="661" w:type="pct"/>
                  <w:noWrap w:val="0"/>
                  <w:vAlign w:val="center"/>
                </w:tcPr>
                <w:p w14:paraId="6C46B80F">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079E3DF3">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0D78A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1AC7DDC7">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19</w:t>
                  </w:r>
                </w:p>
              </w:tc>
              <w:tc>
                <w:tcPr>
                  <w:tcW w:w="1034" w:type="pct"/>
                  <w:noWrap w:val="0"/>
                  <w:vAlign w:val="center"/>
                </w:tcPr>
                <w:p w14:paraId="46CBD611">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无水硫酸钠</w:t>
                  </w:r>
                </w:p>
              </w:tc>
              <w:tc>
                <w:tcPr>
                  <w:tcW w:w="983" w:type="pct"/>
                  <w:noWrap w:val="0"/>
                  <w:vAlign w:val="center"/>
                </w:tcPr>
                <w:p w14:paraId="5D50E3BB">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500g,AR</w:t>
                  </w:r>
                </w:p>
              </w:tc>
              <w:tc>
                <w:tcPr>
                  <w:tcW w:w="504" w:type="pct"/>
                  <w:noWrap w:val="0"/>
                  <w:vAlign w:val="center"/>
                </w:tcPr>
                <w:p w14:paraId="5BE3F63B">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40</w:t>
                  </w:r>
                </w:p>
              </w:tc>
              <w:tc>
                <w:tcPr>
                  <w:tcW w:w="975" w:type="pct"/>
                  <w:noWrap w:val="0"/>
                  <w:vAlign w:val="center"/>
                </w:tcPr>
                <w:p w14:paraId="0FB13BCF">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20000g</w:t>
                  </w:r>
                </w:p>
              </w:tc>
              <w:tc>
                <w:tcPr>
                  <w:tcW w:w="661" w:type="pct"/>
                  <w:noWrap w:val="0"/>
                  <w:vAlign w:val="center"/>
                </w:tcPr>
                <w:p w14:paraId="6C6D825E">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0A795FF0">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5679D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69099AC2">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20</w:t>
                  </w:r>
                </w:p>
              </w:tc>
              <w:tc>
                <w:tcPr>
                  <w:tcW w:w="1034" w:type="pct"/>
                  <w:noWrap w:val="0"/>
                  <w:vAlign w:val="center"/>
                </w:tcPr>
                <w:p w14:paraId="77720EB0">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碘化钾</w:t>
                  </w:r>
                </w:p>
              </w:tc>
              <w:tc>
                <w:tcPr>
                  <w:tcW w:w="983" w:type="pct"/>
                  <w:noWrap w:val="0"/>
                  <w:vAlign w:val="center"/>
                </w:tcPr>
                <w:p w14:paraId="10C670D5">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val="en-US" w:eastAsia="zh-CN"/>
                    </w:rPr>
                    <w:t>500g,AR</w:t>
                  </w:r>
                </w:p>
              </w:tc>
              <w:tc>
                <w:tcPr>
                  <w:tcW w:w="504" w:type="pct"/>
                  <w:noWrap w:val="0"/>
                  <w:vAlign w:val="center"/>
                </w:tcPr>
                <w:p w14:paraId="2C739EA9">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8</w:t>
                  </w:r>
                </w:p>
              </w:tc>
              <w:tc>
                <w:tcPr>
                  <w:tcW w:w="975" w:type="pct"/>
                  <w:noWrap w:val="0"/>
                  <w:vAlign w:val="center"/>
                </w:tcPr>
                <w:p w14:paraId="65C00CDE">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4000g</w:t>
                  </w:r>
                </w:p>
              </w:tc>
              <w:tc>
                <w:tcPr>
                  <w:tcW w:w="661" w:type="pct"/>
                  <w:noWrap w:val="0"/>
                  <w:vAlign w:val="center"/>
                </w:tcPr>
                <w:p w14:paraId="6B2CD15E">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0D7479D7">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69D88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6E185C84">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21</w:t>
                  </w:r>
                </w:p>
              </w:tc>
              <w:tc>
                <w:tcPr>
                  <w:tcW w:w="1034" w:type="pct"/>
                  <w:noWrap w:val="0"/>
                  <w:vAlign w:val="center"/>
                </w:tcPr>
                <w:p w14:paraId="73675A0F">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高锰酸钾滴定溶液</w:t>
                  </w:r>
                </w:p>
              </w:tc>
              <w:tc>
                <w:tcPr>
                  <w:tcW w:w="983" w:type="pct"/>
                  <w:noWrap w:val="0"/>
                  <w:vAlign w:val="center"/>
                </w:tcPr>
                <w:p w14:paraId="1651243F">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500ml</w:t>
                  </w:r>
                </w:p>
              </w:tc>
              <w:tc>
                <w:tcPr>
                  <w:tcW w:w="504" w:type="pct"/>
                  <w:noWrap w:val="0"/>
                  <w:vAlign w:val="center"/>
                </w:tcPr>
                <w:p w14:paraId="1AD86BF4">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3</w:t>
                  </w:r>
                </w:p>
              </w:tc>
              <w:tc>
                <w:tcPr>
                  <w:tcW w:w="975" w:type="pct"/>
                  <w:noWrap w:val="0"/>
                  <w:vAlign w:val="center"/>
                </w:tcPr>
                <w:p w14:paraId="0DD58FE4">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1500ml</w:t>
                  </w:r>
                </w:p>
              </w:tc>
              <w:tc>
                <w:tcPr>
                  <w:tcW w:w="661" w:type="pct"/>
                  <w:noWrap w:val="0"/>
                  <w:vAlign w:val="center"/>
                </w:tcPr>
                <w:p w14:paraId="7DE36FF3">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7CF091A9">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26F10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450E2AD7">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22</w:t>
                  </w:r>
                </w:p>
              </w:tc>
              <w:tc>
                <w:tcPr>
                  <w:tcW w:w="1034" w:type="pct"/>
                  <w:noWrap w:val="0"/>
                  <w:vAlign w:val="center"/>
                </w:tcPr>
                <w:p w14:paraId="2B8E9B4C">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甲酸</w:t>
                  </w:r>
                </w:p>
              </w:tc>
              <w:tc>
                <w:tcPr>
                  <w:tcW w:w="983" w:type="pct"/>
                  <w:noWrap w:val="0"/>
                  <w:vAlign w:val="center"/>
                </w:tcPr>
                <w:p w14:paraId="1233201D">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500mlHPLC</w:t>
                  </w:r>
                </w:p>
              </w:tc>
              <w:tc>
                <w:tcPr>
                  <w:tcW w:w="504" w:type="pct"/>
                  <w:noWrap w:val="0"/>
                  <w:vAlign w:val="center"/>
                </w:tcPr>
                <w:p w14:paraId="24FBBF02">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w:t>
                  </w:r>
                </w:p>
              </w:tc>
              <w:tc>
                <w:tcPr>
                  <w:tcW w:w="975" w:type="pct"/>
                  <w:noWrap w:val="0"/>
                  <w:vAlign w:val="center"/>
                </w:tcPr>
                <w:p w14:paraId="0763D25E">
                  <w:pPr>
                    <w:jc w:val="center"/>
                    <w:rPr>
                      <w:rFonts w:hint="default"/>
                      <w:color w:val="auto"/>
                      <w:u w:val="none" w:color="auto"/>
                      <w:lang w:val="en-US" w:eastAsia="zh-CN"/>
                    </w:rPr>
                  </w:pPr>
                  <w:r>
                    <w:rPr>
                      <w:rFonts w:hint="eastAsia"/>
                      <w:color w:val="auto"/>
                      <w:sz w:val="21"/>
                      <w:szCs w:val="21"/>
                      <w:u w:val="none" w:color="auto"/>
                      <w:lang w:val="en-US" w:eastAsia="zh-CN"/>
                    </w:rPr>
                    <w:t>1500ml</w:t>
                  </w:r>
                </w:p>
              </w:tc>
              <w:tc>
                <w:tcPr>
                  <w:tcW w:w="661" w:type="pct"/>
                  <w:noWrap w:val="0"/>
                  <w:vAlign w:val="center"/>
                </w:tcPr>
                <w:p w14:paraId="505B38AE">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47AEC92C">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37E11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334E8B73">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23</w:t>
                  </w:r>
                </w:p>
              </w:tc>
              <w:tc>
                <w:tcPr>
                  <w:tcW w:w="1034" w:type="pct"/>
                  <w:noWrap w:val="0"/>
                  <w:vAlign w:val="center"/>
                </w:tcPr>
                <w:p w14:paraId="797F40DA">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2-乙基-1.3-乙二醇</w:t>
                  </w:r>
                </w:p>
              </w:tc>
              <w:tc>
                <w:tcPr>
                  <w:tcW w:w="983" w:type="pct"/>
                  <w:noWrap w:val="0"/>
                  <w:vAlign w:val="center"/>
                </w:tcPr>
                <w:p w14:paraId="02264EAF">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100ml/98%</w:t>
                  </w:r>
                </w:p>
              </w:tc>
              <w:tc>
                <w:tcPr>
                  <w:tcW w:w="504" w:type="pct"/>
                  <w:noWrap w:val="0"/>
                  <w:vAlign w:val="center"/>
                </w:tcPr>
                <w:p w14:paraId="37BD8164">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w:t>
                  </w:r>
                </w:p>
              </w:tc>
              <w:tc>
                <w:tcPr>
                  <w:tcW w:w="975" w:type="pct"/>
                  <w:noWrap w:val="0"/>
                  <w:vAlign w:val="center"/>
                </w:tcPr>
                <w:p w14:paraId="5341F5FB">
                  <w:pPr>
                    <w:jc w:val="center"/>
                    <w:rPr>
                      <w:rFonts w:hint="default"/>
                      <w:color w:val="auto"/>
                      <w:u w:val="none" w:color="auto"/>
                      <w:lang w:val="en-US" w:eastAsia="zh-CN"/>
                    </w:rPr>
                  </w:pPr>
                  <w:r>
                    <w:rPr>
                      <w:rFonts w:hint="eastAsia"/>
                      <w:color w:val="auto"/>
                      <w:sz w:val="21"/>
                      <w:szCs w:val="21"/>
                      <w:u w:val="none" w:color="auto"/>
                      <w:lang w:val="en-US" w:eastAsia="zh-CN"/>
                    </w:rPr>
                    <w:t>200ml</w:t>
                  </w:r>
                </w:p>
              </w:tc>
              <w:tc>
                <w:tcPr>
                  <w:tcW w:w="661" w:type="pct"/>
                  <w:noWrap w:val="0"/>
                  <w:vAlign w:val="center"/>
                </w:tcPr>
                <w:p w14:paraId="42E207C5">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40863129">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30E2D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07FB77D1">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24</w:t>
                  </w:r>
                </w:p>
              </w:tc>
              <w:tc>
                <w:tcPr>
                  <w:tcW w:w="1034" w:type="pct"/>
                  <w:noWrap w:val="0"/>
                  <w:vAlign w:val="center"/>
                </w:tcPr>
                <w:p w14:paraId="41309292">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丙酮</w:t>
                  </w:r>
                </w:p>
              </w:tc>
              <w:tc>
                <w:tcPr>
                  <w:tcW w:w="983" w:type="pct"/>
                  <w:noWrap w:val="0"/>
                  <w:vAlign w:val="center"/>
                </w:tcPr>
                <w:p w14:paraId="76ED4D27">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4LHPLV,500ml，AR</w:t>
                  </w:r>
                </w:p>
              </w:tc>
              <w:tc>
                <w:tcPr>
                  <w:tcW w:w="504" w:type="pct"/>
                  <w:noWrap w:val="0"/>
                  <w:vAlign w:val="center"/>
                </w:tcPr>
                <w:p w14:paraId="41D83C4E">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37</w:t>
                  </w:r>
                </w:p>
              </w:tc>
              <w:tc>
                <w:tcPr>
                  <w:tcW w:w="975" w:type="pct"/>
                  <w:noWrap w:val="0"/>
                  <w:vAlign w:val="center"/>
                </w:tcPr>
                <w:p w14:paraId="1F7AF14C">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67500ml</w:t>
                  </w:r>
                </w:p>
              </w:tc>
              <w:tc>
                <w:tcPr>
                  <w:tcW w:w="661" w:type="pct"/>
                  <w:noWrap w:val="0"/>
                  <w:vAlign w:val="center"/>
                </w:tcPr>
                <w:p w14:paraId="4E16B9EB">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0D5AD4F3">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7ED34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14:paraId="0498847C">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25</w:t>
                  </w:r>
                </w:p>
              </w:tc>
              <w:tc>
                <w:tcPr>
                  <w:tcW w:w="1034" w:type="pct"/>
                  <w:noWrap w:val="0"/>
                  <w:vAlign w:val="center"/>
                </w:tcPr>
                <w:p w14:paraId="7365B0E7">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正乙烷</w:t>
                  </w:r>
                </w:p>
              </w:tc>
              <w:tc>
                <w:tcPr>
                  <w:tcW w:w="983" w:type="pct"/>
                  <w:noWrap w:val="0"/>
                  <w:vAlign w:val="center"/>
                </w:tcPr>
                <w:p w14:paraId="0DBA9B5E">
                  <w:pPr>
                    <w:jc w:val="center"/>
                    <w:rPr>
                      <w:color w:val="auto"/>
                      <w:sz w:val="21"/>
                      <w:szCs w:val="21"/>
                      <w:u w:val="none" w:color="auto"/>
                      <w:vertAlign w:val="baseline"/>
                    </w:rPr>
                  </w:pPr>
                  <w:r>
                    <w:rPr>
                      <w:rFonts w:hint="eastAsia"/>
                      <w:color w:val="auto"/>
                      <w:sz w:val="21"/>
                      <w:szCs w:val="21"/>
                      <w:u w:val="none" w:color="auto"/>
                      <w:vertAlign w:val="baseline"/>
                      <w:lang w:val="en-US" w:eastAsia="zh-CN"/>
                    </w:rPr>
                    <w:t>4LHPLV,500ml，AR</w:t>
                  </w:r>
                </w:p>
              </w:tc>
              <w:tc>
                <w:tcPr>
                  <w:tcW w:w="504" w:type="pct"/>
                  <w:noWrap w:val="0"/>
                  <w:vAlign w:val="center"/>
                </w:tcPr>
                <w:p w14:paraId="69CD3D81">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40</w:t>
                  </w:r>
                </w:p>
              </w:tc>
              <w:tc>
                <w:tcPr>
                  <w:tcW w:w="975" w:type="pct"/>
                  <w:noWrap w:val="0"/>
                  <w:vAlign w:val="center"/>
                </w:tcPr>
                <w:p w14:paraId="211231B1">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160000ml</w:t>
                  </w:r>
                </w:p>
              </w:tc>
              <w:tc>
                <w:tcPr>
                  <w:tcW w:w="661" w:type="pct"/>
                  <w:noWrap w:val="0"/>
                  <w:vAlign w:val="center"/>
                </w:tcPr>
                <w:p w14:paraId="1EB5299C">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012095E6">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05E31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412" w:type="pct"/>
                  <w:noWrap w:val="0"/>
                  <w:vAlign w:val="center"/>
                </w:tcPr>
                <w:p w14:paraId="343CA5DE">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26</w:t>
                  </w:r>
                </w:p>
              </w:tc>
              <w:tc>
                <w:tcPr>
                  <w:tcW w:w="1034" w:type="pct"/>
                  <w:noWrap w:val="0"/>
                  <w:vAlign w:val="center"/>
                </w:tcPr>
                <w:p w14:paraId="2D865E61">
                  <w:pPr>
                    <w:jc w:val="center"/>
                    <w:rPr>
                      <w:color w:val="auto"/>
                      <w:sz w:val="21"/>
                      <w:szCs w:val="21"/>
                      <w:u w:val="none" w:color="auto"/>
                      <w:vertAlign w:val="baseline"/>
                    </w:rPr>
                  </w:pPr>
                  <w:r>
                    <w:rPr>
                      <w:rFonts w:hint="eastAsia"/>
                      <w:color w:val="auto"/>
                      <w:sz w:val="21"/>
                      <w:szCs w:val="21"/>
                      <w:u w:val="none" w:color="auto"/>
                      <w:vertAlign w:val="baseline"/>
                      <w:lang w:val="en-US" w:eastAsia="zh-CN"/>
                    </w:rPr>
                    <w:t>四氯化碳</w:t>
                  </w:r>
                </w:p>
              </w:tc>
              <w:tc>
                <w:tcPr>
                  <w:tcW w:w="983" w:type="pct"/>
                  <w:noWrap w:val="0"/>
                  <w:vAlign w:val="center"/>
                </w:tcPr>
                <w:p w14:paraId="29A14911">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eastAsia="zh-CN"/>
                    </w:rPr>
                    <w:t>环保级</w:t>
                  </w:r>
                  <w:r>
                    <w:rPr>
                      <w:rFonts w:hint="eastAsia"/>
                      <w:color w:val="auto"/>
                      <w:sz w:val="21"/>
                      <w:szCs w:val="21"/>
                      <w:u w:val="none" w:color="auto"/>
                      <w:vertAlign w:val="baseline"/>
                      <w:lang w:val="en-US" w:eastAsia="zh-CN"/>
                    </w:rPr>
                    <w:t>500g</w:t>
                  </w:r>
                </w:p>
              </w:tc>
              <w:tc>
                <w:tcPr>
                  <w:tcW w:w="504" w:type="pct"/>
                  <w:noWrap w:val="0"/>
                  <w:vAlign w:val="center"/>
                </w:tcPr>
                <w:p w14:paraId="1477A12A">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75</w:t>
                  </w:r>
                </w:p>
              </w:tc>
              <w:tc>
                <w:tcPr>
                  <w:tcW w:w="975" w:type="pct"/>
                  <w:noWrap w:val="0"/>
                  <w:vAlign w:val="center"/>
                </w:tcPr>
                <w:p w14:paraId="395DD23B">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37500g</w:t>
                  </w:r>
                </w:p>
              </w:tc>
              <w:tc>
                <w:tcPr>
                  <w:tcW w:w="661" w:type="pct"/>
                  <w:noWrap w:val="0"/>
                  <w:vAlign w:val="center"/>
                </w:tcPr>
                <w:p w14:paraId="53ACB05F">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51C099F6">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14:paraId="1558D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12" w:type="pct"/>
                  <w:noWrap w:val="0"/>
                  <w:vAlign w:val="center"/>
                </w:tcPr>
                <w:p w14:paraId="3246411F">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27</w:t>
                  </w:r>
                </w:p>
              </w:tc>
              <w:tc>
                <w:tcPr>
                  <w:tcW w:w="1034" w:type="pct"/>
                  <w:noWrap w:val="0"/>
                  <w:vAlign w:val="center"/>
                </w:tcPr>
                <w:p w14:paraId="1E675625">
                  <w:pPr>
                    <w:jc w:val="center"/>
                    <w:rPr>
                      <w:rFonts w:hint="eastAsia" w:eastAsia="宋体"/>
                      <w:color w:val="auto"/>
                      <w:sz w:val="21"/>
                      <w:szCs w:val="21"/>
                      <w:u w:val="none" w:color="auto"/>
                      <w:vertAlign w:val="baseline"/>
                      <w:lang w:eastAsia="zh-CN"/>
                    </w:rPr>
                  </w:pPr>
                  <w:r>
                    <w:rPr>
                      <w:rFonts w:hint="eastAsia"/>
                      <w:color w:val="auto"/>
                      <w:sz w:val="21"/>
                      <w:szCs w:val="21"/>
                      <w:u w:val="none" w:color="auto"/>
                      <w:vertAlign w:val="baseline"/>
                      <w:lang w:eastAsia="zh-CN"/>
                    </w:rPr>
                    <w:t>三氯甲烷</w:t>
                  </w:r>
                </w:p>
              </w:tc>
              <w:tc>
                <w:tcPr>
                  <w:tcW w:w="983" w:type="pct"/>
                  <w:noWrap w:val="0"/>
                  <w:vAlign w:val="center"/>
                </w:tcPr>
                <w:p w14:paraId="005A95E9">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500ml，AR</w:t>
                  </w:r>
                </w:p>
              </w:tc>
              <w:tc>
                <w:tcPr>
                  <w:tcW w:w="504" w:type="pct"/>
                  <w:noWrap w:val="0"/>
                  <w:vAlign w:val="center"/>
                </w:tcPr>
                <w:p w14:paraId="63458727">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95</w:t>
                  </w:r>
                </w:p>
              </w:tc>
              <w:tc>
                <w:tcPr>
                  <w:tcW w:w="975" w:type="pct"/>
                  <w:noWrap w:val="0"/>
                  <w:vAlign w:val="center"/>
                </w:tcPr>
                <w:p w14:paraId="7002166C">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47500ml</w:t>
                  </w:r>
                </w:p>
              </w:tc>
              <w:tc>
                <w:tcPr>
                  <w:tcW w:w="661" w:type="pct"/>
                  <w:noWrap w:val="0"/>
                  <w:vAlign w:val="center"/>
                </w:tcPr>
                <w:p w14:paraId="7994AA09">
                  <w:pPr>
                    <w:jc w:val="center"/>
                    <w:rPr>
                      <w:color w:val="auto"/>
                      <w:sz w:val="21"/>
                      <w:szCs w:val="21"/>
                      <w:u w:val="none" w:color="auto"/>
                      <w:vertAlign w:val="baseline"/>
                    </w:rPr>
                  </w:pPr>
                  <w:r>
                    <w:rPr>
                      <w:rFonts w:hint="eastAsia"/>
                      <w:color w:val="auto"/>
                      <w:sz w:val="21"/>
                      <w:szCs w:val="21"/>
                      <w:u w:val="none" w:color="auto"/>
                      <w:vertAlign w:val="baseline"/>
                      <w:lang w:eastAsia="zh-CN"/>
                    </w:rPr>
                    <w:t>外购</w:t>
                  </w:r>
                </w:p>
              </w:tc>
              <w:tc>
                <w:tcPr>
                  <w:tcW w:w="428" w:type="pct"/>
                  <w:noWrap w:val="0"/>
                  <w:vAlign w:val="center"/>
                </w:tcPr>
                <w:p w14:paraId="46FF1686">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bl>
          <w:p w14:paraId="7F90EB17">
            <w:pPr>
              <w:adjustRightInd w:val="0"/>
              <w:snapToGrid w:val="0"/>
              <w:ind w:firstLine="422" w:firstLineChars="200"/>
              <w:jc w:val="both"/>
              <w:rPr>
                <w:rFonts w:hint="default" w:ascii="Times New Roman" w:hAnsi="Times New Roman" w:eastAsia="宋体" w:cs="Times New Roman"/>
                <w:b/>
                <w:bCs/>
                <w:color w:val="auto"/>
                <w:u w:val="none" w:color="auto"/>
                <w:vertAlign w:val="baseline"/>
              </w:rPr>
            </w:pPr>
            <w:bookmarkStart w:id="2" w:name="_Toc71631400"/>
            <w:r>
              <w:rPr>
                <w:rFonts w:hint="default" w:ascii="Times New Roman" w:hAnsi="Times New Roman" w:eastAsia="宋体" w:cs="Times New Roman"/>
                <w:b/>
                <w:bCs/>
                <w:color w:val="auto"/>
                <w:u w:val="none" w:color="auto"/>
              </w:rPr>
              <w:t>表</w:t>
            </w:r>
            <w:r>
              <w:rPr>
                <w:rFonts w:hint="eastAsia" w:cs="Times New Roman"/>
                <w:b/>
                <w:bCs/>
                <w:color w:val="auto"/>
                <w:u w:val="none" w:color="auto"/>
                <w:lang w:val="en-US" w:eastAsia="zh-CN"/>
              </w:rPr>
              <w:t>9</w:t>
            </w:r>
            <w:r>
              <w:rPr>
                <w:rFonts w:hint="default" w:ascii="Times New Roman" w:hAnsi="Times New Roman" w:eastAsia="宋体" w:cs="Times New Roman"/>
                <w:b/>
                <w:bCs/>
                <w:color w:val="auto"/>
                <w:u w:val="none" w:color="auto"/>
              </w:rPr>
              <w:t xml:space="preserve"> </w:t>
            </w:r>
            <w:r>
              <w:rPr>
                <w:rFonts w:hint="eastAsia" w:cs="Times New Roman"/>
                <w:b/>
                <w:bCs/>
                <w:color w:val="auto"/>
                <w:u w:val="none" w:color="auto"/>
                <w:lang w:val="en-US" w:eastAsia="zh-CN"/>
              </w:rPr>
              <w:t xml:space="preserve">             </w:t>
            </w:r>
            <w:r>
              <w:rPr>
                <w:rFonts w:hint="default" w:ascii="Times New Roman" w:hAnsi="Times New Roman" w:eastAsia="宋体" w:cs="Times New Roman"/>
                <w:b/>
                <w:bCs/>
                <w:color w:val="auto"/>
                <w:u w:val="none" w:color="auto"/>
              </w:rPr>
              <w:t xml:space="preserve"> 主要原辅材料</w:t>
            </w:r>
            <w:r>
              <w:rPr>
                <w:rFonts w:hint="eastAsia" w:cs="Times New Roman"/>
                <w:b/>
                <w:bCs/>
                <w:color w:val="auto"/>
                <w:u w:val="none" w:color="auto"/>
                <w:lang w:eastAsia="zh-CN"/>
              </w:rPr>
              <w:t>理化性质</w:t>
            </w:r>
            <w:r>
              <w:rPr>
                <w:rFonts w:hint="default" w:ascii="Times New Roman" w:hAnsi="Times New Roman" w:eastAsia="宋体" w:cs="Times New Roman"/>
                <w:b/>
                <w:bCs/>
                <w:color w:val="auto"/>
                <w:u w:val="none" w:color="auto"/>
              </w:rPr>
              <w:t>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6"/>
              <w:gridCol w:w="978"/>
              <w:gridCol w:w="3288"/>
              <w:gridCol w:w="2345"/>
              <w:gridCol w:w="1334"/>
            </w:tblGrid>
            <w:tr w14:paraId="2A0F7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3F5C4476">
                  <w:pPr>
                    <w:adjustRightInd w:val="0"/>
                    <w:snapToGrid w:val="0"/>
                    <w:jc w:val="center"/>
                    <w:rPr>
                      <w:rFonts w:hint="default"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lang w:eastAsia="zh-CN"/>
                    </w:rPr>
                    <w:t>序号</w:t>
                  </w:r>
                </w:p>
              </w:tc>
              <w:tc>
                <w:tcPr>
                  <w:tcW w:w="576" w:type="pct"/>
                  <w:noWrap w:val="0"/>
                  <w:vAlign w:val="center"/>
                </w:tcPr>
                <w:p w14:paraId="4C7F7E69">
                  <w:pPr>
                    <w:adjustRightInd w:val="0"/>
                    <w:snapToGrid w:val="0"/>
                    <w:jc w:val="center"/>
                    <w:rPr>
                      <w:rFonts w:hint="default"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lang w:eastAsia="zh-CN"/>
                    </w:rPr>
                    <w:t>名称</w:t>
                  </w:r>
                </w:p>
              </w:tc>
              <w:tc>
                <w:tcPr>
                  <w:tcW w:w="1938" w:type="pct"/>
                  <w:noWrap w:val="0"/>
                  <w:vAlign w:val="center"/>
                </w:tcPr>
                <w:p w14:paraId="4B84A6AF">
                  <w:pPr>
                    <w:adjustRightInd w:val="0"/>
                    <w:snapToGrid w:val="0"/>
                    <w:jc w:val="center"/>
                    <w:rPr>
                      <w:rFonts w:hint="default"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lang w:eastAsia="zh-CN"/>
                    </w:rPr>
                    <w:t>理化性质</w:t>
                  </w:r>
                </w:p>
              </w:tc>
              <w:tc>
                <w:tcPr>
                  <w:tcW w:w="1382" w:type="pct"/>
                  <w:noWrap w:val="0"/>
                  <w:vAlign w:val="center"/>
                </w:tcPr>
                <w:p w14:paraId="249AC741">
                  <w:pPr>
                    <w:adjustRightInd w:val="0"/>
                    <w:snapToGrid w:val="0"/>
                    <w:jc w:val="center"/>
                    <w:rPr>
                      <w:rFonts w:hint="default"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lang w:eastAsia="zh-CN"/>
                    </w:rPr>
                    <w:t>易燃爆炸性</w:t>
                  </w:r>
                </w:p>
              </w:tc>
              <w:tc>
                <w:tcPr>
                  <w:tcW w:w="786" w:type="pct"/>
                  <w:noWrap w:val="0"/>
                  <w:vAlign w:val="center"/>
                </w:tcPr>
                <w:p w14:paraId="23976869">
                  <w:pPr>
                    <w:adjustRightInd w:val="0"/>
                    <w:snapToGrid w:val="0"/>
                    <w:jc w:val="center"/>
                    <w:rPr>
                      <w:rFonts w:hint="default"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lang w:eastAsia="zh-CN"/>
                    </w:rPr>
                    <w:t>毒理毒性</w:t>
                  </w:r>
                </w:p>
              </w:tc>
            </w:tr>
            <w:tr w14:paraId="69B4B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0434097A">
                  <w:pPr>
                    <w:adjustRightInd w:val="0"/>
                    <w:snapToGrid w:val="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1</w:t>
                  </w:r>
                </w:p>
              </w:tc>
              <w:tc>
                <w:tcPr>
                  <w:tcW w:w="576" w:type="pct"/>
                  <w:noWrap w:val="0"/>
                  <w:vAlign w:val="center"/>
                </w:tcPr>
                <w:p w14:paraId="471D0B59">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eastAsia="zh-CN"/>
                    </w:rPr>
                    <w:t>石油醚</w:t>
                  </w:r>
                  <w:r>
                    <w:rPr>
                      <w:rFonts w:hint="default" w:ascii="Times New Roman" w:hAnsi="Times New Roman" w:eastAsia="宋体" w:cs="Times New Roman"/>
                      <w:b w:val="0"/>
                      <w:bCs w:val="0"/>
                      <w:color w:val="auto"/>
                      <w:sz w:val="21"/>
                      <w:szCs w:val="21"/>
                      <w:u w:val="none" w:color="auto"/>
                      <w:vertAlign w:val="baseline"/>
                      <w:lang w:val="en-US" w:eastAsia="zh-CN"/>
                    </w:rPr>
                    <w:t>30-60</w:t>
                  </w:r>
                </w:p>
              </w:tc>
              <w:tc>
                <w:tcPr>
                  <w:tcW w:w="1938" w:type="pct"/>
                  <w:noWrap w:val="0"/>
                  <w:vAlign w:val="center"/>
                </w:tcPr>
                <w:p w14:paraId="54683C11">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C</w:t>
                  </w:r>
                  <w:r>
                    <w:rPr>
                      <w:rFonts w:hint="default" w:ascii="Times New Roman" w:hAnsi="Times New Roman" w:eastAsia="宋体" w:cs="Times New Roman"/>
                      <w:b w:val="0"/>
                      <w:bCs w:val="0"/>
                      <w:color w:val="auto"/>
                      <w:sz w:val="21"/>
                      <w:szCs w:val="21"/>
                      <w:u w:val="none" w:color="auto"/>
                      <w:vertAlign w:val="subscript"/>
                      <w:lang w:val="en-US" w:eastAsia="zh-CN"/>
                    </w:rPr>
                    <w:t>5</w:t>
                  </w:r>
                  <w:r>
                    <w:rPr>
                      <w:rFonts w:hint="default" w:ascii="Times New Roman" w:hAnsi="Times New Roman" w:eastAsia="宋体" w:cs="Times New Roman"/>
                      <w:b w:val="0"/>
                      <w:bCs w:val="0"/>
                      <w:color w:val="auto"/>
                      <w:sz w:val="21"/>
                      <w:szCs w:val="21"/>
                      <w:u w:val="none" w:color="auto"/>
                      <w:vertAlign w:val="baseline"/>
                    </w:rPr>
                    <w:t>H</w:t>
                  </w:r>
                  <w:r>
                    <w:rPr>
                      <w:rFonts w:hint="default" w:ascii="Times New Roman" w:hAnsi="Times New Roman" w:eastAsia="宋体" w:cs="Times New Roman"/>
                      <w:b w:val="0"/>
                      <w:bCs w:val="0"/>
                      <w:color w:val="auto"/>
                      <w:sz w:val="21"/>
                      <w:szCs w:val="21"/>
                      <w:u w:val="none" w:color="auto"/>
                      <w:vertAlign w:val="subscript"/>
                    </w:rPr>
                    <w:t>12</w:t>
                  </w:r>
                  <w:r>
                    <w:rPr>
                      <w:rFonts w:hint="default" w:ascii="Times New Roman" w:hAnsi="Times New Roman" w:eastAsia="宋体" w:cs="Times New Roman"/>
                      <w:b w:val="0"/>
                      <w:bCs w:val="0"/>
                      <w:color w:val="auto"/>
                      <w:sz w:val="21"/>
                      <w:szCs w:val="21"/>
                      <w:u w:val="none" w:color="auto"/>
                      <w:vertAlign w:val="baseline"/>
                    </w:rPr>
                    <w:t>C</w:t>
                  </w:r>
                  <w:r>
                    <w:rPr>
                      <w:rFonts w:hint="default" w:ascii="Times New Roman" w:hAnsi="Times New Roman" w:eastAsia="宋体" w:cs="Times New Roman"/>
                      <w:b w:val="0"/>
                      <w:bCs w:val="0"/>
                      <w:color w:val="auto"/>
                      <w:sz w:val="21"/>
                      <w:szCs w:val="21"/>
                      <w:u w:val="none" w:color="auto"/>
                      <w:vertAlign w:val="subscript"/>
                    </w:rPr>
                    <w:t>6</w:t>
                  </w:r>
                  <w:r>
                    <w:rPr>
                      <w:rFonts w:hint="default" w:ascii="Times New Roman" w:hAnsi="Times New Roman" w:eastAsia="宋体" w:cs="Times New Roman"/>
                      <w:b w:val="0"/>
                      <w:bCs w:val="0"/>
                      <w:color w:val="auto"/>
                      <w:sz w:val="21"/>
                      <w:szCs w:val="21"/>
                      <w:u w:val="none" w:color="auto"/>
                      <w:vertAlign w:val="baseline"/>
                    </w:rPr>
                    <w:t>H</w:t>
                  </w:r>
                  <w:r>
                    <w:rPr>
                      <w:rFonts w:hint="default" w:ascii="Times New Roman" w:hAnsi="Times New Roman" w:eastAsia="宋体" w:cs="Times New Roman"/>
                      <w:b w:val="0"/>
                      <w:bCs w:val="0"/>
                      <w:color w:val="auto"/>
                      <w:sz w:val="21"/>
                      <w:szCs w:val="21"/>
                      <w:u w:val="none" w:color="auto"/>
                      <w:vertAlign w:val="subscript"/>
                    </w:rPr>
                    <w:t>14</w:t>
                  </w:r>
                  <w:r>
                    <w:rPr>
                      <w:rFonts w:hint="default" w:ascii="Times New Roman" w:hAnsi="Times New Roman" w:eastAsia="宋体" w:cs="Times New Roman"/>
                      <w:b w:val="0"/>
                      <w:bCs w:val="0"/>
                      <w:color w:val="auto"/>
                      <w:sz w:val="21"/>
                      <w:szCs w:val="21"/>
                      <w:u w:val="none" w:color="auto"/>
                      <w:vertAlign w:val="baseline"/>
                    </w:rPr>
                    <w:t>、C</w:t>
                  </w:r>
                  <w:r>
                    <w:rPr>
                      <w:rFonts w:hint="default" w:ascii="Times New Roman" w:hAnsi="Times New Roman" w:eastAsia="宋体" w:cs="Times New Roman"/>
                      <w:b w:val="0"/>
                      <w:bCs w:val="0"/>
                      <w:color w:val="auto"/>
                      <w:sz w:val="21"/>
                      <w:szCs w:val="21"/>
                      <w:u w:val="none" w:color="auto"/>
                      <w:vertAlign w:val="subscript"/>
                    </w:rPr>
                    <w:t>7</w:t>
                  </w:r>
                  <w:r>
                    <w:rPr>
                      <w:rFonts w:hint="default" w:ascii="Times New Roman" w:hAnsi="Times New Roman" w:eastAsia="宋体" w:cs="Times New Roman"/>
                      <w:b w:val="0"/>
                      <w:bCs w:val="0"/>
                      <w:color w:val="auto"/>
                      <w:sz w:val="21"/>
                      <w:szCs w:val="21"/>
                      <w:u w:val="none" w:color="auto"/>
                      <w:vertAlign w:val="baseline"/>
                    </w:rPr>
                    <w:t>H</w:t>
                  </w:r>
                  <w:r>
                    <w:rPr>
                      <w:rFonts w:hint="default" w:ascii="Times New Roman" w:hAnsi="Times New Roman" w:eastAsia="宋体" w:cs="Times New Roman"/>
                      <w:b w:val="0"/>
                      <w:bCs w:val="0"/>
                      <w:color w:val="auto"/>
                      <w:sz w:val="21"/>
                      <w:szCs w:val="21"/>
                      <w:u w:val="none" w:color="auto"/>
                      <w:vertAlign w:val="subscript"/>
                    </w:rPr>
                    <w:t>16</w:t>
                  </w:r>
                  <w:r>
                    <w:rPr>
                      <w:rFonts w:hint="default" w:ascii="Times New Roman" w:hAnsi="Times New Roman" w:eastAsia="宋体" w:cs="Times New Roman"/>
                      <w:b w:val="0"/>
                      <w:bCs w:val="0"/>
                      <w:color w:val="auto"/>
                      <w:sz w:val="21"/>
                      <w:szCs w:val="21"/>
                      <w:u w:val="none" w:color="auto"/>
                      <w:vertAlign w:val="baseline"/>
                    </w:rPr>
                    <w:t>石油醚是无色透明液体，有煤油气味，易挥发。主要为戊烷和己烷的</w:t>
                  </w:r>
                  <w:r>
                    <w:rPr>
                      <w:rFonts w:hint="default" w:ascii="Times New Roman" w:hAnsi="Times New Roman" w:eastAsia="宋体" w:cs="Times New Roman"/>
                      <w:b w:val="0"/>
                      <w:bCs w:val="0"/>
                      <w:color w:val="auto"/>
                      <w:sz w:val="21"/>
                      <w:szCs w:val="21"/>
                      <w:u w:val="none" w:color="auto"/>
                      <w:vertAlign w:val="baseline"/>
                      <w:lang w:eastAsia="zh-CN"/>
                    </w:rPr>
                    <w:t>混合物。</w:t>
                  </w:r>
                  <w:r>
                    <w:rPr>
                      <w:rFonts w:hint="default" w:ascii="Times New Roman" w:hAnsi="Times New Roman" w:eastAsia="宋体" w:cs="Times New Roman"/>
                      <w:b w:val="0"/>
                      <w:bCs w:val="0"/>
                      <w:color w:val="auto"/>
                      <w:sz w:val="21"/>
                      <w:szCs w:val="21"/>
                      <w:u w:val="none" w:color="auto"/>
                      <w:vertAlign w:val="baseline"/>
                    </w:rPr>
                    <w:t>醇、苯、氯仿、油类等多数有机溶剂。熔点&lt;-73℃</w:t>
                  </w:r>
                  <w:r>
                    <w:rPr>
                      <w:rFonts w:hint="default"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沸点40~80℃</w:t>
                  </w:r>
                  <w:r>
                    <w:rPr>
                      <w:rFonts w:hint="default"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闪电&lt;-20℃，密度0.64g/mL。</w:t>
                  </w:r>
                </w:p>
              </w:tc>
              <w:tc>
                <w:tcPr>
                  <w:tcW w:w="1382" w:type="pct"/>
                  <w:noWrap w:val="0"/>
                  <w:vAlign w:val="center"/>
                </w:tcPr>
                <w:p w14:paraId="2A46D7E5">
                  <w:pPr>
                    <w:adjustRightInd w:val="0"/>
                    <w:snapToGrid w:val="0"/>
                    <w:jc w:val="both"/>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eastAsia="zh-CN"/>
                    </w:rPr>
                    <w:t>易燃易爆，与氧化剂可强烈反应，爆炸极限</w:t>
                  </w:r>
                  <w:r>
                    <w:rPr>
                      <w:rFonts w:hint="eastAsia" w:ascii="Times New Roman" w:hAnsi="Times New Roman" w:eastAsia="宋体" w:cs="Times New Roman"/>
                      <w:b w:val="0"/>
                      <w:bCs w:val="0"/>
                      <w:color w:val="auto"/>
                      <w:sz w:val="21"/>
                      <w:szCs w:val="21"/>
                      <w:u w:val="none" w:color="auto"/>
                      <w:vertAlign w:val="baseline"/>
                      <w:lang w:val="en-US" w:eastAsia="zh-CN"/>
                    </w:rPr>
                    <w:t>1.1~8.7%（体积）</w:t>
                  </w:r>
                </w:p>
              </w:tc>
              <w:tc>
                <w:tcPr>
                  <w:tcW w:w="786" w:type="pct"/>
                  <w:noWrap w:val="0"/>
                  <w:vAlign w:val="center"/>
                </w:tcPr>
                <w:p w14:paraId="3D9C1F02">
                  <w:pPr>
                    <w:adjustRightInd w:val="0"/>
                    <w:snapToGrid w:val="0"/>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无资料</w:t>
                  </w:r>
                </w:p>
              </w:tc>
            </w:tr>
            <w:tr w14:paraId="5474F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087B3A5F">
                  <w:pPr>
                    <w:adjustRightInd w:val="0"/>
                    <w:snapToGrid w:val="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2</w:t>
                  </w:r>
                </w:p>
              </w:tc>
              <w:tc>
                <w:tcPr>
                  <w:tcW w:w="576" w:type="pct"/>
                  <w:noWrap w:val="0"/>
                  <w:vAlign w:val="center"/>
                </w:tcPr>
                <w:p w14:paraId="69CF7616">
                  <w:pPr>
                    <w:jc w:val="center"/>
                    <w:rPr>
                      <w:rFonts w:hint="default" w:ascii="Times New Roman" w:hAnsi="Times New Roman" w:eastAsia="宋体" w:cs="Times New Roman"/>
                      <w:b w:val="0"/>
                      <w:bCs w:val="0"/>
                      <w:color w:val="auto"/>
                      <w:sz w:val="21"/>
                      <w:szCs w:val="21"/>
                      <w:u w:val="none" w:color="auto"/>
                      <w:vertAlign w:val="baseline"/>
                    </w:rPr>
                  </w:pPr>
                  <w:r>
                    <w:rPr>
                      <w:rFonts w:hint="eastAsia" w:ascii="Times New Roman" w:hAnsi="Times New Roman" w:eastAsia="宋体" w:cs="Times New Roman"/>
                      <w:b w:val="0"/>
                      <w:bCs w:val="0"/>
                      <w:color w:val="auto"/>
                      <w:sz w:val="21"/>
                      <w:szCs w:val="21"/>
                      <w:u w:val="none" w:color="auto"/>
                      <w:vertAlign w:val="baseline"/>
                      <w:lang w:eastAsia="zh-CN"/>
                    </w:rPr>
                    <w:t>乙醇</w:t>
                  </w:r>
                </w:p>
              </w:tc>
              <w:tc>
                <w:tcPr>
                  <w:tcW w:w="1938" w:type="pct"/>
                  <w:noWrap w:val="0"/>
                  <w:vAlign w:val="center"/>
                </w:tcPr>
                <w:p w14:paraId="2DA5FB86">
                  <w:pPr>
                    <w:adjustRightInd w:val="0"/>
                    <w:snapToGrid w:val="0"/>
                    <w:jc w:val="both"/>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eastAsia="zh-CN"/>
                    </w:rPr>
                    <w:t>化学式：</w:t>
                  </w:r>
                  <w:r>
                    <w:rPr>
                      <w:rFonts w:hint="eastAsia" w:ascii="Times New Roman" w:hAnsi="Times New Roman" w:eastAsia="宋体" w:cs="Times New Roman"/>
                      <w:b w:val="0"/>
                      <w:bCs w:val="0"/>
                      <w:color w:val="auto"/>
                      <w:sz w:val="21"/>
                      <w:szCs w:val="21"/>
                      <w:u w:val="none" w:color="auto"/>
                      <w:vertAlign w:val="baseline"/>
                      <w:lang w:val="en-US" w:eastAsia="zh-CN"/>
                    </w:rPr>
                    <w:t>C</w:t>
                  </w:r>
                  <w:r>
                    <w:rPr>
                      <w:rFonts w:hint="eastAsia" w:ascii="Times New Roman" w:hAnsi="Times New Roman" w:eastAsia="宋体" w:cs="Times New Roman"/>
                      <w:b w:val="0"/>
                      <w:bCs w:val="0"/>
                      <w:color w:val="auto"/>
                      <w:sz w:val="21"/>
                      <w:szCs w:val="21"/>
                      <w:u w:val="none" w:color="auto"/>
                      <w:vertAlign w:val="subscript"/>
                      <w:lang w:val="en-US" w:eastAsia="zh-CN"/>
                    </w:rPr>
                    <w:t>2</w:t>
                  </w:r>
                  <w:r>
                    <w:rPr>
                      <w:rFonts w:hint="eastAsia" w:ascii="Times New Roman" w:hAnsi="Times New Roman" w:eastAsia="宋体" w:cs="Times New Roman"/>
                      <w:b w:val="0"/>
                      <w:bCs w:val="0"/>
                      <w:color w:val="auto"/>
                      <w:sz w:val="21"/>
                      <w:szCs w:val="21"/>
                      <w:u w:val="none" w:color="auto"/>
                      <w:vertAlign w:val="baseline"/>
                      <w:lang w:val="en-US" w:eastAsia="zh-CN"/>
                    </w:rPr>
                    <w:t>H</w:t>
                  </w:r>
                  <w:r>
                    <w:rPr>
                      <w:rFonts w:hint="eastAsia" w:ascii="Times New Roman" w:hAnsi="Times New Roman" w:eastAsia="宋体" w:cs="Times New Roman"/>
                      <w:b w:val="0"/>
                      <w:bCs w:val="0"/>
                      <w:color w:val="auto"/>
                      <w:sz w:val="21"/>
                      <w:szCs w:val="21"/>
                      <w:u w:val="none" w:color="auto"/>
                      <w:vertAlign w:val="subscript"/>
                      <w:lang w:val="en-US" w:eastAsia="zh-CN"/>
                    </w:rPr>
                    <w:t>6</w:t>
                  </w:r>
                  <w:r>
                    <w:rPr>
                      <w:rFonts w:hint="eastAsia" w:ascii="Times New Roman" w:hAnsi="Times New Roman" w:eastAsia="宋体" w:cs="Times New Roman"/>
                      <w:b w:val="0"/>
                      <w:bCs w:val="0"/>
                      <w:color w:val="auto"/>
                      <w:sz w:val="21"/>
                      <w:szCs w:val="21"/>
                      <w:u w:val="none" w:color="auto"/>
                      <w:vertAlign w:val="baseline"/>
                      <w:lang w:val="en-US" w:eastAsia="zh-CN"/>
                    </w:rPr>
                    <w:t>O；无色液体，有酒香。熔点-114.1℃，沸点78.3℃，与水混溶，可溶于醚、氯仿、甘油等，密度0.79g/ml。</w:t>
                  </w:r>
                </w:p>
              </w:tc>
              <w:tc>
                <w:tcPr>
                  <w:tcW w:w="1382" w:type="pct"/>
                  <w:noWrap w:val="0"/>
                  <w:vAlign w:val="center"/>
                </w:tcPr>
                <w:p w14:paraId="04598AA2">
                  <w:pPr>
                    <w:adjustRightInd w:val="0"/>
                    <w:snapToGrid w:val="0"/>
                    <w:jc w:val="both"/>
                    <w:rPr>
                      <w:rFonts w:hint="eastAsia" w:ascii="Times New Roman" w:hAnsi="Times New Roman" w:eastAsia="宋体" w:cs="Times New Roman"/>
                      <w:b w:val="0"/>
                      <w:bCs w:val="0"/>
                      <w:color w:val="auto"/>
                      <w:sz w:val="21"/>
                      <w:szCs w:val="21"/>
                      <w:u w:val="none" w:color="auto"/>
                      <w:vertAlign w:val="baseline"/>
                      <w:lang w:eastAsia="zh-CN"/>
                    </w:rPr>
                  </w:pPr>
                  <w:r>
                    <w:rPr>
                      <w:rFonts w:hint="eastAsia" w:ascii="Times New Roman" w:hAnsi="Times New Roman" w:eastAsia="宋体" w:cs="Times New Roman"/>
                      <w:b w:val="0"/>
                      <w:bCs w:val="0"/>
                      <w:color w:val="auto"/>
                      <w:sz w:val="21"/>
                      <w:szCs w:val="21"/>
                      <w:u w:val="none" w:color="auto"/>
                      <w:vertAlign w:val="baseline"/>
                      <w:lang w:eastAsia="zh-CN"/>
                    </w:rPr>
                    <w:t>易燃，其蒸汽与空气可形成爆炸性混合物，遇明火、高热能引起燃烧爆炸。</w:t>
                  </w:r>
                </w:p>
              </w:tc>
              <w:tc>
                <w:tcPr>
                  <w:tcW w:w="786" w:type="pct"/>
                  <w:noWrap w:val="0"/>
                  <w:vAlign w:val="center"/>
                </w:tcPr>
                <w:p w14:paraId="1D56453C">
                  <w:pPr>
                    <w:adjustRightInd w:val="0"/>
                    <w:snapToGrid w:val="0"/>
                    <w:jc w:val="both"/>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LD50：7060mg/kg（兔经口）</w:t>
                  </w:r>
                </w:p>
              </w:tc>
            </w:tr>
            <w:tr w14:paraId="79227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0CF2B64F">
                  <w:pPr>
                    <w:adjustRightInd w:val="0"/>
                    <w:snapToGrid w:val="0"/>
                    <w:jc w:val="center"/>
                    <w:rPr>
                      <w:rFonts w:hint="eastAsia"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3</w:t>
                  </w:r>
                </w:p>
              </w:tc>
              <w:tc>
                <w:tcPr>
                  <w:tcW w:w="576" w:type="pct"/>
                  <w:noWrap w:val="0"/>
                  <w:vAlign w:val="center"/>
                </w:tcPr>
                <w:p w14:paraId="6B221421">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eastAsia="zh-CN"/>
                    </w:rPr>
                    <w:t>乙腈</w:t>
                  </w:r>
                </w:p>
              </w:tc>
              <w:tc>
                <w:tcPr>
                  <w:tcW w:w="1938" w:type="pct"/>
                  <w:noWrap w:val="0"/>
                  <w:vAlign w:val="center"/>
                </w:tcPr>
                <w:p w14:paraId="24DA2944">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化学式:C</w:t>
                  </w:r>
                  <w:r>
                    <w:rPr>
                      <w:rFonts w:hint="default" w:ascii="Times New Roman" w:hAnsi="Times New Roman" w:eastAsia="宋体" w:cs="Times New Roman"/>
                      <w:b w:val="0"/>
                      <w:bCs w:val="0"/>
                      <w:color w:val="auto"/>
                      <w:sz w:val="21"/>
                      <w:szCs w:val="21"/>
                      <w:u w:val="none" w:color="auto"/>
                      <w:vertAlign w:val="subscript"/>
                    </w:rPr>
                    <w:t>2</w:t>
                  </w:r>
                  <w:r>
                    <w:rPr>
                      <w:rFonts w:hint="default" w:ascii="Times New Roman" w:hAnsi="Times New Roman" w:eastAsia="宋体" w:cs="Times New Roman"/>
                      <w:b w:val="0"/>
                      <w:bCs w:val="0"/>
                      <w:color w:val="auto"/>
                      <w:sz w:val="21"/>
                      <w:szCs w:val="21"/>
                      <w:u w:val="none" w:color="auto"/>
                      <w:vertAlign w:val="baseline"/>
                    </w:rPr>
                    <w:t>H</w:t>
                  </w:r>
                  <w:r>
                    <w:rPr>
                      <w:rFonts w:hint="default" w:ascii="Times New Roman" w:hAnsi="Times New Roman" w:eastAsia="宋体" w:cs="Times New Roman"/>
                      <w:b w:val="0"/>
                      <w:bCs w:val="0"/>
                      <w:color w:val="auto"/>
                      <w:sz w:val="21"/>
                      <w:szCs w:val="21"/>
                      <w:u w:val="none" w:color="auto"/>
                      <w:vertAlign w:val="subscript"/>
                      <w:lang w:val="en-US" w:eastAsia="zh-CN"/>
                    </w:rPr>
                    <w:t>3</w:t>
                  </w:r>
                  <w:r>
                    <w:rPr>
                      <w:rFonts w:hint="default" w:ascii="Times New Roman" w:hAnsi="Times New Roman" w:eastAsia="宋体" w:cs="Times New Roman"/>
                      <w:b w:val="0"/>
                      <w:bCs w:val="0"/>
                      <w:color w:val="auto"/>
                      <w:sz w:val="21"/>
                      <w:szCs w:val="21"/>
                      <w:u w:val="none" w:color="auto"/>
                      <w:vertAlign w:val="baseline"/>
                    </w:rPr>
                    <w:t>N</w:t>
                  </w:r>
                  <w:r>
                    <w:rPr>
                      <w:rFonts w:hint="default"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无色透明液体，极易挥发，有类似于醚的特殊气味，能溶于多种有机、</w:t>
                  </w:r>
                  <w:r>
                    <w:rPr>
                      <w:rFonts w:hint="eastAsia" w:cs="Times New Roman"/>
                      <w:b w:val="0"/>
                      <w:bCs w:val="0"/>
                      <w:color w:val="auto"/>
                      <w:sz w:val="21"/>
                      <w:szCs w:val="21"/>
                      <w:u w:val="none" w:color="auto"/>
                      <w:vertAlign w:val="baseline"/>
                      <w:lang w:eastAsia="zh-CN"/>
                    </w:rPr>
                    <w:t>无机</w:t>
                  </w:r>
                  <w:r>
                    <w:rPr>
                      <w:rFonts w:hint="default" w:ascii="Times New Roman" w:hAnsi="Times New Roman" w:eastAsia="宋体" w:cs="Times New Roman"/>
                      <w:b w:val="0"/>
                      <w:bCs w:val="0"/>
                      <w:color w:val="auto"/>
                      <w:sz w:val="21"/>
                      <w:szCs w:val="21"/>
                      <w:u w:val="none" w:color="auto"/>
                      <w:vertAlign w:val="baseline"/>
                    </w:rPr>
                    <w:t>和气体物质。熔点45.7℃，沸点81.6℃，密度1.42g/mL。</w:t>
                  </w:r>
                </w:p>
              </w:tc>
              <w:tc>
                <w:tcPr>
                  <w:tcW w:w="1382" w:type="pct"/>
                  <w:noWrap w:val="0"/>
                  <w:vAlign w:val="center"/>
                </w:tcPr>
                <w:p w14:paraId="1CE1E72C">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易燃</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其蒸气与空气可形成爆炸性混合物。遇明火、高热或与氧化剂接触，有引起燃烧爆炸的危险。</w:t>
                  </w:r>
                </w:p>
              </w:tc>
              <w:tc>
                <w:tcPr>
                  <w:tcW w:w="786" w:type="pct"/>
                  <w:noWrap w:val="0"/>
                  <w:vAlign w:val="center"/>
                </w:tcPr>
                <w:p w14:paraId="57083FF2">
                  <w:pPr>
                    <w:adjustRightInd w:val="0"/>
                    <w:snapToGrid w:val="0"/>
                    <w:jc w:val="both"/>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eastAsia="zh-CN"/>
                    </w:rPr>
                    <w:t>中等毒性；</w:t>
                  </w:r>
                  <w:r>
                    <w:rPr>
                      <w:rFonts w:hint="eastAsia" w:ascii="Times New Roman" w:hAnsi="Times New Roman" w:eastAsia="宋体" w:cs="Times New Roman"/>
                      <w:b w:val="0"/>
                      <w:bCs w:val="0"/>
                      <w:color w:val="auto"/>
                      <w:sz w:val="21"/>
                      <w:szCs w:val="21"/>
                      <w:u w:val="none" w:color="auto"/>
                      <w:vertAlign w:val="baseline"/>
                      <w:lang w:val="en-US" w:eastAsia="zh-CN"/>
                    </w:rPr>
                    <w:t>LD50</w:t>
                  </w:r>
                  <w:r>
                    <w:rPr>
                      <w:rFonts w:hint="eastAsia" w:cs="Times New Roman"/>
                      <w:b w:val="0"/>
                      <w:bCs w:val="0"/>
                      <w:color w:val="auto"/>
                      <w:sz w:val="21"/>
                      <w:szCs w:val="21"/>
                      <w:u w:val="none" w:color="auto"/>
                      <w:vertAlign w:val="baseline"/>
                      <w:lang w:val="en-US" w:eastAsia="zh-CN"/>
                    </w:rPr>
                    <w:t>:2730</w:t>
                  </w:r>
                  <w:r>
                    <w:rPr>
                      <w:rFonts w:hint="eastAsia" w:ascii="Times New Roman" w:hAnsi="Times New Roman" w:eastAsia="宋体" w:cs="Times New Roman"/>
                      <w:b w:val="0"/>
                      <w:bCs w:val="0"/>
                      <w:color w:val="auto"/>
                      <w:sz w:val="21"/>
                      <w:szCs w:val="21"/>
                      <w:u w:val="none" w:color="auto"/>
                      <w:vertAlign w:val="baseline"/>
                      <w:lang w:val="en-US" w:eastAsia="zh-CN"/>
                    </w:rPr>
                    <w:t>mg/kg（</w:t>
                  </w:r>
                  <w:r>
                    <w:rPr>
                      <w:rFonts w:hint="eastAsia" w:cs="Times New Roman"/>
                      <w:b w:val="0"/>
                      <w:bCs w:val="0"/>
                      <w:color w:val="auto"/>
                      <w:sz w:val="21"/>
                      <w:szCs w:val="21"/>
                      <w:u w:val="none" w:color="auto"/>
                      <w:vertAlign w:val="baseline"/>
                      <w:lang w:val="en-US" w:eastAsia="zh-CN"/>
                    </w:rPr>
                    <w:t>大鼠</w:t>
                  </w:r>
                  <w:r>
                    <w:rPr>
                      <w:rFonts w:hint="eastAsia" w:ascii="Times New Roman" w:hAnsi="Times New Roman" w:eastAsia="宋体" w:cs="Times New Roman"/>
                      <w:b w:val="0"/>
                      <w:bCs w:val="0"/>
                      <w:color w:val="auto"/>
                      <w:sz w:val="21"/>
                      <w:szCs w:val="21"/>
                      <w:u w:val="none" w:color="auto"/>
                      <w:vertAlign w:val="baseline"/>
                      <w:lang w:val="en-US" w:eastAsia="zh-CN"/>
                    </w:rPr>
                    <w:t>经口）</w:t>
                  </w:r>
                </w:p>
              </w:tc>
            </w:tr>
            <w:tr w14:paraId="19652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noWrap w:val="0"/>
                  <w:vAlign w:val="center"/>
                </w:tcPr>
                <w:p w14:paraId="2C03F2DF">
                  <w:pPr>
                    <w:adjustRightInd w:val="0"/>
                    <w:snapToGrid w:val="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4</w:t>
                  </w:r>
                </w:p>
              </w:tc>
              <w:tc>
                <w:tcPr>
                  <w:tcW w:w="576" w:type="pct"/>
                  <w:noWrap w:val="0"/>
                  <w:vAlign w:val="center"/>
                </w:tcPr>
                <w:p w14:paraId="65B4AED5">
                  <w:pPr>
                    <w:jc w:val="center"/>
                    <w:rPr>
                      <w:rFonts w:hint="default" w:ascii="Times New Roman" w:hAnsi="Times New Roman" w:eastAsia="宋体" w:cs="Times New Roman"/>
                      <w:b w:val="0"/>
                      <w:bCs w:val="0"/>
                      <w:color w:val="auto"/>
                      <w:sz w:val="21"/>
                      <w:szCs w:val="21"/>
                      <w:u w:val="none" w:color="auto"/>
                      <w:vertAlign w:val="baseline"/>
                      <w:lang w:eastAsia="zh-CN"/>
                    </w:rPr>
                  </w:pPr>
                  <w:r>
                    <w:rPr>
                      <w:rFonts w:hint="eastAsia" w:cs="Times New Roman"/>
                      <w:b w:val="0"/>
                      <w:bCs w:val="0"/>
                      <w:color w:val="auto"/>
                      <w:sz w:val="21"/>
                      <w:szCs w:val="21"/>
                      <w:u w:val="none" w:color="auto"/>
                      <w:vertAlign w:val="baseline"/>
                      <w:lang w:eastAsia="zh-CN"/>
                    </w:rPr>
                    <w:t>盐酸</w:t>
                  </w:r>
                </w:p>
              </w:tc>
              <w:tc>
                <w:tcPr>
                  <w:tcW w:w="1938" w:type="pct"/>
                  <w:noWrap w:val="0"/>
                  <w:vAlign w:val="center"/>
                </w:tcPr>
                <w:p w14:paraId="49D6D17F">
                  <w:pPr>
                    <w:adjustRightInd w:val="0"/>
                    <w:snapToGrid w:val="0"/>
                    <w:jc w:val="both"/>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eastAsia="zh-CN"/>
                    </w:rPr>
                    <w:t>无色或微黄色发烟液体，有刺鼻酸味。熔点</w:t>
                  </w:r>
                  <w:r>
                    <w:rPr>
                      <w:rFonts w:hint="eastAsia" w:cs="Times New Roman"/>
                      <w:b w:val="0"/>
                      <w:bCs w:val="0"/>
                      <w:color w:val="auto"/>
                      <w:sz w:val="21"/>
                      <w:szCs w:val="21"/>
                      <w:u w:val="none" w:color="auto"/>
                      <w:vertAlign w:val="baseline"/>
                      <w:lang w:val="en-US" w:eastAsia="zh-CN"/>
                    </w:rPr>
                    <w:t>-114.8℃，沸点108.6℃（36%），与水混合，溶于碱液，密度1.20g/mL。</w:t>
                  </w:r>
                </w:p>
              </w:tc>
              <w:tc>
                <w:tcPr>
                  <w:tcW w:w="1382" w:type="pct"/>
                  <w:noWrap w:val="0"/>
                  <w:vAlign w:val="center"/>
                </w:tcPr>
                <w:p w14:paraId="6CF649D8">
                  <w:pPr>
                    <w:adjustRightInd w:val="0"/>
                    <w:snapToGrid w:val="0"/>
                    <w:jc w:val="both"/>
                    <w:rPr>
                      <w:rFonts w:hint="eastAsia" w:ascii="Times New Roman" w:hAnsi="Times New Roman" w:eastAsia="宋体" w:cs="Times New Roman"/>
                      <w:b w:val="0"/>
                      <w:bCs w:val="0"/>
                      <w:color w:val="auto"/>
                      <w:sz w:val="21"/>
                      <w:szCs w:val="21"/>
                      <w:u w:val="none" w:color="auto"/>
                      <w:vertAlign w:val="baseline"/>
                      <w:lang w:eastAsia="zh-CN"/>
                    </w:rPr>
                  </w:pPr>
                  <w:r>
                    <w:rPr>
                      <w:rFonts w:hint="eastAsia" w:cs="Times New Roman"/>
                      <w:b w:val="0"/>
                      <w:bCs w:val="0"/>
                      <w:color w:val="auto"/>
                      <w:sz w:val="21"/>
                      <w:szCs w:val="21"/>
                      <w:u w:val="none" w:color="auto"/>
                      <w:vertAlign w:val="baseline"/>
                      <w:lang w:eastAsia="zh-CN"/>
                    </w:rPr>
                    <w:t>能与一些活性金属粉末发生反应，放出氢气。遇氰化物能产生剧毒的氰化氢气体。与碱发生中和反应，并释放出大量的热，具有较强的腐蚀性。</w:t>
                  </w:r>
                </w:p>
              </w:tc>
              <w:tc>
                <w:tcPr>
                  <w:tcW w:w="786" w:type="pct"/>
                  <w:noWrap w:val="0"/>
                  <w:vAlign w:val="center"/>
                </w:tcPr>
                <w:p w14:paraId="1A4CB29C">
                  <w:pPr>
                    <w:adjustRightInd w:val="0"/>
                    <w:snapToGrid w:val="0"/>
                    <w:jc w:val="both"/>
                    <w:rPr>
                      <w:rFonts w:hint="eastAsia"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有毒、酸性腐蚀品</w:t>
                  </w:r>
                </w:p>
              </w:tc>
            </w:tr>
            <w:tr w14:paraId="5EB6A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noWrap w:val="0"/>
                  <w:vAlign w:val="center"/>
                </w:tcPr>
                <w:p w14:paraId="4F814832">
                  <w:pPr>
                    <w:adjustRightInd w:val="0"/>
                    <w:snapToGrid w:val="0"/>
                    <w:jc w:val="center"/>
                    <w:rPr>
                      <w:rFonts w:hint="eastAsia"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5</w:t>
                  </w:r>
                </w:p>
              </w:tc>
              <w:tc>
                <w:tcPr>
                  <w:tcW w:w="576" w:type="pct"/>
                  <w:noWrap w:val="0"/>
                  <w:vAlign w:val="center"/>
                </w:tcPr>
                <w:p w14:paraId="36A1BE58">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eastAsia="zh-CN"/>
                    </w:rPr>
                    <w:t>硫酸</w:t>
                  </w:r>
                </w:p>
              </w:tc>
              <w:tc>
                <w:tcPr>
                  <w:tcW w:w="1938" w:type="pct"/>
                  <w:noWrap w:val="0"/>
                  <w:vAlign w:val="center"/>
                </w:tcPr>
                <w:p w14:paraId="5C5B9549">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纯品为无色透明油状液体，无臭，熔点10.5℃，沸点330.0℃，与水混合，密度1.83g/mL。</w:t>
                  </w:r>
                </w:p>
              </w:tc>
              <w:tc>
                <w:tcPr>
                  <w:tcW w:w="1382" w:type="pct"/>
                  <w:noWrap w:val="0"/>
                  <w:vAlign w:val="center"/>
                </w:tcPr>
                <w:p w14:paraId="1869C26D">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遇水大量放热，可发生沸溅。与易燃物</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如苯</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和可燃物</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如糖、纤维素等</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接触会发生剧烈反应，甚至引起燃烧。</w:t>
                  </w:r>
                </w:p>
              </w:tc>
              <w:tc>
                <w:tcPr>
                  <w:tcW w:w="786" w:type="pct"/>
                  <w:noWrap w:val="0"/>
                  <w:vAlign w:val="center"/>
                </w:tcPr>
                <w:p w14:paraId="3A99A9CD">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eastAsia" w:ascii="Times New Roman" w:hAnsi="Times New Roman" w:eastAsia="宋体" w:cs="Times New Roman"/>
                      <w:b w:val="0"/>
                      <w:bCs w:val="0"/>
                      <w:color w:val="auto"/>
                      <w:sz w:val="21"/>
                      <w:szCs w:val="21"/>
                      <w:u w:val="none" w:color="auto"/>
                      <w:vertAlign w:val="baseline"/>
                      <w:lang w:val="en-US" w:eastAsia="zh-CN"/>
                    </w:rPr>
                    <w:t>LD50</w:t>
                  </w:r>
                  <w:r>
                    <w:rPr>
                      <w:rFonts w:hint="eastAsia" w:cs="Times New Roman"/>
                      <w:b w:val="0"/>
                      <w:bCs w:val="0"/>
                      <w:color w:val="auto"/>
                      <w:sz w:val="21"/>
                      <w:szCs w:val="21"/>
                      <w:u w:val="none" w:color="auto"/>
                      <w:vertAlign w:val="baseline"/>
                      <w:lang w:val="en-US" w:eastAsia="zh-CN"/>
                    </w:rPr>
                    <w:t>:2140</w:t>
                  </w:r>
                  <w:r>
                    <w:rPr>
                      <w:rFonts w:hint="eastAsia" w:ascii="Times New Roman" w:hAnsi="Times New Roman" w:eastAsia="宋体" w:cs="Times New Roman"/>
                      <w:b w:val="0"/>
                      <w:bCs w:val="0"/>
                      <w:color w:val="auto"/>
                      <w:sz w:val="21"/>
                      <w:szCs w:val="21"/>
                      <w:u w:val="none" w:color="auto"/>
                      <w:vertAlign w:val="baseline"/>
                      <w:lang w:val="en-US" w:eastAsia="zh-CN"/>
                    </w:rPr>
                    <w:t>mg/kg（</w:t>
                  </w:r>
                  <w:r>
                    <w:rPr>
                      <w:rFonts w:hint="eastAsia" w:cs="Times New Roman"/>
                      <w:b w:val="0"/>
                      <w:bCs w:val="0"/>
                      <w:color w:val="auto"/>
                      <w:sz w:val="21"/>
                      <w:szCs w:val="21"/>
                      <w:u w:val="none" w:color="auto"/>
                      <w:vertAlign w:val="baseline"/>
                      <w:lang w:val="en-US" w:eastAsia="zh-CN"/>
                    </w:rPr>
                    <w:t>大鼠</w:t>
                  </w:r>
                  <w:r>
                    <w:rPr>
                      <w:rFonts w:hint="eastAsia" w:ascii="Times New Roman" w:hAnsi="Times New Roman" w:eastAsia="宋体" w:cs="Times New Roman"/>
                      <w:b w:val="0"/>
                      <w:bCs w:val="0"/>
                      <w:color w:val="auto"/>
                      <w:sz w:val="21"/>
                      <w:szCs w:val="21"/>
                      <w:u w:val="none" w:color="auto"/>
                      <w:vertAlign w:val="baseline"/>
                      <w:lang w:val="en-US" w:eastAsia="zh-CN"/>
                    </w:rPr>
                    <w:t>经口）</w:t>
                  </w:r>
                </w:p>
              </w:tc>
            </w:tr>
            <w:tr w14:paraId="2456F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5C751919">
                  <w:pPr>
                    <w:adjustRightInd w:val="0"/>
                    <w:snapToGrid w:val="0"/>
                    <w:jc w:val="center"/>
                    <w:rPr>
                      <w:rFonts w:hint="eastAsia"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6</w:t>
                  </w:r>
                </w:p>
              </w:tc>
              <w:tc>
                <w:tcPr>
                  <w:tcW w:w="576" w:type="pct"/>
                  <w:noWrap w:val="0"/>
                  <w:vAlign w:val="center"/>
                </w:tcPr>
                <w:p w14:paraId="3E5AC3B5">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val="en-US" w:eastAsia="zh-CN"/>
                    </w:rPr>
                    <w:t>硝酸</w:t>
                  </w:r>
                </w:p>
              </w:tc>
              <w:tc>
                <w:tcPr>
                  <w:tcW w:w="1938" w:type="pct"/>
                  <w:noWrap w:val="0"/>
                  <w:vAlign w:val="center"/>
                </w:tcPr>
                <w:p w14:paraId="6500B814">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HNO</w:t>
                  </w:r>
                  <w:r>
                    <w:rPr>
                      <w:rFonts w:hint="default" w:ascii="Times New Roman" w:hAnsi="Times New Roman" w:eastAsia="宋体" w:cs="Times New Roman"/>
                      <w:b w:val="0"/>
                      <w:bCs w:val="0"/>
                      <w:color w:val="auto"/>
                      <w:sz w:val="21"/>
                      <w:szCs w:val="21"/>
                      <w:u w:val="none" w:color="auto"/>
                      <w:vertAlign w:val="subscript"/>
                    </w:rPr>
                    <w:t>3</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纯品为无色透明发烟液体，有酸味</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熔点-42℃，沸点86℃，与水混溶，密度1.50g/mL。</w:t>
                  </w:r>
                </w:p>
              </w:tc>
              <w:tc>
                <w:tcPr>
                  <w:tcW w:w="1382" w:type="pct"/>
                  <w:noWrap w:val="0"/>
                  <w:vAlign w:val="center"/>
                </w:tcPr>
                <w:p w14:paraId="6F69DE27">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强氧化剂，能与多种物质如金属粉末、电石、硫化氢、松节油等猛烈反应，甚至发生爆炸。</w:t>
                  </w:r>
                </w:p>
              </w:tc>
              <w:tc>
                <w:tcPr>
                  <w:tcW w:w="786" w:type="pct"/>
                  <w:noWrap w:val="0"/>
                  <w:vAlign w:val="center"/>
                </w:tcPr>
                <w:p w14:paraId="390D9B63">
                  <w:pPr>
                    <w:adjustRightInd w:val="0"/>
                    <w:snapToGrid w:val="0"/>
                    <w:jc w:val="center"/>
                    <w:rPr>
                      <w:rFonts w:hint="eastAsia" w:ascii="Times New Roman" w:hAnsi="Times New Roman" w:eastAsia="宋体" w:cs="Times New Roman"/>
                      <w:b w:val="0"/>
                      <w:bCs w:val="0"/>
                      <w:color w:val="auto"/>
                      <w:sz w:val="21"/>
                      <w:szCs w:val="21"/>
                      <w:u w:val="none" w:color="auto"/>
                      <w:vertAlign w:val="baseline"/>
                      <w:lang w:eastAsia="zh-CN"/>
                    </w:rPr>
                  </w:pPr>
                  <w:r>
                    <w:rPr>
                      <w:rFonts w:hint="eastAsia" w:ascii="Times New Roman" w:hAnsi="Times New Roman" w:eastAsia="宋体" w:cs="Times New Roman"/>
                      <w:b w:val="0"/>
                      <w:bCs w:val="0"/>
                      <w:color w:val="auto"/>
                      <w:sz w:val="21"/>
                      <w:szCs w:val="21"/>
                      <w:u w:val="none" w:color="auto"/>
                      <w:vertAlign w:val="baseline"/>
                      <w:lang w:eastAsia="zh-CN"/>
                    </w:rPr>
                    <w:t>无资料</w:t>
                  </w:r>
                </w:p>
              </w:tc>
            </w:tr>
            <w:tr w14:paraId="3AA74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51B172AD">
                  <w:pPr>
                    <w:adjustRightInd w:val="0"/>
                    <w:snapToGrid w:val="0"/>
                    <w:jc w:val="center"/>
                    <w:rPr>
                      <w:rFonts w:hint="eastAsia"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7</w:t>
                  </w:r>
                </w:p>
              </w:tc>
              <w:tc>
                <w:tcPr>
                  <w:tcW w:w="576" w:type="pct"/>
                  <w:noWrap w:val="0"/>
                  <w:vAlign w:val="center"/>
                </w:tcPr>
                <w:p w14:paraId="5528DFEA">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eastAsia="zh-CN"/>
                    </w:rPr>
                    <w:t>氢氧化钠</w:t>
                  </w:r>
                </w:p>
              </w:tc>
              <w:tc>
                <w:tcPr>
                  <w:tcW w:w="1938" w:type="pct"/>
                  <w:noWrap w:val="0"/>
                  <w:vAlign w:val="center"/>
                </w:tcPr>
                <w:p w14:paraId="34D72E82">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NaOH</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白色不透明固体，易潮解。熔点 318.4℃，沸点139℃，易溶于水、乙醇、甘油，不溶于丙酮，密度2.12g/m³。</w:t>
                  </w:r>
                </w:p>
              </w:tc>
              <w:tc>
                <w:tcPr>
                  <w:tcW w:w="1382" w:type="pct"/>
                  <w:noWrap w:val="0"/>
                  <w:vAlign w:val="center"/>
                </w:tcPr>
                <w:p w14:paraId="3A3E9E2B">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与酸发生中和反应并放热。遇潮时对铝、锌和锡有腐蚀性，并放出易燃易爆的氢气。</w:t>
                  </w:r>
                </w:p>
              </w:tc>
              <w:tc>
                <w:tcPr>
                  <w:tcW w:w="786" w:type="pct"/>
                  <w:noWrap w:val="0"/>
                  <w:vAlign w:val="center"/>
                </w:tcPr>
                <w:p w14:paraId="6594A1E4">
                  <w:pPr>
                    <w:adjustRightInd w:val="0"/>
                    <w:snapToGrid w:val="0"/>
                    <w:jc w:val="center"/>
                    <w:rPr>
                      <w:rFonts w:hint="eastAsia" w:ascii="Times New Roman" w:hAnsi="Times New Roman" w:eastAsia="宋体" w:cs="Times New Roman"/>
                      <w:b w:val="0"/>
                      <w:bCs w:val="0"/>
                      <w:color w:val="auto"/>
                      <w:sz w:val="21"/>
                      <w:szCs w:val="21"/>
                      <w:u w:val="none" w:color="auto"/>
                      <w:vertAlign w:val="baseline"/>
                      <w:lang w:eastAsia="zh-CN"/>
                    </w:rPr>
                  </w:pPr>
                  <w:r>
                    <w:rPr>
                      <w:rFonts w:hint="eastAsia" w:ascii="Times New Roman" w:hAnsi="Times New Roman" w:eastAsia="宋体" w:cs="Times New Roman"/>
                      <w:b w:val="0"/>
                      <w:bCs w:val="0"/>
                      <w:color w:val="auto"/>
                      <w:sz w:val="21"/>
                      <w:szCs w:val="21"/>
                      <w:u w:val="none" w:color="auto"/>
                      <w:vertAlign w:val="baseline"/>
                      <w:lang w:eastAsia="zh-CN"/>
                    </w:rPr>
                    <w:t>腐蚀性</w:t>
                  </w:r>
                </w:p>
              </w:tc>
            </w:tr>
            <w:tr w14:paraId="01FB9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49389B48">
                  <w:pPr>
                    <w:adjustRightInd w:val="0"/>
                    <w:snapToGrid w:val="0"/>
                    <w:jc w:val="center"/>
                    <w:rPr>
                      <w:rFonts w:hint="eastAsia"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8</w:t>
                  </w:r>
                </w:p>
              </w:tc>
              <w:tc>
                <w:tcPr>
                  <w:tcW w:w="576" w:type="pct"/>
                  <w:noWrap w:val="0"/>
                  <w:vAlign w:val="center"/>
                </w:tcPr>
                <w:p w14:paraId="1126EC43">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eastAsia="zh-CN"/>
                    </w:rPr>
                    <w:t>乙醚</w:t>
                  </w:r>
                </w:p>
              </w:tc>
              <w:tc>
                <w:tcPr>
                  <w:tcW w:w="1938" w:type="pct"/>
                  <w:noWrap w:val="0"/>
                  <w:vAlign w:val="center"/>
                </w:tcPr>
                <w:p w14:paraId="10102CDB">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C</w:t>
                  </w:r>
                  <w:r>
                    <w:rPr>
                      <w:rFonts w:hint="default" w:ascii="Times New Roman" w:hAnsi="Times New Roman" w:eastAsia="宋体" w:cs="Times New Roman"/>
                      <w:b w:val="0"/>
                      <w:bCs w:val="0"/>
                      <w:color w:val="auto"/>
                      <w:sz w:val="21"/>
                      <w:szCs w:val="21"/>
                      <w:u w:val="none" w:color="auto"/>
                      <w:vertAlign w:val="subscript"/>
                    </w:rPr>
                    <w:t>4</w:t>
                  </w:r>
                  <w:r>
                    <w:rPr>
                      <w:rFonts w:hint="default" w:ascii="Times New Roman" w:hAnsi="Times New Roman" w:eastAsia="宋体" w:cs="Times New Roman"/>
                      <w:b w:val="0"/>
                      <w:bCs w:val="0"/>
                      <w:color w:val="auto"/>
                      <w:sz w:val="21"/>
                      <w:szCs w:val="21"/>
                      <w:u w:val="none" w:color="auto"/>
                      <w:vertAlign w:val="baseline"/>
                    </w:rPr>
                    <w:t>H</w:t>
                  </w:r>
                  <w:r>
                    <w:rPr>
                      <w:rFonts w:hint="eastAsia" w:ascii="Times New Roman" w:hAnsi="Times New Roman" w:eastAsia="宋体" w:cs="Times New Roman"/>
                      <w:b w:val="0"/>
                      <w:bCs w:val="0"/>
                      <w:color w:val="auto"/>
                      <w:sz w:val="21"/>
                      <w:szCs w:val="21"/>
                      <w:u w:val="none" w:color="auto"/>
                      <w:vertAlign w:val="subscript"/>
                      <w:lang w:val="en-US" w:eastAsia="zh-CN"/>
                    </w:rPr>
                    <w:t>10</w:t>
                  </w:r>
                  <w:r>
                    <w:rPr>
                      <w:rFonts w:hint="default" w:ascii="Times New Roman" w:hAnsi="Times New Roman" w:eastAsia="宋体" w:cs="Times New Roman"/>
                      <w:b w:val="0"/>
                      <w:bCs w:val="0"/>
                      <w:color w:val="auto"/>
                      <w:sz w:val="21"/>
                      <w:szCs w:val="21"/>
                      <w:u w:val="none" w:color="auto"/>
                      <w:vertAlign w:val="baseline"/>
                    </w:rPr>
                    <w:t>O</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无色透明液体，有特殊刺激气味。带甜味。极易挥发。熔点-116.2℃，沸点34.5℃，微溶于水，密度2.56g/mL。</w:t>
                  </w:r>
                </w:p>
              </w:tc>
              <w:tc>
                <w:tcPr>
                  <w:tcW w:w="1382" w:type="pct"/>
                  <w:noWrap w:val="0"/>
                  <w:vAlign w:val="center"/>
                </w:tcPr>
                <w:p w14:paraId="373E40B4">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易燃</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其蒸气与空气可形成爆炸性混合物，遇明火、高热极易燃烧爆炸。与氧化剂能发生强烈反应。在空气中久置后能生成有爆炸性的过氧化物。</w:t>
                  </w:r>
                </w:p>
              </w:tc>
              <w:tc>
                <w:tcPr>
                  <w:tcW w:w="786" w:type="pct"/>
                  <w:noWrap w:val="0"/>
                  <w:vAlign w:val="center"/>
                </w:tcPr>
                <w:p w14:paraId="5B9FF041">
                  <w:pPr>
                    <w:adjustRightInd w:val="0"/>
                    <w:snapToGrid w:val="0"/>
                    <w:jc w:val="center"/>
                    <w:rPr>
                      <w:rFonts w:hint="default" w:ascii="Times New Roman" w:hAnsi="Times New Roman" w:eastAsia="宋体" w:cs="Times New Roman"/>
                      <w:b w:val="0"/>
                      <w:bCs w:val="0"/>
                      <w:color w:val="auto"/>
                      <w:sz w:val="21"/>
                      <w:szCs w:val="21"/>
                      <w:u w:val="none" w:color="auto"/>
                      <w:vertAlign w:val="baseline"/>
                    </w:rPr>
                  </w:pPr>
                  <w:r>
                    <w:rPr>
                      <w:rFonts w:hint="eastAsia" w:ascii="Times New Roman" w:hAnsi="Times New Roman" w:eastAsia="宋体" w:cs="Times New Roman"/>
                      <w:b w:val="0"/>
                      <w:bCs w:val="0"/>
                      <w:color w:val="auto"/>
                      <w:sz w:val="21"/>
                      <w:szCs w:val="21"/>
                      <w:u w:val="none" w:color="auto"/>
                      <w:vertAlign w:val="baseline"/>
                      <w:lang w:val="en-US" w:eastAsia="zh-CN"/>
                    </w:rPr>
                    <w:t>LD50</w:t>
                  </w:r>
                  <w:r>
                    <w:rPr>
                      <w:rFonts w:hint="eastAsia" w:cs="Times New Roman"/>
                      <w:b w:val="0"/>
                      <w:bCs w:val="0"/>
                      <w:color w:val="auto"/>
                      <w:sz w:val="21"/>
                      <w:szCs w:val="21"/>
                      <w:u w:val="none" w:color="auto"/>
                      <w:vertAlign w:val="baseline"/>
                      <w:lang w:val="en-US" w:eastAsia="zh-CN"/>
                    </w:rPr>
                    <w:t>:1215</w:t>
                  </w:r>
                  <w:r>
                    <w:rPr>
                      <w:rFonts w:hint="eastAsia" w:ascii="Times New Roman" w:hAnsi="Times New Roman" w:eastAsia="宋体" w:cs="Times New Roman"/>
                      <w:b w:val="0"/>
                      <w:bCs w:val="0"/>
                      <w:color w:val="auto"/>
                      <w:sz w:val="21"/>
                      <w:szCs w:val="21"/>
                      <w:u w:val="none" w:color="auto"/>
                      <w:vertAlign w:val="baseline"/>
                      <w:lang w:val="en-US" w:eastAsia="zh-CN"/>
                    </w:rPr>
                    <w:t>mg/kg（</w:t>
                  </w:r>
                  <w:r>
                    <w:rPr>
                      <w:rFonts w:hint="eastAsia" w:cs="Times New Roman"/>
                      <w:b w:val="0"/>
                      <w:bCs w:val="0"/>
                      <w:color w:val="auto"/>
                      <w:sz w:val="21"/>
                      <w:szCs w:val="21"/>
                      <w:u w:val="none" w:color="auto"/>
                      <w:vertAlign w:val="baseline"/>
                      <w:lang w:val="en-US" w:eastAsia="zh-CN"/>
                    </w:rPr>
                    <w:t>大鼠</w:t>
                  </w:r>
                  <w:r>
                    <w:rPr>
                      <w:rFonts w:hint="eastAsia" w:ascii="Times New Roman" w:hAnsi="Times New Roman" w:eastAsia="宋体" w:cs="Times New Roman"/>
                      <w:b w:val="0"/>
                      <w:bCs w:val="0"/>
                      <w:color w:val="auto"/>
                      <w:sz w:val="21"/>
                      <w:szCs w:val="21"/>
                      <w:u w:val="none" w:color="auto"/>
                      <w:vertAlign w:val="baseline"/>
                      <w:lang w:val="en-US" w:eastAsia="zh-CN"/>
                    </w:rPr>
                    <w:t>经口）</w:t>
                  </w:r>
                </w:p>
              </w:tc>
            </w:tr>
            <w:tr w14:paraId="3B350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7D8AF8DA">
                  <w:pPr>
                    <w:adjustRightInd w:val="0"/>
                    <w:snapToGrid w:val="0"/>
                    <w:jc w:val="center"/>
                    <w:rPr>
                      <w:rFonts w:hint="eastAsia"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9</w:t>
                  </w:r>
                </w:p>
              </w:tc>
              <w:tc>
                <w:tcPr>
                  <w:tcW w:w="576" w:type="pct"/>
                  <w:noWrap w:val="0"/>
                  <w:vAlign w:val="center"/>
                </w:tcPr>
                <w:p w14:paraId="60D1D4AB">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eastAsia="zh-CN"/>
                    </w:rPr>
                    <w:t>乙酸</w:t>
                  </w:r>
                </w:p>
              </w:tc>
              <w:tc>
                <w:tcPr>
                  <w:tcW w:w="1938" w:type="pct"/>
                  <w:noWrap w:val="0"/>
                  <w:vAlign w:val="center"/>
                </w:tcPr>
                <w:p w14:paraId="77ABBC2A">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CH</w:t>
                  </w:r>
                  <w:r>
                    <w:rPr>
                      <w:rFonts w:hint="eastAsia" w:ascii="Times New Roman" w:hAnsi="Times New Roman" w:eastAsia="宋体" w:cs="Times New Roman"/>
                      <w:b w:val="0"/>
                      <w:bCs w:val="0"/>
                      <w:color w:val="auto"/>
                      <w:sz w:val="21"/>
                      <w:szCs w:val="21"/>
                      <w:u w:val="none" w:color="auto"/>
                      <w:vertAlign w:val="subscript"/>
                      <w:lang w:val="en-US" w:eastAsia="zh-CN"/>
                    </w:rPr>
                    <w:t>3</w:t>
                  </w:r>
                  <w:r>
                    <w:rPr>
                      <w:rFonts w:hint="default" w:ascii="Times New Roman" w:hAnsi="Times New Roman" w:eastAsia="宋体" w:cs="Times New Roman"/>
                      <w:b w:val="0"/>
                      <w:bCs w:val="0"/>
                      <w:color w:val="auto"/>
                      <w:sz w:val="21"/>
                      <w:szCs w:val="21"/>
                      <w:u w:val="none" w:color="auto"/>
                      <w:vertAlign w:val="baseline"/>
                    </w:rPr>
                    <w:t>COOH</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无色透明液体，有刺激性酸臭。熔点16.7℃</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沸点118.1℃，溶于水醚、甘油，密度1.05g/mL。</w:t>
                  </w:r>
                </w:p>
              </w:tc>
              <w:tc>
                <w:tcPr>
                  <w:tcW w:w="1382" w:type="pct"/>
                  <w:noWrap w:val="0"/>
                  <w:vAlign w:val="center"/>
                </w:tcPr>
                <w:p w14:paraId="691C59D5">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易燃，其蒸气与空气可形成爆炸性混合物，遇明火、高热能引起燃烧爆炸。与铬酸、过氧化钠、硝酸或</w:t>
                  </w:r>
                  <w:r>
                    <w:rPr>
                      <w:rFonts w:hint="eastAsia" w:cs="Times New Roman"/>
                      <w:b w:val="0"/>
                      <w:bCs w:val="0"/>
                      <w:color w:val="auto"/>
                      <w:sz w:val="21"/>
                      <w:szCs w:val="21"/>
                      <w:u w:val="none" w:color="auto"/>
                      <w:vertAlign w:val="baseline"/>
                      <w:lang w:eastAsia="zh-CN"/>
                    </w:rPr>
                    <w:t>其他</w:t>
                  </w:r>
                  <w:r>
                    <w:rPr>
                      <w:rFonts w:hint="default" w:ascii="Times New Roman" w:hAnsi="Times New Roman" w:eastAsia="宋体" w:cs="Times New Roman"/>
                      <w:b w:val="0"/>
                      <w:bCs w:val="0"/>
                      <w:color w:val="auto"/>
                      <w:sz w:val="21"/>
                      <w:szCs w:val="21"/>
                      <w:u w:val="none" w:color="auto"/>
                      <w:vertAlign w:val="baseline"/>
                    </w:rPr>
                    <w:t>氧化剂接触，有爆炸危险。具有腐蚀性。</w:t>
                  </w:r>
                </w:p>
              </w:tc>
              <w:tc>
                <w:tcPr>
                  <w:tcW w:w="786" w:type="pct"/>
                  <w:noWrap w:val="0"/>
                  <w:vAlign w:val="center"/>
                </w:tcPr>
                <w:p w14:paraId="20303D5E">
                  <w:pPr>
                    <w:adjustRightInd w:val="0"/>
                    <w:snapToGrid w:val="0"/>
                    <w:jc w:val="center"/>
                    <w:rPr>
                      <w:rFonts w:hint="default" w:ascii="Times New Roman" w:hAnsi="Times New Roman" w:eastAsia="宋体" w:cs="Times New Roman"/>
                      <w:b w:val="0"/>
                      <w:bCs w:val="0"/>
                      <w:color w:val="auto"/>
                      <w:sz w:val="21"/>
                      <w:szCs w:val="21"/>
                      <w:u w:val="none" w:color="auto"/>
                      <w:vertAlign w:val="baseline"/>
                    </w:rPr>
                  </w:pPr>
                  <w:r>
                    <w:rPr>
                      <w:rFonts w:hint="eastAsia" w:ascii="Times New Roman" w:hAnsi="Times New Roman" w:eastAsia="宋体" w:cs="Times New Roman"/>
                      <w:b w:val="0"/>
                      <w:bCs w:val="0"/>
                      <w:color w:val="auto"/>
                      <w:sz w:val="21"/>
                      <w:szCs w:val="21"/>
                      <w:u w:val="none" w:color="auto"/>
                      <w:vertAlign w:val="baseline"/>
                      <w:lang w:val="en-US" w:eastAsia="zh-CN"/>
                    </w:rPr>
                    <w:t>LD50</w:t>
                  </w:r>
                  <w:r>
                    <w:rPr>
                      <w:rFonts w:hint="eastAsia" w:cs="Times New Roman"/>
                      <w:b w:val="0"/>
                      <w:bCs w:val="0"/>
                      <w:color w:val="auto"/>
                      <w:sz w:val="21"/>
                      <w:szCs w:val="21"/>
                      <w:u w:val="none" w:color="auto"/>
                      <w:vertAlign w:val="baseline"/>
                      <w:lang w:val="en-US" w:eastAsia="zh-CN"/>
                    </w:rPr>
                    <w:t>:12600</w:t>
                  </w:r>
                  <w:r>
                    <w:rPr>
                      <w:rFonts w:hint="eastAsia" w:ascii="Times New Roman" w:hAnsi="Times New Roman" w:eastAsia="宋体" w:cs="Times New Roman"/>
                      <w:b w:val="0"/>
                      <w:bCs w:val="0"/>
                      <w:color w:val="auto"/>
                      <w:sz w:val="21"/>
                      <w:szCs w:val="21"/>
                      <w:u w:val="none" w:color="auto"/>
                      <w:vertAlign w:val="baseline"/>
                      <w:lang w:val="en-US" w:eastAsia="zh-CN"/>
                    </w:rPr>
                    <w:t>mg/kg（</w:t>
                  </w:r>
                  <w:r>
                    <w:rPr>
                      <w:rFonts w:hint="eastAsia" w:cs="Times New Roman"/>
                      <w:b w:val="0"/>
                      <w:bCs w:val="0"/>
                      <w:color w:val="auto"/>
                      <w:sz w:val="21"/>
                      <w:szCs w:val="21"/>
                      <w:u w:val="none" w:color="auto"/>
                      <w:vertAlign w:val="baseline"/>
                      <w:lang w:val="en-US" w:eastAsia="zh-CN"/>
                    </w:rPr>
                    <w:t>小鼠</w:t>
                  </w:r>
                  <w:r>
                    <w:rPr>
                      <w:rFonts w:hint="eastAsia" w:ascii="Times New Roman" w:hAnsi="Times New Roman" w:eastAsia="宋体" w:cs="Times New Roman"/>
                      <w:b w:val="0"/>
                      <w:bCs w:val="0"/>
                      <w:color w:val="auto"/>
                      <w:sz w:val="21"/>
                      <w:szCs w:val="21"/>
                      <w:u w:val="none" w:color="auto"/>
                      <w:vertAlign w:val="baseline"/>
                      <w:lang w:val="en-US" w:eastAsia="zh-CN"/>
                    </w:rPr>
                    <w:t>经口）</w:t>
                  </w:r>
                </w:p>
              </w:tc>
            </w:tr>
            <w:tr w14:paraId="6CC2F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33CD41DB">
                  <w:pPr>
                    <w:adjustRightInd w:val="0"/>
                    <w:snapToGrid w:val="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10</w:t>
                  </w:r>
                </w:p>
              </w:tc>
              <w:tc>
                <w:tcPr>
                  <w:tcW w:w="576" w:type="pct"/>
                  <w:noWrap w:val="0"/>
                  <w:vAlign w:val="center"/>
                </w:tcPr>
                <w:p w14:paraId="6C9F55E1">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eastAsia="zh-CN"/>
                    </w:rPr>
                    <w:t>甲酸</w:t>
                  </w:r>
                </w:p>
              </w:tc>
              <w:tc>
                <w:tcPr>
                  <w:tcW w:w="1938" w:type="pct"/>
                  <w:noWrap w:val="0"/>
                  <w:vAlign w:val="center"/>
                </w:tcPr>
                <w:p w14:paraId="5FD3964F">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HCOOH</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无色而有刺激性气味的液体，酸性很强，有腐蚀性</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易挥发，沸点100.6℃，熔点8.2℃</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相对密度1.22g/mL</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与水混溶，不溶于烃类，可混溶于乙醇、乙醚、苯</w:t>
                  </w:r>
                </w:p>
              </w:tc>
              <w:tc>
                <w:tcPr>
                  <w:tcW w:w="1382" w:type="pct"/>
                  <w:noWrap w:val="0"/>
                  <w:vAlign w:val="center"/>
                </w:tcPr>
                <w:p w14:paraId="6CFB2334">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易燃</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其蒸气与空气形成爆炸性混合物，遇明火、高热能引起燃烧爆炸。</w:t>
                  </w:r>
                </w:p>
              </w:tc>
              <w:tc>
                <w:tcPr>
                  <w:tcW w:w="786" w:type="pct"/>
                  <w:noWrap w:val="0"/>
                  <w:vAlign w:val="center"/>
                </w:tcPr>
                <w:p w14:paraId="67D451E2">
                  <w:pPr>
                    <w:adjustRightInd w:val="0"/>
                    <w:snapToGrid w:val="0"/>
                    <w:jc w:val="center"/>
                    <w:rPr>
                      <w:rFonts w:hint="default" w:ascii="Times New Roman" w:hAnsi="Times New Roman" w:eastAsia="宋体" w:cs="Times New Roman"/>
                      <w:b w:val="0"/>
                      <w:bCs w:val="0"/>
                      <w:color w:val="auto"/>
                      <w:sz w:val="21"/>
                      <w:szCs w:val="21"/>
                      <w:u w:val="none" w:color="auto"/>
                      <w:vertAlign w:val="baseline"/>
                    </w:rPr>
                  </w:pPr>
                  <w:r>
                    <w:rPr>
                      <w:rFonts w:hint="eastAsia" w:ascii="Times New Roman" w:hAnsi="Times New Roman" w:eastAsia="宋体" w:cs="Times New Roman"/>
                      <w:b w:val="0"/>
                      <w:bCs w:val="0"/>
                      <w:color w:val="auto"/>
                      <w:sz w:val="21"/>
                      <w:szCs w:val="21"/>
                      <w:u w:val="none" w:color="auto"/>
                      <w:vertAlign w:val="baseline"/>
                      <w:lang w:val="en-US" w:eastAsia="zh-CN"/>
                    </w:rPr>
                    <w:t>LD50</w:t>
                  </w:r>
                  <w:r>
                    <w:rPr>
                      <w:rFonts w:hint="eastAsia" w:cs="Times New Roman"/>
                      <w:b w:val="0"/>
                      <w:bCs w:val="0"/>
                      <w:color w:val="auto"/>
                      <w:sz w:val="21"/>
                      <w:szCs w:val="21"/>
                      <w:u w:val="none" w:color="auto"/>
                      <w:vertAlign w:val="baseline"/>
                      <w:lang w:val="en-US" w:eastAsia="zh-CN"/>
                    </w:rPr>
                    <w:t>:1100</w:t>
                  </w:r>
                  <w:r>
                    <w:rPr>
                      <w:rFonts w:hint="eastAsia" w:ascii="Times New Roman" w:hAnsi="Times New Roman" w:eastAsia="宋体" w:cs="Times New Roman"/>
                      <w:b w:val="0"/>
                      <w:bCs w:val="0"/>
                      <w:color w:val="auto"/>
                      <w:sz w:val="21"/>
                      <w:szCs w:val="21"/>
                      <w:u w:val="none" w:color="auto"/>
                      <w:vertAlign w:val="baseline"/>
                      <w:lang w:val="en-US" w:eastAsia="zh-CN"/>
                    </w:rPr>
                    <w:t>mg/kg（</w:t>
                  </w:r>
                  <w:r>
                    <w:rPr>
                      <w:rFonts w:hint="eastAsia" w:cs="Times New Roman"/>
                      <w:b w:val="0"/>
                      <w:bCs w:val="0"/>
                      <w:color w:val="auto"/>
                      <w:sz w:val="21"/>
                      <w:szCs w:val="21"/>
                      <w:u w:val="none" w:color="auto"/>
                      <w:vertAlign w:val="baseline"/>
                      <w:lang w:val="en-US" w:eastAsia="zh-CN"/>
                    </w:rPr>
                    <w:t>大鼠</w:t>
                  </w:r>
                  <w:r>
                    <w:rPr>
                      <w:rFonts w:hint="eastAsia" w:ascii="Times New Roman" w:hAnsi="Times New Roman" w:eastAsia="宋体" w:cs="Times New Roman"/>
                      <w:b w:val="0"/>
                      <w:bCs w:val="0"/>
                      <w:color w:val="auto"/>
                      <w:sz w:val="21"/>
                      <w:szCs w:val="21"/>
                      <w:u w:val="none" w:color="auto"/>
                      <w:vertAlign w:val="baseline"/>
                      <w:lang w:val="en-US" w:eastAsia="zh-CN"/>
                    </w:rPr>
                    <w:t>经口）</w:t>
                  </w:r>
                </w:p>
              </w:tc>
            </w:tr>
            <w:tr w14:paraId="7AC6F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4B404B9D">
                  <w:pPr>
                    <w:adjustRightInd w:val="0"/>
                    <w:snapToGrid w:val="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1</w:t>
                  </w:r>
                  <w:r>
                    <w:rPr>
                      <w:rFonts w:hint="eastAsia" w:cs="Times New Roman"/>
                      <w:b w:val="0"/>
                      <w:bCs w:val="0"/>
                      <w:color w:val="auto"/>
                      <w:sz w:val="21"/>
                      <w:szCs w:val="21"/>
                      <w:u w:val="none" w:color="auto"/>
                      <w:vertAlign w:val="baseline"/>
                      <w:lang w:val="en-US" w:eastAsia="zh-CN"/>
                    </w:rPr>
                    <w:t>1</w:t>
                  </w:r>
                </w:p>
              </w:tc>
              <w:tc>
                <w:tcPr>
                  <w:tcW w:w="576" w:type="pct"/>
                  <w:noWrap w:val="0"/>
                  <w:vAlign w:val="center"/>
                </w:tcPr>
                <w:p w14:paraId="02364D6E">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eastAsia="zh-CN"/>
                    </w:rPr>
                    <w:t>乙酸乙酯</w:t>
                  </w:r>
                </w:p>
              </w:tc>
              <w:tc>
                <w:tcPr>
                  <w:tcW w:w="1938" w:type="pct"/>
                  <w:noWrap w:val="0"/>
                  <w:vAlign w:val="center"/>
                </w:tcPr>
                <w:p w14:paraId="67CAA470">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化学式:C4H02</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无色透明液体，有甜味，浓度较高时有刺激性气味，易挥发。熔点 -83.6℃，沸点77℃，微溶于水，溶于醇、酮、醚、氯仿等多数有机溶剂，密度0.902g/mL</w:t>
                  </w:r>
                </w:p>
              </w:tc>
              <w:tc>
                <w:tcPr>
                  <w:tcW w:w="1382" w:type="pct"/>
                  <w:noWrap w:val="0"/>
                  <w:vAlign w:val="center"/>
                </w:tcPr>
                <w:p w14:paraId="52D86E4B">
                  <w:pPr>
                    <w:adjustRightInd w:val="0"/>
                    <w:snapToGrid w:val="0"/>
                    <w:jc w:val="both"/>
                    <w:rPr>
                      <w:rFonts w:hint="eastAsia" w:ascii="Times New Roman" w:hAnsi="Times New Roman" w:eastAsia="宋体" w:cs="Times New Roman"/>
                      <w:b w:val="0"/>
                      <w:bCs w:val="0"/>
                      <w:color w:val="auto"/>
                      <w:sz w:val="21"/>
                      <w:szCs w:val="21"/>
                      <w:u w:val="none" w:color="auto"/>
                      <w:vertAlign w:val="baseline"/>
                      <w:lang w:eastAsia="zh-CN"/>
                    </w:rPr>
                  </w:pPr>
                  <w:r>
                    <w:rPr>
                      <w:rFonts w:hint="eastAsia" w:ascii="Times New Roman" w:hAnsi="Times New Roman" w:eastAsia="宋体" w:cs="Times New Roman"/>
                      <w:b w:val="0"/>
                      <w:bCs w:val="0"/>
                      <w:color w:val="auto"/>
                      <w:sz w:val="21"/>
                      <w:szCs w:val="21"/>
                      <w:u w:val="none" w:color="auto"/>
                      <w:vertAlign w:val="baseline"/>
                      <w:lang w:eastAsia="zh-CN"/>
                    </w:rPr>
                    <w:t>易燃，蒸汽与空气可形成爆炸性混合物</w:t>
                  </w:r>
                </w:p>
              </w:tc>
              <w:tc>
                <w:tcPr>
                  <w:tcW w:w="786" w:type="pct"/>
                  <w:noWrap w:val="0"/>
                  <w:vAlign w:val="center"/>
                </w:tcPr>
                <w:p w14:paraId="017A60F4">
                  <w:pPr>
                    <w:adjustRightInd w:val="0"/>
                    <w:snapToGrid w:val="0"/>
                    <w:jc w:val="center"/>
                    <w:rPr>
                      <w:rFonts w:hint="default" w:ascii="Times New Roman" w:hAnsi="Times New Roman" w:eastAsia="宋体" w:cs="Times New Roman"/>
                      <w:b w:val="0"/>
                      <w:bCs w:val="0"/>
                      <w:color w:val="auto"/>
                      <w:sz w:val="21"/>
                      <w:szCs w:val="21"/>
                      <w:u w:val="none" w:color="auto"/>
                      <w:vertAlign w:val="baseline"/>
                    </w:rPr>
                  </w:pPr>
                  <w:r>
                    <w:rPr>
                      <w:rFonts w:hint="eastAsia" w:ascii="Times New Roman" w:hAnsi="Times New Roman" w:eastAsia="宋体" w:cs="Times New Roman"/>
                      <w:b w:val="0"/>
                      <w:bCs w:val="0"/>
                      <w:color w:val="auto"/>
                      <w:sz w:val="21"/>
                      <w:szCs w:val="21"/>
                      <w:u w:val="none" w:color="auto"/>
                      <w:vertAlign w:val="baseline"/>
                      <w:lang w:val="en-US" w:eastAsia="zh-CN"/>
                    </w:rPr>
                    <w:t>LD50</w:t>
                  </w:r>
                  <w:r>
                    <w:rPr>
                      <w:rFonts w:hint="eastAsia" w:cs="Times New Roman"/>
                      <w:b w:val="0"/>
                      <w:bCs w:val="0"/>
                      <w:color w:val="auto"/>
                      <w:sz w:val="21"/>
                      <w:szCs w:val="21"/>
                      <w:u w:val="none" w:color="auto"/>
                      <w:vertAlign w:val="baseline"/>
                      <w:lang w:val="en-US" w:eastAsia="zh-CN"/>
                    </w:rPr>
                    <w:t>：5620</w:t>
                  </w:r>
                  <w:r>
                    <w:rPr>
                      <w:rFonts w:hint="eastAsia" w:ascii="Times New Roman" w:hAnsi="Times New Roman" w:eastAsia="宋体" w:cs="Times New Roman"/>
                      <w:b w:val="0"/>
                      <w:bCs w:val="0"/>
                      <w:color w:val="auto"/>
                      <w:sz w:val="21"/>
                      <w:szCs w:val="21"/>
                      <w:u w:val="none" w:color="auto"/>
                      <w:vertAlign w:val="baseline"/>
                      <w:lang w:val="en-US" w:eastAsia="zh-CN"/>
                    </w:rPr>
                    <w:t>mg/kg（</w:t>
                  </w:r>
                  <w:r>
                    <w:rPr>
                      <w:rFonts w:hint="eastAsia" w:cs="Times New Roman"/>
                      <w:b w:val="0"/>
                      <w:bCs w:val="0"/>
                      <w:color w:val="auto"/>
                      <w:sz w:val="21"/>
                      <w:szCs w:val="21"/>
                      <w:u w:val="none" w:color="auto"/>
                      <w:vertAlign w:val="baseline"/>
                      <w:lang w:val="en-US" w:eastAsia="zh-CN"/>
                    </w:rPr>
                    <w:t>大鼠</w:t>
                  </w:r>
                  <w:r>
                    <w:rPr>
                      <w:rFonts w:hint="eastAsia" w:ascii="Times New Roman" w:hAnsi="Times New Roman" w:eastAsia="宋体" w:cs="Times New Roman"/>
                      <w:b w:val="0"/>
                      <w:bCs w:val="0"/>
                      <w:color w:val="auto"/>
                      <w:sz w:val="21"/>
                      <w:szCs w:val="21"/>
                      <w:u w:val="none" w:color="auto"/>
                      <w:vertAlign w:val="baseline"/>
                      <w:lang w:val="en-US" w:eastAsia="zh-CN"/>
                    </w:rPr>
                    <w:t>经口）</w:t>
                  </w:r>
                </w:p>
              </w:tc>
            </w:tr>
            <w:tr w14:paraId="557A6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7CB81143">
                  <w:pPr>
                    <w:adjustRightInd w:val="0"/>
                    <w:snapToGrid w:val="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1</w:t>
                  </w:r>
                  <w:r>
                    <w:rPr>
                      <w:rFonts w:hint="eastAsia" w:cs="Times New Roman"/>
                      <w:b w:val="0"/>
                      <w:bCs w:val="0"/>
                      <w:color w:val="auto"/>
                      <w:sz w:val="21"/>
                      <w:szCs w:val="21"/>
                      <w:u w:val="none" w:color="auto"/>
                      <w:vertAlign w:val="baseline"/>
                      <w:lang w:val="en-US" w:eastAsia="zh-CN"/>
                    </w:rPr>
                    <w:t>2</w:t>
                  </w:r>
                </w:p>
              </w:tc>
              <w:tc>
                <w:tcPr>
                  <w:tcW w:w="576" w:type="pct"/>
                  <w:noWrap w:val="0"/>
                  <w:vAlign w:val="center"/>
                </w:tcPr>
                <w:p w14:paraId="17D9E4C3">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eastAsia="zh-CN"/>
                    </w:rPr>
                    <w:t>硫酸钾</w:t>
                  </w:r>
                </w:p>
              </w:tc>
              <w:tc>
                <w:tcPr>
                  <w:tcW w:w="1938" w:type="pct"/>
                  <w:noWrap w:val="0"/>
                  <w:vAlign w:val="center"/>
                </w:tcPr>
                <w:p w14:paraId="4C488A32">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K</w:t>
                  </w:r>
                  <w:r>
                    <w:rPr>
                      <w:rFonts w:hint="default" w:ascii="Times New Roman" w:hAnsi="Times New Roman" w:eastAsia="宋体" w:cs="Times New Roman"/>
                      <w:b w:val="0"/>
                      <w:bCs w:val="0"/>
                      <w:color w:val="auto"/>
                      <w:sz w:val="21"/>
                      <w:szCs w:val="21"/>
                      <w:u w:val="none" w:color="auto"/>
                      <w:vertAlign w:val="subscript"/>
                    </w:rPr>
                    <w:t>2</w:t>
                  </w:r>
                  <w:r>
                    <w:rPr>
                      <w:rFonts w:hint="default" w:ascii="Times New Roman" w:hAnsi="Times New Roman" w:eastAsia="宋体" w:cs="Times New Roman"/>
                      <w:b w:val="0"/>
                      <w:bCs w:val="0"/>
                      <w:color w:val="auto"/>
                      <w:sz w:val="21"/>
                      <w:szCs w:val="21"/>
                      <w:u w:val="none" w:color="auto"/>
                      <w:vertAlign w:val="baseline"/>
                    </w:rPr>
                    <w:t>SO</w:t>
                  </w:r>
                  <w:r>
                    <w:rPr>
                      <w:rFonts w:hint="default" w:ascii="Times New Roman" w:hAnsi="Times New Roman" w:eastAsia="宋体" w:cs="Times New Roman"/>
                      <w:b w:val="0"/>
                      <w:bCs w:val="0"/>
                      <w:color w:val="auto"/>
                      <w:sz w:val="21"/>
                      <w:szCs w:val="21"/>
                      <w:u w:val="none" w:color="auto"/>
                      <w:vertAlign w:val="subscript"/>
                    </w:rPr>
                    <w:t>4</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无色或白色晶体或粉末，味苦而咸。熔点1069℃</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沸点1689℃，溶于水，不溶于乙醇、丙酮和二硫化碳，密度2.66g/m³。</w:t>
                  </w:r>
                </w:p>
              </w:tc>
              <w:tc>
                <w:tcPr>
                  <w:tcW w:w="1382" w:type="pct"/>
                  <w:noWrap w:val="0"/>
                  <w:vAlign w:val="center"/>
                </w:tcPr>
                <w:p w14:paraId="0AE25697">
                  <w:pPr>
                    <w:adjustRightInd w:val="0"/>
                    <w:snapToGrid w:val="0"/>
                    <w:jc w:val="center"/>
                    <w:rPr>
                      <w:rFonts w:hint="eastAsia" w:ascii="Times New Roman" w:hAnsi="Times New Roman" w:eastAsia="宋体" w:cs="Times New Roman"/>
                      <w:b w:val="0"/>
                      <w:bCs w:val="0"/>
                      <w:color w:val="auto"/>
                      <w:sz w:val="21"/>
                      <w:szCs w:val="21"/>
                      <w:u w:val="none" w:color="auto"/>
                      <w:vertAlign w:val="baseline"/>
                      <w:lang w:eastAsia="zh-CN"/>
                    </w:rPr>
                  </w:pPr>
                  <w:r>
                    <w:rPr>
                      <w:rFonts w:hint="eastAsia" w:ascii="Times New Roman" w:hAnsi="Times New Roman" w:eastAsia="宋体" w:cs="Times New Roman"/>
                      <w:b w:val="0"/>
                      <w:bCs w:val="0"/>
                      <w:color w:val="auto"/>
                      <w:sz w:val="21"/>
                      <w:szCs w:val="21"/>
                      <w:u w:val="none" w:color="auto"/>
                      <w:vertAlign w:val="baseline"/>
                      <w:lang w:eastAsia="zh-CN"/>
                    </w:rPr>
                    <w:t>无资料</w:t>
                  </w:r>
                </w:p>
              </w:tc>
              <w:tc>
                <w:tcPr>
                  <w:tcW w:w="786" w:type="pct"/>
                  <w:noWrap w:val="0"/>
                  <w:vAlign w:val="center"/>
                </w:tcPr>
                <w:p w14:paraId="08A758AB">
                  <w:pPr>
                    <w:adjustRightInd w:val="0"/>
                    <w:snapToGrid w:val="0"/>
                    <w:jc w:val="center"/>
                    <w:rPr>
                      <w:rFonts w:hint="eastAsia" w:ascii="Times New Roman" w:hAnsi="Times New Roman" w:eastAsia="宋体" w:cs="Times New Roman"/>
                      <w:b w:val="0"/>
                      <w:bCs w:val="0"/>
                      <w:color w:val="auto"/>
                      <w:sz w:val="21"/>
                      <w:szCs w:val="21"/>
                      <w:u w:val="none" w:color="auto"/>
                      <w:vertAlign w:val="baseline"/>
                      <w:lang w:eastAsia="zh-CN"/>
                    </w:rPr>
                  </w:pPr>
                  <w:r>
                    <w:rPr>
                      <w:rFonts w:hint="eastAsia" w:ascii="Times New Roman" w:hAnsi="Times New Roman" w:eastAsia="宋体" w:cs="Times New Roman"/>
                      <w:b w:val="0"/>
                      <w:bCs w:val="0"/>
                      <w:color w:val="auto"/>
                      <w:sz w:val="21"/>
                      <w:szCs w:val="21"/>
                      <w:u w:val="none" w:color="auto"/>
                      <w:vertAlign w:val="baseline"/>
                      <w:lang w:eastAsia="zh-CN"/>
                    </w:rPr>
                    <w:t>无资料</w:t>
                  </w:r>
                </w:p>
              </w:tc>
            </w:tr>
            <w:tr w14:paraId="0F819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74B6B96E">
                  <w:pPr>
                    <w:adjustRightInd w:val="0"/>
                    <w:snapToGrid w:val="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1</w:t>
                  </w:r>
                  <w:r>
                    <w:rPr>
                      <w:rFonts w:hint="eastAsia" w:cs="Times New Roman"/>
                      <w:b w:val="0"/>
                      <w:bCs w:val="0"/>
                      <w:color w:val="auto"/>
                      <w:sz w:val="21"/>
                      <w:szCs w:val="21"/>
                      <w:u w:val="none" w:color="auto"/>
                      <w:vertAlign w:val="baseline"/>
                      <w:lang w:val="en-US" w:eastAsia="zh-CN"/>
                    </w:rPr>
                    <w:t>3</w:t>
                  </w:r>
                </w:p>
              </w:tc>
              <w:tc>
                <w:tcPr>
                  <w:tcW w:w="576" w:type="pct"/>
                  <w:noWrap w:val="0"/>
                  <w:vAlign w:val="center"/>
                </w:tcPr>
                <w:p w14:paraId="10136C2C">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eastAsia="zh-CN"/>
                    </w:rPr>
                    <w:t>高锰酸钾滴定溶液</w:t>
                  </w:r>
                </w:p>
              </w:tc>
              <w:tc>
                <w:tcPr>
                  <w:tcW w:w="1938" w:type="pct"/>
                  <w:noWrap w:val="0"/>
                  <w:vAlign w:val="center"/>
                </w:tcPr>
                <w:p w14:paraId="0D09E3F5">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化学式:KMnO</w:t>
                  </w:r>
                  <w:r>
                    <w:rPr>
                      <w:rFonts w:hint="default" w:ascii="Times New Roman" w:hAnsi="Times New Roman" w:eastAsia="宋体" w:cs="Times New Roman"/>
                      <w:b w:val="0"/>
                      <w:bCs w:val="0"/>
                      <w:color w:val="auto"/>
                      <w:sz w:val="21"/>
                      <w:szCs w:val="21"/>
                      <w:u w:val="none" w:color="auto"/>
                      <w:vertAlign w:val="subscript"/>
                    </w:rPr>
                    <w:t>4</w:t>
                  </w:r>
                  <w:r>
                    <w:rPr>
                      <w:rFonts w:hint="default" w:ascii="Times New Roman" w:hAnsi="Times New Roman" w:eastAsia="宋体" w:cs="Times New Roman"/>
                      <w:b w:val="0"/>
                      <w:bCs w:val="0"/>
                      <w:color w:val="auto"/>
                      <w:sz w:val="21"/>
                      <w:szCs w:val="21"/>
                      <w:u w:val="none" w:color="auto"/>
                      <w:vertAlign w:val="baseline"/>
                    </w:rPr>
                    <w:t>，深紫色细长斜方柱状</w:t>
                  </w:r>
                  <w:r>
                    <w:rPr>
                      <w:rFonts w:hint="eastAsia" w:cs="Times New Roman"/>
                      <w:b w:val="0"/>
                      <w:bCs w:val="0"/>
                      <w:color w:val="auto"/>
                      <w:sz w:val="21"/>
                      <w:szCs w:val="21"/>
                      <w:u w:val="none" w:color="auto"/>
                      <w:vertAlign w:val="baseline"/>
                      <w:lang w:eastAsia="zh-CN"/>
                    </w:rPr>
                    <w:t>结晶</w:t>
                  </w:r>
                  <w:r>
                    <w:rPr>
                      <w:rFonts w:hint="default" w:ascii="Times New Roman" w:hAnsi="Times New Roman" w:eastAsia="宋体" w:cs="Times New Roman"/>
                      <w:b w:val="0"/>
                      <w:bCs w:val="0"/>
                      <w:color w:val="auto"/>
                      <w:sz w:val="21"/>
                      <w:szCs w:val="21"/>
                      <w:u w:val="none" w:color="auto"/>
                      <w:vertAlign w:val="baseline"/>
                    </w:rPr>
                    <w:t>，有金属光泽。溶于水、碱液，微溶于甲醇、丙酮、硫酸，密度2.7g/m³。</w:t>
                  </w:r>
                </w:p>
              </w:tc>
              <w:tc>
                <w:tcPr>
                  <w:tcW w:w="1382" w:type="pct"/>
                  <w:noWrap w:val="0"/>
                  <w:vAlign w:val="center"/>
                </w:tcPr>
                <w:p w14:paraId="08ECDFC0">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强氧化剂，遇硫酸、铵盐或过氧化氢能发生爆炸。遇甘油、乙醇能引起自燃。与有机物、还原剂、易燃物如硫、磷等接触或混合时有引起燃烧爆炸的危险。</w:t>
                  </w:r>
                </w:p>
              </w:tc>
              <w:tc>
                <w:tcPr>
                  <w:tcW w:w="786" w:type="pct"/>
                  <w:noWrap w:val="0"/>
                  <w:vAlign w:val="center"/>
                </w:tcPr>
                <w:p w14:paraId="5EE8AB7A">
                  <w:pPr>
                    <w:adjustRightInd w:val="0"/>
                    <w:snapToGrid w:val="0"/>
                    <w:jc w:val="center"/>
                    <w:rPr>
                      <w:rFonts w:hint="default" w:ascii="Times New Roman" w:hAnsi="Times New Roman" w:eastAsia="宋体" w:cs="Times New Roman"/>
                      <w:b w:val="0"/>
                      <w:bCs w:val="0"/>
                      <w:color w:val="auto"/>
                      <w:sz w:val="21"/>
                      <w:szCs w:val="21"/>
                      <w:u w:val="none" w:color="auto"/>
                      <w:vertAlign w:val="baseline"/>
                    </w:rPr>
                  </w:pPr>
                  <w:r>
                    <w:rPr>
                      <w:rFonts w:hint="eastAsia" w:ascii="Times New Roman" w:hAnsi="Times New Roman" w:eastAsia="宋体" w:cs="Times New Roman"/>
                      <w:b w:val="0"/>
                      <w:bCs w:val="0"/>
                      <w:color w:val="auto"/>
                      <w:sz w:val="21"/>
                      <w:szCs w:val="21"/>
                      <w:u w:val="none" w:color="auto"/>
                      <w:vertAlign w:val="baseline"/>
                      <w:lang w:val="en-US" w:eastAsia="zh-CN"/>
                    </w:rPr>
                    <w:t>LD50</w:t>
                  </w:r>
                  <w:r>
                    <w:rPr>
                      <w:rFonts w:hint="eastAsia" w:cs="Times New Roman"/>
                      <w:b w:val="0"/>
                      <w:bCs w:val="0"/>
                      <w:color w:val="auto"/>
                      <w:sz w:val="21"/>
                      <w:szCs w:val="21"/>
                      <w:u w:val="none" w:color="auto"/>
                      <w:vertAlign w:val="baseline"/>
                      <w:lang w:val="en-US" w:eastAsia="zh-CN"/>
                    </w:rPr>
                    <w:t>：1090</w:t>
                  </w:r>
                  <w:r>
                    <w:rPr>
                      <w:rFonts w:hint="eastAsia" w:ascii="Times New Roman" w:hAnsi="Times New Roman" w:eastAsia="宋体" w:cs="Times New Roman"/>
                      <w:b w:val="0"/>
                      <w:bCs w:val="0"/>
                      <w:color w:val="auto"/>
                      <w:sz w:val="21"/>
                      <w:szCs w:val="21"/>
                      <w:u w:val="none" w:color="auto"/>
                      <w:vertAlign w:val="baseline"/>
                      <w:lang w:val="en-US" w:eastAsia="zh-CN"/>
                    </w:rPr>
                    <w:t>mg/kg（</w:t>
                  </w:r>
                  <w:r>
                    <w:rPr>
                      <w:rFonts w:hint="eastAsia" w:cs="Times New Roman"/>
                      <w:b w:val="0"/>
                      <w:bCs w:val="0"/>
                      <w:color w:val="auto"/>
                      <w:sz w:val="21"/>
                      <w:szCs w:val="21"/>
                      <w:u w:val="none" w:color="auto"/>
                      <w:vertAlign w:val="baseline"/>
                      <w:lang w:val="en-US" w:eastAsia="zh-CN"/>
                    </w:rPr>
                    <w:t>大鼠</w:t>
                  </w:r>
                  <w:r>
                    <w:rPr>
                      <w:rFonts w:hint="eastAsia" w:ascii="Times New Roman" w:hAnsi="Times New Roman" w:eastAsia="宋体" w:cs="Times New Roman"/>
                      <w:b w:val="0"/>
                      <w:bCs w:val="0"/>
                      <w:color w:val="auto"/>
                      <w:sz w:val="21"/>
                      <w:szCs w:val="21"/>
                      <w:u w:val="none" w:color="auto"/>
                      <w:vertAlign w:val="baseline"/>
                      <w:lang w:val="en-US" w:eastAsia="zh-CN"/>
                    </w:rPr>
                    <w:t>经口）</w:t>
                  </w:r>
                </w:p>
              </w:tc>
            </w:tr>
            <w:tr w14:paraId="171F7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1F36719C">
                  <w:pPr>
                    <w:adjustRightInd w:val="0"/>
                    <w:snapToGrid w:val="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1</w:t>
                  </w:r>
                  <w:r>
                    <w:rPr>
                      <w:rFonts w:hint="eastAsia" w:cs="Times New Roman"/>
                      <w:b w:val="0"/>
                      <w:bCs w:val="0"/>
                      <w:color w:val="auto"/>
                      <w:sz w:val="21"/>
                      <w:szCs w:val="21"/>
                      <w:u w:val="none" w:color="auto"/>
                      <w:vertAlign w:val="baseline"/>
                      <w:lang w:val="en-US" w:eastAsia="zh-CN"/>
                    </w:rPr>
                    <w:t>4</w:t>
                  </w:r>
                </w:p>
              </w:tc>
              <w:tc>
                <w:tcPr>
                  <w:tcW w:w="576" w:type="pct"/>
                  <w:noWrap w:val="0"/>
                  <w:vAlign w:val="center"/>
                </w:tcPr>
                <w:p w14:paraId="7950FB18">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val="en-US" w:eastAsia="zh-CN"/>
                    </w:rPr>
                    <w:t>2</w:t>
                  </w:r>
                  <w:r>
                    <w:rPr>
                      <w:rFonts w:hint="eastAsia" w:cs="Times New Roman"/>
                      <w:b w:val="0"/>
                      <w:bCs w:val="0"/>
                      <w:color w:val="auto"/>
                      <w:sz w:val="21"/>
                      <w:szCs w:val="21"/>
                      <w:u w:val="none" w:color="auto"/>
                      <w:vertAlign w:val="baseline"/>
                      <w:lang w:val="en-US" w:eastAsia="zh-CN"/>
                    </w:rPr>
                    <w:t>－</w:t>
                  </w:r>
                  <w:r>
                    <w:rPr>
                      <w:rFonts w:hint="default" w:ascii="Times New Roman" w:hAnsi="Times New Roman" w:eastAsia="宋体" w:cs="Times New Roman"/>
                      <w:b w:val="0"/>
                      <w:bCs w:val="0"/>
                      <w:color w:val="auto"/>
                      <w:sz w:val="21"/>
                      <w:szCs w:val="21"/>
                      <w:u w:val="none" w:color="auto"/>
                      <w:vertAlign w:val="baseline"/>
                      <w:lang w:val="en-US" w:eastAsia="zh-CN"/>
                    </w:rPr>
                    <w:t>乙基-1.3-乙二醇</w:t>
                  </w:r>
                </w:p>
              </w:tc>
              <w:tc>
                <w:tcPr>
                  <w:tcW w:w="1938" w:type="pct"/>
                  <w:noWrap w:val="0"/>
                  <w:vAlign w:val="center"/>
                </w:tcPr>
                <w:p w14:paraId="50BE2330">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C</w:t>
                  </w:r>
                  <w:r>
                    <w:rPr>
                      <w:rFonts w:hint="eastAsia" w:ascii="Times New Roman" w:hAnsi="Times New Roman" w:eastAsia="宋体" w:cs="Times New Roman"/>
                      <w:b w:val="0"/>
                      <w:bCs w:val="0"/>
                      <w:color w:val="auto"/>
                      <w:sz w:val="21"/>
                      <w:szCs w:val="21"/>
                      <w:u w:val="none" w:color="auto"/>
                      <w:vertAlign w:val="subscript"/>
                      <w:lang w:val="en-US" w:eastAsia="zh-CN"/>
                    </w:rPr>
                    <w:t>8</w:t>
                  </w:r>
                  <w:r>
                    <w:rPr>
                      <w:rFonts w:hint="default" w:ascii="Times New Roman" w:hAnsi="Times New Roman" w:eastAsia="宋体" w:cs="Times New Roman"/>
                      <w:b w:val="0"/>
                      <w:bCs w:val="0"/>
                      <w:color w:val="auto"/>
                      <w:sz w:val="21"/>
                      <w:szCs w:val="21"/>
                      <w:u w:val="none" w:color="auto"/>
                      <w:vertAlign w:val="baseline"/>
                    </w:rPr>
                    <w:t>H</w:t>
                  </w:r>
                  <w:r>
                    <w:rPr>
                      <w:rFonts w:hint="default" w:ascii="Times New Roman" w:hAnsi="Times New Roman" w:eastAsia="宋体" w:cs="Times New Roman"/>
                      <w:b w:val="0"/>
                      <w:bCs w:val="0"/>
                      <w:color w:val="auto"/>
                      <w:sz w:val="21"/>
                      <w:szCs w:val="21"/>
                      <w:u w:val="none" w:color="auto"/>
                      <w:vertAlign w:val="subscript"/>
                    </w:rPr>
                    <w:t>18</w:t>
                  </w:r>
                  <w:r>
                    <w:rPr>
                      <w:rFonts w:hint="default" w:ascii="Times New Roman" w:hAnsi="Times New Roman" w:eastAsia="宋体" w:cs="Times New Roman"/>
                      <w:b w:val="0"/>
                      <w:bCs w:val="0"/>
                      <w:color w:val="auto"/>
                      <w:sz w:val="21"/>
                      <w:szCs w:val="21"/>
                      <w:u w:val="none" w:color="auto"/>
                      <w:vertAlign w:val="baseline"/>
                    </w:rPr>
                    <w:t>O</w:t>
                  </w:r>
                  <w:r>
                    <w:rPr>
                      <w:rFonts w:hint="default" w:ascii="Times New Roman" w:hAnsi="Times New Roman" w:eastAsia="宋体" w:cs="Times New Roman"/>
                      <w:b w:val="0"/>
                      <w:bCs w:val="0"/>
                      <w:color w:val="auto"/>
                      <w:sz w:val="21"/>
                      <w:szCs w:val="21"/>
                      <w:u w:val="none" w:color="auto"/>
                      <w:vertAlign w:val="subscript"/>
                    </w:rPr>
                    <w:t>2</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无色无臭略有</w:t>
                  </w:r>
                  <w:r>
                    <w:rPr>
                      <w:rFonts w:hint="eastAsia" w:cs="Times New Roman"/>
                      <w:b w:val="0"/>
                      <w:bCs w:val="0"/>
                      <w:color w:val="auto"/>
                      <w:sz w:val="21"/>
                      <w:szCs w:val="21"/>
                      <w:u w:val="none" w:color="auto"/>
                      <w:vertAlign w:val="baseline"/>
                      <w:lang w:eastAsia="zh-CN"/>
                    </w:rPr>
                    <w:t>黏性的</w:t>
                  </w:r>
                  <w:r>
                    <w:rPr>
                      <w:rFonts w:hint="default" w:ascii="Times New Roman" w:hAnsi="Times New Roman" w:eastAsia="宋体" w:cs="Times New Roman"/>
                      <w:b w:val="0"/>
                      <w:bCs w:val="0"/>
                      <w:color w:val="auto"/>
                      <w:sz w:val="21"/>
                      <w:szCs w:val="21"/>
                      <w:u w:val="none" w:color="auto"/>
                      <w:vertAlign w:val="baseline"/>
                    </w:rPr>
                    <w:t>液体，相对密度为0.9405g/mL 熔点-40℃、沸点为243.2℃，微溶于水，溶于乙醇、乙醚</w:t>
                  </w:r>
                </w:p>
              </w:tc>
              <w:tc>
                <w:tcPr>
                  <w:tcW w:w="1382" w:type="pct"/>
                  <w:noWrap w:val="0"/>
                  <w:vAlign w:val="center"/>
                </w:tcPr>
                <w:p w14:paraId="78BDC2D3">
                  <w:pPr>
                    <w:adjustRightInd w:val="0"/>
                    <w:snapToGrid w:val="0"/>
                    <w:jc w:val="both"/>
                    <w:rPr>
                      <w:rFonts w:hint="eastAsia" w:ascii="Times New Roman" w:hAnsi="Times New Roman" w:eastAsia="宋体" w:cs="Times New Roman"/>
                      <w:b w:val="0"/>
                      <w:bCs w:val="0"/>
                      <w:color w:val="auto"/>
                      <w:sz w:val="21"/>
                      <w:szCs w:val="21"/>
                      <w:u w:val="none" w:color="auto"/>
                      <w:vertAlign w:val="baseline"/>
                      <w:lang w:eastAsia="zh-CN"/>
                    </w:rPr>
                  </w:pPr>
                  <w:r>
                    <w:rPr>
                      <w:rFonts w:hint="eastAsia" w:ascii="Times New Roman" w:hAnsi="Times New Roman" w:eastAsia="宋体" w:cs="Times New Roman"/>
                      <w:b w:val="0"/>
                      <w:bCs w:val="0"/>
                      <w:color w:val="auto"/>
                      <w:sz w:val="21"/>
                      <w:szCs w:val="21"/>
                      <w:u w:val="none" w:color="auto"/>
                      <w:vertAlign w:val="baseline"/>
                      <w:lang w:eastAsia="zh-CN"/>
                    </w:rPr>
                    <w:t>可燃性液体</w:t>
                  </w:r>
                </w:p>
              </w:tc>
              <w:tc>
                <w:tcPr>
                  <w:tcW w:w="786" w:type="pct"/>
                  <w:noWrap w:val="0"/>
                  <w:vAlign w:val="center"/>
                </w:tcPr>
                <w:p w14:paraId="22E4FAF0">
                  <w:pPr>
                    <w:adjustRightInd w:val="0"/>
                    <w:snapToGrid w:val="0"/>
                    <w:jc w:val="center"/>
                    <w:rPr>
                      <w:rFonts w:hint="default" w:ascii="Times New Roman" w:hAnsi="Times New Roman" w:eastAsia="宋体" w:cs="Times New Roman"/>
                      <w:b w:val="0"/>
                      <w:bCs w:val="0"/>
                      <w:color w:val="auto"/>
                      <w:sz w:val="21"/>
                      <w:szCs w:val="21"/>
                      <w:u w:val="none" w:color="auto"/>
                      <w:vertAlign w:val="baseline"/>
                    </w:rPr>
                  </w:pPr>
                  <w:r>
                    <w:rPr>
                      <w:rFonts w:hint="eastAsia" w:ascii="Times New Roman" w:hAnsi="Times New Roman" w:eastAsia="宋体" w:cs="Times New Roman"/>
                      <w:b w:val="0"/>
                      <w:bCs w:val="0"/>
                      <w:color w:val="auto"/>
                      <w:sz w:val="21"/>
                      <w:szCs w:val="21"/>
                      <w:u w:val="none" w:color="auto"/>
                      <w:vertAlign w:val="baseline"/>
                      <w:lang w:val="en-US" w:eastAsia="zh-CN"/>
                    </w:rPr>
                    <w:t>LD50</w:t>
                  </w:r>
                  <w:r>
                    <w:rPr>
                      <w:rFonts w:hint="eastAsia" w:cs="Times New Roman"/>
                      <w:b w:val="0"/>
                      <w:bCs w:val="0"/>
                      <w:color w:val="auto"/>
                      <w:sz w:val="21"/>
                      <w:szCs w:val="21"/>
                      <w:u w:val="none" w:color="auto"/>
                      <w:vertAlign w:val="baseline"/>
                      <w:lang w:val="en-US" w:eastAsia="zh-CN"/>
                    </w:rPr>
                    <w:t>：1400</w:t>
                  </w:r>
                  <w:r>
                    <w:rPr>
                      <w:rFonts w:hint="eastAsia" w:ascii="Times New Roman" w:hAnsi="Times New Roman" w:eastAsia="宋体" w:cs="Times New Roman"/>
                      <w:b w:val="0"/>
                      <w:bCs w:val="0"/>
                      <w:color w:val="auto"/>
                      <w:sz w:val="21"/>
                      <w:szCs w:val="21"/>
                      <w:u w:val="none" w:color="auto"/>
                      <w:vertAlign w:val="baseline"/>
                      <w:lang w:val="en-US" w:eastAsia="zh-CN"/>
                    </w:rPr>
                    <w:t>mg/kg（</w:t>
                  </w:r>
                  <w:r>
                    <w:rPr>
                      <w:rFonts w:hint="eastAsia" w:cs="Times New Roman"/>
                      <w:b w:val="0"/>
                      <w:bCs w:val="0"/>
                      <w:color w:val="auto"/>
                      <w:sz w:val="21"/>
                      <w:szCs w:val="21"/>
                      <w:u w:val="none" w:color="auto"/>
                      <w:vertAlign w:val="baseline"/>
                      <w:lang w:val="en-US" w:eastAsia="zh-CN"/>
                    </w:rPr>
                    <w:t>大鼠</w:t>
                  </w:r>
                  <w:r>
                    <w:rPr>
                      <w:rFonts w:hint="eastAsia" w:ascii="Times New Roman" w:hAnsi="Times New Roman" w:eastAsia="宋体" w:cs="Times New Roman"/>
                      <w:b w:val="0"/>
                      <w:bCs w:val="0"/>
                      <w:color w:val="auto"/>
                      <w:sz w:val="21"/>
                      <w:szCs w:val="21"/>
                      <w:u w:val="none" w:color="auto"/>
                      <w:vertAlign w:val="baseline"/>
                      <w:lang w:val="en-US" w:eastAsia="zh-CN"/>
                    </w:rPr>
                    <w:t>经口）</w:t>
                  </w:r>
                </w:p>
              </w:tc>
            </w:tr>
            <w:tr w14:paraId="4C162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1838847C">
                  <w:pPr>
                    <w:adjustRightInd w:val="0"/>
                    <w:snapToGrid w:val="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1</w:t>
                  </w:r>
                  <w:r>
                    <w:rPr>
                      <w:rFonts w:hint="eastAsia" w:cs="Times New Roman"/>
                      <w:b w:val="0"/>
                      <w:bCs w:val="0"/>
                      <w:color w:val="auto"/>
                      <w:sz w:val="21"/>
                      <w:szCs w:val="21"/>
                      <w:u w:val="none" w:color="auto"/>
                      <w:vertAlign w:val="baseline"/>
                      <w:lang w:val="en-US" w:eastAsia="zh-CN"/>
                    </w:rPr>
                    <w:t>5</w:t>
                  </w:r>
                </w:p>
              </w:tc>
              <w:tc>
                <w:tcPr>
                  <w:tcW w:w="576" w:type="pct"/>
                  <w:noWrap w:val="0"/>
                  <w:vAlign w:val="center"/>
                </w:tcPr>
                <w:p w14:paraId="3BEAAC44">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val="en-US" w:eastAsia="zh-CN"/>
                    </w:rPr>
                    <w:t>丙酮</w:t>
                  </w:r>
                </w:p>
              </w:tc>
              <w:tc>
                <w:tcPr>
                  <w:tcW w:w="1938" w:type="pct"/>
                  <w:noWrap w:val="0"/>
                  <w:vAlign w:val="center"/>
                </w:tcPr>
                <w:p w14:paraId="2F009EF0">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C</w:t>
                  </w:r>
                  <w:r>
                    <w:rPr>
                      <w:rFonts w:hint="default" w:ascii="Times New Roman" w:hAnsi="Times New Roman" w:eastAsia="宋体" w:cs="Times New Roman"/>
                      <w:b w:val="0"/>
                      <w:bCs w:val="0"/>
                      <w:color w:val="auto"/>
                      <w:sz w:val="21"/>
                      <w:szCs w:val="21"/>
                      <w:u w:val="none" w:color="auto"/>
                      <w:vertAlign w:val="subscript"/>
                    </w:rPr>
                    <w:t>3</w:t>
                  </w:r>
                  <w:r>
                    <w:rPr>
                      <w:rFonts w:hint="default" w:ascii="Times New Roman" w:hAnsi="Times New Roman" w:eastAsia="宋体" w:cs="Times New Roman"/>
                      <w:b w:val="0"/>
                      <w:bCs w:val="0"/>
                      <w:color w:val="auto"/>
                      <w:sz w:val="21"/>
                      <w:szCs w:val="21"/>
                      <w:u w:val="none" w:color="auto"/>
                      <w:vertAlign w:val="baseline"/>
                    </w:rPr>
                    <w:t>H</w:t>
                  </w:r>
                  <w:r>
                    <w:rPr>
                      <w:rFonts w:hint="eastAsia" w:ascii="Times New Roman" w:hAnsi="Times New Roman" w:eastAsia="宋体" w:cs="Times New Roman"/>
                      <w:b w:val="0"/>
                      <w:bCs w:val="0"/>
                      <w:color w:val="auto"/>
                      <w:sz w:val="21"/>
                      <w:szCs w:val="21"/>
                      <w:u w:val="none" w:color="auto"/>
                      <w:vertAlign w:val="subscript"/>
                      <w:lang w:val="en-US" w:eastAsia="zh-CN"/>
                    </w:rPr>
                    <w:t>6</w:t>
                  </w:r>
                  <w:r>
                    <w:rPr>
                      <w:rFonts w:hint="default" w:ascii="Times New Roman" w:hAnsi="Times New Roman" w:eastAsia="宋体" w:cs="Times New Roman"/>
                      <w:b w:val="0"/>
                      <w:bCs w:val="0"/>
                      <w:color w:val="auto"/>
                      <w:sz w:val="21"/>
                      <w:szCs w:val="21"/>
                      <w:u w:val="none" w:color="auto"/>
                      <w:vertAlign w:val="baseline"/>
                    </w:rPr>
                    <w:t>O</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无色透明液体，有特殊的辛辣气味</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易挥发，沸点56.53℃，熔点-94.9℃</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相对密度0.79g/mL;易溶于水和甲醇、乙醇、乙醚、氯仿、吡啶等有机溶剂</w:t>
                  </w:r>
                </w:p>
              </w:tc>
              <w:tc>
                <w:tcPr>
                  <w:tcW w:w="1382" w:type="pct"/>
                  <w:noWrap w:val="0"/>
                  <w:vAlign w:val="center"/>
                </w:tcPr>
                <w:p w14:paraId="47D73240">
                  <w:pPr>
                    <w:adjustRightInd w:val="0"/>
                    <w:snapToGrid w:val="0"/>
                    <w:jc w:val="both"/>
                    <w:rPr>
                      <w:rFonts w:hint="eastAsia" w:ascii="Times New Roman" w:hAnsi="Times New Roman" w:eastAsia="宋体" w:cs="Times New Roman"/>
                      <w:b w:val="0"/>
                      <w:bCs w:val="0"/>
                      <w:color w:val="auto"/>
                      <w:sz w:val="21"/>
                      <w:szCs w:val="21"/>
                      <w:u w:val="none" w:color="auto"/>
                      <w:vertAlign w:val="baseline"/>
                      <w:lang w:eastAsia="zh-CN"/>
                    </w:rPr>
                  </w:pPr>
                  <w:r>
                    <w:rPr>
                      <w:rFonts w:hint="eastAsia" w:ascii="Times New Roman" w:hAnsi="Times New Roman" w:eastAsia="宋体" w:cs="Times New Roman"/>
                      <w:b w:val="0"/>
                      <w:bCs w:val="0"/>
                      <w:color w:val="auto"/>
                      <w:sz w:val="21"/>
                      <w:szCs w:val="21"/>
                      <w:u w:val="none" w:color="auto"/>
                      <w:vertAlign w:val="baseline"/>
                      <w:lang w:eastAsia="zh-CN"/>
                    </w:rPr>
                    <w:t>易燃，其蒸气与空气可形成爆炸性混合物，遇明火、高热极易燃烧爆炸。</w:t>
                  </w:r>
                </w:p>
              </w:tc>
              <w:tc>
                <w:tcPr>
                  <w:tcW w:w="786" w:type="pct"/>
                  <w:noWrap w:val="0"/>
                  <w:vAlign w:val="center"/>
                </w:tcPr>
                <w:p w14:paraId="345E1248">
                  <w:pPr>
                    <w:adjustRightInd w:val="0"/>
                    <w:snapToGrid w:val="0"/>
                    <w:jc w:val="center"/>
                    <w:rPr>
                      <w:rFonts w:hint="default" w:ascii="Times New Roman" w:hAnsi="Times New Roman" w:eastAsia="宋体" w:cs="Times New Roman"/>
                      <w:b w:val="0"/>
                      <w:bCs w:val="0"/>
                      <w:color w:val="auto"/>
                      <w:sz w:val="21"/>
                      <w:szCs w:val="21"/>
                      <w:u w:val="none" w:color="auto"/>
                      <w:vertAlign w:val="baseline"/>
                    </w:rPr>
                  </w:pPr>
                  <w:r>
                    <w:rPr>
                      <w:rFonts w:hint="eastAsia" w:ascii="Times New Roman" w:hAnsi="Times New Roman" w:eastAsia="宋体" w:cs="Times New Roman"/>
                      <w:b w:val="0"/>
                      <w:bCs w:val="0"/>
                      <w:color w:val="auto"/>
                      <w:sz w:val="21"/>
                      <w:szCs w:val="21"/>
                      <w:u w:val="none" w:color="auto"/>
                      <w:vertAlign w:val="baseline"/>
                      <w:lang w:val="en-US" w:eastAsia="zh-CN"/>
                    </w:rPr>
                    <w:t>LD50</w:t>
                  </w:r>
                  <w:r>
                    <w:rPr>
                      <w:rFonts w:hint="eastAsia" w:cs="Times New Roman"/>
                      <w:b w:val="0"/>
                      <w:bCs w:val="0"/>
                      <w:color w:val="auto"/>
                      <w:sz w:val="21"/>
                      <w:szCs w:val="21"/>
                      <w:u w:val="none" w:color="auto"/>
                      <w:vertAlign w:val="baseline"/>
                      <w:lang w:val="en-US" w:eastAsia="zh-CN"/>
                    </w:rPr>
                    <w:t>:5800</w:t>
                  </w:r>
                  <w:r>
                    <w:rPr>
                      <w:rFonts w:hint="eastAsia" w:ascii="Times New Roman" w:hAnsi="Times New Roman" w:eastAsia="宋体" w:cs="Times New Roman"/>
                      <w:b w:val="0"/>
                      <w:bCs w:val="0"/>
                      <w:color w:val="auto"/>
                      <w:sz w:val="21"/>
                      <w:szCs w:val="21"/>
                      <w:u w:val="none" w:color="auto"/>
                      <w:vertAlign w:val="baseline"/>
                      <w:lang w:val="en-US" w:eastAsia="zh-CN"/>
                    </w:rPr>
                    <w:t>mg/kg（</w:t>
                  </w:r>
                  <w:r>
                    <w:rPr>
                      <w:rFonts w:hint="eastAsia" w:cs="Times New Roman"/>
                      <w:b w:val="0"/>
                      <w:bCs w:val="0"/>
                      <w:color w:val="auto"/>
                      <w:sz w:val="21"/>
                      <w:szCs w:val="21"/>
                      <w:u w:val="none" w:color="auto"/>
                      <w:vertAlign w:val="baseline"/>
                      <w:lang w:val="en-US" w:eastAsia="zh-CN"/>
                    </w:rPr>
                    <w:t>大鼠</w:t>
                  </w:r>
                  <w:r>
                    <w:rPr>
                      <w:rFonts w:hint="eastAsia" w:ascii="Times New Roman" w:hAnsi="Times New Roman" w:eastAsia="宋体" w:cs="Times New Roman"/>
                      <w:b w:val="0"/>
                      <w:bCs w:val="0"/>
                      <w:color w:val="auto"/>
                      <w:sz w:val="21"/>
                      <w:szCs w:val="21"/>
                      <w:u w:val="none" w:color="auto"/>
                      <w:vertAlign w:val="baseline"/>
                      <w:lang w:val="en-US" w:eastAsia="zh-CN"/>
                    </w:rPr>
                    <w:t>经口）</w:t>
                  </w:r>
                </w:p>
              </w:tc>
            </w:tr>
            <w:tr w14:paraId="30672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4FBBF501">
                  <w:pPr>
                    <w:adjustRightInd w:val="0"/>
                    <w:snapToGrid w:val="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1</w:t>
                  </w:r>
                  <w:r>
                    <w:rPr>
                      <w:rFonts w:hint="eastAsia" w:cs="Times New Roman"/>
                      <w:b w:val="0"/>
                      <w:bCs w:val="0"/>
                      <w:color w:val="auto"/>
                      <w:sz w:val="21"/>
                      <w:szCs w:val="21"/>
                      <w:u w:val="none" w:color="auto"/>
                      <w:vertAlign w:val="baseline"/>
                      <w:lang w:val="en-US" w:eastAsia="zh-CN"/>
                    </w:rPr>
                    <w:t>6</w:t>
                  </w:r>
                </w:p>
              </w:tc>
              <w:tc>
                <w:tcPr>
                  <w:tcW w:w="576" w:type="pct"/>
                  <w:noWrap w:val="0"/>
                  <w:vAlign w:val="center"/>
                </w:tcPr>
                <w:p w14:paraId="4C3D467C">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eastAsia="zh-CN"/>
                    </w:rPr>
                    <w:t>正乙烷</w:t>
                  </w:r>
                </w:p>
              </w:tc>
              <w:tc>
                <w:tcPr>
                  <w:tcW w:w="1938" w:type="pct"/>
                  <w:noWrap w:val="0"/>
                  <w:vAlign w:val="center"/>
                </w:tcPr>
                <w:p w14:paraId="0D3A78A0">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C</w:t>
                  </w:r>
                  <w:r>
                    <w:rPr>
                      <w:rFonts w:hint="default" w:ascii="Times New Roman" w:hAnsi="Times New Roman" w:eastAsia="宋体" w:cs="Times New Roman"/>
                      <w:b w:val="0"/>
                      <w:bCs w:val="0"/>
                      <w:color w:val="auto"/>
                      <w:sz w:val="21"/>
                      <w:szCs w:val="21"/>
                      <w:u w:val="none" w:color="auto"/>
                      <w:vertAlign w:val="subscript"/>
                    </w:rPr>
                    <w:t>6</w:t>
                  </w:r>
                  <w:r>
                    <w:rPr>
                      <w:rFonts w:hint="default" w:ascii="Times New Roman" w:hAnsi="Times New Roman" w:eastAsia="宋体" w:cs="Times New Roman"/>
                      <w:b w:val="0"/>
                      <w:bCs w:val="0"/>
                      <w:color w:val="auto"/>
                      <w:sz w:val="21"/>
                      <w:szCs w:val="21"/>
                      <w:u w:val="none" w:color="auto"/>
                      <w:vertAlign w:val="baseline"/>
                    </w:rPr>
                    <w:t>H</w:t>
                  </w:r>
                  <w:r>
                    <w:rPr>
                      <w:rFonts w:hint="default" w:ascii="Times New Roman" w:hAnsi="Times New Roman" w:eastAsia="宋体" w:cs="Times New Roman"/>
                      <w:b w:val="0"/>
                      <w:bCs w:val="0"/>
                      <w:color w:val="auto"/>
                      <w:sz w:val="21"/>
                      <w:szCs w:val="21"/>
                      <w:u w:val="none" w:color="auto"/>
                      <w:vertAlign w:val="subscript"/>
                    </w:rPr>
                    <w:t>14</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无色透明液体，有汽油味</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易挥发，沸点69℃，熔点-95℃</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相对密度0.66g/mL</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不溶于水，易溶于氯仿、乙醚、乙醇</w:t>
                  </w:r>
                </w:p>
              </w:tc>
              <w:tc>
                <w:tcPr>
                  <w:tcW w:w="1382" w:type="pct"/>
                  <w:noWrap w:val="0"/>
                  <w:vAlign w:val="center"/>
                </w:tcPr>
                <w:p w14:paraId="74B07B1C">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eastAsia" w:ascii="Times New Roman" w:hAnsi="Times New Roman" w:eastAsia="宋体" w:cs="Times New Roman"/>
                      <w:b w:val="0"/>
                      <w:bCs w:val="0"/>
                      <w:color w:val="auto"/>
                      <w:sz w:val="21"/>
                      <w:szCs w:val="21"/>
                      <w:u w:val="none" w:color="auto"/>
                      <w:vertAlign w:val="baseline"/>
                      <w:lang w:eastAsia="zh-CN"/>
                    </w:rPr>
                    <w:t>易燃，其蒸气与空气可形成爆炸性混合物</w:t>
                  </w:r>
                </w:p>
              </w:tc>
              <w:tc>
                <w:tcPr>
                  <w:tcW w:w="786" w:type="pct"/>
                  <w:noWrap w:val="0"/>
                  <w:vAlign w:val="center"/>
                </w:tcPr>
                <w:p w14:paraId="297A227D">
                  <w:pPr>
                    <w:adjustRightInd w:val="0"/>
                    <w:snapToGrid w:val="0"/>
                    <w:jc w:val="center"/>
                    <w:rPr>
                      <w:rFonts w:hint="default" w:ascii="Times New Roman" w:hAnsi="Times New Roman" w:eastAsia="宋体" w:cs="Times New Roman"/>
                      <w:b w:val="0"/>
                      <w:bCs w:val="0"/>
                      <w:color w:val="auto"/>
                      <w:sz w:val="21"/>
                      <w:szCs w:val="21"/>
                      <w:u w:val="none" w:color="auto"/>
                      <w:vertAlign w:val="baseline"/>
                    </w:rPr>
                  </w:pPr>
                  <w:r>
                    <w:rPr>
                      <w:rFonts w:hint="eastAsia" w:ascii="Times New Roman" w:hAnsi="Times New Roman" w:eastAsia="宋体" w:cs="Times New Roman"/>
                      <w:b w:val="0"/>
                      <w:bCs w:val="0"/>
                      <w:color w:val="auto"/>
                      <w:sz w:val="21"/>
                      <w:szCs w:val="21"/>
                      <w:u w:val="none" w:color="auto"/>
                      <w:vertAlign w:val="baseline"/>
                      <w:lang w:val="en-US" w:eastAsia="zh-CN"/>
                    </w:rPr>
                    <w:t>LD50</w:t>
                  </w:r>
                  <w:r>
                    <w:rPr>
                      <w:rFonts w:hint="eastAsia" w:cs="Times New Roman"/>
                      <w:b w:val="0"/>
                      <w:bCs w:val="0"/>
                      <w:color w:val="auto"/>
                      <w:sz w:val="21"/>
                      <w:szCs w:val="21"/>
                      <w:u w:val="none" w:color="auto"/>
                      <w:vertAlign w:val="baseline"/>
                      <w:lang w:val="en-US" w:eastAsia="zh-CN"/>
                    </w:rPr>
                    <w:t>：25</w:t>
                  </w:r>
                  <w:r>
                    <w:rPr>
                      <w:rFonts w:hint="eastAsia" w:ascii="Times New Roman" w:hAnsi="Times New Roman" w:eastAsia="宋体" w:cs="Times New Roman"/>
                      <w:b w:val="0"/>
                      <w:bCs w:val="0"/>
                      <w:color w:val="auto"/>
                      <w:sz w:val="21"/>
                      <w:szCs w:val="21"/>
                      <w:u w:val="none" w:color="auto"/>
                      <w:vertAlign w:val="baseline"/>
                      <w:lang w:val="en-US" w:eastAsia="zh-CN"/>
                    </w:rPr>
                    <w:t>g/kg（</w:t>
                  </w:r>
                  <w:r>
                    <w:rPr>
                      <w:rFonts w:hint="eastAsia" w:cs="Times New Roman"/>
                      <w:b w:val="0"/>
                      <w:bCs w:val="0"/>
                      <w:color w:val="auto"/>
                      <w:sz w:val="21"/>
                      <w:szCs w:val="21"/>
                      <w:u w:val="none" w:color="auto"/>
                      <w:vertAlign w:val="baseline"/>
                      <w:lang w:val="en-US" w:eastAsia="zh-CN"/>
                    </w:rPr>
                    <w:t>大鼠</w:t>
                  </w:r>
                  <w:r>
                    <w:rPr>
                      <w:rFonts w:hint="eastAsia" w:ascii="Times New Roman" w:hAnsi="Times New Roman" w:eastAsia="宋体" w:cs="Times New Roman"/>
                      <w:b w:val="0"/>
                      <w:bCs w:val="0"/>
                      <w:color w:val="auto"/>
                      <w:sz w:val="21"/>
                      <w:szCs w:val="21"/>
                      <w:u w:val="none" w:color="auto"/>
                      <w:vertAlign w:val="baseline"/>
                      <w:lang w:val="en-US" w:eastAsia="zh-CN"/>
                    </w:rPr>
                    <w:t>经口）</w:t>
                  </w:r>
                </w:p>
              </w:tc>
            </w:tr>
            <w:tr w14:paraId="22B04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7E267245">
                  <w:pPr>
                    <w:adjustRightInd w:val="0"/>
                    <w:snapToGrid w:val="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1</w:t>
                  </w:r>
                  <w:r>
                    <w:rPr>
                      <w:rFonts w:hint="eastAsia" w:cs="Times New Roman"/>
                      <w:b w:val="0"/>
                      <w:bCs w:val="0"/>
                      <w:color w:val="auto"/>
                      <w:sz w:val="21"/>
                      <w:szCs w:val="21"/>
                      <w:u w:val="none" w:color="auto"/>
                      <w:vertAlign w:val="baseline"/>
                      <w:lang w:val="en-US" w:eastAsia="zh-CN"/>
                    </w:rPr>
                    <w:t>7</w:t>
                  </w:r>
                </w:p>
              </w:tc>
              <w:tc>
                <w:tcPr>
                  <w:tcW w:w="576" w:type="pct"/>
                  <w:noWrap w:val="0"/>
                  <w:vAlign w:val="center"/>
                </w:tcPr>
                <w:p w14:paraId="1B459E22">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val="en-US" w:eastAsia="zh-CN"/>
                    </w:rPr>
                    <w:t>四氯化碳</w:t>
                  </w:r>
                </w:p>
              </w:tc>
              <w:tc>
                <w:tcPr>
                  <w:tcW w:w="1938" w:type="pct"/>
                  <w:noWrap w:val="0"/>
                  <w:vAlign w:val="center"/>
                </w:tcPr>
                <w:p w14:paraId="073208DB">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CCl</w:t>
                  </w:r>
                  <w:r>
                    <w:rPr>
                      <w:rFonts w:hint="default" w:ascii="Times New Roman" w:hAnsi="Times New Roman" w:eastAsia="宋体" w:cs="Times New Roman"/>
                      <w:b w:val="0"/>
                      <w:bCs w:val="0"/>
                      <w:color w:val="auto"/>
                      <w:sz w:val="21"/>
                      <w:szCs w:val="21"/>
                      <w:u w:val="none" w:color="auto"/>
                      <w:vertAlign w:val="subscript"/>
                    </w:rPr>
                    <w:t>4</w:t>
                  </w:r>
                  <w:r>
                    <w:rPr>
                      <w:rFonts w:hint="eastAsia" w:ascii="Times New Roman" w:hAnsi="Times New Roman" w:eastAsia="宋体"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无色有毒液体，易挥发，具氯仿的微甜气味。熔点-23℃，沸点76.8℃，与水互不相溶，可与乙醇、乙醚、氯仿及石油醚等混溶，密度1.595g/mL。</w:t>
                  </w:r>
                </w:p>
              </w:tc>
              <w:tc>
                <w:tcPr>
                  <w:tcW w:w="1382" w:type="pct"/>
                  <w:noWrap w:val="0"/>
                  <w:vAlign w:val="center"/>
                </w:tcPr>
                <w:p w14:paraId="163BCB6B">
                  <w:pPr>
                    <w:adjustRightInd w:val="0"/>
                    <w:snapToGrid w:val="0"/>
                    <w:jc w:val="center"/>
                    <w:rPr>
                      <w:rFonts w:hint="eastAsia" w:ascii="Times New Roman" w:hAnsi="Times New Roman" w:eastAsia="宋体" w:cs="Times New Roman"/>
                      <w:b w:val="0"/>
                      <w:bCs w:val="0"/>
                      <w:color w:val="auto"/>
                      <w:sz w:val="21"/>
                      <w:szCs w:val="21"/>
                      <w:u w:val="none" w:color="auto"/>
                      <w:vertAlign w:val="baseline"/>
                      <w:lang w:eastAsia="zh-CN"/>
                    </w:rPr>
                  </w:pPr>
                  <w:r>
                    <w:rPr>
                      <w:rFonts w:hint="eastAsia" w:ascii="Times New Roman" w:hAnsi="Times New Roman" w:eastAsia="宋体" w:cs="Times New Roman"/>
                      <w:b w:val="0"/>
                      <w:bCs w:val="0"/>
                      <w:color w:val="auto"/>
                      <w:sz w:val="21"/>
                      <w:szCs w:val="21"/>
                      <w:u w:val="none" w:color="auto"/>
                      <w:vertAlign w:val="baseline"/>
                      <w:lang w:eastAsia="zh-CN"/>
                    </w:rPr>
                    <w:t>不燃</w:t>
                  </w:r>
                </w:p>
              </w:tc>
              <w:tc>
                <w:tcPr>
                  <w:tcW w:w="786" w:type="pct"/>
                  <w:noWrap w:val="0"/>
                  <w:vAlign w:val="center"/>
                </w:tcPr>
                <w:p w14:paraId="76786A2A">
                  <w:pPr>
                    <w:adjustRightInd w:val="0"/>
                    <w:snapToGrid w:val="0"/>
                    <w:jc w:val="center"/>
                    <w:rPr>
                      <w:rFonts w:hint="default" w:ascii="Times New Roman" w:hAnsi="Times New Roman" w:eastAsia="宋体" w:cs="Times New Roman"/>
                      <w:b w:val="0"/>
                      <w:bCs w:val="0"/>
                      <w:color w:val="auto"/>
                      <w:sz w:val="21"/>
                      <w:szCs w:val="21"/>
                      <w:u w:val="none" w:color="auto"/>
                      <w:vertAlign w:val="baseline"/>
                    </w:rPr>
                  </w:pPr>
                  <w:r>
                    <w:rPr>
                      <w:rFonts w:hint="eastAsia" w:ascii="Times New Roman" w:hAnsi="Times New Roman" w:eastAsia="宋体" w:cs="Times New Roman"/>
                      <w:b w:val="0"/>
                      <w:bCs w:val="0"/>
                      <w:color w:val="auto"/>
                      <w:sz w:val="21"/>
                      <w:szCs w:val="21"/>
                      <w:u w:val="none" w:color="auto"/>
                      <w:vertAlign w:val="baseline"/>
                      <w:lang w:val="en-US" w:eastAsia="zh-CN"/>
                    </w:rPr>
                    <w:t>LD50</w:t>
                  </w:r>
                  <w:r>
                    <w:rPr>
                      <w:rFonts w:hint="eastAsia" w:cs="Times New Roman"/>
                      <w:b w:val="0"/>
                      <w:bCs w:val="0"/>
                      <w:color w:val="auto"/>
                      <w:sz w:val="21"/>
                      <w:szCs w:val="21"/>
                      <w:u w:val="none" w:color="auto"/>
                      <w:vertAlign w:val="baseline"/>
                      <w:lang w:val="en-US" w:eastAsia="zh-CN"/>
                    </w:rPr>
                    <w:t>:3.005</w:t>
                  </w:r>
                  <w:r>
                    <w:rPr>
                      <w:rFonts w:hint="eastAsia" w:ascii="Times New Roman" w:hAnsi="Times New Roman" w:eastAsia="宋体" w:cs="Times New Roman"/>
                      <w:b w:val="0"/>
                      <w:bCs w:val="0"/>
                      <w:color w:val="auto"/>
                      <w:sz w:val="21"/>
                      <w:szCs w:val="21"/>
                      <w:u w:val="none" w:color="auto"/>
                      <w:vertAlign w:val="baseline"/>
                      <w:lang w:val="en-US" w:eastAsia="zh-CN"/>
                    </w:rPr>
                    <w:t>g/kg（</w:t>
                  </w:r>
                  <w:r>
                    <w:rPr>
                      <w:rFonts w:hint="eastAsia" w:cs="Times New Roman"/>
                      <w:b w:val="0"/>
                      <w:bCs w:val="0"/>
                      <w:color w:val="auto"/>
                      <w:sz w:val="21"/>
                      <w:szCs w:val="21"/>
                      <w:u w:val="none" w:color="auto"/>
                      <w:vertAlign w:val="baseline"/>
                      <w:lang w:val="en-US" w:eastAsia="zh-CN"/>
                    </w:rPr>
                    <w:t>大鼠</w:t>
                  </w:r>
                  <w:r>
                    <w:rPr>
                      <w:rFonts w:hint="eastAsia" w:ascii="Times New Roman" w:hAnsi="Times New Roman" w:eastAsia="宋体" w:cs="Times New Roman"/>
                      <w:b w:val="0"/>
                      <w:bCs w:val="0"/>
                      <w:color w:val="auto"/>
                      <w:sz w:val="21"/>
                      <w:szCs w:val="21"/>
                      <w:u w:val="none" w:color="auto"/>
                      <w:vertAlign w:val="baseline"/>
                      <w:lang w:val="en-US" w:eastAsia="zh-CN"/>
                    </w:rPr>
                    <w:t>经口）</w:t>
                  </w:r>
                </w:p>
              </w:tc>
            </w:tr>
            <w:tr w14:paraId="759E1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noWrap w:val="0"/>
                  <w:vAlign w:val="center"/>
                </w:tcPr>
                <w:p w14:paraId="34194E8D">
                  <w:pPr>
                    <w:adjustRightInd w:val="0"/>
                    <w:snapToGrid w:val="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1</w:t>
                  </w:r>
                  <w:r>
                    <w:rPr>
                      <w:rFonts w:hint="eastAsia" w:cs="Times New Roman"/>
                      <w:b w:val="0"/>
                      <w:bCs w:val="0"/>
                      <w:color w:val="auto"/>
                      <w:sz w:val="21"/>
                      <w:szCs w:val="21"/>
                      <w:u w:val="none" w:color="auto"/>
                      <w:vertAlign w:val="baseline"/>
                      <w:lang w:val="en-US" w:eastAsia="zh-CN"/>
                    </w:rPr>
                    <w:t>8</w:t>
                  </w:r>
                </w:p>
              </w:tc>
              <w:tc>
                <w:tcPr>
                  <w:tcW w:w="576" w:type="pct"/>
                  <w:noWrap w:val="0"/>
                  <w:vAlign w:val="center"/>
                </w:tcPr>
                <w:p w14:paraId="3EAAFDA7">
                  <w:pPr>
                    <w:jc w:val="center"/>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lang w:eastAsia="zh-CN"/>
                    </w:rPr>
                    <w:t>三氯甲烷</w:t>
                  </w:r>
                </w:p>
              </w:tc>
              <w:tc>
                <w:tcPr>
                  <w:tcW w:w="1938" w:type="pct"/>
                  <w:noWrap w:val="0"/>
                  <w:vAlign w:val="center"/>
                </w:tcPr>
                <w:p w14:paraId="5866FDC3">
                  <w:pPr>
                    <w:adjustRightInd w:val="0"/>
                    <w:snapToGrid w:val="0"/>
                    <w:jc w:val="both"/>
                    <w:rPr>
                      <w:rFonts w:hint="default" w:ascii="Times New Roman" w:hAnsi="Times New Roman" w:eastAsia="宋体" w:cs="Times New Roman"/>
                      <w:b w:val="0"/>
                      <w:bCs w:val="0"/>
                      <w:color w:val="auto"/>
                      <w:sz w:val="21"/>
                      <w:szCs w:val="21"/>
                      <w:u w:val="none" w:color="auto"/>
                      <w:vertAlign w:val="baseline"/>
                    </w:rPr>
                  </w:pPr>
                  <w:r>
                    <w:rPr>
                      <w:rFonts w:hint="default" w:ascii="Times New Roman" w:hAnsi="Times New Roman" w:eastAsia="宋体" w:cs="Times New Roman"/>
                      <w:b w:val="0"/>
                      <w:bCs w:val="0"/>
                      <w:color w:val="auto"/>
                      <w:sz w:val="21"/>
                      <w:szCs w:val="21"/>
                      <w:u w:val="none" w:color="auto"/>
                      <w:vertAlign w:val="baseline"/>
                    </w:rPr>
                    <w:t>化学式</w:t>
                  </w:r>
                  <w:r>
                    <w:rPr>
                      <w:rFonts w:hint="eastAsia" w:cs="Times New Roman"/>
                      <w:b w:val="0"/>
                      <w:bCs w:val="0"/>
                      <w:color w:val="auto"/>
                      <w:sz w:val="21"/>
                      <w:szCs w:val="21"/>
                      <w:u w:val="none" w:color="auto"/>
                      <w:vertAlign w:val="baseline"/>
                      <w:lang w:eastAsia="zh-CN"/>
                    </w:rPr>
                    <w:t>：</w:t>
                  </w:r>
                  <w:r>
                    <w:rPr>
                      <w:rFonts w:hint="default" w:ascii="Times New Roman" w:hAnsi="Times New Roman" w:eastAsia="宋体" w:cs="Times New Roman"/>
                      <w:b w:val="0"/>
                      <w:bCs w:val="0"/>
                      <w:color w:val="auto"/>
                      <w:sz w:val="21"/>
                      <w:szCs w:val="21"/>
                      <w:u w:val="none" w:color="auto"/>
                      <w:vertAlign w:val="baseline"/>
                    </w:rPr>
                    <w:t>CHCl</w:t>
                  </w:r>
                  <w:r>
                    <w:rPr>
                      <w:rFonts w:hint="eastAsia" w:cs="Times New Roman"/>
                      <w:b w:val="0"/>
                      <w:bCs w:val="0"/>
                      <w:color w:val="auto"/>
                      <w:sz w:val="21"/>
                      <w:szCs w:val="21"/>
                      <w:u w:val="none" w:color="auto"/>
                      <w:vertAlign w:val="subscript"/>
                      <w:lang w:val="en-US" w:eastAsia="zh-CN"/>
                    </w:rPr>
                    <w:t>3</w:t>
                  </w:r>
                  <w:r>
                    <w:rPr>
                      <w:rFonts w:hint="eastAsia" w:cs="Times New Roman"/>
                      <w:b w:val="0"/>
                      <w:bCs w:val="0"/>
                      <w:color w:val="auto"/>
                      <w:sz w:val="21"/>
                      <w:szCs w:val="21"/>
                      <w:u w:val="none" w:color="auto"/>
                      <w:vertAlign w:val="baseline"/>
                      <w:lang w:val="en-US" w:eastAsia="zh-CN"/>
                    </w:rPr>
                    <w:t>；</w:t>
                  </w:r>
                  <w:r>
                    <w:rPr>
                      <w:rFonts w:hint="default" w:ascii="Times New Roman" w:hAnsi="Times New Roman" w:eastAsia="宋体" w:cs="Times New Roman"/>
                      <w:b w:val="0"/>
                      <w:bCs w:val="0"/>
                      <w:color w:val="auto"/>
                      <w:sz w:val="21"/>
                      <w:szCs w:val="21"/>
                      <w:u w:val="none" w:color="auto"/>
                      <w:vertAlign w:val="baseline"/>
                    </w:rPr>
                    <w:t>无色透明液体，有特殊气味，味甜，易挥发。熔点-63.5℃，沸点61.2℃，能与乙醇、苯、乙醚、石油醚、四氯化碳、二硫化碳和油类等混溶、25℃时1mL溶于200mL水，密度1.48g/mL。</w:t>
                  </w:r>
                </w:p>
              </w:tc>
              <w:tc>
                <w:tcPr>
                  <w:tcW w:w="1382" w:type="pct"/>
                  <w:noWrap w:val="0"/>
                  <w:vAlign w:val="center"/>
                </w:tcPr>
                <w:p w14:paraId="0AF1A333">
                  <w:pPr>
                    <w:adjustRightInd w:val="0"/>
                    <w:snapToGrid w:val="0"/>
                    <w:jc w:val="center"/>
                    <w:rPr>
                      <w:rFonts w:hint="eastAsia" w:ascii="Times New Roman" w:hAnsi="Times New Roman" w:eastAsia="宋体" w:cs="Times New Roman"/>
                      <w:b w:val="0"/>
                      <w:bCs w:val="0"/>
                      <w:color w:val="auto"/>
                      <w:sz w:val="21"/>
                      <w:szCs w:val="21"/>
                      <w:u w:val="none" w:color="auto"/>
                      <w:vertAlign w:val="baseline"/>
                      <w:lang w:eastAsia="zh-CN"/>
                    </w:rPr>
                  </w:pPr>
                  <w:r>
                    <w:rPr>
                      <w:rFonts w:hint="eastAsia" w:ascii="Times New Roman" w:hAnsi="Times New Roman" w:eastAsia="宋体" w:cs="Times New Roman"/>
                      <w:b w:val="0"/>
                      <w:bCs w:val="0"/>
                      <w:color w:val="auto"/>
                      <w:sz w:val="21"/>
                      <w:szCs w:val="21"/>
                      <w:u w:val="none" w:color="auto"/>
                      <w:vertAlign w:val="baseline"/>
                      <w:lang w:eastAsia="zh-CN"/>
                    </w:rPr>
                    <w:t>不燃</w:t>
                  </w:r>
                </w:p>
              </w:tc>
              <w:tc>
                <w:tcPr>
                  <w:tcW w:w="786" w:type="pct"/>
                  <w:noWrap w:val="0"/>
                  <w:vAlign w:val="center"/>
                </w:tcPr>
                <w:p w14:paraId="19413070">
                  <w:pPr>
                    <w:adjustRightInd w:val="0"/>
                    <w:snapToGrid w:val="0"/>
                    <w:jc w:val="center"/>
                    <w:rPr>
                      <w:rFonts w:hint="default" w:ascii="Times New Roman" w:hAnsi="Times New Roman" w:eastAsia="宋体" w:cs="Times New Roman"/>
                      <w:b w:val="0"/>
                      <w:bCs w:val="0"/>
                      <w:color w:val="auto"/>
                      <w:sz w:val="21"/>
                      <w:szCs w:val="21"/>
                      <w:u w:val="none" w:color="auto"/>
                      <w:vertAlign w:val="baseline"/>
                    </w:rPr>
                  </w:pPr>
                  <w:r>
                    <w:rPr>
                      <w:rFonts w:hint="eastAsia" w:ascii="Times New Roman" w:hAnsi="Times New Roman" w:eastAsia="宋体" w:cs="Times New Roman"/>
                      <w:b w:val="0"/>
                      <w:bCs w:val="0"/>
                      <w:color w:val="auto"/>
                      <w:sz w:val="21"/>
                      <w:szCs w:val="21"/>
                      <w:u w:val="none" w:color="auto"/>
                      <w:vertAlign w:val="baseline"/>
                      <w:lang w:val="en-US" w:eastAsia="zh-CN"/>
                    </w:rPr>
                    <w:t>LD50</w:t>
                  </w:r>
                  <w:r>
                    <w:rPr>
                      <w:rFonts w:hint="eastAsia" w:cs="Times New Roman"/>
                      <w:b w:val="0"/>
                      <w:bCs w:val="0"/>
                      <w:color w:val="auto"/>
                      <w:sz w:val="21"/>
                      <w:szCs w:val="21"/>
                      <w:u w:val="none" w:color="auto"/>
                      <w:vertAlign w:val="baseline"/>
                      <w:lang w:val="en-US" w:eastAsia="zh-CN"/>
                    </w:rPr>
                    <w:t>：2350m</w:t>
                  </w:r>
                  <w:r>
                    <w:rPr>
                      <w:rFonts w:hint="eastAsia" w:ascii="Times New Roman" w:hAnsi="Times New Roman" w:eastAsia="宋体" w:cs="Times New Roman"/>
                      <w:b w:val="0"/>
                      <w:bCs w:val="0"/>
                      <w:color w:val="auto"/>
                      <w:sz w:val="21"/>
                      <w:szCs w:val="21"/>
                      <w:u w:val="none" w:color="auto"/>
                      <w:vertAlign w:val="baseline"/>
                      <w:lang w:val="en-US" w:eastAsia="zh-CN"/>
                    </w:rPr>
                    <w:t>g/kg（</w:t>
                  </w:r>
                  <w:r>
                    <w:rPr>
                      <w:rFonts w:hint="eastAsia" w:cs="Times New Roman"/>
                      <w:b w:val="0"/>
                      <w:bCs w:val="0"/>
                      <w:color w:val="auto"/>
                      <w:sz w:val="21"/>
                      <w:szCs w:val="21"/>
                      <w:u w:val="none" w:color="auto"/>
                      <w:vertAlign w:val="baseline"/>
                      <w:lang w:val="en-US" w:eastAsia="zh-CN"/>
                    </w:rPr>
                    <w:t>大鼠</w:t>
                  </w:r>
                  <w:r>
                    <w:rPr>
                      <w:rFonts w:hint="eastAsia" w:ascii="Times New Roman" w:hAnsi="Times New Roman" w:eastAsia="宋体" w:cs="Times New Roman"/>
                      <w:b w:val="0"/>
                      <w:bCs w:val="0"/>
                      <w:color w:val="auto"/>
                      <w:sz w:val="21"/>
                      <w:szCs w:val="21"/>
                      <w:u w:val="none" w:color="auto"/>
                      <w:vertAlign w:val="baseline"/>
                      <w:lang w:val="en-US" w:eastAsia="zh-CN"/>
                    </w:rPr>
                    <w:t>经口）</w:t>
                  </w:r>
                </w:p>
              </w:tc>
            </w:tr>
            <w:bookmarkEnd w:id="2"/>
          </w:tbl>
          <w:p w14:paraId="30543B6D">
            <w:pPr>
              <w:pStyle w:val="11"/>
              <w:adjustRightInd w:val="0"/>
              <w:spacing w:before="0" w:after="0" w:line="360" w:lineRule="auto"/>
              <w:ind w:right="0"/>
              <w:jc w:val="both"/>
              <w:rPr>
                <w:rFonts w:hint="eastAsia" w:eastAsia="仿宋_GB2312" w:cs="Times New Roman"/>
                <w:b/>
                <w:bCs/>
                <w:color w:val="auto"/>
                <w:kern w:val="2"/>
                <w:sz w:val="24"/>
                <w:szCs w:val="24"/>
                <w:highlight w:val="none"/>
                <w:lang w:val="en-US" w:eastAsia="zh-CN" w:bidi="ar-SA"/>
              </w:rPr>
            </w:pPr>
            <w:r>
              <w:rPr>
                <w:rFonts w:hint="eastAsia" w:eastAsia="仿宋_GB2312" w:cs="Times New Roman"/>
                <w:b/>
                <w:bCs/>
                <w:color w:val="auto"/>
                <w:kern w:val="2"/>
                <w:sz w:val="24"/>
                <w:szCs w:val="24"/>
                <w:highlight w:val="none"/>
                <w:lang w:val="en-US" w:eastAsia="zh-CN" w:bidi="ar-SA"/>
              </w:rPr>
              <w:t>5.工程参数及占地面积</w:t>
            </w:r>
          </w:p>
          <w:p w14:paraId="460286E4">
            <w:pPr>
              <w:pStyle w:val="11"/>
              <w:adjustRightInd w:val="0"/>
              <w:spacing w:before="0" w:after="0" w:line="360" w:lineRule="auto"/>
              <w:ind w:right="0" w:firstLine="482" w:firstLineChars="200"/>
              <w:jc w:val="both"/>
              <w:rPr>
                <w:rFonts w:hint="eastAsia" w:ascii="Times New Roman" w:hAnsi="Times New Roman" w:eastAsia="仿宋_GB2312" w:cs="Times New Roman"/>
                <w:b/>
                <w:bCs/>
                <w:color w:val="auto"/>
                <w:sz w:val="24"/>
                <w:szCs w:val="24"/>
                <w:highlight w:val="none"/>
                <w:lang w:eastAsia="zh-CN"/>
              </w:rPr>
            </w:pPr>
            <w:r>
              <w:rPr>
                <w:rFonts w:hint="default" w:ascii="Times New Roman" w:hAnsi="Times New Roman" w:eastAsia="仿宋_GB2312" w:cs="Times New Roman"/>
                <w:b/>
                <w:bCs/>
                <w:color w:val="auto"/>
                <w:sz w:val="24"/>
                <w:szCs w:val="24"/>
                <w:highlight w:val="none"/>
                <w:lang w:val="en-US" w:eastAsia="zh-CN"/>
              </w:rPr>
              <w:t>六盘山镇蜂蜜加工包装车间建设工程-蜂蜜加工、储存车间</w:t>
            </w:r>
            <w:r>
              <w:rPr>
                <w:rFonts w:hint="default" w:ascii="Times New Roman" w:hAnsi="Times New Roman" w:eastAsia="仿宋_GB2312" w:cs="Times New Roman"/>
                <w:b/>
                <w:bCs/>
                <w:color w:val="auto"/>
                <w:sz w:val="24"/>
                <w:szCs w:val="24"/>
                <w:highlight w:val="none"/>
              </w:rPr>
              <w:t>设计</w:t>
            </w:r>
            <w:r>
              <w:rPr>
                <w:rFonts w:hint="eastAsia" w:ascii="Times New Roman" w:hAnsi="Times New Roman" w:eastAsia="仿宋_GB2312" w:cs="Times New Roman"/>
                <w:b/>
                <w:bCs/>
                <w:color w:val="auto"/>
                <w:sz w:val="24"/>
                <w:szCs w:val="24"/>
                <w:highlight w:val="none"/>
                <w:lang w:eastAsia="zh-CN"/>
              </w:rPr>
              <w:t>：</w:t>
            </w:r>
          </w:p>
          <w:p w14:paraId="00E8BA78">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建筑层数：地上一层，建筑高度：8.55m，建筑面积：515.50</w:t>
            </w:r>
            <w:r>
              <w:rPr>
                <w:rFonts w:hint="eastAsia" w:eastAsia="仿宋_GB2312" w:cs="Times New Roman"/>
                <w:color w:val="auto"/>
                <w:kern w:val="2"/>
                <w:sz w:val="24"/>
                <w:szCs w:val="24"/>
                <w:highlight w:val="none"/>
                <w:lang w:val="en-US" w:eastAsia="zh-CN" w:bidi="ar-SA"/>
              </w:rPr>
              <w:t>m</w:t>
            </w:r>
            <w:r>
              <w:rPr>
                <w:rFonts w:hint="eastAsia" w:eastAsia="仿宋_GB2312" w:cs="Times New Roman"/>
                <w:color w:val="auto"/>
                <w:kern w:val="2"/>
                <w:sz w:val="24"/>
                <w:szCs w:val="24"/>
                <w:highlight w:val="none"/>
                <w:vertAlign w:val="superscript"/>
                <w:lang w:val="en-US" w:eastAsia="zh-CN" w:bidi="ar-SA"/>
              </w:rPr>
              <w:t>2</w:t>
            </w:r>
            <w:r>
              <w:rPr>
                <w:rFonts w:hint="eastAsia" w:eastAsia="仿宋_GB2312" w:cs="Times New Roman"/>
                <w:color w:val="auto"/>
                <w:kern w:val="2"/>
                <w:sz w:val="24"/>
                <w:szCs w:val="24"/>
                <w:highlight w:val="none"/>
                <w:lang w:val="en-US" w:eastAsia="zh-CN" w:bidi="ar-SA"/>
              </w:rPr>
              <w:t>。</w:t>
            </w:r>
            <w:r>
              <w:rPr>
                <w:rFonts w:hint="default" w:ascii="Times New Roman" w:hAnsi="Times New Roman" w:eastAsia="仿宋_GB2312" w:cs="Times New Roman"/>
                <w:color w:val="auto"/>
                <w:kern w:val="2"/>
                <w:sz w:val="24"/>
                <w:szCs w:val="24"/>
                <w:highlight w:val="none"/>
                <w:lang w:val="en-US" w:eastAsia="zh-CN" w:bidi="ar-SA"/>
              </w:rPr>
              <w:t>结构形式：门式钢架结构</w:t>
            </w:r>
            <w:r>
              <w:rPr>
                <w:rFonts w:hint="eastAsia" w:eastAsia="仿宋_GB2312" w:cs="Times New Roman"/>
                <w:color w:val="auto"/>
                <w:kern w:val="2"/>
                <w:sz w:val="24"/>
                <w:szCs w:val="24"/>
                <w:highlight w:val="none"/>
                <w:lang w:val="en-US" w:eastAsia="zh-CN" w:bidi="ar-SA"/>
              </w:rPr>
              <w:t>。</w:t>
            </w:r>
            <w:r>
              <w:rPr>
                <w:rFonts w:hint="default" w:ascii="Times New Roman" w:hAnsi="Times New Roman" w:eastAsia="仿宋_GB2312" w:cs="Times New Roman"/>
                <w:color w:val="auto"/>
                <w:kern w:val="2"/>
                <w:sz w:val="24"/>
                <w:szCs w:val="24"/>
                <w:highlight w:val="none"/>
                <w:lang w:val="en-US" w:eastAsia="zh-CN" w:bidi="ar-SA"/>
              </w:rPr>
              <w:t>基础类型：柱下独立基础，抗震设防烈度：8度，抗震设防类别：标准设防类，设计使用年限：50年，火灾危险性类别为：丙类，建筑耐火等级：二级，屋面防水等级：二级。</w:t>
            </w:r>
          </w:p>
          <w:p w14:paraId="730173F3">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default" w:ascii="Times New Roman" w:hAnsi="Times New Roman" w:eastAsia="仿宋_GB2312" w:cs="Times New Roman"/>
                <w:b/>
                <w:bCs/>
                <w:color w:val="auto"/>
                <w:kern w:val="2"/>
                <w:sz w:val="24"/>
                <w:szCs w:val="24"/>
                <w:highlight w:val="none"/>
                <w:lang w:val="en-US" w:eastAsia="zh-CN" w:bidi="ar-SA"/>
              </w:rPr>
              <w:t>六盘山镇中药材物流中转集散地建设工程设计：</w:t>
            </w:r>
          </w:p>
          <w:p w14:paraId="403D795E">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（1）新建中药材分拣与包装区</w:t>
            </w:r>
          </w:p>
          <w:p w14:paraId="1916DC8D">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建筑层数：地上一层，建筑高度：7.25m，建筑面积：558.8m</w:t>
            </w:r>
            <w:r>
              <w:rPr>
                <w:rFonts w:hint="default" w:ascii="Times New Roman" w:hAnsi="Times New Roman" w:eastAsia="仿宋_GB2312" w:cs="Times New Roman"/>
                <w:color w:val="auto"/>
                <w:kern w:val="2"/>
                <w:sz w:val="24"/>
                <w:szCs w:val="24"/>
                <w:highlight w:val="none"/>
                <w:vertAlign w:val="superscript"/>
                <w:lang w:val="en-US" w:eastAsia="zh-CN" w:bidi="ar-SA"/>
              </w:rPr>
              <w:t>2</w:t>
            </w:r>
            <w:r>
              <w:rPr>
                <w:rFonts w:hint="default" w:ascii="Times New Roman" w:hAnsi="Times New Roman" w:eastAsia="仿宋_GB2312" w:cs="Times New Roman"/>
                <w:color w:val="auto"/>
                <w:kern w:val="2"/>
                <w:sz w:val="24"/>
                <w:szCs w:val="24"/>
                <w:highlight w:val="none"/>
                <w:lang w:val="en-US" w:eastAsia="zh-CN" w:bidi="ar-SA"/>
              </w:rPr>
              <w:t>，结构形式：门式钢架结构，基础类型：柱下独立基础，建筑类别：丙类厂房，抗震设防烈度：8度，抗震设防类别：标准设防类，设计使用年限：50年，火灾危险性类别为：丙类，建筑耐火等级：二级，屋面防水等级：二级。</w:t>
            </w:r>
          </w:p>
          <w:p w14:paraId="5130C91D">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 xml:space="preserve">（2）新建物流中转区 </w:t>
            </w:r>
          </w:p>
          <w:p w14:paraId="43E276D4">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建筑层数：地上一层，建筑高度：7.25m，建筑面积：455m</w:t>
            </w:r>
            <w:r>
              <w:rPr>
                <w:rFonts w:hint="default" w:ascii="Times New Roman" w:hAnsi="Times New Roman" w:eastAsia="仿宋_GB2312" w:cs="Times New Roman"/>
                <w:color w:val="auto"/>
                <w:kern w:val="2"/>
                <w:sz w:val="24"/>
                <w:szCs w:val="24"/>
                <w:highlight w:val="none"/>
                <w:vertAlign w:val="superscript"/>
                <w:lang w:val="en-US" w:eastAsia="zh-CN" w:bidi="ar-SA"/>
              </w:rPr>
              <w:t>2</w:t>
            </w:r>
            <w:r>
              <w:rPr>
                <w:rFonts w:hint="default" w:ascii="Times New Roman" w:hAnsi="Times New Roman" w:eastAsia="仿宋_GB2312" w:cs="Times New Roman"/>
                <w:color w:val="auto"/>
                <w:kern w:val="2"/>
                <w:sz w:val="24"/>
                <w:szCs w:val="24"/>
                <w:highlight w:val="none"/>
                <w:lang w:val="en-US" w:eastAsia="zh-CN" w:bidi="ar-SA"/>
              </w:rPr>
              <w:t>，结构形式：门式钢架结构，基础类型：柱下独立基础，建筑类别：丙类厂房，抗震设防烈度：8度，抗震设防类别：标准设防类，设计使用年限：50年，火灾危险性类别为：丙类，建筑耐火等级：二级，屋面防水等级：二级。</w:t>
            </w:r>
          </w:p>
          <w:p w14:paraId="35E110BE">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Calibri" w:hAnsi="Calibri" w:eastAsia="仿宋_GB2312" w:cs="Calibri"/>
                <w:color w:val="auto"/>
                <w:kern w:val="2"/>
                <w:sz w:val="24"/>
                <w:szCs w:val="24"/>
                <w:highlight w:val="none"/>
                <w:lang w:val="en-US" w:eastAsia="zh-CN" w:bidi="ar-SA"/>
              </w:rPr>
            </w:pPr>
            <w:r>
              <w:rPr>
                <w:rFonts w:hint="default" w:ascii="Calibri" w:hAnsi="Calibri" w:eastAsia="仿宋_GB2312" w:cs="Calibri"/>
                <w:color w:val="auto"/>
                <w:kern w:val="2"/>
                <w:sz w:val="24"/>
                <w:szCs w:val="24"/>
                <w:highlight w:val="none"/>
                <w:lang w:val="en-US" w:eastAsia="zh-CN" w:bidi="ar-SA"/>
              </w:rPr>
              <w:t xml:space="preserve">（3）新建中药材储存仓库 </w:t>
            </w:r>
          </w:p>
          <w:p w14:paraId="4A0169B3">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Calibri" w:hAnsi="Calibri" w:eastAsia="仿宋_GB2312" w:cs="Calibri"/>
                <w:color w:val="auto"/>
                <w:kern w:val="2"/>
                <w:sz w:val="24"/>
                <w:szCs w:val="24"/>
                <w:highlight w:val="none"/>
                <w:lang w:val="en-US" w:eastAsia="zh-CN" w:bidi="ar-SA"/>
              </w:rPr>
            </w:pPr>
            <w:r>
              <w:rPr>
                <w:rFonts w:hint="default" w:ascii="Calibri" w:hAnsi="Calibri" w:eastAsia="仿宋_GB2312" w:cs="Calibri"/>
                <w:color w:val="auto"/>
                <w:kern w:val="2"/>
                <w:sz w:val="24"/>
                <w:szCs w:val="24"/>
                <w:highlight w:val="none"/>
                <w:lang w:val="en-US" w:eastAsia="zh-CN" w:bidi="ar-SA"/>
              </w:rPr>
              <w:t>建筑层数：地上一层，建筑高度：7.25m，建筑面积：1100</w:t>
            </w:r>
            <w:r>
              <w:rPr>
                <w:rFonts w:hint="eastAsia" w:eastAsia="仿宋_GB2312" w:cs="Times New Roman"/>
                <w:color w:val="auto"/>
                <w:kern w:val="2"/>
                <w:sz w:val="24"/>
                <w:szCs w:val="24"/>
                <w:highlight w:val="none"/>
                <w:lang w:val="en-US" w:eastAsia="zh-CN" w:bidi="ar-SA"/>
              </w:rPr>
              <w:t>m</w:t>
            </w:r>
            <w:r>
              <w:rPr>
                <w:rFonts w:hint="eastAsia" w:eastAsia="仿宋_GB2312" w:cs="Times New Roman"/>
                <w:color w:val="auto"/>
                <w:kern w:val="2"/>
                <w:sz w:val="24"/>
                <w:szCs w:val="24"/>
                <w:highlight w:val="none"/>
                <w:vertAlign w:val="superscript"/>
                <w:lang w:val="en-US" w:eastAsia="zh-CN" w:bidi="ar-SA"/>
              </w:rPr>
              <w:t>2</w:t>
            </w:r>
            <w:r>
              <w:rPr>
                <w:rFonts w:hint="default" w:ascii="Calibri" w:hAnsi="Calibri" w:eastAsia="仿宋_GB2312" w:cs="Calibri"/>
                <w:color w:val="auto"/>
                <w:kern w:val="2"/>
                <w:sz w:val="24"/>
                <w:szCs w:val="24"/>
                <w:highlight w:val="none"/>
                <w:lang w:val="en-US" w:eastAsia="zh-CN" w:bidi="ar-SA"/>
              </w:rPr>
              <w:t>，结构形式：门式钢架结构，基础类型：柱下独立基础，建筑类别：丙类厂房，抗震设防烈度：8度，抗震设防类别：标准设防类，设计使用年限：50年，火灾危险性类别为：丙类，建筑耐火等级：二级，屋面防水等级：二级。</w:t>
            </w:r>
          </w:p>
          <w:p w14:paraId="5F0AF2A5">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Calibri" w:hAnsi="Calibri" w:eastAsia="仿宋_GB2312" w:cs="Calibri"/>
                <w:color w:val="auto"/>
                <w:kern w:val="2"/>
                <w:sz w:val="24"/>
                <w:szCs w:val="24"/>
                <w:highlight w:val="none"/>
                <w:lang w:val="en-US" w:eastAsia="zh-CN" w:bidi="ar-SA"/>
              </w:rPr>
            </w:pPr>
            <w:r>
              <w:rPr>
                <w:rFonts w:hint="default" w:ascii="Calibri" w:hAnsi="Calibri" w:eastAsia="仿宋_GB2312" w:cs="Calibri"/>
                <w:color w:val="auto"/>
                <w:kern w:val="2"/>
                <w:sz w:val="24"/>
                <w:szCs w:val="24"/>
                <w:highlight w:val="none"/>
                <w:lang w:val="en-US" w:eastAsia="zh-CN" w:bidi="ar-SA"/>
              </w:rPr>
              <w:t xml:space="preserve">（4）新建中药材质量检测中心 </w:t>
            </w:r>
          </w:p>
          <w:p w14:paraId="1808D78B">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Calibri" w:hAnsi="Calibri" w:eastAsia="仿宋_GB2312" w:cs="Calibri"/>
                <w:color w:val="auto"/>
                <w:kern w:val="2"/>
                <w:sz w:val="24"/>
                <w:szCs w:val="24"/>
                <w:highlight w:val="none"/>
                <w:lang w:val="en-US" w:eastAsia="zh-CN" w:bidi="ar-SA"/>
              </w:rPr>
            </w:pPr>
            <w:r>
              <w:rPr>
                <w:rFonts w:hint="default" w:ascii="Calibri" w:hAnsi="Calibri" w:eastAsia="仿宋_GB2312" w:cs="Calibri"/>
                <w:color w:val="auto"/>
                <w:kern w:val="2"/>
                <w:sz w:val="24"/>
                <w:szCs w:val="24"/>
                <w:highlight w:val="none"/>
                <w:lang w:val="en-US" w:eastAsia="zh-CN" w:bidi="ar-SA"/>
              </w:rPr>
              <w:t>建筑层数：地上一层，建筑高度：7.25m，建筑面积：311 ㎡，结构形式：门式钢架结构，基础类型：柱下独立基础，建筑类别：丙类厂房，抗震设防烈度：8 度，抗震设防类别：标准设防类，设计使用年限：50 年，火灾危险性类别为：丙类，建筑耐火等级：二级，屋面防水等级：二级。</w:t>
            </w:r>
          </w:p>
          <w:p w14:paraId="6B8AF782">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Calibri" w:hAnsi="Calibri" w:eastAsia="仿宋_GB2312" w:cs="Calibri"/>
                <w:b/>
                <w:bCs/>
                <w:color w:val="auto"/>
                <w:kern w:val="2"/>
                <w:sz w:val="24"/>
                <w:szCs w:val="24"/>
                <w:highlight w:val="none"/>
                <w:lang w:val="en-US" w:eastAsia="zh-CN" w:bidi="ar-SA"/>
              </w:rPr>
            </w:pPr>
            <w:r>
              <w:rPr>
                <w:rFonts w:hint="default" w:ascii="Calibri" w:hAnsi="Calibri" w:eastAsia="仿宋_GB2312" w:cs="Calibri"/>
                <w:b/>
                <w:bCs/>
                <w:color w:val="auto"/>
                <w:kern w:val="2"/>
                <w:sz w:val="24"/>
                <w:szCs w:val="24"/>
                <w:highlight w:val="none"/>
                <w:lang w:val="en-US" w:eastAsia="zh-CN" w:bidi="ar-SA"/>
              </w:rPr>
              <w:t>六盘山镇中药材分拣包装晾晒车间建设项目</w:t>
            </w:r>
            <w:r>
              <w:rPr>
                <w:rFonts w:hint="eastAsia" w:ascii="Calibri" w:hAnsi="Calibri" w:eastAsia="仿宋_GB2312" w:cs="Calibri"/>
                <w:b/>
                <w:bCs/>
                <w:color w:val="auto"/>
                <w:kern w:val="2"/>
                <w:sz w:val="24"/>
                <w:szCs w:val="24"/>
                <w:highlight w:val="none"/>
                <w:lang w:val="en-US" w:eastAsia="zh-CN" w:bidi="ar-SA"/>
              </w:rPr>
              <w:t>－</w:t>
            </w:r>
            <w:r>
              <w:rPr>
                <w:rFonts w:hint="default" w:ascii="Calibri" w:hAnsi="Calibri" w:eastAsia="仿宋_GB2312" w:cs="Calibri"/>
                <w:b/>
                <w:bCs/>
                <w:color w:val="auto"/>
                <w:kern w:val="2"/>
                <w:sz w:val="24"/>
                <w:szCs w:val="24"/>
                <w:highlight w:val="none"/>
                <w:lang w:val="en-US" w:eastAsia="zh-CN" w:bidi="ar-SA"/>
              </w:rPr>
              <w:t>成品库设计</w:t>
            </w:r>
            <w:r>
              <w:rPr>
                <w:rFonts w:hint="eastAsia" w:ascii="Calibri" w:hAnsi="Calibri" w:eastAsia="仿宋_GB2312" w:cs="Calibri"/>
                <w:b/>
                <w:bCs/>
                <w:color w:val="auto"/>
                <w:kern w:val="2"/>
                <w:sz w:val="24"/>
                <w:szCs w:val="24"/>
                <w:highlight w:val="none"/>
                <w:lang w:val="en-US" w:eastAsia="zh-CN" w:bidi="ar-SA"/>
              </w:rPr>
              <w:t>：</w:t>
            </w:r>
          </w:p>
          <w:p w14:paraId="61AF7061">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建筑层数：地上一层，建筑高度：6.2m，建筑面积：992.87㎡，结构形式：门式钢架结构，基础类型：柱下独立基础，建筑类别：丙类厂房，抗震设防烈度：8 度，抗震设防类别：标准设防类，设计使用年限：50 年，火灾危险性类别为：丙类，建筑耐火等级：二级，火灾危险性类别为：丙类，屋面防水等级：二级；建筑功能：药材成品库。</w:t>
            </w:r>
          </w:p>
          <w:p w14:paraId="0F3D92E9">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大湾乡中药材分拣包装晾晒车间建设工程-中药材分拣包装车间设计：</w:t>
            </w:r>
          </w:p>
          <w:p w14:paraId="63C48481">
            <w:pPr>
              <w:pStyle w:val="11"/>
              <w:keepNext w:val="0"/>
              <w:keepLines w:val="0"/>
              <w:pageBreakBefore w:val="0"/>
              <w:kinsoku/>
              <w:wordWrap/>
              <w:overflowPunct/>
              <w:topLinePunct w:val="0"/>
              <w:autoSpaceDE/>
              <w:autoSpaceDN/>
              <w:bidi w:val="0"/>
              <w:snapToGrid w:val="0"/>
              <w:spacing w:before="0" w:after="0" w:line="360" w:lineRule="auto"/>
              <w:ind w:left="0" w:right="0" w:firstLine="480" w:firstLineChars="200"/>
              <w:jc w:val="both"/>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建筑层数：地上一层，建筑高度：7.65m，建筑面积：515.4 ㎡，结构形式：门式钢架结构，基础类型：柱下独立基础，建筑类别：丙类厂房，抗震设防烈度：8 度，抗震设防类别：标准设防类，设计使用年限：50 年，火灾危险性类别为：丙类，建筑耐火等级：二级，屋面防水等级：二级；建筑功能：中药材分拣包装车间。</w:t>
            </w:r>
          </w:p>
          <w:p w14:paraId="0C3D7C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bCs/>
                <w:snapToGrid/>
                <w:color w:val="auto"/>
                <w:kern w:val="2"/>
                <w:sz w:val="24"/>
                <w:szCs w:val="24"/>
                <w:highlight w:val="none"/>
                <w:lang w:val="en-US" w:eastAsia="zh-CN" w:bidi="ar-SA"/>
              </w:rPr>
            </w:pPr>
          </w:p>
          <w:p w14:paraId="1D661242">
            <w:pPr>
              <w:keepNext w:val="0"/>
              <w:keepLines w:val="0"/>
              <w:pageBreakBefore w:val="0"/>
              <w:widowControl/>
              <w:kinsoku/>
              <w:wordWrap/>
              <w:overflowPunct/>
              <w:topLinePunct w:val="0"/>
              <w:autoSpaceDE w:val="0"/>
              <w:autoSpaceDN w:val="0"/>
              <w:bidi w:val="0"/>
              <w:adjustRightInd w:val="0"/>
              <w:snapToGrid w:val="0"/>
              <w:spacing w:line="336" w:lineRule="auto"/>
              <w:ind w:firstLine="480" w:firstLineChars="200"/>
              <w:jc w:val="both"/>
              <w:textAlignment w:val="bottom"/>
              <w:rPr>
                <w:rFonts w:hint="default" w:ascii="Times New Roman" w:hAnsi="Times New Roman" w:eastAsia="仿宋_GB2312" w:cs="Times New Roman"/>
                <w:color w:val="auto"/>
                <w:kern w:val="0"/>
                <w:sz w:val="24"/>
                <w:szCs w:val="24"/>
                <w:highlight w:val="none"/>
                <w:shd w:val="clear" w:color="auto" w:fill="auto"/>
                <w:lang w:val="en-US" w:eastAsia="zh-CN"/>
              </w:rPr>
            </w:pPr>
          </w:p>
          <w:p w14:paraId="75E680EA">
            <w:pPr>
              <w:keepNext w:val="0"/>
              <w:keepLines w:val="0"/>
              <w:pageBreakBefore w:val="0"/>
              <w:widowControl/>
              <w:kinsoku/>
              <w:wordWrap/>
              <w:overflowPunct/>
              <w:topLinePunct w:val="0"/>
              <w:autoSpaceDE w:val="0"/>
              <w:autoSpaceDN w:val="0"/>
              <w:bidi w:val="0"/>
              <w:adjustRightInd w:val="0"/>
              <w:snapToGrid w:val="0"/>
              <w:spacing w:line="336" w:lineRule="auto"/>
              <w:jc w:val="both"/>
              <w:textAlignment w:val="bottom"/>
              <w:rPr>
                <w:rFonts w:hint="default" w:ascii="Times New Roman" w:hAnsi="Times New Roman" w:eastAsia="仿宋_GB2312" w:cs="Times New Roman"/>
                <w:color w:val="auto"/>
                <w:kern w:val="0"/>
                <w:sz w:val="24"/>
                <w:szCs w:val="24"/>
                <w:highlight w:val="none"/>
                <w:shd w:val="clear" w:color="auto" w:fill="auto"/>
                <w:lang w:val="en-US" w:eastAsia="zh-CN"/>
              </w:rPr>
            </w:pPr>
          </w:p>
        </w:tc>
      </w:tr>
      <w:tr w14:paraId="6CFB531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865" w:hRule="atLeast"/>
          <w:jc w:val="center"/>
        </w:trPr>
        <w:tc>
          <w:tcPr>
            <w:tcW w:w="465" w:type="dxa"/>
            <w:tcBorders>
              <w:tl2br w:val="nil"/>
              <w:tr2bl w:val="nil"/>
            </w:tcBorders>
            <w:vAlign w:val="center"/>
          </w:tcPr>
          <w:p w14:paraId="3A2C047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20DB0C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FBCFA0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7F7A5A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eastAsia="仿宋_GB2312" w:cs="Times New Roman"/>
                <w:b/>
                <w:bCs/>
                <w:color w:val="auto"/>
                <w:szCs w:val="24"/>
                <w:highlight w:val="none"/>
                <w:lang w:eastAsia="zh-CN"/>
              </w:rPr>
              <w:t>总平面及现场布置</w:t>
            </w:r>
          </w:p>
          <w:p w14:paraId="11F65A4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C2783A4">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045C54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63A0B8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E153AA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AE333A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6432CC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FB64C3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5AEBE6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F724EBA">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tc>
        <w:tc>
          <w:tcPr>
            <w:tcW w:w="8736" w:type="dxa"/>
            <w:gridSpan w:val="2"/>
            <w:tcBorders>
              <w:tl2br w:val="nil"/>
              <w:tr2bl w:val="nil"/>
            </w:tcBorders>
          </w:tcPr>
          <w:p w14:paraId="103D4CB3">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eastAsia"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1.泾河源镇蜂蜜加工包装车间建设工程总平面设计</w:t>
            </w:r>
          </w:p>
          <w:p w14:paraId="43D2263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场地位于泾源县六盘山镇，现状用地为建设用地。市政基础设施配套完善，已规划给水、排水、电力外网系统，道路包含硬化处理路段，可满足产业运输及作业需求。场地整体地势较为平坦，地面高程在一定范围内略有起伏，坡度平缓，有利于工程建设的平面布局和土方平衡。场地地貌类型属于黄土丘陵区，地表覆盖层主要为第四纪黄土，土层厚度较大，采用平坡式竖向布置，充分利用场地自然坡度，避免大规模土方工程，实现场地地表平顺过渡。地表雨水排除采用自然坡度引导雨水流向低洼区域或沟渠，确保排水顺畅，无内涝风险，与室外排水系统形成有效衔接。</w:t>
            </w:r>
            <w:r>
              <w:rPr>
                <w:rFonts w:hint="default" w:ascii="Times New Roman" w:hAnsi="Times New Roman" w:eastAsia="仿宋_GB2312" w:cs="Times New Roman"/>
                <w:color w:val="auto"/>
                <w:sz w:val="24"/>
                <w:szCs w:val="24"/>
                <w:highlight w:val="none"/>
              </w:rPr>
              <w:t>本工程平面布置图见</w:t>
            </w:r>
            <w:r>
              <w:rPr>
                <w:rFonts w:hint="eastAsia" w:eastAsia="仿宋_GB2312" w:cs="Times New Roman"/>
                <w:color w:val="auto"/>
                <w:sz w:val="24"/>
                <w:szCs w:val="24"/>
                <w:highlight w:val="none"/>
                <w:lang w:val="en-US" w:eastAsia="zh-CN"/>
              </w:rPr>
              <w:t>附图7</w:t>
            </w:r>
            <w:r>
              <w:rPr>
                <w:rFonts w:hint="default" w:ascii="Times New Roman" w:hAnsi="Times New Roman" w:eastAsia="仿宋_GB2312" w:cs="Times New Roman"/>
                <w:color w:val="auto"/>
                <w:sz w:val="24"/>
                <w:szCs w:val="24"/>
                <w:highlight w:val="none"/>
              </w:rPr>
              <w:t>。</w:t>
            </w:r>
          </w:p>
          <w:p w14:paraId="383AC8B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eastAsia"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2.泾源县智能化蜂箱改造建设工程总平面设计</w:t>
            </w:r>
          </w:p>
          <w:p w14:paraId="601F9CEE">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 xml:space="preserve">“超级蜂巢”智能移动蜂车6台，3年智慧化服务费1项，智能蜂箱2000箱，蜂箱7000箱，智慧蜂场建设6个。项目位于六盘山镇总平面布置遵循“智能适配、分区科学、便于管理”的原则，结合场地开阔平缓的地形特征，以满足智能化养殖需求为核心优化布局，分别布置于兴盛乡兴盛村、黄花乡羊槽村、泾河源镇冶家村、六盘山镇智能化蜂场等。6个智慧蜂场采用均匀分散式布局，分别设置于场地内生态条件适宜的区域，每个智慧蜂场划定独立养殖单元。单元内，2000 箱智能蜂箱按行列式集中摆放，行距1.5米、列距2米，既保障蜂群活动空间，又便于物联网传感器安装与数据传输；7000 箱普通蜂箱围绕智能蜂箱单元周边有序布置，形成规模化养殖集群，与智能蜂箱协同构建高效养殖体系。 </w:t>
            </w:r>
          </w:p>
          <w:p w14:paraId="2AC544C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6台“超级蜂巢”智能移动蜂车分别停靠于各智慧蜂场临近的硬化停放区，停放区紧邻作业通道，方便车辆调度与维护，可快速响应蜂箱转移、原料转运等动态作业需求。蜂场间设置宽度不小于2米的硬化作业通道，连接各养殖单元与停放区，满足技术人员巡检、设备运输及应急处置通行要求。每个智慧蜂场核心位置配置物联网数据采集站，确保无线信号全覆盖，实现对智能蜂箱温湿度、蜂群活动等参数的实时监测与远程控制；养殖单元远离场地边缘污染源，保障蜂蜜品质安全，整体布局既提升养殖智能化水平，又为后续规模化扩张预留空间。</w:t>
            </w:r>
          </w:p>
          <w:p w14:paraId="3BF840D7">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eastAsia"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3.六盘山镇中药材种苗培育基地建设项目总平面设计</w:t>
            </w:r>
          </w:p>
          <w:p w14:paraId="22B45A1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场地位于泾源县六盘山镇什字村，现状用地为耕地，自然环境以农田生态为主。场地周边3</w:t>
            </w:r>
            <w:r>
              <w:rPr>
                <w:rFonts w:hint="eastAsia" w:ascii="Times New Roman" w:hAnsi="Times New Roman" w:eastAsia="仿宋_GB2312" w:cs="Times New Roman"/>
                <w:color w:val="auto"/>
                <w:sz w:val="24"/>
                <w:szCs w:val="24"/>
                <w:highlight w:val="none"/>
                <w:lang w:val="en-US" w:eastAsia="zh-CN"/>
              </w:rPr>
              <w:t>公里范围内无工业污染源，空气质量优良，土壤肥沃且未受污染，符合中药材种苗培育对生态环境的严苛要求。东侧紧邻乡村主干道，交通便利，便于种苗运输及生产物资的进场；南侧为连片农田，种植结构以粮食作物为主，可形成天然的生态隔离带，减少病虫害交叉传播风险；西侧和北侧为低矮丘陵，植被覆盖率高，既能调节区域微气候，又能为种苗培育提供良好的生态屏障。周边现有天然水系从场地北侧经过，可通过蓄水池及泵房接入基地灌溉系统，保障种苗培育过程中的稳定水源供应，同时电力设施已覆盖至场地边缘，无需大规模线路改造即可满足基地生产用电需求。</w:t>
            </w:r>
            <w:r>
              <w:rPr>
                <w:rFonts w:hint="default" w:ascii="Times New Roman" w:hAnsi="Times New Roman" w:eastAsia="仿宋_GB2312" w:cs="Times New Roman"/>
                <w:color w:val="auto"/>
                <w:sz w:val="24"/>
                <w:szCs w:val="24"/>
                <w:highlight w:val="none"/>
                <w:lang w:val="en-US" w:eastAsia="zh-CN"/>
              </w:rPr>
              <w:t>项目区利用现状河流新建1000m³</w:t>
            </w:r>
            <w:r>
              <w:rPr>
                <w:rFonts w:hint="eastAsia" w:ascii="Times New Roman" w:hAnsi="Times New Roman" w:eastAsia="仿宋_GB2312" w:cs="Times New Roman"/>
                <w:color w:val="auto"/>
                <w:sz w:val="24"/>
                <w:szCs w:val="24"/>
                <w:highlight w:val="none"/>
                <w:lang w:val="en-US" w:eastAsia="zh-CN"/>
              </w:rPr>
              <w:t>蓄水池作为水源，下游修建截水墙实施蓄水，接近</w:t>
            </w:r>
            <w:r>
              <w:rPr>
                <w:rFonts w:hint="eastAsia" w:eastAsia="仿宋_GB2312" w:cs="Times New Roman"/>
                <w:color w:val="auto"/>
                <w:sz w:val="24"/>
                <w:szCs w:val="24"/>
                <w:highlight w:val="none"/>
                <w:lang w:val="en-US" w:eastAsia="zh-CN"/>
              </w:rPr>
              <w:t>泵房</w:t>
            </w:r>
            <w:r>
              <w:rPr>
                <w:rFonts w:hint="eastAsia" w:ascii="Times New Roman" w:hAnsi="Times New Roman" w:eastAsia="仿宋_GB2312" w:cs="Times New Roman"/>
                <w:color w:val="auto"/>
                <w:sz w:val="24"/>
                <w:szCs w:val="24"/>
                <w:highlight w:val="none"/>
                <w:lang w:val="en-US" w:eastAsia="zh-CN"/>
              </w:rPr>
              <w:t>位置设置集水槽，在通过泵房接至田间实施灌溉。布置</w:t>
            </w:r>
            <w:r>
              <w:rPr>
                <w:rFonts w:hint="default" w:ascii="Times New Roman" w:hAnsi="Times New Roman" w:eastAsia="仿宋_GB2312" w:cs="Times New Roman"/>
                <w:color w:val="auto"/>
                <w:sz w:val="24"/>
                <w:szCs w:val="24"/>
                <w:highlight w:val="none"/>
                <w:lang w:val="en-US" w:eastAsia="zh-CN"/>
              </w:rPr>
              <w:t>1100</w:t>
            </w:r>
            <w:r>
              <w:rPr>
                <w:rFonts w:hint="eastAsia" w:ascii="Times New Roman" w:hAnsi="Times New Roman" w:eastAsia="仿宋_GB2312" w:cs="Times New Roman"/>
                <w:color w:val="auto"/>
                <w:sz w:val="24"/>
                <w:szCs w:val="24"/>
                <w:highlight w:val="none"/>
                <w:lang w:val="en-US" w:eastAsia="zh-CN"/>
              </w:rPr>
              <w:t>亩耕地种植中药材。</w:t>
            </w:r>
            <w:r>
              <w:rPr>
                <w:rFonts w:hint="default" w:ascii="Times New Roman" w:hAnsi="Times New Roman" w:eastAsia="仿宋_GB2312" w:cs="Times New Roman"/>
                <w:color w:val="auto"/>
                <w:sz w:val="24"/>
                <w:szCs w:val="24"/>
                <w:highlight w:val="none"/>
              </w:rPr>
              <w:t>本工程平面布置图见</w:t>
            </w:r>
            <w:r>
              <w:rPr>
                <w:rFonts w:hint="eastAsia" w:eastAsia="仿宋_GB2312" w:cs="Times New Roman"/>
                <w:color w:val="auto"/>
                <w:sz w:val="24"/>
                <w:szCs w:val="24"/>
                <w:highlight w:val="none"/>
                <w:lang w:val="en-US" w:eastAsia="zh-CN"/>
              </w:rPr>
              <w:t>附图8。</w:t>
            </w:r>
          </w:p>
          <w:p w14:paraId="006AE8E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default"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六盘山镇中药材物流中转集散地建设工程总平面设计</w:t>
            </w:r>
          </w:p>
          <w:p w14:paraId="34D82C8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现状地形为长条形地块，建筑布置沿长向合理布置。</w:t>
            </w:r>
          </w:p>
          <w:p w14:paraId="54D67933">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功能分区明确：综合保障与核心加工区：“新建中药材综合</w:t>
            </w:r>
            <w:r>
              <w:rPr>
                <w:rFonts w:hint="eastAsia" w:eastAsia="仿宋_GB2312" w:cs="Times New Roman"/>
                <w:color w:val="auto"/>
                <w:sz w:val="24"/>
                <w:szCs w:val="24"/>
                <w:highlight w:val="none"/>
                <w:lang w:val="en-US" w:eastAsia="zh-CN"/>
              </w:rPr>
              <w:t>保障</w:t>
            </w:r>
            <w:r>
              <w:rPr>
                <w:rFonts w:hint="eastAsia" w:ascii="Times New Roman" w:hAns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1100</w:t>
            </w:r>
            <w:r>
              <w:rPr>
                <w:rFonts w:hint="eastAsia" w:ascii="Times New Roman" w:hAnsi="Times New Roman" w:eastAsia="仿宋_GB2312" w:cs="Times New Roman"/>
                <w:color w:val="auto"/>
                <w:sz w:val="24"/>
                <w:szCs w:val="24"/>
                <w:highlight w:val="none"/>
                <w:lang w:val="en-US" w:eastAsia="zh-CN"/>
              </w:rPr>
              <w:t>㎡）是综合保障与核心加工区，位于场地相对中心或重要位置，承担主要加工与存储功能。精加工与质量控制区：“新建中药材分拣与包装区”（</w:t>
            </w:r>
            <w:r>
              <w:rPr>
                <w:rFonts w:hint="default" w:ascii="Times New Roman" w:hAnsi="Times New Roman" w:eastAsia="仿宋_GB2312" w:cs="Times New Roman"/>
                <w:color w:val="auto"/>
                <w:sz w:val="24"/>
                <w:szCs w:val="24"/>
                <w:highlight w:val="none"/>
                <w:lang w:val="en-US" w:eastAsia="zh-CN"/>
              </w:rPr>
              <w:t xml:space="preserve">550 </w:t>
            </w:r>
            <w:r>
              <w:rPr>
                <w:rFonts w:hint="eastAsia" w:ascii="Times New Roman" w:hAnsi="Times New Roman" w:eastAsia="仿宋_GB2312" w:cs="Times New Roman"/>
                <w:color w:val="auto"/>
                <w:sz w:val="24"/>
                <w:szCs w:val="24"/>
                <w:highlight w:val="none"/>
                <w:lang w:val="en-US" w:eastAsia="zh-CN"/>
              </w:rPr>
              <w:t>㎡）和“新建中药材质量检测中心”（</w:t>
            </w:r>
            <w:r>
              <w:rPr>
                <w:rFonts w:hint="default" w:ascii="Times New Roman" w:hAnsi="Times New Roman" w:eastAsia="仿宋_GB2312" w:cs="Times New Roman"/>
                <w:color w:val="auto"/>
                <w:sz w:val="24"/>
                <w:szCs w:val="24"/>
                <w:highlight w:val="none"/>
                <w:lang w:val="en-US" w:eastAsia="zh-CN"/>
              </w:rPr>
              <w:t>450</w:t>
            </w:r>
            <w:r>
              <w:rPr>
                <w:rFonts w:hint="eastAsia" w:ascii="Times New Roman" w:hAnsi="Times New Roman" w:eastAsia="仿宋_GB2312" w:cs="Times New Roman"/>
                <w:color w:val="auto"/>
                <w:sz w:val="24"/>
                <w:szCs w:val="24"/>
                <w:highlight w:val="none"/>
                <w:lang w:val="en-US" w:eastAsia="zh-CN"/>
              </w:rPr>
              <w:t>㎡）在功能上紧密关联，布局上应相邻或靠近，形成从分拣、包装到质量检测的连贯流水线。物流转运区：“新建物流中转区”（</w:t>
            </w:r>
            <w:r>
              <w:rPr>
                <w:rFonts w:hint="default" w:ascii="Times New Roman" w:hAnsi="Times New Roman" w:eastAsia="仿宋_GB2312" w:cs="Times New Roman"/>
                <w:color w:val="auto"/>
                <w:sz w:val="24"/>
                <w:szCs w:val="24"/>
                <w:highlight w:val="none"/>
                <w:lang w:val="en-US" w:eastAsia="zh-CN"/>
              </w:rPr>
              <w:t>300</w:t>
            </w:r>
            <w:r>
              <w:rPr>
                <w:rFonts w:hint="eastAsia" w:ascii="Times New Roman" w:hAnsi="Times New Roman" w:eastAsia="仿宋_GB2312" w:cs="Times New Roman"/>
                <w:color w:val="auto"/>
                <w:sz w:val="24"/>
                <w:szCs w:val="24"/>
                <w:highlight w:val="none"/>
                <w:lang w:val="en-US" w:eastAsia="zh-CN"/>
              </w:rPr>
              <w:t>㎡）作为对外的枢纽，其位置紧邻场区道路，便于货物运输车辆的进出、装卸，有效避免了物流流线与生产流线的交叉干扰。流线组织合理：物流流线：从“物流中转区”到“综合保障区”，再到“分拣包装区”和“质量检测中心”，最后成品返回“物流中转区”运出，形成了一个清晰、单向的物料流动路径，有利于提高生产效率。人流与车流：场地内设置了“硬化”地面和“铺砖”区域，明确了交通路径。主</w:t>
            </w:r>
            <w:r>
              <w:rPr>
                <w:rFonts w:hint="default" w:ascii="Times New Roman" w:hAnsi="Times New Roman" w:eastAsia="仿宋_GB2312" w:cs="Times New Roman"/>
                <w:color w:val="auto"/>
                <w:sz w:val="24"/>
                <w:szCs w:val="24"/>
                <w:highlight w:val="none"/>
                <w:lang w:val="en-US" w:eastAsia="zh-CN"/>
              </w:rPr>
              <w:t>要道路系统能够连接各个功能区，并满足消防通道的要求。</w:t>
            </w:r>
            <w:r>
              <w:rPr>
                <w:rFonts w:hint="default" w:ascii="Times New Roman" w:hAnsi="Times New Roman" w:eastAsia="仿宋_GB2312" w:cs="Times New Roman"/>
                <w:color w:val="auto"/>
                <w:sz w:val="24"/>
                <w:szCs w:val="24"/>
                <w:highlight w:val="none"/>
              </w:rPr>
              <w:t>本工程平面布置图见</w:t>
            </w:r>
            <w:r>
              <w:rPr>
                <w:rFonts w:hint="eastAsia" w:eastAsia="仿宋_GB2312" w:cs="Times New Roman"/>
                <w:color w:val="auto"/>
                <w:sz w:val="24"/>
                <w:szCs w:val="24"/>
                <w:highlight w:val="none"/>
                <w:lang w:val="en-US" w:eastAsia="zh-CN"/>
              </w:rPr>
              <w:t>附图9。</w:t>
            </w:r>
          </w:p>
          <w:p w14:paraId="2193E3F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5</w:t>
            </w:r>
            <w:r>
              <w:rPr>
                <w:rFonts w:hint="eastAsia" w:ascii="Times New Roman" w:hAnsi="Times New Roman" w:eastAsia="仿宋_GB2312" w:cs="Times New Roman"/>
                <w:b/>
                <w:bCs/>
                <w:color w:val="auto"/>
                <w:sz w:val="24"/>
                <w:szCs w:val="24"/>
                <w:highlight w:val="none"/>
                <w:lang w:val="en-US" w:eastAsia="zh-CN"/>
              </w:rPr>
              <w:t>.</w:t>
            </w:r>
            <w:r>
              <w:rPr>
                <w:rFonts w:hint="default" w:ascii="Times New Roman" w:hAnsi="Times New Roman" w:eastAsia="仿宋_GB2312" w:cs="Times New Roman"/>
                <w:b/>
                <w:bCs/>
                <w:color w:val="auto"/>
                <w:sz w:val="24"/>
                <w:szCs w:val="24"/>
                <w:highlight w:val="none"/>
                <w:lang w:val="en-US" w:eastAsia="zh-CN"/>
              </w:rPr>
              <w:t>六盘山镇中药材分拣包装晾晒车间建设项目总平面设计</w:t>
            </w:r>
          </w:p>
          <w:p w14:paraId="302646A5">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该项目总平面布置严格遵守科学性、节约用地的原则，建筑布局紧凑、交通便捷、管理方便、通风条件良好，为中药材加工提供良好的工作环境。建筑设计应走向开放，空间设计突出实用。</w:t>
            </w:r>
          </w:p>
          <w:p w14:paraId="34963A4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现状地形为较为方正地块，建筑在空地位置合理布置。本项目成品库布置于建设用地的西侧空地位置，车间东侧设置原料入口及成品出口及装车区域，车间东侧区域实施混凝土硬化，便于原料卸载与成品运输的高效周转。场地较为宽裕，能满足消防车辆通行要求，整体布局实现了生产、仓储、办公、物流的有机融合，兼顾了操作便捷性与空间利用率。</w:t>
            </w:r>
            <w:r>
              <w:rPr>
                <w:rFonts w:hint="default" w:ascii="Times New Roman" w:hAnsi="Times New Roman" w:eastAsia="仿宋_GB2312" w:cs="Times New Roman"/>
                <w:color w:val="auto"/>
                <w:sz w:val="24"/>
                <w:szCs w:val="24"/>
                <w:highlight w:val="none"/>
              </w:rPr>
              <w:t>本工程平面布置图见</w:t>
            </w:r>
            <w:r>
              <w:rPr>
                <w:rFonts w:hint="eastAsia" w:eastAsia="仿宋_GB2312" w:cs="Times New Roman"/>
                <w:color w:val="auto"/>
                <w:sz w:val="24"/>
                <w:szCs w:val="24"/>
                <w:highlight w:val="none"/>
                <w:lang w:val="en-US" w:eastAsia="zh-CN"/>
              </w:rPr>
              <w:t>附图10。</w:t>
            </w:r>
          </w:p>
          <w:p w14:paraId="7B36DD6F">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default"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6.</w:t>
            </w:r>
            <w:r>
              <w:rPr>
                <w:rFonts w:hint="default" w:ascii="Times New Roman" w:hAnsi="Times New Roman" w:eastAsia="仿宋_GB2312" w:cs="Times New Roman"/>
                <w:b/>
                <w:bCs/>
                <w:color w:val="auto"/>
                <w:sz w:val="24"/>
                <w:szCs w:val="24"/>
                <w:highlight w:val="none"/>
                <w:lang w:val="en-US" w:eastAsia="zh-CN"/>
              </w:rPr>
              <w:t>大湾乡中药材分拣包装晾晒车间建设工程总平面设计</w:t>
            </w:r>
          </w:p>
          <w:p w14:paraId="6644860E">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该项目总平面布置严格遵守科学性、节约用地的原则，建筑布局紧凑、交通便捷、管理方便、通风条件良好，为中药材加工提供良好的工作环境。建筑设计应走向开放，空间设计突出实用。</w:t>
            </w:r>
          </w:p>
          <w:p w14:paraId="6BC90C2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现状地形为较为方正地块，建筑在空地位置合理布置。本项目中药材分拣包装车间布置于建设用地的中心位置，车间南侧设置原料入口及成品出口及装车区域，车间南侧区域实施混凝土硬化，便于原料卸载与成品运输的高效周转。场地较为宽裕，能满足消防车辆通行要求，整体布局实现了生产、仓储、物流的有机融合，兼顾了操作便捷性与空间利用率。</w:t>
            </w:r>
            <w:r>
              <w:rPr>
                <w:rFonts w:hint="default" w:ascii="Times New Roman" w:hAnsi="Times New Roman" w:eastAsia="仿宋_GB2312" w:cs="Times New Roman"/>
                <w:color w:val="auto"/>
                <w:sz w:val="24"/>
                <w:szCs w:val="24"/>
                <w:highlight w:val="none"/>
              </w:rPr>
              <w:t>本工程平面布置图见</w:t>
            </w:r>
            <w:r>
              <w:rPr>
                <w:rFonts w:hint="eastAsia" w:eastAsia="仿宋_GB2312" w:cs="Times New Roman"/>
                <w:color w:val="auto"/>
                <w:sz w:val="24"/>
                <w:szCs w:val="24"/>
                <w:highlight w:val="none"/>
                <w:lang w:val="en-US" w:eastAsia="zh-CN"/>
              </w:rPr>
              <w:t>附图11。</w:t>
            </w:r>
          </w:p>
          <w:p w14:paraId="5F6FCC5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综上所述，本工程布局紧凑、合理，扰动面积小，从而减轻了水土流失危害，工程建设方案总体合理，符合水土保持要求。在此基础上，本项目建成后完善了现状灌区高效灌溉调蓄体系，提高灌溉保证率。</w:t>
            </w:r>
          </w:p>
          <w:p w14:paraId="5774F1C5">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二、施工布置合理性</w:t>
            </w:r>
          </w:p>
          <w:p w14:paraId="7529D1D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施工运输分场外运输和场内运输两部分。工程所需建筑材料及器材设备，除部分当地建筑材料可以就近开采供应外，其它建筑材料、施工机具、生活物资均由外地输入。对外交通运输与进场道路结合本工程布置，选择场外运输为公路运输方案，外部器材物资主要以省道作为运输干道，将工程物资运到施工地点。当地建筑材料料场均为在开采料场，施工场地均有便道相通。</w:t>
            </w:r>
          </w:p>
          <w:p w14:paraId="1838F78C">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eastAsia="仿宋_GB2312" w:cs="Times New Roman"/>
                <w:bCs/>
                <w:color w:val="auto"/>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rPr>
              <w:t>施工作业区仅限于临时堆放场地和施工场地占地范围内。项目分段施工，布局紧凑，施工临时占地面积小，有利于缩短施工时间，做到各段施工互不干扰，有利于进一步的控制施工扬尘、废水、固废对环境的影响。因此，从环保角度考虑，项目施工平面布置合理。</w:t>
            </w:r>
          </w:p>
        </w:tc>
      </w:tr>
      <w:tr w14:paraId="05C7487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atLeast"/>
          <w:jc w:val="center"/>
        </w:trPr>
        <w:tc>
          <w:tcPr>
            <w:tcW w:w="465" w:type="dxa"/>
            <w:tcBorders>
              <w:tl2br w:val="nil"/>
              <w:tr2bl w:val="nil"/>
            </w:tcBorders>
            <w:vAlign w:val="center"/>
          </w:tcPr>
          <w:p w14:paraId="40AF831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F93973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6F1C9C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A036A6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34CC91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EC1EB9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21F9A8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3EBFDA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8A1008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9627DD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DB38C4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44319C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4A1C55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80227F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09ECC1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22F82C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BF298F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C5AA4D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eastAsia="仿宋_GB2312" w:cs="Times New Roman"/>
                <w:b/>
                <w:bCs/>
                <w:color w:val="auto"/>
                <w:szCs w:val="24"/>
                <w:highlight w:val="none"/>
                <w:lang w:eastAsia="zh-CN"/>
              </w:rPr>
              <w:t>施工方案</w:t>
            </w:r>
          </w:p>
          <w:p w14:paraId="5075EB3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48A5B2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D6C79D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3AFC3F4">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A27A3B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3C8591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53C196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29343A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F75A67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DCDED6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B6ED28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6249CF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CC66AF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2A0921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7E159B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C63BC9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BB5FB9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4F396D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752572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2F0DB3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6A7F57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DFB93D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61D897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3CF6AD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8DFB74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BEC764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D0BB54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E7C51B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96F3E9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AC917F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4227B9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CFF183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D15C44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0825CA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eastAsia="仿宋_GB2312" w:cs="Times New Roman"/>
                <w:b/>
                <w:bCs/>
                <w:color w:val="auto"/>
                <w:szCs w:val="24"/>
                <w:highlight w:val="none"/>
                <w:lang w:eastAsia="zh-CN"/>
              </w:rPr>
              <w:t>施工方案</w:t>
            </w:r>
          </w:p>
          <w:p w14:paraId="203D9D3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A4F1AC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936437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9383CF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636BE6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66A41C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6841A4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A63697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DAD863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982068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3137DC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52831D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AA4255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12F7F7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B5AFB2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3EB20E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77175E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EA49D5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7084DC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CAB4D3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C100D0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2A5C02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1FA759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1DD7B9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1E5E26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75B7A1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ABE9FB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613109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848AF4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55998E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1FB59E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5ECA5D4">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894EEF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EBA19D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8E8472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5E14D8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E2AD84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8CC806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C8283D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CE52D11">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eastAsia="zh-CN"/>
              </w:rPr>
            </w:pPr>
          </w:p>
          <w:p w14:paraId="0EFF974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79573A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CD05FA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eastAsia="仿宋_GB2312" w:cs="Times New Roman"/>
                <w:b/>
                <w:bCs/>
                <w:color w:val="auto"/>
                <w:szCs w:val="24"/>
                <w:highlight w:val="none"/>
                <w:lang w:eastAsia="zh-CN"/>
              </w:rPr>
              <w:t>施工方案</w:t>
            </w:r>
          </w:p>
          <w:p w14:paraId="5729170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3C09AB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00EF7F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F4F171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9ADC37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907623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D1D582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75B514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928F87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7D4205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E7016E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CB5D3C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B30D88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17FF01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CD1116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8088C0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C8A602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8CF12F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1610CE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103368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1B22C0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6C6EF9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73E76E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D10625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FFFF7D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A95A87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F53520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DA1DFE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DB761E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2245BB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636E0C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56EAC2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D6417F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D84334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427079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7032E8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E5CD31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BFA736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FA7E6C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D976AD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19BBA6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7BEEB3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eastAsia="仿宋_GB2312" w:cs="Times New Roman"/>
                <w:b/>
                <w:bCs/>
                <w:color w:val="auto"/>
                <w:szCs w:val="24"/>
                <w:highlight w:val="none"/>
                <w:lang w:eastAsia="zh-CN"/>
              </w:rPr>
              <w:t>施工方案</w:t>
            </w:r>
          </w:p>
          <w:p w14:paraId="2E8A303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0DE49B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F651E7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96EF744">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B2094B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15712D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5439E0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FC9AB4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77D603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075FBB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5BBDC3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ED5185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1DC7DD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886D3F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9A3029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3A1FAD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435B2E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971C94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3D7012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24A5AE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647403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AE19B0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CBBECC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8D3CC6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F203F3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40CB95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10156A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CC9F76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9DC55E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D553F94">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1C9BC5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611B7B4">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3F400F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4F95FC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07F4CF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E4D2B8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396705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C8B3F1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B62422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F12BF7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8FCA71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21A326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eastAsia="仿宋_GB2312" w:cs="Times New Roman"/>
                <w:b/>
                <w:bCs/>
                <w:color w:val="auto"/>
                <w:szCs w:val="24"/>
                <w:highlight w:val="none"/>
                <w:lang w:eastAsia="zh-CN"/>
              </w:rPr>
              <w:t>施工方案</w:t>
            </w:r>
          </w:p>
          <w:p w14:paraId="2DD0A06D">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44C195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A9168F4">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3CD6CC4">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903CD3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4B3109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2E6361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4E343F5">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34076A4">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A11B5C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F6C3E2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8152C4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1B205B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D2B82B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1187C8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511F6E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7ABBD2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5D9251A">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3F46E5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DCDD21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F3CF02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D3A874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710636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68CCF3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BEBF90B">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CC2C64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295A16D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0F8671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85D924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16A500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8817623">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4E3D75C">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78CDD37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4AA5D4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35D481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eastAsia="仿宋_GB2312" w:cs="Times New Roman"/>
                <w:b/>
                <w:bCs/>
                <w:color w:val="auto"/>
                <w:szCs w:val="24"/>
                <w:highlight w:val="none"/>
                <w:lang w:eastAsia="zh-CN"/>
              </w:rPr>
              <w:t>施工方案</w:t>
            </w:r>
          </w:p>
          <w:p w14:paraId="44DFB666">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E17FEAF">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0645BCA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8331A0E">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806404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1114B84">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8A2A4A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5A3696D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89A8117">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780E360">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6047EF52">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10E104B9">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3B201FB1">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p>
          <w:p w14:paraId="47863C63">
            <w:pPr>
              <w:pStyle w:val="28"/>
              <w:adjustRightInd w:val="0"/>
              <w:snapToGrid w:val="0"/>
              <w:spacing w:before="0" w:beforeAutospacing="0" w:after="0" w:afterAutospacing="0"/>
              <w:jc w:val="both"/>
              <w:rPr>
                <w:rFonts w:hint="default" w:ascii="Times New Roman" w:hAnsi="Times New Roman" w:eastAsia="仿宋_GB2312" w:cs="Times New Roman"/>
                <w:b/>
                <w:bCs/>
                <w:color w:val="auto"/>
                <w:szCs w:val="24"/>
                <w:highlight w:val="none"/>
                <w:lang w:val="en-US" w:eastAsia="zh-CN"/>
              </w:rPr>
            </w:pPr>
          </w:p>
        </w:tc>
        <w:tc>
          <w:tcPr>
            <w:tcW w:w="8736" w:type="dxa"/>
            <w:gridSpan w:val="2"/>
            <w:tcBorders>
              <w:tl2br w:val="nil"/>
              <w:tr2bl w:val="nil"/>
            </w:tcBorders>
          </w:tcPr>
          <w:p w14:paraId="4ED6A6B4">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auto"/>
              <w:ind w:right="0" w:rightChars="0"/>
              <w:jc w:val="both"/>
              <w:textAlignment w:val="auto"/>
              <w:rPr>
                <w:rFonts w:hint="default"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一、施工工程方案</w:t>
            </w:r>
          </w:p>
          <w:p w14:paraId="25D4BD5C">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2" w:firstLineChars="200"/>
              <w:textAlignment w:val="auto"/>
              <w:rPr>
                <w:rFonts w:hint="eastAsia"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六盘山镇蜂蜜加工包装车间建设工程</w:t>
            </w:r>
          </w:p>
          <w:p w14:paraId="2A8975F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（1）工程概况 </w:t>
            </w:r>
          </w:p>
          <w:p w14:paraId="38A12C9C">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本工程位于六盘山镇，旨在通过对蜂蜜加工包装车间的改造与建设，实现当地蜂蜜产业的标准化加工、规范化存储及高效化包装。项目建成后，可显著提升蜂蜜产品质量，扩大产业规模，带动区域经济发展。建设内容明细：加工灌装车间：改造面积1375</w:t>
            </w:r>
            <w:r>
              <w:rPr>
                <w:rFonts w:hint="eastAsia" w:eastAsia="仿宋_GB2312" w:cs="Times New Roman"/>
                <w:color w:val="auto"/>
                <w:sz w:val="24"/>
                <w:szCs w:val="24"/>
                <w:highlight w:val="none"/>
                <w:lang w:val="en-US" w:eastAsia="zh-CN"/>
              </w:rPr>
              <w:t>m</w:t>
            </w:r>
            <w:r>
              <w:rPr>
                <w:rFonts w:hint="eastAsia"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，采用单层钢结构框架，檐高6.5m，柱距8m×8m。原料库及成品库：总改造面积11950</w:t>
            </w:r>
            <w:r>
              <w:rPr>
                <w:rFonts w:hint="eastAsia" w:eastAsia="仿宋_GB2312" w:cs="Times New Roman"/>
                <w:color w:val="auto"/>
                <w:sz w:val="24"/>
                <w:szCs w:val="24"/>
                <w:highlight w:val="none"/>
                <w:lang w:val="en-US" w:eastAsia="zh-CN"/>
              </w:rPr>
              <w:t>m</w:t>
            </w:r>
            <w:r>
              <w:rPr>
                <w:rFonts w:hint="eastAsia"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，其中原料库7000</w:t>
            </w:r>
            <w:r>
              <w:rPr>
                <w:rFonts w:hint="eastAsia" w:eastAsia="仿宋_GB2312" w:cs="Times New Roman"/>
                <w:color w:val="auto"/>
                <w:sz w:val="24"/>
                <w:szCs w:val="24"/>
                <w:highlight w:val="none"/>
                <w:lang w:val="en-US" w:eastAsia="zh-CN"/>
              </w:rPr>
              <w:t>m</w:t>
            </w:r>
            <w:r>
              <w:rPr>
                <w:rFonts w:hint="eastAsia"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、成品库4950</w:t>
            </w:r>
            <w:r>
              <w:rPr>
                <w:rFonts w:hint="eastAsia" w:eastAsia="仿宋_GB2312" w:cs="Times New Roman"/>
                <w:color w:val="auto"/>
                <w:sz w:val="24"/>
                <w:szCs w:val="24"/>
                <w:highlight w:val="none"/>
                <w:lang w:val="en-US" w:eastAsia="zh-CN"/>
              </w:rPr>
              <w:t>m</w:t>
            </w:r>
            <w:r>
              <w:rPr>
                <w:rFonts w:hint="eastAsia"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，均为单层轻钢屋面结构，檐高5.8m，柱距9m×10m。原料接收与预处理系统：涵盖接收、过滤、预热等全套设备，设计处理能力5吨/小时。</w:t>
            </w:r>
          </w:p>
          <w:p w14:paraId="3264EB67">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灌装与包装系统：配置3条全自动生产线，适配250g～5kg多种包装规格，设计产能8000瓶/小时。</w:t>
            </w:r>
          </w:p>
          <w:p w14:paraId="3898031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2</w:t>
            </w:r>
            <w:r>
              <w:rPr>
                <w:rFonts w:hint="eastAsia" w:ascii="Times New Roman" w:hAnsi="Times New Roman" w:eastAsia="仿宋_GB2312" w:cs="Times New Roman"/>
                <w:color w:val="auto"/>
                <w:sz w:val="24"/>
                <w:szCs w:val="24"/>
                <w:highlight w:val="none"/>
                <w:lang w:val="en-US" w:eastAsia="zh-CN"/>
              </w:rPr>
              <w:t xml:space="preserve">）详细设计内容及图纸说明 </w:t>
            </w:r>
          </w:p>
          <w:p w14:paraId="2E98CF08">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1）加工灌装车间改造</w:t>
            </w:r>
          </w:p>
          <w:p w14:paraId="6A48D30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①区域划分及尺寸</w:t>
            </w:r>
          </w:p>
          <w:p w14:paraId="02258865">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清洗区：15m×12m=180</w:t>
            </w:r>
            <w:r>
              <w:rPr>
                <w:rFonts w:hint="eastAsia" w:eastAsia="仿宋_GB2312" w:cs="Times New Roman"/>
                <w:color w:val="auto"/>
                <w:sz w:val="24"/>
                <w:szCs w:val="24"/>
                <w:highlight w:val="none"/>
                <w:lang w:val="en-US" w:eastAsia="zh-CN"/>
              </w:rPr>
              <w:t>m</w:t>
            </w:r>
            <w:r>
              <w:rPr>
                <w:rFonts w:hint="eastAsia"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，设置3个高压清洗工位（设备型号：XQ-800，工作压力30MPa）、2个消毒池（长3m×宽1.5m×深0.8m，采用臭氧消毒）。加工区：25m×18m=450</w:t>
            </w:r>
            <w:r>
              <w:rPr>
                <w:rFonts w:hint="eastAsia" w:eastAsia="仿宋_GB2312" w:cs="Times New Roman"/>
                <w:color w:val="auto"/>
                <w:sz w:val="24"/>
                <w:szCs w:val="24"/>
                <w:highlight w:val="none"/>
                <w:lang w:val="en-US" w:eastAsia="zh-CN"/>
              </w:rPr>
              <w:t>m</w:t>
            </w:r>
            <w:r>
              <w:rPr>
                <w:rFonts w:hint="eastAsia"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，安装离心过滤器（GL-1000，处理量 1000L/h）2台、真空浓缩机（ZN-500，蒸发量500kg/h）1台，设备间距≥1.5m，主通道宽3m。</w:t>
            </w:r>
          </w:p>
          <w:p w14:paraId="1602CC3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灌装区：30m×20m=600</w:t>
            </w:r>
            <w:r>
              <w:rPr>
                <w:rFonts w:hint="eastAsia" w:eastAsia="仿宋_GB2312" w:cs="Times New Roman"/>
                <w:color w:val="auto"/>
                <w:sz w:val="24"/>
                <w:szCs w:val="24"/>
                <w:highlight w:val="none"/>
                <w:lang w:val="en-US" w:eastAsia="zh-CN"/>
              </w:rPr>
              <w:t>m</w:t>
            </w:r>
            <w:r>
              <w:rPr>
                <w:rFonts w:hint="eastAsia"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，布置3条灌装线（型号：GZ-200，灌装精度±0.5%），每条线长15m，线间距 2.5m，配备空气净化系统（class10万级，换气次数15次/h）。</w:t>
            </w:r>
          </w:p>
          <w:p w14:paraId="7389458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检验区：8m×10m=80</w:t>
            </w:r>
            <w:r>
              <w:rPr>
                <w:rFonts w:hint="eastAsia" w:eastAsia="仿宋_GB2312" w:cs="Times New Roman"/>
                <w:color w:val="auto"/>
                <w:sz w:val="24"/>
                <w:szCs w:val="24"/>
                <w:highlight w:val="none"/>
                <w:lang w:val="en-US" w:eastAsia="zh-CN"/>
              </w:rPr>
              <w:t>m</w:t>
            </w:r>
            <w:r>
              <w:rPr>
                <w:rFonts w:hint="eastAsia"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，放置原子吸收分光光度计（AA-6300）、菌落计数器（JJ-2）等设备，设置2个检验台（长2m×宽0.8m）。</w:t>
            </w:r>
          </w:p>
          <w:p w14:paraId="5BAEAA8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辅助区：12m×7.08m=85</w:t>
            </w:r>
            <w:r>
              <w:rPr>
                <w:rFonts w:hint="eastAsia" w:eastAsia="仿宋_GB2312" w:cs="Times New Roman"/>
                <w:color w:val="auto"/>
                <w:sz w:val="24"/>
                <w:szCs w:val="24"/>
                <w:highlight w:val="none"/>
                <w:lang w:val="en-US" w:eastAsia="zh-CN"/>
              </w:rPr>
              <w:t>m</w:t>
            </w:r>
            <w:r>
              <w:rPr>
                <w:rFonts w:hint="eastAsia"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 xml:space="preserve">，含6个更衣柜（尺寸0.8m×0.5m×1.8m）、4个休息座椅及15㎡物料暂存架（层高0.5m，共5层）。 </w:t>
            </w:r>
          </w:p>
          <w:p w14:paraId="7573B4A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②构造细节</w:t>
            </w:r>
          </w:p>
          <w:p w14:paraId="77974717">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地面：采用3mm厚环氧树脂自流平，向排水口找坡0.5%，墙角做50mm圆弧处理。</w:t>
            </w:r>
          </w:p>
          <w:p w14:paraId="440F843E">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墙面：2.5m高以下贴300mm×600mm釉面砖，以上刷防霉乳胶漆，吊顶为铝合金扣板（厚度0.8mm）。</w:t>
            </w:r>
          </w:p>
          <w:p w14:paraId="668140DE">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门窗：入口设双扇防蝇门（宽1.8m×高 2.2m），车间内门为不锈钢推拉门（宽1.2m×2.1m），窗户安装防虫网。</w:t>
            </w:r>
          </w:p>
          <w:p w14:paraId="0C10F22F">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2）原料库及成品库改造</w:t>
            </w:r>
          </w:p>
          <w:p w14:paraId="42E617B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①原料库（7000</w:t>
            </w:r>
            <w:r>
              <w:rPr>
                <w:rFonts w:hint="eastAsia" w:eastAsia="仿宋_GB2312" w:cs="Times New Roman"/>
                <w:color w:val="auto"/>
                <w:sz w:val="24"/>
                <w:szCs w:val="24"/>
                <w:highlight w:val="none"/>
                <w:lang w:val="en-US" w:eastAsia="zh-CN"/>
              </w:rPr>
              <w:t>m</w:t>
            </w:r>
            <w:r>
              <w:rPr>
                <w:rFonts w:hint="eastAsia"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w:t>
            </w:r>
          </w:p>
          <w:p w14:paraId="3394C815">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存储区：采用横梁式货架（规格L2.7m×D1.2m×H4.5m），共120组，每组8层，可存放50kg桶装蜂蜜128桶/组。</w:t>
            </w:r>
          </w:p>
          <w:p w14:paraId="2C1BB048">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验收区：20m×15m=300</w:t>
            </w:r>
            <w:r>
              <w:rPr>
                <w:rFonts w:hint="eastAsia" w:eastAsia="仿宋_GB2312" w:cs="Times New Roman"/>
                <w:color w:val="auto"/>
                <w:sz w:val="24"/>
                <w:szCs w:val="24"/>
                <w:highlight w:val="none"/>
                <w:lang w:val="en-US" w:eastAsia="zh-CN"/>
              </w:rPr>
              <w:t>m</w:t>
            </w:r>
            <w:r>
              <w:rPr>
                <w:rFonts w:hint="eastAsia"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，配备地磅（量程5t，精度0.1kg）、抽样台（长3m×宽 1.2m）。</w:t>
            </w:r>
          </w:p>
          <w:p w14:paraId="317A45A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温湿度控制：安装工业除湿机（CFZ-10，除湿量10kg/h）20台、冷暖空调（5P柜机）35台，配备温湿度记录仪（TH-808）实时监控。</w:t>
            </w:r>
          </w:p>
          <w:p w14:paraId="6D1BEB6A">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②成品库（4950㎡） </w:t>
            </w:r>
          </w:p>
          <w:p w14:paraId="23C2A1C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分区存储：按产品规格分 A（250g瓶装）、B（500g瓶装）、C（1kg瓶装）、D（5kg桶装）四个区域，每个区域采用驶入式货架（L6m×D1.5m×H4m），共80组。</w:t>
            </w:r>
          </w:p>
          <w:p w14:paraId="0ADD2438">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搬运设备：配置3吨叉车（CPC30）5台、液压托盘车（承载2t）10台，设置叉车充电区（10m×8m）。</w:t>
            </w:r>
          </w:p>
          <w:p w14:paraId="252BC07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③建筑改造 </w:t>
            </w:r>
          </w:p>
          <w:p w14:paraId="51427F7A">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屋面：新增100mm厚聚氨酯保温层，铺设0.4mm 厚彩钢板。地面：做200mm厚C30混凝土垫层，表面固化处理，承载力≥5t/</w:t>
            </w:r>
            <w:r>
              <w:rPr>
                <w:rFonts w:hint="eastAsia" w:eastAsia="仿宋_GB2312" w:cs="Times New Roman"/>
                <w:color w:val="auto"/>
                <w:sz w:val="24"/>
                <w:szCs w:val="24"/>
                <w:highlight w:val="none"/>
                <w:lang w:val="en-US" w:eastAsia="zh-CN"/>
              </w:rPr>
              <w:t>m</w:t>
            </w:r>
            <w:r>
              <w:rPr>
                <w:rFonts w:hint="eastAsia"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w:t>
            </w:r>
          </w:p>
          <w:p w14:paraId="0D0B8B8C">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消防系统：安装自动喷水灭火系统（间距 3.6m×3.6m）、烟感报警器（保护半径5.8m），配备35kg推车式干粉灭火器20组。</w:t>
            </w:r>
          </w:p>
          <w:p w14:paraId="19749BA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3）原料接收与预处理系统</w:t>
            </w:r>
          </w:p>
          <w:p w14:paraId="5833443F">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①原料接收单元</w:t>
            </w:r>
          </w:p>
          <w:p w14:paraId="12F00D38">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接收平台：高1.2m，长8m×宽 4m，设防滑花纹钢板，配备皮带输送机（B650，速度1.2m/s）2条，输送量 2t/h。 </w:t>
            </w:r>
          </w:p>
          <w:p w14:paraId="0B1AA92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过滤装置：振动筛（ZS-1000，筛网孔径 80 目）1 台，连接储料罐（5m³，材质304不锈钢）2个。</w:t>
            </w:r>
          </w:p>
          <w:p w14:paraId="3273F11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②预处理单元 </w:t>
            </w:r>
          </w:p>
          <w:p w14:paraId="55E3B4C5">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预热系统：水浴式预热罐（2m³，温度控制 50-55℃±1℃）1 台，配套蒸汽发生器（40kg/h）。</w:t>
            </w:r>
          </w:p>
          <w:p w14:paraId="5758E47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过滤净化：一级粗滤（板框过滤器，滤布100目）→二级精滤（硅藻土过滤机，精度5μm）→三级离心分离（GF105，转速3000r/min），管道直径DN100，材质 316不锈钢。</w:t>
            </w:r>
          </w:p>
          <w:p w14:paraId="5FF2B93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③控制系统 </w:t>
            </w:r>
          </w:p>
          <w:p w14:paraId="7E980AC8">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采用PLC控制柜（S7-1200），可实时监控流量、温度、压力参数，配备触摸屏（10.1英寸）实现手动/自动切换。 </w:t>
            </w:r>
          </w:p>
          <w:p w14:paraId="7CE3B4F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4）灌装与包装系统 </w:t>
            </w:r>
          </w:p>
          <w:p w14:paraId="752C7D73">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①灌装系统 </w:t>
            </w:r>
          </w:p>
          <w:p w14:paraId="0B7D251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灌装机：活塞式灌装机（GZ-200）3 台，适配瓶型直径 30～100mm，高度50～200mm，灌装速度 50-120 瓶/分钟，配备自动上盖机（速度同步）。 </w:t>
            </w:r>
          </w:p>
          <w:p w14:paraId="30041E0A">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理瓶机：LP-800，产能 150 瓶/分钟，与灌装机无缝对接，设置缺瓶停机保护。 </w:t>
            </w:r>
          </w:p>
          <w:p w14:paraId="2064330A">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②包装系统</w:t>
            </w:r>
          </w:p>
          <w:p w14:paraId="292C3EC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贴标机：TB-150，适用标签尺寸 20～100mm×10～80mm，定位精度±1mm，速度 150 瓶/分钟。</w:t>
            </w:r>
          </w:p>
          <w:p w14:paraId="2594EC1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2"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六盘山镇智能化蜂箱改造建设项目</w:t>
            </w:r>
          </w:p>
          <w:p w14:paraId="18B93528">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一、智能蜂箱各系统设计</w:t>
            </w:r>
          </w:p>
          <w:p w14:paraId="45E1578E">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（一）智能监控系统</w:t>
            </w:r>
          </w:p>
          <w:p w14:paraId="0190A43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（1）传感器选型与布局</w:t>
            </w:r>
          </w:p>
          <w:p w14:paraId="1AC38EE5">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温湿度传感器：选用SHT31型温湿度传感器，该传感器精度高，响应速度快，能够实时准确地监测蜂箱内的温度和湿度。在每个蜂箱内部的上、中、下位置各安装一个温湿度传感器，以获取不同层次的温湿度数据，确保数据的全面性和准确性。</w:t>
            </w:r>
          </w:p>
          <w:p w14:paraId="31AAF4FF">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光照传感器：采用 BH1750 型光照传感器，用于监测蜂箱内的光照强度。将其安装在蜂箱顶部靠近巢脾的位置，避免受到蜜蜂活动的干扰，准确感知光照变化。</w:t>
            </w:r>
          </w:p>
          <w:p w14:paraId="4FF1E58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气体传感器：MQ-135 型气体传感器可检测蜂箱内的有害气体浓度，如氨气、硫化氢等。将其安装在蜂箱底部通风口附近，及时监测有害气体的产生和积聚情况。</w:t>
            </w:r>
          </w:p>
          <w:p w14:paraId="33277A2F">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蜜蜂活动监测传感器：利用红外传感器和压力传感器组合来监测蜜蜂的活动情况。在蜂箱出入口安装红外传感器，统计蜜蜂进出数量；在蜂箱底部安装压力传感器，通过监测蜂箱重量的变化，间接反映蜜蜂的活动强度和采蜜情况。</w:t>
            </w:r>
          </w:p>
          <w:p w14:paraId="6F1119B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（2）数据采集与传输 </w:t>
            </w:r>
          </w:p>
          <w:p w14:paraId="10D8B0C8">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每个蜂箱内安装一个数据采集终端，采用 STM32 系列微控制器作为核心处理器，负责采集各个传感器的数据。数据采集终端通过 RS485 总线与传感器连接，确保数据传输的稳定性和可靠性。 </w:t>
            </w:r>
          </w:p>
          <w:p w14:paraId="440D7235">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数据传输采用NB-IoT无线通信模块，将采集到的数据实时上传至云端服务器。NB-IoT具有覆盖范围广、功耗低、连接稳定等优点，适合在偏远的山区环境中使用，保证蜂箱数据能够及时、准确地传输到管理平台。</w:t>
            </w:r>
          </w:p>
          <w:p w14:paraId="0AD10D3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（3）数据存储与分析 </w:t>
            </w:r>
          </w:p>
          <w:p w14:paraId="2A42E06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在云端服务器上搭建数据库，采用 MySQL 数据库管理系统，对采集到的蜂箱数据进行存储。数据库设计遵循规范化原则，确保数据的完整性和一致性。利用大数据分析技术，对蜂箱内的环境参数、蜜蜂活动数据等进行深度分析。通过建立数学模型，预测蜜蜂的生长趋势、繁殖周期以及可能出现的健康问题，为养殖户提供科学的决策依据。通过分析温湿度数据的变化趋势，提前调整蜂箱的通风和保暖措施；根据蜜蜂活动数据的异常变化，及时发现蜂群可能存在的健康隐患。</w:t>
            </w:r>
          </w:p>
          <w:p w14:paraId="3BDA11F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2" w:firstLineChars="200"/>
              <w:textAlignment w:val="auto"/>
              <w:rPr>
                <w:rFonts w:hint="eastAsia"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六盘山镇中药材种苗培育基地建设项目</w:t>
            </w:r>
          </w:p>
          <w:p w14:paraId="7F94859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一、平田整地工程设计 </w:t>
            </w:r>
          </w:p>
          <w:p w14:paraId="768857EE">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（一）设计目标</w:t>
            </w:r>
          </w:p>
          <w:p w14:paraId="0EF2A3AA">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b w:val="0"/>
                <w:bCs w:val="0"/>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对500亩土地进行精准平整，确保土地平整度达到适宜中药材种苗生长的标准，同时优化土地布局，提升土地利用率，为后续的灌溉、种植等作业提供良好基础。通过土地平整，改善土壤结构，增强土壤保水保肥能力，为中药材种苗创</w:t>
            </w:r>
            <w:r>
              <w:rPr>
                <w:rFonts w:hint="eastAsia" w:ascii="Times New Roman" w:hAnsi="Times New Roman" w:eastAsia="仿宋_GB2312" w:cs="Times New Roman"/>
                <w:b w:val="0"/>
                <w:bCs w:val="0"/>
                <w:color w:val="auto"/>
                <w:sz w:val="24"/>
                <w:szCs w:val="24"/>
                <w:highlight w:val="none"/>
                <w:lang w:val="en-US" w:eastAsia="zh-CN"/>
              </w:rPr>
              <w:t xml:space="preserve">造优质的生长环境。 </w:t>
            </w:r>
          </w:p>
          <w:p w14:paraId="7E4A4DA8">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（二）场地测量与分析 </w:t>
            </w:r>
          </w:p>
          <w:p w14:paraId="68BFBAA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测量方法：运用高精度的 GPS 卫星定位系统与全站仪相结合的方式，对500亩项目区域进行全面、细致的地形测量。测量内容涵盖地形的起伏变化、高程数据以及土地边界的精确坐标等信息。</w:t>
            </w:r>
          </w:p>
          <w:p w14:paraId="192F1BF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数据分析：利用专业的地理信息系统（GIS）软件对测量所得数据进行深入分析。通过构建数字高程模型（DEM），直观展示项目区域的地形地貌特征，准确识别出高处、低洼处以及坡度变化情况，为后续的土地平整方案制定提供精准的数据支持。</w:t>
            </w:r>
          </w:p>
          <w:p w14:paraId="7F3718A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（三）土地平整规划 </w:t>
            </w:r>
          </w:p>
          <w:p w14:paraId="6D69C25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确定平整区域与标高：依据测量与分析结果，将项目区域划分为若干个平整单元。对于每个单元，综合考虑中药材种苗生长对地形的要求以及灌溉水流的走向，科学合理地确定平整后的设计标高。在确定标高时，确保整个区域的排水坡度在0.3%～0.5%之间，以保障良好的排水效果，避免积水影响种苗生长。</w:t>
            </w:r>
          </w:p>
          <w:p w14:paraId="4EFF25B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土方调配方案：采用先进的土方平衡计算软件，对各平整单元之间的土方进行精确计算与调配规划。遵循就近调配原则，尽量减少土方的远距离运输，降低施工成本与能耗。对于挖方区域，将挖出的土方合理调配至填方区域，确保挖填平衡，同时对多余土方进行妥善处理，如用于场地周边的地形塑造或按照相关规定运至指定弃土场。</w:t>
            </w:r>
          </w:p>
          <w:p w14:paraId="26244CC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（四）土壤改良措施 </w:t>
            </w:r>
          </w:p>
          <w:p w14:paraId="47DA360C">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土壤检测：在土地平整前，对项目区域内的土壤进行多点采样，送至专业土壤检测机构进行全面检测。检测指标包括土壤的酸碱度（pH 值）、有机质含量、氮磷钾等养分含量、土壤质地以及土壤中重金属和有害物质的含量等。</w:t>
            </w:r>
          </w:p>
          <w:p w14:paraId="4351CF7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改良方案制定：根据土壤检测结果，针对性地制定土壤改良方案。若土壤偏酸性，适量施加石灰进行中和；若土壤偏碱性，可添加石膏或硫磺粉进行调节。对于有机质含量较低的土壤，每亩均匀施入农家肥（如牛羊粪、猪粪等）或商品有机肥，深耕翻入土中，以增加土壤肥力与保水保肥能力。针对土壤中缺乏的氮、磷、钾等养分，依据检测数据与中药材种苗的需肥规律，合理确定化肥的施用量与配比，进行精准施肥。</w:t>
            </w:r>
          </w:p>
          <w:p w14:paraId="5E4B548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（五）施工工艺与质量控制 </w:t>
            </w:r>
          </w:p>
          <w:p w14:paraId="1A6A6655">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施工机械选择：选用大型推土机、平地机、挖掘机等先进施工机械进行土地平整作业。推土机用于大面积的土方推运与初步平整，平地机则对土地进行精细找平，确保平整度误差控制在±5厘米以内。挖掘机用于处理地形复杂区域以及进行土方的深挖与回填作业。</w:t>
            </w:r>
          </w:p>
          <w:p w14:paraId="5E689A1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施工流程：首先，利用推土机按照设计标高对土地进行大致平整，将高处的土方推至低洼处。接着，使用平地机对土地进行精确找平，从地块的一端开始，按照设计坡度依次进行平整作业。在平整过程中，实时使用水准仪或全站仪对土地标高进行监测，确保符合设计要求。对于需要深挖或填方较深的区域，先由挖掘机进行开挖或填方，再由推土机和平地机进行后续处理。</w:t>
            </w:r>
          </w:p>
          <w:p w14:paraId="0ABD81B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质量控制要点：建立严格的质量控制体系，在施工过程中，每完成一个平整单元，都要进行全面的质量检测。检测内容包括土地平整度、标高误差、排水坡度等。对于不符合设计要求的区域，及时进行返工处理。同时，加强对土壤改良措施实施过程的监督，确保改良材料的施用量、施用方法符合方案要求，保障土壤改良效果。在施工完成后，对整个项目区域进行最终的质量验收，验收合格后方可进入下一阶段的施工。</w:t>
            </w:r>
          </w:p>
          <w:p w14:paraId="0EC6181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二、节水灌溉系统工程设计</w:t>
            </w:r>
          </w:p>
          <w:p w14:paraId="602D7A3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（一）设计依据与原则</w:t>
            </w:r>
          </w:p>
          <w:p w14:paraId="3288627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设计依据：依据项目区域的气象数据（如降雨量、蒸发量、气温等）、土壤特性（土壤质地、持水能力等）、中药材种苗的需水规律以及《灌溉与排水工程设计规范》（GB50288-2018）等相关国家标准与行业规范进行设计。 </w:t>
            </w:r>
          </w:p>
          <w:p w14:paraId="2905183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设计原则：秉持节水高效原则，采用先进的节水灌溉技术，最大限度地提高水资源利用效率，减少水资源浪费。确保系统运行稳定可靠，满足中药材种苗不同生长阶段的需水要求。在满足灌溉需求的前提下，合理控制工程投资成本与运行管理成本，提高项目的经济效益。同时，注重系统的可操作性与维护便利性，便于后期的运行管理与设备维护。 </w:t>
            </w:r>
          </w:p>
          <w:p w14:paraId="1C6C084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（二）灌溉水源分析与选择 </w:t>
            </w:r>
          </w:p>
          <w:p w14:paraId="62D3FD3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水源调查：对项目区域周边的水源进行全面调查，包括河流、水库、地下水等。分析各水源的水量、水质、水位变化情况以及取水的可行性与便利性。</w:t>
            </w:r>
          </w:p>
          <w:p w14:paraId="21B9D82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（三）灌溉系统选型 </w:t>
            </w:r>
          </w:p>
          <w:p w14:paraId="7407406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滴灌系统：鉴于中药材种苗的根系分布特点以及对水分精准供应的需求，在500亩项目区域内主要采用滴灌系统。滴灌系统能够将水分和养分精准地输送到种苗根部，减少水分蒸发与渗漏损失，相比传统灌溉方式可节水30%～50%。滴灌系统由水源工程、首部枢纽、输配水管网和滴头组成。 </w:t>
            </w:r>
          </w:p>
          <w:p w14:paraId="3270278F">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首部枢纽设计：首部枢纽包括水泵、过滤器、施肥装置、压力表、阀门等设备。水泵根据水源的水位与灌溉系统所需的流量、扬程进行选型，确保能够稳定地将水从水源输送至灌溉管网。过滤器采用砂石过滤器与叠片过滤器相结合的组合方式，对灌溉水进行双重过滤，有效去除水中的泥沙、杂质、藻类等，防止滴头堵塞。施肥装置选用智能施肥机，可根据中药材种苗的生长阶段与需肥规律，精确控制肥料的施用量与施肥时间，实现水肥一体化灌溉，提高肥料利用率。</w:t>
            </w:r>
          </w:p>
          <w:p w14:paraId="70BB632A">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输配水管网设计：输配水管网采用 PE（聚乙烯）管材，具有耐腐蚀性强、柔韧性好、使用寿命长等优点。根据灌溉区域的地形与种植布局，合理规划管网走向。主干管沿项目区域的主干道或中心位置铺设，管径根据灌溉流量与水头损失计算确定，一般选用DN110-DN200的管材。支管垂直于主干管铺设，将水输送至各个灌溉小区，支管管径一般为DN75-DN90。毛管与支管连接，沿种植行铺设，毛管上安装滴头，滴头间距根据中药材种苗的株距进行合理设置，一般为0.3～0.5米。在管网的适当位置设置阀门，便于对各灌溉区域进行独立控制与检修。</w:t>
            </w:r>
          </w:p>
          <w:p w14:paraId="42B5083E">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2" w:firstLineChars="200"/>
              <w:textAlignment w:val="auto"/>
              <w:rPr>
                <w:rFonts w:hint="eastAsia"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六盘山镇中药材物流中转集散地建设工程</w:t>
            </w:r>
          </w:p>
          <w:p w14:paraId="5113026C">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一、中药材储存仓库及设施设备工程设计（1500 平方米） </w:t>
            </w:r>
          </w:p>
          <w:p w14:paraId="607AE04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（一）设计目标</w:t>
            </w:r>
          </w:p>
          <w:p w14:paraId="0FD0D5BA">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确保1500平方米的中药材储存仓库能够为中药材提供适宜的储存环境，有效保持中药材的品质，减少霉变、虫蛀等损耗，同时提高仓库的空间利用率和作业效率，满足中药材的长期和短期储存需求。</w:t>
            </w:r>
          </w:p>
          <w:p w14:paraId="67ED1D53">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（二）仓库建筑结构设计 </w:t>
            </w:r>
          </w:p>
          <w:p w14:paraId="1EC0C1C3">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整体结构：采用钢筋混凝土框架结构，该结构具有强度高、稳定性好、抗震性能强的特点，能有效保障仓库的安全性。仓库的屋面采用坡屋顶设计，坡度为15°，便于雨水排放，屋面材料选用具有良好防水、隔热性能的彩钢板，彩钢板厚度不小于0.5mm。</w:t>
            </w:r>
          </w:p>
          <w:p w14:paraId="69233FF3">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墙体设计：墙体采用加气混凝土砌块砌筑，其具有轻质、保温、隔热、防火性能好等优点，砌块厚度为200mm。墙体外侧涂抹防水砂浆，再涂刷外墙防水涂料，增强墙体的防潮性能；内侧采用水泥砂浆抹灰，表面涂刷防霉涂料，防止墙面受潮发霉。</w:t>
            </w:r>
          </w:p>
          <w:p w14:paraId="1D4894DE">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地面设计：地面采用 C30 混凝土浇筑，厚度为 150mm，混凝土中添加钢筋网片，以提高地面的承载能力和抗裂性能。地面向排水口方向设置 0.5%的坡度，便于排水。在混凝土地面上铺设 20mm 厚的环氧树脂地坪，环氧树脂地坪具有耐磨、防潮、防尘、易清洁的特性，适合中药材储存环境。 </w:t>
            </w:r>
          </w:p>
          <w:p w14:paraId="032B2BC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门窗设计：仓库设置2个主入口，采用电动卷帘门，宽度为4m，高度为3m，便于大型货物的进出和搬运设备的通行。同时设置多个应急疏散门，采用防火门，确保在紧急情况下人员能够安全疏散。窗户采用双层中空玻璃窗，具有良好的保温、隔热和隔音性能，窗户设置防护网，防止虫鼠进入。</w:t>
            </w:r>
          </w:p>
          <w:p w14:paraId="6F6B210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（三）仓库布局设计</w:t>
            </w:r>
          </w:p>
          <w:p w14:paraId="4A63DFD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分区规划：将1500平方米的仓库划分为三个功能区域，分别为常温储存区（1000平方米）、阴凉储存区（300平方米）和冷藏储存区（200平方米）。常温储存区用于储存耐旱、耐储存的中药材；阴凉储存区温度控制在10-20℃，相对湿度控制在60%～70%，用于储存对温度较为敏感的中药材；冷藏储存区温度控制在 2-8℃，用于储存需要低温保存的贵重中药材或易变质的中药材。</w:t>
            </w:r>
          </w:p>
          <w:p w14:paraId="5438280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通道设计：仓库内设置主通道和次通道，主通道宽度为4m，贯穿仓库的两端，连接主入口；次通道宽度为2.5m，与主通道垂直相交，连接各个储存区域。通道采用耐磨地面材料，确保搬运设备通行顺畅。 </w:t>
            </w:r>
          </w:p>
          <w:p w14:paraId="305194B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货架布置：在各个储存区域内合理布置货架，常温储存区和阴凉储存区采用中型层板式货架，货架高度为3.5m，每层承重为500kg，货架间距为1.5m；冷藏储存区采用轻型层板式货架，高度为2.5m，每层承重为300kg，货架间距为1.2m。货架采用优质钢材制作，表面经过酸洗、磷化处理后喷涂环氧树脂粉末，具有良好的防锈性能。</w:t>
            </w:r>
          </w:p>
          <w:p w14:paraId="72F54CB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二、中药材分拣与包装区及设施设备工程设计（800 平方米） </w:t>
            </w:r>
          </w:p>
          <w:p w14:paraId="5499C98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（一）设计目标 </w:t>
            </w:r>
          </w:p>
          <w:p w14:paraId="28DF63A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打造800平方米高效、有序的中药材分拣与包装区，提高中药材分拣的准确性和效率，保证包装质量，满足不同客户对中药材包装的要求，同时为操作人员提供舒适、安全的工作环境。</w:t>
            </w:r>
          </w:p>
          <w:p w14:paraId="49EA3A3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（二）区域布局设计</w:t>
            </w:r>
          </w:p>
          <w:p w14:paraId="538FFCD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分拣区：占地面积 500 平方米，设置 8 条平行的分拣线，每条分拣线长度为15m，宽度为 1.2m。分拣线之间的间距为 2m，便于操作人员和设备的移动。在分拣线的起始端设置上料台，高度为 0.8m，方便将中药材放置到分拣线上；末端设置下料台，用于放置分拣完成的中药材。 </w:t>
            </w:r>
          </w:p>
          <w:p w14:paraId="4FD9AB8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包装区：占地面积 300 平方米，与分拣区相邻，便于将分拣好的中药材转运至包装区。包装区划分不同的包装工位，每个工位面积为6平方米，配备包装操作台、包装材料存放架等设备。工位之间设置通道，宽度为1.5m，确保作业顺畅。</w:t>
            </w:r>
          </w:p>
          <w:p w14:paraId="6488714A">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三、中药材质量检测中心及设施设备工程设计（300项）</w:t>
            </w:r>
          </w:p>
          <w:p w14:paraId="09636C2C">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（一）设计目标</w:t>
            </w:r>
          </w:p>
          <w:p w14:paraId="3906D4BF">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建设功能完善、设备先进的中药材质量检测中心，配置 300 项设施设备，确保能够对中药材的各项质量指标进行准确、快速检测，为中药材的质量把关提供可靠的技术支持，保障中药材的质量安全。 </w:t>
            </w:r>
          </w:p>
          <w:p w14:paraId="5895556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（二）实验室布局设计 </w:t>
            </w:r>
          </w:p>
          <w:p w14:paraId="5E4FDD2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功能分区：检测中心总面积根据设备摆放和操作需求确定，划分为样品预处理室、理化检测室、仪器分析室、微生物检测室、试剂储存室和办公室等功能区域。各区域之间设置缓冲间，防止交叉污染。 </w:t>
            </w:r>
          </w:p>
          <w:p w14:paraId="752881CC">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区域设计：样品预处理室配备通风橱、实验台、样品柜等设备，通风橱的排风速度不小于0.5m/s，确保样品处理过程中产生的有害气体能够及时排出；理化检测室设置实验台、水槽、滴定装置等，实验台采用耐腐蚀的环氧树脂台面；仪器分析室根据仪器的要求进行布局，确保仪器之间有足够的空间，避免相互干扰，同时安装防震、防潮设施；微生物检测室采用洁净装修，洁净等级达到10万级，配备生物安全柜、培养箱等设备；试剂储存室设置防爆柜、冷藏柜等，用于存放不同类型的试剂。</w:t>
            </w:r>
          </w:p>
          <w:p w14:paraId="5BD03FA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（三）设施设备配置 </w:t>
            </w:r>
          </w:p>
          <w:p w14:paraId="74F7D48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基础检测设备：包括电子天平10台，精度为0.0001g；pH计5台，精度为0.01；电导率仪3台；烘箱5台，温度范围为室温-300℃，控温精度为±1℃；马弗炉 2 台，最高温度为1000℃。</w:t>
            </w:r>
          </w:p>
          <w:p w14:paraId="6700960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仪器分析设备：配备高效液相色谱仪5台，用于中药材中有效成分的含量测定；气相色谱仪 3 台，用于挥发性成分的分析；紫外可见分光光度计4台，可进行定性和定量分析；原子吸收分光光度计2台，用于重金属元素的检测。</w:t>
            </w:r>
          </w:p>
          <w:p w14:paraId="4982AC2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微生物检测设备：包括生物安全柜3台，保护操作人员和样品的安全；培养箱4台，温度范围为室温-60℃，控温精度为±0.5℃；高压蒸汽灭菌器3台，用于实验器具和样品的灭菌；菌落计数器2台，方便对菌落进行计数。</w:t>
            </w:r>
          </w:p>
          <w:p w14:paraId="372325D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辅助设备：配备纯水机2台，产水量为10L/h，水质达到一级水标准；超声波清洗器5台，用于清洗实验器具；离心机4台，最大转速为10000r/min。</w:t>
            </w:r>
          </w:p>
          <w:p w14:paraId="1208BF5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四、物流中转区及设施设备工程设计（500项）</w:t>
            </w:r>
          </w:p>
          <w:p w14:paraId="4343069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（一）设计目标</w:t>
            </w:r>
          </w:p>
          <w:p w14:paraId="59734E5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构建500项设施设备完善的物流中转区，实现中药材的快速、准确中转，提高物流效率，降低物流成本，确保中药材在中转过程中的质量安全。</w:t>
            </w:r>
          </w:p>
          <w:p w14:paraId="4476E4C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（二）区域布局设计 </w:t>
            </w:r>
          </w:p>
          <w:p w14:paraId="01E0001E">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货物暂存区：占地面积根据中转量确定，采用托盘货架进行货物存放，货架高度为4.5m，层数为5层，每组货架长度为6m，宽度为1.2m。货架之间设置通道，宽度为3m，便于叉车等设备作业。</w:t>
            </w:r>
          </w:p>
          <w:p w14:paraId="5FF935C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装卸货区：设置8个装卸货位，每个货位长度为12m，宽度为3.5m，配备装卸平台，高度与货车车厢高度相匹配，方便货物的装卸。装卸平台两侧设置防护栏，高度为1.2m，确保作业安全。</w:t>
            </w:r>
          </w:p>
          <w:p w14:paraId="4CBD8DF7">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信息管理区：设置物流信息管理中心，配备电脑、打印机、扫描仪等设备，用于对货物的信息进行录入、查询、统计和管理，实现物流信息的实时共享。</w:t>
            </w:r>
          </w:p>
          <w:p w14:paraId="064E4D4F">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2" w:firstLineChars="200"/>
              <w:textAlignment w:val="auto"/>
              <w:rPr>
                <w:rFonts w:hint="eastAsia"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六盘山镇中药材分拣包装晾晒车间建设项目</w:t>
            </w:r>
          </w:p>
          <w:p w14:paraId="30547BD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分拣包装车间改造设计 </w:t>
            </w:r>
          </w:p>
          <w:p w14:paraId="6F1E04D3">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（一）空间布局规划 </w:t>
            </w:r>
          </w:p>
          <w:p w14:paraId="3B91F33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分拣区：设置在车间中心位置，面积约250平方米，配备多条分拣流水线，每条流水线长度根据实际需求设置为10～15米，宽度为1.2～1.5米，保证工人有足够的操作空间。流水线旁设置物料暂存架，方便工人拿取和放置中药材。</w:t>
            </w:r>
          </w:p>
          <w:p w14:paraId="709F766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包装区：紧邻分拣区，面积约 200 平方米，划分不同规格的包装工作区域，用于将分拣好的中药材进行包装。配备自动包装机、封口机等设备，包装台高度设置为 0.8～0.9 米，符合人体工程学，减少工人劳动强度。</w:t>
            </w:r>
          </w:p>
          <w:p w14:paraId="683F660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质检区：位于车间一角，面积约 100 平方米，设置独立的检测房间，配备专业的质检设备，如显微镜、水分测定仪、重金属检测仪等，对中药材的质量进行严格把控。 </w:t>
            </w:r>
          </w:p>
          <w:p w14:paraId="1CE54648">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原料及成品暂存区：分别设置在车间两侧，面积各约50平方米，用于暂存待分拣的中药材原料和已包装好的成品。暂存区设置货架，货架高度根据实际需求设计为2-3层，方便货物的存放和搬运。</w:t>
            </w:r>
          </w:p>
          <w:p w14:paraId="19F39777">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（二）建筑改造设计 </w:t>
            </w:r>
          </w:p>
          <w:p w14:paraId="1E98E91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地面处理：将原地面进行清理后，浇筑10～15厘米厚的C30混凝土，表面做金刚砂耐磨处理，增强地面的耐磨性和承载能力，满足叉车等搬运设备的运行需求。 </w:t>
            </w:r>
          </w:p>
          <w:p w14:paraId="3BC241FC">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墙面翻新：铲除原墙面的旧涂层，重新粉刷防霉、防潮的乳胶漆，颜色选择浅色系，如白色或淡蓝色，以提高车间内的采光效果。在墙面上设置高度为1.2～1.5米的墙裙，采用不锈钢材质，便于清洁和维护。</w:t>
            </w:r>
          </w:p>
          <w:p w14:paraId="7BBFAE2E">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天花板改造：拆除原有的天花板，安装轻钢龙骨吊顶，吊顶材料选用防火、防潮的铝扣板，吊顶高度根据车间空间情况设置为3～3.5米，保证车间内有足够的空间高度。在吊顶内安装照明灯具和通风管道。</w:t>
            </w:r>
          </w:p>
          <w:p w14:paraId="0FB00AD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门窗更换：将原有的门窗更换为密封性好、隔音效果佳的断桥铝门窗，窗户面积根据车间采光需求合理设置，保证车间内光线充足。门的宽度设置为1.5～2米，高度为2～2.5米，方便货物的进出</w:t>
            </w:r>
            <w:r>
              <w:rPr>
                <w:rFonts w:hint="eastAsia" w:eastAsia="仿宋_GB2312" w:cs="Times New Roman"/>
                <w:color w:val="auto"/>
                <w:sz w:val="24"/>
                <w:szCs w:val="24"/>
                <w:highlight w:val="none"/>
                <w:lang w:val="en-US" w:eastAsia="zh-CN"/>
              </w:rPr>
              <w:t>。</w:t>
            </w:r>
          </w:p>
          <w:p w14:paraId="11C04F9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四、晾晒场改造设计 </w:t>
            </w:r>
          </w:p>
          <w:p w14:paraId="4A27CE8A">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（一）场地平整 </w:t>
            </w:r>
          </w:p>
          <w:p w14:paraId="4812ADD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对原晾晒场进行清理，清除杂物和杂草，然后使用挖掘机等设备对场地进行平整，确保场地坡度控制在0.3%～0.5%之间，以便于排水。</w:t>
            </w:r>
          </w:p>
          <w:p w14:paraId="4E7AFC5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（二）地面处理 </w:t>
            </w:r>
          </w:p>
          <w:p w14:paraId="5B35F22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基层处理：在平整后的地面上铺设15～20厘米厚的级配砂石，使用压路机进行压实，压实度达到 95%以上，增强地面的承载能力。</w:t>
            </w:r>
          </w:p>
          <w:p w14:paraId="7AE8B17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面层处理：在级配砂石基层上浇筑 8～10 厘米厚的 C25 混凝土，表面进行拉毛处理，增加地面的摩擦力，防止人员滑倒。混凝土浇筑完成后，进行养护，养护时间不少于7天。</w:t>
            </w:r>
          </w:p>
          <w:p w14:paraId="1DF15E17">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（三）排水系统设计 </w:t>
            </w:r>
          </w:p>
          <w:p w14:paraId="58845FE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周边排水：在晾晒场的四周设置排水沟，排水沟采用砖砌结构，沟宽30～40厘米，沟深40～50厘米，沟底和沟壁用水泥砂浆抹面，保证排水顺畅。排水沟每隔20～30米设置一个检查井，便于清理和维护。</w:t>
            </w:r>
          </w:p>
          <w:p w14:paraId="441F1EBF">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场地内排水：在晾晒场内部设置排水坡度，将雨水引向周边排水沟。在场地内每隔10～15米设置一道排水盲沟，盲沟采用碎石填充，上面覆盖土工布，防止泥土堵塞，进一步增强场地内的排水能力。</w:t>
            </w:r>
          </w:p>
          <w:p w14:paraId="7683E9C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（四）防护设施设计 </w:t>
            </w:r>
          </w:p>
          <w:p w14:paraId="45038E85">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围栏设置：在晾晒场的周边设置围栏，围栏高度为1.5～2米，采用不锈钢材质，围栏的间距根据实际需求设置为10～15厘米，防止牲畜和无关人员进入晾晒场，保证中药材的晾晒安全。遮阳设施：为了避免中药材在晾晒过程中受到过度暴晒，在晾晒场上方搭建遮阳棚。遮阳棚采用钢结构，顶部覆盖遮阳网，遮阳网的遮阳率达到 70%～80%。遮阳棚的高度根据实际情况设置为 3～4 米，保证人员在下面操作方便。</w:t>
            </w:r>
          </w:p>
          <w:p w14:paraId="4655BA1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五、分拣包装设施设备配套设计</w:t>
            </w:r>
          </w:p>
          <w:p w14:paraId="6E2C1C9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（一）设备选型 </w:t>
            </w:r>
          </w:p>
          <w:p w14:paraId="4D565DA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分拣设备：选用智能分拣系统，包括输送带、分拣机器人、视觉识别系统等。输送带长度根据车间布局和分拣需求设置为15～20米，宽度为1～1.2米，输送速度可调节，范围为0.5～2米/秒。分拣机器人能够根据视觉识别系统对中药材的形状、大小、颜色等特征进行识别，并准确地将其分拣到相应的位置，分拣效率达到5000～8000件/小时。</w:t>
            </w:r>
          </w:p>
          <w:p w14:paraId="389B670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包装设备：根据中药材的包装规格和要求，选择自动包装机、封口机、贴标机等设备。自动包装机能够实现对中药材的自动计量、充填、封口等功能，包装速度为20-50袋/分钟，包装重量误差控制在±2克以内。封口机采用热封方式，确保包装封口牢固，密封性好。贴标机能够准确地将产品标签贴在包装上，贴标速度为30～60张/分钟。</w:t>
            </w:r>
          </w:p>
          <w:p w14:paraId="1DCA2437">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辅助设备：配备叉车、托盘搬运车等搬运设备，用于原材料和成品的搬运。叉车的载重量根据实际需求选择1～2吨，托盘搬运车的载重量为1～1.5吨。同时，还需配备电子秤、计量器具等设备，用于对中药材进行称重和计量。</w:t>
            </w:r>
          </w:p>
          <w:p w14:paraId="6098A39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2" w:firstLineChars="200"/>
              <w:textAlignment w:val="auto"/>
              <w:rPr>
                <w:rFonts w:hint="eastAsia"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大湾乡中药材分拣包装晾晒车间建设工程</w:t>
            </w:r>
            <w:r>
              <w:rPr>
                <w:rFonts w:hint="eastAsia" w:eastAsia="仿宋_GB2312" w:cs="Times New Roman"/>
                <w:b/>
                <w:bCs/>
                <w:color w:val="auto"/>
                <w:sz w:val="24"/>
                <w:szCs w:val="24"/>
                <w:highlight w:val="none"/>
                <w:lang w:val="en-US" w:eastAsia="zh-CN"/>
              </w:rPr>
              <w:t>：</w:t>
            </w:r>
          </w:p>
          <w:p w14:paraId="1BB91C9F">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一、分拣包装车间改造（650 平方米） </w:t>
            </w:r>
          </w:p>
          <w:p w14:paraId="5609260F">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（一）布局设计 </w:t>
            </w:r>
          </w:p>
          <w:p w14:paraId="00B0448F">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功能区域划分：将650平方米的车间划分为分拣区300平方米、包装区200平方米、暂存区150平方米。</w:t>
            </w:r>
          </w:p>
          <w:p w14:paraId="0551707F">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通道设计：各功能区域之间设置宽度为 1.5 米的通道，保证物料运输和人员通行顺畅，通道地面采用与区域地面相同的材料，确保整体的连贯性和安全性。设备摆放：分拣区设置 3 条分拣流水线，每条流水线长10米，宽1.2米，间距2米，方便工人操作且避免相互干扰。包装区紧邻分拣区，配备4台包装设备，呈“一”字形排列，每台设备间距1.5米，设备与墙面距离保持1米，便于操作和维护。暂存区设置10个货架，每个货架长2米，宽1米，高2米，货架之间间距1.2米，用于分类存放待包装和已包装的中药材。 </w:t>
            </w:r>
          </w:p>
          <w:p w14:paraId="1266BFB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（二）结构改造</w:t>
            </w:r>
          </w:p>
          <w:p w14:paraId="556ACA2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对车间原有结构进行全面检测，若存在梁、柱等承重结构损坏或不符合安全标准的情况，采用碳纤维布加固法进行加固处理，确保结构承载能力满足要求。检查车间墙体，对于出现裂缝、空鼓等问题的墙体，先将损坏部分铲除，然后采用水泥砂浆进行修补，保证墙体的稳定性和整体性。</w:t>
            </w:r>
          </w:p>
          <w:p w14:paraId="2044775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（三）地面处理 </w:t>
            </w:r>
          </w:p>
          <w:p w14:paraId="5311B20E">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采用环氧地坪铺设地面，厚度为2毫米。施工前先对基层进行打磨、清理，确保基层平整、干燥、无杂物。然后涂刷底漆，待底漆干燥后，铺设环氧砂浆中层，最后涂刷环氧面漆，保证地面具有防滑、耐磨、耐化学腐蚀、易清洁的特性。</w:t>
            </w:r>
          </w:p>
          <w:p w14:paraId="4C3AB4B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（四）墙面和顶棚处理 </w:t>
            </w:r>
          </w:p>
          <w:p w14:paraId="50AC65E3">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墙面：先对墙面进行基层处理，去除浮灰、油污等，然后采用水泥砂浆抹平，干燥后涂刷环保型内墙乳胶漆，颜色选用白色，以提高车间的采光度，便于清洁和消毒。</w:t>
            </w:r>
          </w:p>
          <w:p w14:paraId="7538FBC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顶棚：采用轻钢龙骨石膏板吊顶，吊顶高度为3.5米，表面涂刷与墙面相同的乳胶漆，确保顶棚平整、光滑，不易积尘，便于清洁。</w:t>
            </w:r>
          </w:p>
          <w:p w14:paraId="66949B5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二、晾晒场改造（1000 平方米） </w:t>
            </w:r>
          </w:p>
          <w:p w14:paraId="081A3E1A">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（一）地面处理</w:t>
            </w:r>
          </w:p>
          <w:p w14:paraId="601341E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采用C30混凝土浇筑地面，厚度为15厘米。施工时严格按照配合比进行搅拌，振捣密实，表面进行收光处理，确保地面平整光滑，误差不超过5毫米。混凝土浇筑完成后及时进行养护，养护期不少于 7 天，以保证地面的强度和耐久性。</w:t>
            </w:r>
          </w:p>
          <w:p w14:paraId="7E18ED43">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（二）排水系统 </w:t>
            </w:r>
          </w:p>
          <w:p w14:paraId="246FD455">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在晾晒场四周设置排水沟，沟宽 30 厘米，深 20 厘米，采用砖砌水泥砂浆抹面。排水沟坡度为 0.5%，确保排水畅通。在排水沟的适当位置设置沉淀池，防止泥沙堵塞排水管道，沉淀池定期进行清理。 </w:t>
            </w:r>
          </w:p>
          <w:p w14:paraId="7FC60D47">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（三）晾晒设施 </w:t>
            </w:r>
          </w:p>
          <w:p w14:paraId="1C2294C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晾晒架：在晾晒场内设置50组晾晒架，每组晾晒架长5米，宽1.2米，高0.8 米，采用热镀锌钢管制作，防锈耐用。晾晒架间距为 1 米，便于通风和操作。</w:t>
            </w:r>
          </w:p>
          <w:p w14:paraId="0BCFAAE7">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晾晒棚：在晾晒场上方搭建高 3 米的钢架晾晒棚，棚顶采用透光塑料板，透光率不低于80%。钢架采用Q235钢材，确保结构稳定，能够承受一定的风雪荷载。晾晒棚四周设置可升降的遮阳帘，根据天气情况调节光照。 </w:t>
            </w:r>
          </w:p>
          <w:p w14:paraId="3643FE8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三、配套分拣包装设施设备 </w:t>
            </w:r>
          </w:p>
          <w:p w14:paraId="7521723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（一）分拣设备 </w:t>
            </w:r>
          </w:p>
          <w:p w14:paraId="32B44AC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振动筛：选用2台型号为ZS-1000的振动筛，功率1.5kW，筛面直径1000毫米，可根据中药材的粒度进行分级筛选，提高分拣效率。 </w:t>
            </w:r>
          </w:p>
          <w:p w14:paraId="3826F3EA">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色选机：配备1台型号为CC-600的色选机，处理量为1～2吨/小时，能够根据中药材的颜色差异进行分选，确保中药材的品质一致。</w:t>
            </w:r>
          </w:p>
          <w:p w14:paraId="4A636B9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eastAsia" w:ascii="Times New Roman" w:hAnsi="Times New Roman" w:eastAsia="仿宋_GB2312" w:cs="Times New Roman"/>
                <w:b/>
                <w:bCs/>
                <w:color w:val="auto"/>
                <w:sz w:val="24"/>
                <w:szCs w:val="24"/>
                <w:highlight w:val="none"/>
                <w:lang w:eastAsia="zh-CN"/>
              </w:rPr>
            </w:pPr>
            <w:r>
              <w:rPr>
                <w:rFonts w:hint="eastAsia" w:eastAsia="仿宋_GB2312" w:cs="Times New Roman"/>
                <w:b/>
                <w:bCs/>
                <w:color w:val="auto"/>
                <w:sz w:val="24"/>
                <w:szCs w:val="24"/>
                <w:highlight w:val="none"/>
                <w:lang w:val="en-US" w:eastAsia="zh-CN"/>
              </w:rPr>
              <w:t>2.</w:t>
            </w:r>
            <w:r>
              <w:rPr>
                <w:rFonts w:hint="default" w:ascii="Times New Roman" w:hAnsi="Times New Roman" w:eastAsia="仿宋_GB2312" w:cs="Times New Roman"/>
                <w:b/>
                <w:bCs/>
                <w:color w:val="auto"/>
                <w:sz w:val="24"/>
                <w:szCs w:val="24"/>
                <w:highlight w:val="none"/>
              </w:rPr>
              <w:t>施工</w:t>
            </w:r>
            <w:r>
              <w:rPr>
                <w:rFonts w:hint="eastAsia" w:eastAsia="仿宋_GB2312" w:cs="Times New Roman"/>
                <w:b/>
                <w:bCs/>
                <w:color w:val="auto"/>
                <w:sz w:val="24"/>
                <w:szCs w:val="24"/>
                <w:highlight w:val="none"/>
                <w:lang w:val="en-US" w:eastAsia="zh-CN"/>
              </w:rPr>
              <w:t>时序（进度安排）</w:t>
            </w:r>
          </w:p>
          <w:p w14:paraId="012FCF07">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项目建设期为15个月（2025年</w:t>
            </w:r>
            <w:r>
              <w:rPr>
                <w:rFonts w:hint="eastAsia" w:eastAsia="仿宋_GB2312" w:cs="Times New Roman"/>
                <w:color w:val="auto"/>
                <w:sz w:val="24"/>
                <w:szCs w:val="24"/>
                <w:highlight w:val="none"/>
                <w:lang w:val="en-US" w:eastAsia="zh-CN"/>
              </w:rPr>
              <w:t>12</w:t>
            </w:r>
            <w:r>
              <w:rPr>
                <w:rFonts w:hint="default" w:ascii="Times New Roman" w:hAnsi="Times New Roman" w:eastAsia="仿宋_GB2312" w:cs="Times New Roman"/>
                <w:color w:val="auto"/>
                <w:sz w:val="24"/>
                <w:szCs w:val="24"/>
                <w:highlight w:val="none"/>
                <w:lang w:val="en-US" w:eastAsia="zh-CN"/>
              </w:rPr>
              <w:t>月—202</w:t>
            </w:r>
            <w:r>
              <w:rPr>
                <w:rFonts w:hint="eastAsia" w:eastAsia="仿宋_GB2312" w:cs="Times New Roman"/>
                <w:color w:val="auto"/>
                <w:sz w:val="24"/>
                <w:szCs w:val="24"/>
                <w:highlight w:val="none"/>
                <w:lang w:val="en-US" w:eastAsia="zh-CN"/>
              </w:rPr>
              <w:t>7</w:t>
            </w:r>
            <w:r>
              <w:rPr>
                <w:rFonts w:hint="default" w:ascii="Times New Roman" w:hAnsi="Times New Roman" w:eastAsia="仿宋_GB2312" w:cs="Times New Roman"/>
                <w:color w:val="auto"/>
                <w:sz w:val="24"/>
                <w:szCs w:val="24"/>
                <w:highlight w:val="none"/>
                <w:lang w:val="en-US" w:eastAsia="zh-CN"/>
              </w:rPr>
              <w:t>年</w:t>
            </w:r>
            <w:r>
              <w:rPr>
                <w:rFonts w:hint="eastAsia"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lang w:val="en-US" w:eastAsia="zh-CN"/>
              </w:rPr>
              <w:t xml:space="preserve">月）。 </w:t>
            </w:r>
          </w:p>
          <w:p w14:paraId="34C82E8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2025年</w:t>
            </w:r>
            <w:r>
              <w:rPr>
                <w:rFonts w:hint="eastAsia"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lang w:val="en-US" w:eastAsia="zh-CN"/>
              </w:rPr>
              <w:t>2月前初步设计报批；</w:t>
            </w:r>
          </w:p>
          <w:p w14:paraId="16CDAC9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2026年</w:t>
            </w:r>
            <w:r>
              <w:rPr>
                <w:rFonts w:hint="eastAsia"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lang w:val="en-US" w:eastAsia="zh-CN"/>
              </w:rPr>
              <w:t>月前完成施工图设计及图纸审查、招投标；</w:t>
            </w:r>
          </w:p>
          <w:p w14:paraId="6C8F4218">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2026年</w:t>
            </w:r>
            <w:r>
              <w:rPr>
                <w:rFonts w:hint="eastAsia"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lang w:val="en-US" w:eastAsia="zh-CN"/>
              </w:rPr>
              <w:t>月-2026年10月项目施工建设；</w:t>
            </w:r>
          </w:p>
          <w:p w14:paraId="4C50C36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202</w:t>
            </w:r>
            <w:r>
              <w:rPr>
                <w:rFonts w:hint="eastAsia" w:eastAsia="仿宋_GB2312" w:cs="Times New Roman"/>
                <w:color w:val="auto"/>
                <w:sz w:val="24"/>
                <w:szCs w:val="24"/>
                <w:highlight w:val="none"/>
                <w:lang w:val="en-US" w:eastAsia="zh-CN"/>
              </w:rPr>
              <w:t>7</w:t>
            </w:r>
            <w:r>
              <w:rPr>
                <w:rFonts w:hint="default" w:ascii="Times New Roman" w:hAnsi="Times New Roman" w:eastAsia="仿宋_GB2312" w:cs="Times New Roman"/>
                <w:color w:val="auto"/>
                <w:sz w:val="24"/>
                <w:szCs w:val="24"/>
                <w:highlight w:val="none"/>
                <w:lang w:val="en-US" w:eastAsia="zh-CN"/>
              </w:rPr>
              <w:t>年</w:t>
            </w:r>
            <w:r>
              <w:rPr>
                <w:rFonts w:hint="eastAsia"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lang w:val="en-US" w:eastAsia="zh-CN"/>
              </w:rPr>
              <w:t>月竣工验收并投入使用。</w:t>
            </w:r>
          </w:p>
          <w:p w14:paraId="3233FF7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default" w:ascii="Times New Roman" w:hAnsi="Times New Roman" w:eastAsia="仿宋_GB2312" w:cs="Times New Roman"/>
                <w:b/>
                <w:bCs/>
                <w:color w:val="auto"/>
                <w:sz w:val="24"/>
                <w:szCs w:val="24"/>
                <w:highlight w:val="none"/>
              </w:rPr>
            </w:pPr>
            <w:r>
              <w:rPr>
                <w:rFonts w:hint="eastAsia" w:eastAsia="仿宋_GB2312" w:cs="Times New Roman"/>
                <w:b/>
                <w:bCs/>
                <w:color w:val="auto"/>
                <w:sz w:val="24"/>
                <w:szCs w:val="24"/>
                <w:highlight w:val="none"/>
                <w:lang w:val="en-US" w:eastAsia="zh-CN"/>
              </w:rPr>
              <w:t>3.</w:t>
            </w:r>
            <w:r>
              <w:rPr>
                <w:rFonts w:hint="default" w:ascii="Times New Roman" w:hAnsi="Times New Roman" w:eastAsia="仿宋_GB2312" w:cs="Times New Roman"/>
                <w:b/>
                <w:bCs/>
                <w:color w:val="auto"/>
                <w:sz w:val="24"/>
                <w:szCs w:val="24"/>
                <w:highlight w:val="none"/>
                <w:lang w:val="en-US" w:eastAsia="zh-CN"/>
              </w:rPr>
              <w:t>项目组织管理</w:t>
            </w:r>
          </w:p>
          <w:p w14:paraId="0EDB859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 xml:space="preserve">（1）组织机构设置 </w:t>
            </w:r>
          </w:p>
          <w:p w14:paraId="7E1D952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 xml:space="preserve">1）项目建设管理 </w:t>
            </w:r>
          </w:p>
          <w:p w14:paraId="4EB1A91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 xml:space="preserve">成立泾源县中蜂中药材等林下经济产业建设项目领导小组，小组成员单位包括泾源县人民政府、各局办。该小组专门负责本工程项目的规划、建设和协调等工作。各成员单位在项目实施过程中，要加强协作，密切配合，确保项目的顺利实施。项目建设责任主体为泾源县人民政府，负责项目招投标管理，负责日常监管，工程调度、环境监测、评估及验收工作。 </w:t>
            </w:r>
          </w:p>
          <w:p w14:paraId="54F69CE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 xml:space="preserve">2）建立项目建设组织机构为保证项目建设如期进行，做好项目的建设管理工作，拟针对本项目成立建设领导小组进行建设管理，负责项目建设的具体操作。其主要职责是：认真做好项目的前期工作，着力落实项目建设资金，完成项目报批工作，切实搞好项目招投标，落实施工队伍，认真把好“质量、资金、进度”三关，按时按要求搞好项目竣工验收。 </w:t>
            </w:r>
          </w:p>
          <w:p w14:paraId="14312945">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 xml:space="preserve">（2）项目实施管理 </w:t>
            </w:r>
          </w:p>
          <w:p w14:paraId="5E8BF6A2">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1）进一步明确工作职责。各成员单位要明确任务，各负其责，密切配合，建立协调、高效的工作机制和责任制度，全力抓好本项目工程建设工作。发改局负责项目的申报、审批、投资计划的下达等前期工作和项目管理工作；财政局负责国家专项资金的管理，确保建设资金及时拨付和专户管理，确保资金专款专用，封闭运行；审计局负责对专项资金的使用进行监督检查和跟踪审计，杜绝挤占挪用现象的发生；建设局负责做好本项目工程实施的配合工作，精心组织，科学规划，加强管理，确保服务活动全面开展。</w:t>
            </w:r>
          </w:p>
          <w:p w14:paraId="56DD415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 xml:space="preserve">2）切实加强项目监督管理。严格按照政府投资项目管理的有关规定，切实落实项目法人责任制、招投标制、工程监理制和合同管理制度，规范项目建设程序，确保工程质量。 </w:t>
            </w:r>
          </w:p>
          <w:p w14:paraId="2EACC2B0">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 xml:space="preserve">3）及早做好项目运行所需劳力、资金、物质等方面。 </w:t>
            </w:r>
          </w:p>
          <w:p w14:paraId="5E053D0C">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4）强化项目管理。一切实搞好项目设计规划；二资金专款专用，严禁挪用，并定期公开项目进展及资金使用情况，接受群众监督；</w:t>
            </w:r>
            <w:r>
              <w:rPr>
                <w:rFonts w:hint="eastAsia" w:eastAsia="仿宋_GB2312" w:cs="Times New Roman"/>
                <w:color w:val="auto"/>
                <w:sz w:val="24"/>
                <w:szCs w:val="24"/>
                <w:highlight w:val="none"/>
                <w:lang w:val="en-US" w:eastAsia="zh-CN"/>
              </w:rPr>
              <w:t>三是</w:t>
            </w:r>
            <w:r>
              <w:rPr>
                <w:rFonts w:hint="default" w:ascii="Times New Roman" w:hAnsi="Times New Roman" w:eastAsia="仿宋_GB2312" w:cs="Times New Roman"/>
                <w:color w:val="auto"/>
                <w:sz w:val="24"/>
                <w:szCs w:val="24"/>
                <w:highlight w:val="none"/>
                <w:lang w:val="en-US" w:eastAsia="zh-CN"/>
              </w:rPr>
              <w:t>搞好项目实施的全程监管，把好质量关，建设优质工程。</w:t>
            </w:r>
          </w:p>
          <w:p w14:paraId="07077987">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rPr>
            </w:pPr>
          </w:p>
          <w:p w14:paraId="7DC2B408">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eastAsia="仿宋_GB2312" w:cs="Times New Roman"/>
                <w:color w:val="auto"/>
                <w:sz w:val="24"/>
                <w:szCs w:val="24"/>
                <w:highlight w:val="none"/>
                <w:lang w:val="en-US" w:eastAsia="zh-CN"/>
              </w:rPr>
            </w:pPr>
          </w:p>
        </w:tc>
      </w:tr>
      <w:tr w14:paraId="29E627A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3" w:hRule="atLeast"/>
          <w:jc w:val="center"/>
        </w:trPr>
        <w:tc>
          <w:tcPr>
            <w:tcW w:w="465" w:type="dxa"/>
            <w:tcBorders>
              <w:tl2br w:val="nil"/>
              <w:tr2bl w:val="nil"/>
            </w:tcBorders>
            <w:vAlign w:val="center"/>
          </w:tcPr>
          <w:p w14:paraId="074BA308">
            <w:pPr>
              <w:pStyle w:val="28"/>
              <w:adjustRightInd w:val="0"/>
              <w:snapToGrid w:val="0"/>
              <w:spacing w:before="0" w:beforeAutospacing="0" w:after="0" w:afterAutospacing="0"/>
              <w:jc w:val="center"/>
              <w:rPr>
                <w:rFonts w:hint="default" w:ascii="Times New Roman" w:hAnsi="Times New Roman" w:eastAsia="仿宋_GB2312" w:cs="Times New Roman"/>
                <w:b/>
                <w:bCs/>
                <w:color w:val="auto"/>
                <w:szCs w:val="24"/>
                <w:highlight w:val="none"/>
                <w:lang w:eastAsia="zh-CN"/>
              </w:rPr>
            </w:pPr>
            <w:r>
              <w:rPr>
                <w:rFonts w:hint="default" w:ascii="Times New Roman" w:hAnsi="Times New Roman" w:eastAsia="仿宋_GB2312" w:cs="Times New Roman"/>
                <w:b/>
                <w:bCs/>
                <w:color w:val="auto"/>
                <w:sz w:val="24"/>
                <w:szCs w:val="24"/>
                <w:highlight w:val="none"/>
                <w:lang w:eastAsia="zh-CN"/>
              </w:rPr>
              <w:t>其他</w:t>
            </w:r>
          </w:p>
        </w:tc>
        <w:tc>
          <w:tcPr>
            <w:tcW w:w="8736" w:type="dxa"/>
            <w:gridSpan w:val="2"/>
            <w:tcBorders>
              <w:tl2br w:val="nil"/>
              <w:tr2bl w:val="nil"/>
            </w:tcBorders>
            <w:vAlign w:val="center"/>
          </w:tcPr>
          <w:p w14:paraId="67DEE7B6">
            <w:pPr>
              <w:tabs>
                <w:tab w:val="left" w:pos="411"/>
              </w:tabs>
              <w:adjustRightInd w:val="0"/>
              <w:snapToGrid w:val="0"/>
              <w:spacing w:line="360" w:lineRule="auto"/>
              <w:jc w:val="center"/>
              <w:rPr>
                <w:rFonts w:hint="default"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无</w:t>
            </w:r>
          </w:p>
        </w:tc>
      </w:tr>
    </w:tbl>
    <w:p w14:paraId="180753E8">
      <w:pPr>
        <w:bidi w:val="0"/>
        <w:rPr>
          <w:rFonts w:hint="eastAsia"/>
          <w:color w:val="auto"/>
          <w:highlight w:val="none"/>
        </w:rPr>
        <w:sectPr>
          <w:pgSz w:w="11907" w:h="16840"/>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36AF15F3">
      <w:pPr>
        <w:pStyle w:val="28"/>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w:t>
      </w:r>
      <w:r>
        <w:rPr>
          <w:rFonts w:hint="eastAsia" w:ascii="黑体" w:hAnsi="黑体" w:eastAsia="黑体"/>
          <w:snapToGrid w:val="0"/>
          <w:color w:val="auto"/>
          <w:sz w:val="30"/>
          <w:szCs w:val="30"/>
          <w:highlight w:val="none"/>
          <w:lang w:eastAsia="zh-CN"/>
        </w:rPr>
        <w:t>生态</w:t>
      </w:r>
      <w:r>
        <w:rPr>
          <w:rFonts w:hint="eastAsia" w:ascii="黑体" w:hAnsi="黑体" w:eastAsia="黑体"/>
          <w:snapToGrid w:val="0"/>
          <w:color w:val="auto"/>
          <w:sz w:val="30"/>
          <w:szCs w:val="30"/>
          <w:highlight w:val="none"/>
        </w:rPr>
        <w:t>环境质量现状、保护目标及评价标准</w:t>
      </w:r>
    </w:p>
    <w:tbl>
      <w:tblPr>
        <w:tblStyle w:val="33"/>
        <w:tblW w:w="920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532"/>
        <w:gridCol w:w="8669"/>
      </w:tblGrid>
      <w:tr w14:paraId="71DC4AF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608" w:hRule="atLeast"/>
          <w:jc w:val="center"/>
        </w:trPr>
        <w:tc>
          <w:tcPr>
            <w:tcW w:w="532" w:type="dxa"/>
            <w:tcBorders>
              <w:tl2br w:val="nil"/>
              <w:tr2bl w:val="nil"/>
            </w:tcBorders>
            <w:vAlign w:val="center"/>
          </w:tcPr>
          <w:p w14:paraId="60B4F665">
            <w:pPr>
              <w:adjustRightInd w:val="0"/>
              <w:snapToGrid w:val="0"/>
              <w:jc w:val="center"/>
              <w:rPr>
                <w:rFonts w:hint="default" w:ascii="Times New Roman" w:hAnsi="Times New Roman" w:eastAsia="仿宋_GB2312" w:cs="Times New Roman"/>
                <w:b/>
                <w:bCs/>
                <w:color w:val="auto"/>
                <w:kern w:val="0"/>
                <w:sz w:val="24"/>
                <w:highlight w:val="none"/>
                <w:lang w:eastAsia="zh-CN"/>
              </w:rPr>
            </w:pPr>
          </w:p>
          <w:p w14:paraId="226F5799">
            <w:pPr>
              <w:adjustRightInd w:val="0"/>
              <w:snapToGrid w:val="0"/>
              <w:jc w:val="center"/>
              <w:rPr>
                <w:rFonts w:hint="default" w:ascii="Times New Roman" w:hAnsi="Times New Roman" w:eastAsia="仿宋_GB2312" w:cs="Times New Roman"/>
                <w:b/>
                <w:bCs/>
                <w:color w:val="auto"/>
                <w:kern w:val="0"/>
                <w:sz w:val="24"/>
                <w:highlight w:val="none"/>
                <w:lang w:eastAsia="zh-CN"/>
              </w:rPr>
            </w:pPr>
          </w:p>
          <w:p w14:paraId="3EE90A7C">
            <w:pPr>
              <w:adjustRightInd w:val="0"/>
              <w:snapToGrid w:val="0"/>
              <w:jc w:val="center"/>
              <w:rPr>
                <w:rFonts w:hint="default" w:ascii="Times New Roman" w:hAnsi="Times New Roman" w:eastAsia="仿宋_GB2312" w:cs="Times New Roman"/>
                <w:b/>
                <w:bCs/>
                <w:color w:val="auto"/>
                <w:kern w:val="0"/>
                <w:sz w:val="24"/>
                <w:highlight w:val="none"/>
                <w:lang w:eastAsia="zh-CN"/>
              </w:rPr>
            </w:pPr>
          </w:p>
          <w:p w14:paraId="79EA556C">
            <w:pPr>
              <w:adjustRightInd w:val="0"/>
              <w:snapToGrid w:val="0"/>
              <w:jc w:val="center"/>
              <w:rPr>
                <w:rFonts w:hint="default" w:ascii="Times New Roman" w:hAnsi="Times New Roman" w:eastAsia="仿宋_GB2312" w:cs="Times New Roman"/>
                <w:b/>
                <w:bCs/>
                <w:color w:val="auto"/>
                <w:kern w:val="0"/>
                <w:sz w:val="24"/>
                <w:highlight w:val="none"/>
                <w:lang w:eastAsia="zh-CN"/>
              </w:rPr>
            </w:pPr>
          </w:p>
          <w:p w14:paraId="1186854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53B0636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6103D8B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65E8D76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7745138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4710FE5D">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仿宋_GB2312" w:cs="Times New Roman"/>
                <w:b/>
                <w:bCs/>
                <w:color w:val="auto"/>
                <w:kern w:val="0"/>
                <w:sz w:val="24"/>
                <w:highlight w:val="none"/>
                <w:lang w:eastAsia="zh-CN"/>
              </w:rPr>
            </w:pPr>
          </w:p>
          <w:p w14:paraId="5BCF3432">
            <w:pPr>
              <w:pStyle w:val="9"/>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525C5B42">
            <w:pPr>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7E5FAD11">
            <w:pPr>
              <w:pStyle w:val="9"/>
              <w:keepNext w:val="0"/>
              <w:keepLines w:val="0"/>
              <w:pageBreakBefore w:val="0"/>
              <w:widowControl w:val="0"/>
              <w:kinsoku/>
              <w:wordWrap/>
              <w:overflowPunct/>
              <w:topLinePunct w:val="0"/>
              <w:autoSpaceDE/>
              <w:autoSpaceDN/>
              <w:bidi w:val="0"/>
              <w:spacing w:line="240" w:lineRule="auto"/>
              <w:ind w:left="0"/>
              <w:textAlignment w:val="auto"/>
              <w:rPr>
                <w:rFonts w:hint="default"/>
                <w:color w:val="auto"/>
                <w:highlight w:val="none"/>
                <w:lang w:eastAsia="zh-CN"/>
              </w:rPr>
            </w:pPr>
          </w:p>
          <w:p w14:paraId="15F8B88B">
            <w:pPr>
              <w:pStyle w:val="7"/>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7A1427F6">
            <w:pPr>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705A4E71">
            <w:pPr>
              <w:pStyle w:val="7"/>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64D6B8BE">
            <w:pPr>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color w:val="auto"/>
                <w:highlight w:val="none"/>
                <w:lang w:eastAsia="zh-CN"/>
              </w:rPr>
            </w:pPr>
          </w:p>
          <w:p w14:paraId="2CB33F8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4E1D16A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36C49C6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r>
              <w:rPr>
                <w:rFonts w:hint="default" w:ascii="Times New Roman" w:hAnsi="Times New Roman" w:eastAsia="仿宋_GB2312" w:cs="Times New Roman"/>
                <w:b/>
                <w:bCs/>
                <w:color w:val="auto"/>
                <w:kern w:val="0"/>
                <w:sz w:val="24"/>
                <w:highlight w:val="none"/>
                <w:lang w:eastAsia="zh-CN"/>
              </w:rPr>
              <w:t>生态环境现状</w:t>
            </w:r>
          </w:p>
          <w:p w14:paraId="18794F40">
            <w:pPr>
              <w:pStyle w:val="7"/>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40F126AF">
            <w:pPr>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70F35F2F">
            <w:pPr>
              <w:pStyle w:val="7"/>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0A92BEA9">
            <w:pPr>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6BE105F3">
            <w:pPr>
              <w:pStyle w:val="7"/>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1A3C2C26">
            <w:pPr>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4E861103">
            <w:pPr>
              <w:pStyle w:val="7"/>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062B5361">
            <w:pPr>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0A15A1CB">
            <w:pPr>
              <w:pStyle w:val="7"/>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1A3A6F4D">
            <w:pPr>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64A20E8A">
            <w:pPr>
              <w:pStyle w:val="7"/>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7CD856A1">
            <w:pPr>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5EE3D2FF">
            <w:pPr>
              <w:pStyle w:val="7"/>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3776A4F7">
            <w:pPr>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638117D7">
            <w:pPr>
              <w:pStyle w:val="7"/>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3E509052">
            <w:pPr>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37045D7D">
            <w:pPr>
              <w:pStyle w:val="7"/>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67915C07">
            <w:pPr>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1E486CB5">
            <w:pPr>
              <w:pStyle w:val="7"/>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27B07B80">
            <w:pPr>
              <w:keepNext w:val="0"/>
              <w:keepLines w:val="0"/>
              <w:pageBreakBefore w:val="0"/>
              <w:widowControl w:val="0"/>
              <w:kinsoku/>
              <w:wordWrap/>
              <w:overflowPunct/>
              <w:topLinePunct w:val="0"/>
              <w:autoSpaceDE/>
              <w:autoSpaceDN/>
              <w:bidi w:val="0"/>
              <w:spacing w:line="240" w:lineRule="auto"/>
              <w:ind w:left="0"/>
              <w:textAlignment w:val="auto"/>
              <w:rPr>
                <w:rFonts w:hint="default" w:ascii="Times New Roman" w:hAnsi="Times New Roman" w:eastAsia="仿宋_GB2312" w:cs="Times New Roman"/>
                <w:b/>
                <w:bCs/>
                <w:color w:val="auto"/>
                <w:kern w:val="0"/>
                <w:sz w:val="24"/>
                <w:highlight w:val="none"/>
                <w:lang w:eastAsia="zh-CN"/>
              </w:rPr>
            </w:pPr>
          </w:p>
          <w:p w14:paraId="4069E180">
            <w:pPr>
              <w:pStyle w:val="7"/>
              <w:rPr>
                <w:rFonts w:hint="default" w:ascii="Times New Roman" w:hAnsi="Times New Roman" w:eastAsia="仿宋_GB2312" w:cs="Times New Roman"/>
                <w:b/>
                <w:bCs/>
                <w:color w:val="auto"/>
                <w:kern w:val="0"/>
                <w:sz w:val="24"/>
                <w:highlight w:val="none"/>
                <w:lang w:eastAsia="zh-CN"/>
              </w:rPr>
            </w:pPr>
          </w:p>
          <w:p w14:paraId="01CA432C">
            <w:pPr>
              <w:rPr>
                <w:rFonts w:hint="default" w:ascii="Times New Roman" w:hAnsi="Times New Roman" w:eastAsia="仿宋_GB2312" w:cs="Times New Roman"/>
                <w:b/>
                <w:bCs/>
                <w:color w:val="auto"/>
                <w:kern w:val="0"/>
                <w:sz w:val="24"/>
                <w:highlight w:val="none"/>
                <w:lang w:eastAsia="zh-CN"/>
              </w:rPr>
            </w:pPr>
          </w:p>
          <w:p w14:paraId="75C3AEC5">
            <w:pPr>
              <w:pStyle w:val="7"/>
              <w:rPr>
                <w:rFonts w:hint="default" w:ascii="Times New Roman" w:hAnsi="Times New Roman" w:eastAsia="仿宋_GB2312" w:cs="Times New Roman"/>
                <w:b/>
                <w:bCs/>
                <w:color w:val="auto"/>
                <w:kern w:val="0"/>
                <w:sz w:val="24"/>
                <w:highlight w:val="none"/>
                <w:lang w:eastAsia="zh-CN"/>
              </w:rPr>
            </w:pPr>
          </w:p>
          <w:p w14:paraId="747A5A9D">
            <w:pPr>
              <w:rPr>
                <w:rFonts w:hint="default" w:ascii="Times New Roman" w:hAnsi="Times New Roman" w:eastAsia="仿宋_GB2312" w:cs="Times New Roman"/>
                <w:b/>
                <w:bCs/>
                <w:color w:val="auto"/>
                <w:kern w:val="0"/>
                <w:sz w:val="24"/>
                <w:highlight w:val="none"/>
                <w:lang w:eastAsia="zh-CN"/>
              </w:rPr>
            </w:pPr>
          </w:p>
          <w:p w14:paraId="234E48E5">
            <w:pPr>
              <w:pStyle w:val="7"/>
              <w:rPr>
                <w:rFonts w:hint="default" w:ascii="Times New Roman" w:hAnsi="Times New Roman" w:eastAsia="仿宋_GB2312" w:cs="Times New Roman"/>
                <w:b/>
                <w:bCs/>
                <w:color w:val="auto"/>
                <w:kern w:val="0"/>
                <w:sz w:val="24"/>
                <w:highlight w:val="none"/>
                <w:lang w:eastAsia="zh-CN"/>
              </w:rPr>
            </w:pPr>
          </w:p>
          <w:p w14:paraId="07D05E31">
            <w:pPr>
              <w:rPr>
                <w:rFonts w:hint="default" w:ascii="Times New Roman" w:hAnsi="Times New Roman" w:eastAsia="仿宋_GB2312" w:cs="Times New Roman"/>
                <w:b/>
                <w:bCs/>
                <w:color w:val="auto"/>
                <w:kern w:val="0"/>
                <w:sz w:val="24"/>
                <w:highlight w:val="none"/>
                <w:lang w:eastAsia="zh-CN"/>
              </w:rPr>
            </w:pPr>
          </w:p>
          <w:p w14:paraId="2E6950B8">
            <w:pPr>
              <w:pStyle w:val="7"/>
              <w:rPr>
                <w:rFonts w:hint="default" w:ascii="Times New Roman" w:hAnsi="Times New Roman" w:eastAsia="仿宋_GB2312" w:cs="Times New Roman"/>
                <w:b/>
                <w:bCs/>
                <w:color w:val="auto"/>
                <w:kern w:val="0"/>
                <w:sz w:val="24"/>
                <w:highlight w:val="none"/>
                <w:lang w:eastAsia="zh-CN"/>
              </w:rPr>
            </w:pPr>
          </w:p>
          <w:p w14:paraId="0A2416FA">
            <w:pPr>
              <w:rPr>
                <w:rFonts w:hint="default" w:ascii="Times New Roman" w:hAnsi="Times New Roman" w:eastAsia="仿宋_GB2312" w:cs="Times New Roman"/>
                <w:b/>
                <w:bCs/>
                <w:color w:val="auto"/>
                <w:kern w:val="0"/>
                <w:sz w:val="24"/>
                <w:highlight w:val="none"/>
                <w:lang w:eastAsia="zh-CN"/>
              </w:rPr>
            </w:pPr>
          </w:p>
          <w:p w14:paraId="37AEB7B9">
            <w:pPr>
              <w:pStyle w:val="7"/>
              <w:rPr>
                <w:rFonts w:hint="default" w:ascii="Times New Roman" w:hAnsi="Times New Roman" w:eastAsia="仿宋_GB2312" w:cs="Times New Roman"/>
                <w:b/>
                <w:bCs/>
                <w:color w:val="auto"/>
                <w:kern w:val="0"/>
                <w:sz w:val="24"/>
                <w:highlight w:val="none"/>
                <w:lang w:eastAsia="zh-CN"/>
              </w:rPr>
            </w:pPr>
          </w:p>
          <w:p w14:paraId="225BDE40">
            <w:pPr>
              <w:rPr>
                <w:rFonts w:hint="default" w:ascii="Times New Roman" w:hAnsi="Times New Roman" w:eastAsia="仿宋_GB2312" w:cs="Times New Roman"/>
                <w:b/>
                <w:bCs/>
                <w:color w:val="auto"/>
                <w:kern w:val="0"/>
                <w:sz w:val="24"/>
                <w:highlight w:val="none"/>
                <w:lang w:eastAsia="zh-CN"/>
              </w:rPr>
            </w:pPr>
          </w:p>
          <w:p w14:paraId="5F621F3A">
            <w:pPr>
              <w:pStyle w:val="7"/>
              <w:rPr>
                <w:rFonts w:hint="default" w:ascii="Times New Roman" w:hAnsi="Times New Roman" w:eastAsia="仿宋_GB2312" w:cs="Times New Roman"/>
                <w:b/>
                <w:bCs/>
                <w:color w:val="auto"/>
                <w:kern w:val="0"/>
                <w:sz w:val="24"/>
                <w:highlight w:val="none"/>
                <w:lang w:eastAsia="zh-CN"/>
              </w:rPr>
            </w:pPr>
          </w:p>
          <w:p w14:paraId="67E3D9D8">
            <w:pPr>
              <w:rPr>
                <w:rFonts w:hint="default" w:ascii="Times New Roman" w:hAnsi="Times New Roman" w:eastAsia="仿宋_GB2312" w:cs="Times New Roman"/>
                <w:b/>
                <w:bCs/>
                <w:color w:val="auto"/>
                <w:kern w:val="0"/>
                <w:sz w:val="24"/>
                <w:highlight w:val="none"/>
                <w:lang w:eastAsia="zh-CN"/>
              </w:rPr>
            </w:pPr>
          </w:p>
          <w:p w14:paraId="555DF2E7">
            <w:pPr>
              <w:pStyle w:val="7"/>
              <w:rPr>
                <w:rFonts w:hint="default" w:ascii="Times New Roman" w:hAnsi="Times New Roman" w:eastAsia="仿宋_GB2312" w:cs="Times New Roman"/>
                <w:color w:val="auto"/>
                <w:highlight w:val="none"/>
                <w:lang w:eastAsia="zh-CN"/>
              </w:rPr>
            </w:pPr>
          </w:p>
          <w:p w14:paraId="206827DB">
            <w:pPr>
              <w:pStyle w:val="7"/>
              <w:rPr>
                <w:rFonts w:hint="default" w:ascii="Times New Roman" w:hAnsi="Times New Roman" w:eastAsia="仿宋_GB2312" w:cs="Times New Roman"/>
                <w:b/>
                <w:bCs/>
                <w:color w:val="auto"/>
                <w:kern w:val="0"/>
                <w:sz w:val="24"/>
                <w:highlight w:val="none"/>
                <w:lang w:eastAsia="zh-CN"/>
              </w:rPr>
            </w:pPr>
          </w:p>
          <w:p w14:paraId="4EB22B50">
            <w:pPr>
              <w:rPr>
                <w:rFonts w:hint="default" w:ascii="Times New Roman" w:hAnsi="Times New Roman" w:eastAsia="仿宋_GB2312" w:cs="Times New Roman"/>
                <w:b/>
                <w:bCs/>
                <w:color w:val="auto"/>
                <w:kern w:val="0"/>
                <w:sz w:val="24"/>
                <w:highlight w:val="none"/>
                <w:lang w:eastAsia="zh-CN"/>
              </w:rPr>
            </w:pPr>
          </w:p>
          <w:p w14:paraId="2C79E345">
            <w:pPr>
              <w:pStyle w:val="7"/>
              <w:rPr>
                <w:rFonts w:hint="default" w:ascii="Times New Roman" w:hAnsi="Times New Roman" w:eastAsia="仿宋_GB2312" w:cs="Times New Roman"/>
                <w:b/>
                <w:bCs/>
                <w:color w:val="auto"/>
                <w:kern w:val="0"/>
                <w:sz w:val="24"/>
                <w:highlight w:val="none"/>
                <w:lang w:eastAsia="zh-CN"/>
              </w:rPr>
            </w:pPr>
          </w:p>
          <w:p w14:paraId="51AFD4EB">
            <w:pPr>
              <w:rPr>
                <w:rFonts w:hint="default" w:ascii="Times New Roman" w:hAnsi="Times New Roman" w:eastAsia="仿宋_GB2312" w:cs="Times New Roman"/>
                <w:b/>
                <w:bCs/>
                <w:color w:val="auto"/>
                <w:kern w:val="0"/>
                <w:sz w:val="24"/>
                <w:highlight w:val="none"/>
                <w:lang w:eastAsia="zh-CN"/>
              </w:rPr>
            </w:pPr>
          </w:p>
          <w:p w14:paraId="6579933C">
            <w:pPr>
              <w:rPr>
                <w:rFonts w:hint="default" w:ascii="Times New Roman" w:hAnsi="Times New Roman" w:eastAsia="仿宋_GB2312" w:cs="Times New Roman"/>
                <w:b/>
                <w:bCs/>
                <w:color w:val="auto"/>
                <w:kern w:val="0"/>
                <w:sz w:val="24"/>
                <w:highlight w:val="none"/>
                <w:lang w:eastAsia="zh-CN"/>
              </w:rPr>
            </w:pPr>
          </w:p>
          <w:p w14:paraId="31A2CAF9">
            <w:pPr>
              <w:rPr>
                <w:rFonts w:hint="default" w:ascii="Times New Roman" w:hAnsi="Times New Roman" w:eastAsia="仿宋_GB2312" w:cs="Times New Roman"/>
                <w:b/>
                <w:bCs/>
                <w:color w:val="auto"/>
                <w:kern w:val="0"/>
                <w:sz w:val="24"/>
                <w:highlight w:val="none"/>
                <w:lang w:eastAsia="zh-CN"/>
              </w:rPr>
            </w:pPr>
          </w:p>
          <w:p w14:paraId="7F21EA6A">
            <w:pPr>
              <w:rPr>
                <w:rFonts w:hint="default" w:ascii="Times New Roman" w:hAnsi="Times New Roman" w:eastAsia="仿宋_GB2312" w:cs="Times New Roman"/>
                <w:b/>
                <w:bCs/>
                <w:color w:val="auto"/>
                <w:kern w:val="0"/>
                <w:sz w:val="24"/>
                <w:highlight w:val="none"/>
                <w:lang w:eastAsia="zh-CN"/>
              </w:rPr>
            </w:pPr>
          </w:p>
          <w:p w14:paraId="691082CA">
            <w:pPr>
              <w:adjustRightInd w:val="0"/>
              <w:snapToGrid w:val="0"/>
              <w:jc w:val="center"/>
              <w:rPr>
                <w:rFonts w:hint="default" w:ascii="Times New Roman" w:hAnsi="Times New Roman" w:eastAsia="仿宋_GB2312" w:cs="Times New Roman"/>
                <w:b/>
                <w:bCs/>
                <w:color w:val="auto"/>
                <w:kern w:val="0"/>
                <w:sz w:val="24"/>
                <w:highlight w:val="none"/>
                <w:lang w:eastAsia="zh-CN"/>
              </w:rPr>
            </w:pPr>
            <w:r>
              <w:rPr>
                <w:rFonts w:hint="default" w:ascii="Times New Roman" w:hAnsi="Times New Roman" w:eastAsia="仿宋_GB2312" w:cs="Times New Roman"/>
                <w:b/>
                <w:bCs/>
                <w:color w:val="auto"/>
                <w:kern w:val="0"/>
                <w:sz w:val="24"/>
                <w:highlight w:val="none"/>
                <w:lang w:eastAsia="zh-CN"/>
              </w:rPr>
              <w:t>生态环境现状</w:t>
            </w:r>
          </w:p>
          <w:p w14:paraId="384ED964">
            <w:pPr>
              <w:pStyle w:val="7"/>
              <w:rPr>
                <w:rFonts w:hint="default" w:ascii="Times New Roman" w:hAnsi="Times New Roman" w:eastAsia="仿宋_GB2312" w:cs="Times New Roman"/>
                <w:b/>
                <w:bCs/>
                <w:color w:val="auto"/>
                <w:kern w:val="0"/>
                <w:sz w:val="24"/>
                <w:highlight w:val="none"/>
                <w:lang w:eastAsia="zh-CN"/>
              </w:rPr>
            </w:pPr>
          </w:p>
          <w:p w14:paraId="61110F1B">
            <w:pPr>
              <w:rPr>
                <w:rFonts w:hint="default" w:ascii="Times New Roman" w:hAnsi="Times New Roman" w:eastAsia="仿宋_GB2312" w:cs="Times New Roman"/>
                <w:b/>
                <w:bCs/>
                <w:color w:val="auto"/>
                <w:kern w:val="0"/>
                <w:sz w:val="24"/>
                <w:highlight w:val="none"/>
                <w:lang w:eastAsia="zh-CN"/>
              </w:rPr>
            </w:pPr>
          </w:p>
          <w:p w14:paraId="48ABBA80">
            <w:pPr>
              <w:pStyle w:val="7"/>
              <w:rPr>
                <w:rFonts w:hint="default" w:ascii="Times New Roman" w:hAnsi="Times New Roman" w:eastAsia="仿宋_GB2312" w:cs="Times New Roman"/>
                <w:b/>
                <w:bCs/>
                <w:color w:val="auto"/>
                <w:kern w:val="0"/>
                <w:sz w:val="24"/>
                <w:highlight w:val="none"/>
                <w:lang w:eastAsia="zh-CN"/>
              </w:rPr>
            </w:pPr>
          </w:p>
          <w:p w14:paraId="417B7726">
            <w:pPr>
              <w:rPr>
                <w:rFonts w:hint="default" w:ascii="Times New Roman" w:hAnsi="Times New Roman" w:eastAsia="仿宋_GB2312" w:cs="Times New Roman"/>
                <w:b/>
                <w:bCs/>
                <w:color w:val="auto"/>
                <w:kern w:val="0"/>
                <w:sz w:val="24"/>
                <w:highlight w:val="none"/>
                <w:lang w:eastAsia="zh-CN"/>
              </w:rPr>
            </w:pPr>
          </w:p>
          <w:p w14:paraId="4C670CB7">
            <w:pPr>
              <w:pStyle w:val="7"/>
              <w:rPr>
                <w:rFonts w:hint="default" w:ascii="Times New Roman" w:hAnsi="Times New Roman" w:eastAsia="仿宋_GB2312" w:cs="Times New Roman"/>
                <w:b/>
                <w:bCs/>
                <w:color w:val="auto"/>
                <w:kern w:val="0"/>
                <w:sz w:val="24"/>
                <w:highlight w:val="none"/>
                <w:lang w:eastAsia="zh-CN"/>
              </w:rPr>
            </w:pPr>
          </w:p>
          <w:p w14:paraId="26F5ADE7">
            <w:pPr>
              <w:rPr>
                <w:rFonts w:hint="default" w:ascii="Times New Roman" w:hAnsi="Times New Roman" w:eastAsia="仿宋_GB2312" w:cs="Times New Roman"/>
                <w:b/>
                <w:bCs/>
                <w:color w:val="auto"/>
                <w:kern w:val="0"/>
                <w:sz w:val="24"/>
                <w:highlight w:val="none"/>
                <w:lang w:eastAsia="zh-CN"/>
              </w:rPr>
            </w:pPr>
          </w:p>
          <w:p w14:paraId="3A7C0F1D">
            <w:pPr>
              <w:pStyle w:val="7"/>
              <w:rPr>
                <w:rFonts w:hint="default" w:ascii="Times New Roman" w:hAnsi="Times New Roman" w:eastAsia="仿宋_GB2312" w:cs="Times New Roman"/>
                <w:b/>
                <w:bCs/>
                <w:color w:val="auto"/>
                <w:kern w:val="0"/>
                <w:sz w:val="24"/>
                <w:highlight w:val="none"/>
                <w:lang w:eastAsia="zh-CN"/>
              </w:rPr>
            </w:pPr>
          </w:p>
          <w:p w14:paraId="63908D7F">
            <w:pPr>
              <w:rPr>
                <w:rFonts w:hint="default" w:ascii="Times New Roman" w:hAnsi="Times New Roman" w:eastAsia="仿宋_GB2312" w:cs="Times New Roman"/>
                <w:b/>
                <w:bCs/>
                <w:color w:val="auto"/>
                <w:kern w:val="0"/>
                <w:sz w:val="24"/>
                <w:highlight w:val="none"/>
                <w:lang w:eastAsia="zh-CN"/>
              </w:rPr>
            </w:pPr>
          </w:p>
          <w:p w14:paraId="3FAD0106">
            <w:pPr>
              <w:pStyle w:val="7"/>
              <w:rPr>
                <w:rFonts w:hint="default" w:ascii="Times New Roman" w:hAnsi="Times New Roman" w:eastAsia="仿宋_GB2312" w:cs="Times New Roman"/>
                <w:b/>
                <w:bCs/>
                <w:color w:val="auto"/>
                <w:kern w:val="0"/>
                <w:sz w:val="24"/>
                <w:highlight w:val="none"/>
                <w:lang w:eastAsia="zh-CN"/>
              </w:rPr>
            </w:pPr>
          </w:p>
          <w:p w14:paraId="2CD79410">
            <w:pPr>
              <w:rPr>
                <w:rFonts w:hint="default" w:ascii="Times New Roman" w:hAnsi="Times New Roman" w:eastAsia="仿宋_GB2312" w:cs="Times New Roman"/>
                <w:b/>
                <w:bCs/>
                <w:color w:val="auto"/>
                <w:kern w:val="0"/>
                <w:sz w:val="24"/>
                <w:highlight w:val="none"/>
                <w:lang w:eastAsia="zh-CN"/>
              </w:rPr>
            </w:pPr>
          </w:p>
          <w:p w14:paraId="13B88126">
            <w:pPr>
              <w:pStyle w:val="7"/>
              <w:rPr>
                <w:rFonts w:hint="default" w:ascii="Times New Roman" w:hAnsi="Times New Roman" w:eastAsia="仿宋_GB2312" w:cs="Times New Roman"/>
                <w:b/>
                <w:bCs/>
                <w:color w:val="auto"/>
                <w:kern w:val="0"/>
                <w:sz w:val="24"/>
                <w:highlight w:val="none"/>
                <w:lang w:eastAsia="zh-CN"/>
              </w:rPr>
            </w:pPr>
          </w:p>
          <w:p w14:paraId="6DFD2661">
            <w:pPr>
              <w:rPr>
                <w:rFonts w:hint="default" w:ascii="Times New Roman" w:hAnsi="Times New Roman" w:eastAsia="仿宋_GB2312" w:cs="Times New Roman"/>
                <w:b/>
                <w:bCs/>
                <w:color w:val="auto"/>
                <w:kern w:val="0"/>
                <w:sz w:val="24"/>
                <w:highlight w:val="none"/>
                <w:lang w:eastAsia="zh-CN"/>
              </w:rPr>
            </w:pPr>
          </w:p>
          <w:p w14:paraId="4669C799">
            <w:pPr>
              <w:pStyle w:val="7"/>
              <w:rPr>
                <w:rFonts w:hint="default" w:ascii="Times New Roman" w:hAnsi="Times New Roman" w:eastAsia="仿宋_GB2312" w:cs="Times New Roman"/>
                <w:b/>
                <w:bCs/>
                <w:color w:val="auto"/>
                <w:kern w:val="0"/>
                <w:sz w:val="24"/>
                <w:highlight w:val="none"/>
                <w:lang w:eastAsia="zh-CN"/>
              </w:rPr>
            </w:pPr>
          </w:p>
          <w:p w14:paraId="59C0371C">
            <w:pPr>
              <w:rPr>
                <w:rFonts w:hint="default" w:ascii="Times New Roman" w:hAnsi="Times New Roman" w:eastAsia="仿宋_GB2312" w:cs="Times New Roman"/>
                <w:b/>
                <w:bCs/>
                <w:color w:val="auto"/>
                <w:kern w:val="0"/>
                <w:sz w:val="24"/>
                <w:highlight w:val="none"/>
                <w:lang w:eastAsia="zh-CN"/>
              </w:rPr>
            </w:pPr>
          </w:p>
          <w:p w14:paraId="36DAE94A">
            <w:pPr>
              <w:pStyle w:val="7"/>
              <w:rPr>
                <w:rFonts w:hint="default" w:ascii="Times New Roman" w:hAnsi="Times New Roman" w:eastAsia="仿宋_GB2312" w:cs="Times New Roman"/>
                <w:b/>
                <w:bCs/>
                <w:color w:val="auto"/>
                <w:kern w:val="0"/>
                <w:sz w:val="24"/>
                <w:highlight w:val="none"/>
                <w:lang w:eastAsia="zh-CN"/>
              </w:rPr>
            </w:pPr>
          </w:p>
          <w:p w14:paraId="77BC7B0F">
            <w:pPr>
              <w:rPr>
                <w:rFonts w:hint="default" w:ascii="Times New Roman" w:hAnsi="Times New Roman" w:eastAsia="仿宋_GB2312" w:cs="Times New Roman"/>
                <w:b/>
                <w:bCs/>
                <w:color w:val="auto"/>
                <w:kern w:val="0"/>
                <w:sz w:val="24"/>
                <w:highlight w:val="none"/>
                <w:lang w:eastAsia="zh-CN"/>
              </w:rPr>
            </w:pPr>
          </w:p>
          <w:p w14:paraId="131EAA08">
            <w:pPr>
              <w:pStyle w:val="7"/>
              <w:rPr>
                <w:rFonts w:hint="default" w:ascii="Times New Roman" w:hAnsi="Times New Roman" w:eastAsia="仿宋_GB2312" w:cs="Times New Roman"/>
                <w:b/>
                <w:bCs/>
                <w:color w:val="auto"/>
                <w:kern w:val="0"/>
                <w:sz w:val="24"/>
                <w:highlight w:val="none"/>
                <w:lang w:eastAsia="zh-CN"/>
              </w:rPr>
            </w:pPr>
          </w:p>
          <w:p w14:paraId="383FA2F8">
            <w:pPr>
              <w:rPr>
                <w:rFonts w:hint="default" w:ascii="Times New Roman" w:hAnsi="Times New Roman" w:eastAsia="仿宋_GB2312" w:cs="Times New Roman"/>
                <w:b/>
                <w:bCs/>
                <w:color w:val="auto"/>
                <w:kern w:val="0"/>
                <w:sz w:val="24"/>
                <w:highlight w:val="none"/>
                <w:lang w:eastAsia="zh-CN"/>
              </w:rPr>
            </w:pPr>
          </w:p>
          <w:p w14:paraId="0FBBF580">
            <w:pPr>
              <w:pStyle w:val="7"/>
              <w:rPr>
                <w:rFonts w:hint="default" w:ascii="Times New Roman" w:hAnsi="Times New Roman" w:eastAsia="仿宋_GB2312" w:cs="Times New Roman"/>
                <w:b/>
                <w:bCs/>
                <w:color w:val="auto"/>
                <w:kern w:val="0"/>
                <w:sz w:val="24"/>
                <w:highlight w:val="none"/>
                <w:lang w:eastAsia="zh-CN"/>
              </w:rPr>
            </w:pPr>
          </w:p>
          <w:p w14:paraId="1F51927C">
            <w:pPr>
              <w:rPr>
                <w:rFonts w:hint="default" w:ascii="Times New Roman" w:hAnsi="Times New Roman" w:eastAsia="仿宋_GB2312" w:cs="Times New Roman"/>
                <w:b/>
                <w:bCs/>
                <w:color w:val="auto"/>
                <w:kern w:val="0"/>
                <w:sz w:val="24"/>
                <w:highlight w:val="none"/>
                <w:lang w:eastAsia="zh-CN"/>
              </w:rPr>
            </w:pPr>
          </w:p>
          <w:p w14:paraId="4DEB5CED">
            <w:pPr>
              <w:pStyle w:val="7"/>
              <w:rPr>
                <w:rFonts w:hint="default" w:ascii="Times New Roman" w:hAnsi="Times New Roman" w:eastAsia="仿宋_GB2312" w:cs="Times New Roman"/>
                <w:b/>
                <w:bCs/>
                <w:color w:val="auto"/>
                <w:kern w:val="0"/>
                <w:sz w:val="24"/>
                <w:highlight w:val="none"/>
                <w:lang w:eastAsia="zh-CN"/>
              </w:rPr>
            </w:pPr>
          </w:p>
          <w:p w14:paraId="6D2C479D">
            <w:pPr>
              <w:rPr>
                <w:rFonts w:hint="default" w:ascii="Times New Roman" w:hAnsi="Times New Roman" w:eastAsia="仿宋_GB2312" w:cs="Times New Roman"/>
                <w:b/>
                <w:bCs/>
                <w:color w:val="auto"/>
                <w:kern w:val="0"/>
                <w:sz w:val="24"/>
                <w:highlight w:val="none"/>
                <w:lang w:eastAsia="zh-CN"/>
              </w:rPr>
            </w:pPr>
          </w:p>
          <w:p w14:paraId="2C27C79D">
            <w:pPr>
              <w:pStyle w:val="7"/>
              <w:rPr>
                <w:rFonts w:hint="default" w:ascii="Times New Roman" w:hAnsi="Times New Roman" w:eastAsia="仿宋_GB2312" w:cs="Times New Roman"/>
                <w:b/>
                <w:bCs/>
                <w:color w:val="auto"/>
                <w:kern w:val="0"/>
                <w:sz w:val="24"/>
                <w:highlight w:val="none"/>
                <w:lang w:eastAsia="zh-CN"/>
              </w:rPr>
            </w:pPr>
          </w:p>
          <w:p w14:paraId="7203BC0E">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10603F94">
            <w:pPr>
              <w:pStyle w:val="7"/>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39F6BE1D">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09797DB3">
            <w:pPr>
              <w:pStyle w:val="7"/>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05EA9BC3">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405CE0DF">
            <w:pPr>
              <w:pStyle w:val="7"/>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7FDDBA94">
            <w:pPr>
              <w:pStyle w:val="7"/>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0EE347E4">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5D0CED0C">
            <w:pPr>
              <w:pStyle w:val="7"/>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color w:val="auto"/>
                <w:highlight w:val="none"/>
                <w:lang w:eastAsia="zh-CN"/>
              </w:rPr>
            </w:pPr>
          </w:p>
          <w:p w14:paraId="2116A6D9">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6610734F">
            <w:pPr>
              <w:pStyle w:val="7"/>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1E4E9E78">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068D04AF">
            <w:pPr>
              <w:pStyle w:val="7"/>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57473F56">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656D8926">
            <w:pPr>
              <w:pStyle w:val="7"/>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038E0AA9">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40B99F64">
            <w:pPr>
              <w:pStyle w:val="7"/>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5F6A649D">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727A7DED">
            <w:pPr>
              <w:pStyle w:val="7"/>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2024996F">
            <w:pPr>
              <w:pStyle w:val="32"/>
              <w:rPr>
                <w:rFonts w:hint="default" w:ascii="Times New Roman" w:hAnsi="Times New Roman" w:eastAsia="仿宋_GB2312" w:cs="Times New Roman"/>
                <w:b/>
                <w:bCs/>
                <w:color w:val="auto"/>
                <w:kern w:val="0"/>
                <w:sz w:val="24"/>
                <w:highlight w:val="none"/>
                <w:lang w:eastAsia="zh-CN"/>
              </w:rPr>
            </w:pPr>
          </w:p>
          <w:p w14:paraId="28DB74CB">
            <w:pPr>
              <w:pStyle w:val="31"/>
              <w:rPr>
                <w:rFonts w:hint="default" w:ascii="Times New Roman" w:hAnsi="Times New Roman" w:eastAsia="仿宋_GB2312" w:cs="Times New Roman"/>
                <w:b/>
                <w:bCs/>
                <w:color w:val="auto"/>
                <w:kern w:val="0"/>
                <w:sz w:val="24"/>
                <w:highlight w:val="none"/>
                <w:lang w:eastAsia="zh-CN"/>
              </w:rPr>
            </w:pPr>
          </w:p>
          <w:p w14:paraId="14C9B587">
            <w:pPr>
              <w:rPr>
                <w:rFonts w:hint="default" w:ascii="Times New Roman" w:hAnsi="Times New Roman" w:eastAsia="仿宋_GB2312" w:cs="Times New Roman"/>
                <w:b/>
                <w:bCs/>
                <w:color w:val="auto"/>
                <w:kern w:val="0"/>
                <w:sz w:val="24"/>
                <w:highlight w:val="none"/>
                <w:lang w:eastAsia="zh-CN"/>
              </w:rPr>
            </w:pPr>
          </w:p>
          <w:p w14:paraId="1EE65896">
            <w:pPr>
              <w:rPr>
                <w:rFonts w:hint="default" w:ascii="Times New Roman" w:hAnsi="Times New Roman" w:eastAsia="仿宋_GB2312" w:cs="Times New Roman"/>
                <w:b/>
                <w:bCs/>
                <w:color w:val="auto"/>
                <w:kern w:val="0"/>
                <w:sz w:val="24"/>
                <w:highlight w:val="none"/>
                <w:lang w:eastAsia="zh-CN"/>
              </w:rPr>
            </w:pPr>
          </w:p>
          <w:p w14:paraId="1C314B43">
            <w:pPr>
              <w:rPr>
                <w:rFonts w:hint="default" w:ascii="Times New Roman" w:hAnsi="Times New Roman" w:eastAsia="仿宋_GB2312" w:cs="Times New Roman"/>
                <w:b/>
                <w:bCs/>
                <w:color w:val="auto"/>
                <w:kern w:val="0"/>
                <w:sz w:val="24"/>
                <w:highlight w:val="none"/>
                <w:lang w:eastAsia="zh-CN"/>
              </w:rPr>
            </w:pPr>
          </w:p>
          <w:p w14:paraId="37601AA4">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p>
          <w:p w14:paraId="5195CB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4"/>
                <w:highlight w:val="none"/>
                <w:lang w:eastAsia="zh-CN"/>
              </w:rPr>
            </w:pPr>
            <w:r>
              <w:rPr>
                <w:rFonts w:hint="default" w:ascii="Times New Roman" w:hAnsi="Times New Roman" w:eastAsia="仿宋_GB2312" w:cs="Times New Roman"/>
                <w:b/>
                <w:bCs/>
                <w:color w:val="auto"/>
                <w:kern w:val="0"/>
                <w:sz w:val="24"/>
                <w:highlight w:val="none"/>
                <w:lang w:eastAsia="zh-CN"/>
              </w:rPr>
              <w:t>生态环境现状</w:t>
            </w:r>
          </w:p>
          <w:p w14:paraId="44998B3A">
            <w:pPr>
              <w:pStyle w:val="7"/>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color w:val="auto"/>
                <w:highlight w:val="none"/>
                <w:lang w:eastAsia="zh-CN"/>
              </w:rPr>
            </w:pPr>
          </w:p>
          <w:p w14:paraId="34B018EE">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color w:val="auto"/>
                <w:highlight w:val="none"/>
                <w:lang w:eastAsia="zh-CN"/>
              </w:rPr>
            </w:pPr>
          </w:p>
          <w:p w14:paraId="2E982044">
            <w:pPr>
              <w:pStyle w:val="7"/>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color w:val="auto"/>
                <w:highlight w:val="none"/>
                <w:lang w:eastAsia="zh-CN"/>
              </w:rPr>
            </w:pPr>
          </w:p>
          <w:p w14:paraId="17762E22">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仿宋_GB2312" w:cs="Times New Roman"/>
                <w:color w:val="auto"/>
                <w:highlight w:val="none"/>
                <w:lang w:eastAsia="zh-CN"/>
              </w:rPr>
            </w:pPr>
          </w:p>
          <w:p w14:paraId="41E2A255">
            <w:pPr>
              <w:pStyle w:val="7"/>
              <w:keepNext w:val="0"/>
              <w:keepLines w:val="0"/>
              <w:pageBreakBefore w:val="0"/>
              <w:widowControl w:val="0"/>
              <w:kinsoku/>
              <w:wordWrap/>
              <w:overflowPunct/>
              <w:topLinePunct w:val="0"/>
              <w:autoSpaceDE/>
              <w:autoSpaceDN/>
              <w:bidi w:val="0"/>
              <w:ind w:left="0" w:firstLine="0" w:firstLineChars="0"/>
              <w:jc w:val="center"/>
              <w:textAlignment w:val="auto"/>
              <w:rPr>
                <w:rFonts w:hint="default" w:ascii="Times New Roman" w:hAnsi="Times New Roman" w:eastAsia="仿宋_GB2312" w:cs="Times New Roman"/>
                <w:color w:val="auto"/>
                <w:highlight w:val="none"/>
                <w:lang w:eastAsia="zh-CN"/>
              </w:rPr>
            </w:pPr>
          </w:p>
          <w:p w14:paraId="7DCAE2F0">
            <w:pPr>
              <w:keepNext w:val="0"/>
              <w:keepLines w:val="0"/>
              <w:pageBreakBefore w:val="0"/>
              <w:widowControl w:val="0"/>
              <w:kinsoku/>
              <w:wordWrap/>
              <w:overflowPunct/>
              <w:topLinePunct w:val="0"/>
              <w:autoSpaceDE/>
              <w:autoSpaceDN/>
              <w:bidi w:val="0"/>
              <w:ind w:left="0" w:firstLine="0" w:firstLineChars="0"/>
              <w:jc w:val="center"/>
              <w:textAlignment w:val="auto"/>
              <w:rPr>
                <w:rFonts w:hint="default" w:ascii="Times New Roman" w:hAnsi="Times New Roman" w:eastAsia="仿宋_GB2312" w:cs="Times New Roman"/>
                <w:color w:val="auto"/>
                <w:highlight w:val="none"/>
                <w:lang w:eastAsia="zh-CN"/>
              </w:rPr>
            </w:pPr>
          </w:p>
          <w:p w14:paraId="0E86D684">
            <w:pPr>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仿宋_GB2312" w:cs="Times New Roman"/>
                <w:color w:val="auto"/>
                <w:highlight w:val="none"/>
                <w:lang w:eastAsia="zh-CN"/>
              </w:rPr>
            </w:pPr>
          </w:p>
          <w:p w14:paraId="0316847D">
            <w:pPr>
              <w:keepNext w:val="0"/>
              <w:keepLines w:val="0"/>
              <w:pageBreakBefore w:val="0"/>
              <w:widowControl w:val="0"/>
              <w:kinsoku/>
              <w:wordWrap/>
              <w:overflowPunct/>
              <w:topLinePunct w:val="0"/>
              <w:autoSpaceDE/>
              <w:autoSpaceDN/>
              <w:bidi w:val="0"/>
              <w:ind w:left="0"/>
              <w:jc w:val="center"/>
              <w:textAlignment w:val="auto"/>
              <w:rPr>
                <w:rFonts w:hint="default" w:ascii="Times New Roman" w:hAnsi="Times New Roman" w:eastAsia="仿宋_GB2312" w:cs="Times New Roman"/>
                <w:color w:val="auto"/>
                <w:highlight w:val="none"/>
                <w:lang w:eastAsia="zh-CN"/>
              </w:rPr>
            </w:pPr>
          </w:p>
          <w:p w14:paraId="6D8B543D">
            <w:pPr>
              <w:pStyle w:val="9"/>
              <w:keepNext w:val="0"/>
              <w:keepLines w:val="0"/>
              <w:pageBreakBefore w:val="0"/>
              <w:widowControl w:val="0"/>
              <w:kinsoku/>
              <w:wordWrap/>
              <w:overflowPunct/>
              <w:topLinePunct w:val="0"/>
              <w:autoSpaceDE/>
              <w:autoSpaceDN/>
              <w:bidi w:val="0"/>
              <w:ind w:left="0"/>
              <w:jc w:val="center"/>
              <w:textAlignment w:val="auto"/>
              <w:rPr>
                <w:rFonts w:hint="default" w:ascii="Times New Roman" w:hAnsi="Times New Roman" w:eastAsia="仿宋_GB2312" w:cs="Times New Roman"/>
                <w:color w:val="auto"/>
                <w:highlight w:val="none"/>
                <w:lang w:eastAsia="zh-CN"/>
              </w:rPr>
            </w:pPr>
          </w:p>
          <w:p w14:paraId="2F6C1C39">
            <w:pPr>
              <w:keepNext w:val="0"/>
              <w:keepLines w:val="0"/>
              <w:pageBreakBefore w:val="0"/>
              <w:widowControl w:val="0"/>
              <w:kinsoku/>
              <w:wordWrap/>
              <w:overflowPunct/>
              <w:topLinePunct w:val="0"/>
              <w:autoSpaceDE/>
              <w:autoSpaceDN/>
              <w:bidi w:val="0"/>
              <w:ind w:left="0"/>
              <w:jc w:val="center"/>
              <w:textAlignment w:val="auto"/>
              <w:rPr>
                <w:rFonts w:hint="default" w:ascii="Times New Roman" w:hAnsi="Times New Roman" w:eastAsia="仿宋_GB2312" w:cs="Times New Roman"/>
                <w:color w:val="auto"/>
                <w:highlight w:val="none"/>
                <w:lang w:eastAsia="zh-CN"/>
              </w:rPr>
            </w:pPr>
          </w:p>
          <w:p w14:paraId="15375FB7">
            <w:pPr>
              <w:pStyle w:val="2"/>
              <w:rPr>
                <w:rFonts w:hint="default" w:ascii="Times New Roman" w:hAnsi="Times New Roman" w:eastAsia="仿宋_GB2312" w:cs="Times New Roman"/>
                <w:color w:val="auto"/>
                <w:highlight w:val="none"/>
                <w:lang w:eastAsia="zh-CN"/>
              </w:rPr>
            </w:pPr>
          </w:p>
          <w:p w14:paraId="28E3307D">
            <w:pPr>
              <w:pStyle w:val="2"/>
              <w:rPr>
                <w:rFonts w:hint="default" w:ascii="Times New Roman" w:hAnsi="Times New Roman" w:eastAsia="仿宋_GB2312" w:cs="Times New Roman"/>
                <w:color w:val="auto"/>
                <w:highlight w:val="none"/>
                <w:lang w:eastAsia="zh-CN"/>
              </w:rPr>
            </w:pPr>
          </w:p>
          <w:p w14:paraId="2F588B4E">
            <w:pPr>
              <w:pStyle w:val="2"/>
              <w:rPr>
                <w:rFonts w:hint="default" w:ascii="Times New Roman" w:hAnsi="Times New Roman" w:eastAsia="仿宋_GB2312" w:cs="Times New Roman"/>
                <w:color w:val="auto"/>
                <w:highlight w:val="none"/>
                <w:lang w:eastAsia="zh-CN"/>
              </w:rPr>
            </w:pPr>
          </w:p>
          <w:p w14:paraId="402631F2">
            <w:pPr>
              <w:pStyle w:val="2"/>
              <w:rPr>
                <w:rFonts w:hint="default" w:ascii="Times New Roman" w:hAnsi="Times New Roman" w:eastAsia="仿宋_GB2312" w:cs="Times New Roman"/>
                <w:color w:val="auto"/>
                <w:highlight w:val="none"/>
                <w:lang w:eastAsia="zh-CN"/>
              </w:rPr>
            </w:pPr>
          </w:p>
          <w:p w14:paraId="1D763D34">
            <w:pPr>
              <w:pStyle w:val="2"/>
              <w:rPr>
                <w:rFonts w:hint="default" w:ascii="Times New Roman" w:hAnsi="Times New Roman" w:eastAsia="仿宋_GB2312" w:cs="Times New Roman"/>
                <w:color w:val="auto"/>
                <w:highlight w:val="none"/>
                <w:lang w:eastAsia="zh-CN"/>
              </w:rPr>
            </w:pPr>
          </w:p>
          <w:p w14:paraId="5C10747F">
            <w:pPr>
              <w:pStyle w:val="2"/>
              <w:rPr>
                <w:rFonts w:hint="default" w:ascii="Times New Roman" w:hAnsi="Times New Roman" w:eastAsia="仿宋_GB2312" w:cs="Times New Roman"/>
                <w:color w:val="auto"/>
                <w:highlight w:val="none"/>
                <w:lang w:eastAsia="zh-CN"/>
              </w:rPr>
            </w:pPr>
          </w:p>
          <w:p w14:paraId="6DAA7D42">
            <w:pPr>
              <w:pStyle w:val="2"/>
              <w:rPr>
                <w:rFonts w:hint="default" w:ascii="Times New Roman" w:hAnsi="Times New Roman" w:eastAsia="仿宋_GB2312" w:cs="Times New Roman"/>
                <w:color w:val="auto"/>
                <w:highlight w:val="none"/>
                <w:lang w:eastAsia="zh-CN"/>
              </w:rPr>
            </w:pPr>
          </w:p>
          <w:p w14:paraId="40B818FE">
            <w:pPr>
              <w:pStyle w:val="2"/>
              <w:rPr>
                <w:rFonts w:hint="default" w:ascii="Times New Roman" w:hAnsi="Times New Roman" w:eastAsia="仿宋_GB2312" w:cs="Times New Roman"/>
                <w:color w:val="auto"/>
                <w:highlight w:val="none"/>
                <w:lang w:eastAsia="zh-CN"/>
              </w:rPr>
            </w:pPr>
          </w:p>
          <w:p w14:paraId="646DB1D8">
            <w:pPr>
              <w:pStyle w:val="2"/>
              <w:rPr>
                <w:rFonts w:hint="default" w:ascii="Times New Roman" w:hAnsi="Times New Roman" w:eastAsia="仿宋_GB2312" w:cs="Times New Roman"/>
                <w:color w:val="auto"/>
                <w:highlight w:val="none"/>
                <w:lang w:eastAsia="zh-CN"/>
              </w:rPr>
            </w:pPr>
          </w:p>
          <w:p w14:paraId="51088857">
            <w:pPr>
              <w:pStyle w:val="2"/>
              <w:rPr>
                <w:rFonts w:hint="default" w:ascii="Times New Roman" w:hAnsi="Times New Roman" w:eastAsia="仿宋_GB2312" w:cs="Times New Roman"/>
                <w:color w:val="auto"/>
                <w:highlight w:val="none"/>
                <w:lang w:eastAsia="zh-CN"/>
              </w:rPr>
            </w:pPr>
          </w:p>
          <w:p w14:paraId="2BB50881">
            <w:pPr>
              <w:pStyle w:val="2"/>
              <w:rPr>
                <w:rFonts w:hint="default" w:ascii="Times New Roman" w:hAnsi="Times New Roman" w:eastAsia="仿宋_GB2312" w:cs="Times New Roman"/>
                <w:color w:val="auto"/>
                <w:highlight w:val="none"/>
                <w:lang w:eastAsia="zh-CN"/>
              </w:rPr>
            </w:pPr>
          </w:p>
          <w:p w14:paraId="3E5060E5">
            <w:pPr>
              <w:pStyle w:val="2"/>
              <w:rPr>
                <w:rFonts w:hint="default" w:ascii="Times New Roman" w:hAnsi="Times New Roman" w:eastAsia="仿宋_GB2312" w:cs="Times New Roman"/>
                <w:color w:val="auto"/>
                <w:highlight w:val="none"/>
                <w:lang w:eastAsia="zh-CN"/>
              </w:rPr>
            </w:pPr>
          </w:p>
          <w:p w14:paraId="325366FE">
            <w:pPr>
              <w:pStyle w:val="2"/>
              <w:rPr>
                <w:rFonts w:hint="default" w:ascii="Times New Roman" w:hAnsi="Times New Roman" w:eastAsia="仿宋_GB2312" w:cs="Times New Roman"/>
                <w:color w:val="auto"/>
                <w:highlight w:val="none"/>
                <w:lang w:eastAsia="zh-CN"/>
              </w:rPr>
            </w:pPr>
          </w:p>
          <w:p w14:paraId="2CCE5326">
            <w:pPr>
              <w:pStyle w:val="2"/>
              <w:rPr>
                <w:rFonts w:hint="default" w:ascii="Times New Roman" w:hAnsi="Times New Roman" w:eastAsia="仿宋_GB2312" w:cs="Times New Roman"/>
                <w:color w:val="auto"/>
                <w:highlight w:val="none"/>
                <w:lang w:eastAsia="zh-CN"/>
              </w:rPr>
            </w:pPr>
          </w:p>
          <w:p w14:paraId="13C2AB1A">
            <w:pPr>
              <w:pStyle w:val="2"/>
              <w:rPr>
                <w:rFonts w:hint="default" w:ascii="Times New Roman" w:hAnsi="Times New Roman" w:eastAsia="仿宋_GB2312" w:cs="Times New Roman"/>
                <w:color w:val="auto"/>
                <w:highlight w:val="none"/>
                <w:lang w:eastAsia="zh-CN"/>
              </w:rPr>
            </w:pPr>
          </w:p>
          <w:p w14:paraId="28BEF08D">
            <w:pPr>
              <w:pStyle w:val="2"/>
              <w:rPr>
                <w:rFonts w:hint="default" w:ascii="Times New Roman" w:hAnsi="Times New Roman" w:eastAsia="仿宋_GB2312" w:cs="Times New Roman"/>
                <w:color w:val="auto"/>
                <w:highlight w:val="none"/>
                <w:lang w:eastAsia="zh-CN"/>
              </w:rPr>
            </w:pPr>
          </w:p>
          <w:p w14:paraId="202382D2">
            <w:pPr>
              <w:pStyle w:val="2"/>
              <w:rPr>
                <w:rFonts w:hint="default" w:ascii="Times New Roman" w:hAnsi="Times New Roman" w:eastAsia="仿宋_GB2312" w:cs="Times New Roman"/>
                <w:color w:val="auto"/>
                <w:highlight w:val="none"/>
                <w:lang w:eastAsia="zh-CN"/>
              </w:rPr>
            </w:pPr>
          </w:p>
          <w:p w14:paraId="64EE7660">
            <w:pPr>
              <w:pStyle w:val="2"/>
              <w:rPr>
                <w:rFonts w:hint="default" w:ascii="Times New Roman" w:hAnsi="Times New Roman" w:eastAsia="仿宋_GB2312" w:cs="Times New Roman"/>
                <w:color w:val="auto"/>
                <w:highlight w:val="none"/>
                <w:lang w:eastAsia="zh-CN"/>
              </w:rPr>
            </w:pPr>
          </w:p>
          <w:p w14:paraId="28D1E16E">
            <w:pPr>
              <w:pStyle w:val="2"/>
              <w:rPr>
                <w:rFonts w:hint="default" w:ascii="Times New Roman" w:hAnsi="Times New Roman" w:eastAsia="仿宋_GB2312" w:cs="Times New Roman"/>
                <w:color w:val="auto"/>
                <w:highlight w:val="none"/>
                <w:lang w:eastAsia="zh-CN"/>
              </w:rPr>
            </w:pPr>
          </w:p>
          <w:p w14:paraId="183A062F">
            <w:pPr>
              <w:pStyle w:val="2"/>
              <w:rPr>
                <w:rFonts w:hint="default" w:ascii="Times New Roman" w:hAnsi="Times New Roman" w:eastAsia="仿宋_GB2312" w:cs="Times New Roman"/>
                <w:color w:val="auto"/>
                <w:highlight w:val="none"/>
                <w:lang w:eastAsia="zh-CN"/>
              </w:rPr>
            </w:pPr>
          </w:p>
          <w:p w14:paraId="2CE5FC51">
            <w:pPr>
              <w:pStyle w:val="2"/>
              <w:rPr>
                <w:rFonts w:hint="default" w:ascii="Times New Roman" w:hAnsi="Times New Roman" w:eastAsia="仿宋_GB2312" w:cs="Times New Roman"/>
                <w:color w:val="auto"/>
                <w:highlight w:val="none"/>
                <w:lang w:eastAsia="zh-CN"/>
              </w:rPr>
            </w:pPr>
          </w:p>
          <w:p w14:paraId="3239BD53">
            <w:pPr>
              <w:pStyle w:val="2"/>
              <w:rPr>
                <w:rFonts w:hint="default" w:ascii="Times New Roman" w:hAnsi="Times New Roman" w:eastAsia="仿宋_GB2312" w:cs="Times New Roman"/>
                <w:color w:val="auto"/>
                <w:highlight w:val="none"/>
                <w:lang w:eastAsia="zh-CN"/>
              </w:rPr>
            </w:pPr>
          </w:p>
          <w:p w14:paraId="1840CF8F">
            <w:pPr>
              <w:pStyle w:val="2"/>
              <w:rPr>
                <w:rFonts w:hint="default" w:ascii="Times New Roman" w:hAnsi="Times New Roman" w:eastAsia="仿宋_GB2312" w:cs="Times New Roman"/>
                <w:color w:val="auto"/>
                <w:highlight w:val="none"/>
                <w:lang w:eastAsia="zh-CN"/>
              </w:rPr>
            </w:pPr>
          </w:p>
          <w:p w14:paraId="792C70A9">
            <w:pPr>
              <w:pStyle w:val="2"/>
              <w:rPr>
                <w:rFonts w:hint="default" w:ascii="Times New Roman" w:hAnsi="Times New Roman" w:eastAsia="仿宋_GB2312" w:cs="Times New Roman"/>
                <w:color w:val="auto"/>
                <w:highlight w:val="none"/>
                <w:lang w:eastAsia="zh-CN"/>
              </w:rPr>
            </w:pPr>
          </w:p>
          <w:p w14:paraId="1CB11ED5">
            <w:pPr>
              <w:pStyle w:val="2"/>
              <w:rPr>
                <w:rFonts w:hint="default" w:ascii="Times New Roman" w:hAnsi="Times New Roman" w:eastAsia="仿宋_GB2312" w:cs="Times New Roman"/>
                <w:color w:val="auto"/>
                <w:highlight w:val="none"/>
                <w:lang w:eastAsia="zh-CN"/>
              </w:rPr>
            </w:pPr>
          </w:p>
          <w:p w14:paraId="12522DE1">
            <w:pPr>
              <w:pStyle w:val="2"/>
              <w:rPr>
                <w:rFonts w:hint="default" w:ascii="Times New Roman" w:hAnsi="Times New Roman" w:eastAsia="仿宋_GB2312" w:cs="Times New Roman"/>
                <w:color w:val="auto"/>
                <w:highlight w:val="none"/>
                <w:lang w:eastAsia="zh-CN"/>
              </w:rPr>
            </w:pPr>
          </w:p>
          <w:p w14:paraId="1FEB1ED4">
            <w:pPr>
              <w:pStyle w:val="2"/>
              <w:rPr>
                <w:rFonts w:hint="default" w:ascii="Times New Roman" w:hAnsi="Times New Roman" w:eastAsia="仿宋_GB2312" w:cs="Times New Roman"/>
                <w:color w:val="auto"/>
                <w:highlight w:val="none"/>
                <w:lang w:eastAsia="zh-CN"/>
              </w:rPr>
            </w:pPr>
          </w:p>
          <w:p w14:paraId="326BD374">
            <w:pPr>
              <w:pStyle w:val="2"/>
              <w:rPr>
                <w:rFonts w:hint="default" w:ascii="Times New Roman" w:hAnsi="Times New Roman" w:eastAsia="仿宋_GB2312" w:cs="Times New Roman"/>
                <w:color w:val="auto"/>
                <w:highlight w:val="none"/>
                <w:lang w:eastAsia="zh-CN"/>
              </w:rPr>
            </w:pPr>
          </w:p>
          <w:p w14:paraId="4002B707">
            <w:pPr>
              <w:pStyle w:val="2"/>
              <w:rPr>
                <w:rFonts w:hint="default" w:ascii="Times New Roman" w:hAnsi="Times New Roman" w:eastAsia="仿宋_GB2312" w:cs="Times New Roman"/>
                <w:color w:val="auto"/>
                <w:highlight w:val="none"/>
                <w:lang w:eastAsia="zh-CN"/>
              </w:rPr>
            </w:pPr>
          </w:p>
          <w:p w14:paraId="21BF6798">
            <w:pPr>
              <w:pStyle w:val="2"/>
              <w:rPr>
                <w:rFonts w:hint="default" w:ascii="Times New Roman" w:hAnsi="Times New Roman" w:eastAsia="仿宋_GB2312" w:cs="Times New Roman"/>
                <w:color w:val="auto"/>
                <w:highlight w:val="none"/>
                <w:lang w:eastAsia="zh-CN"/>
              </w:rPr>
            </w:pPr>
          </w:p>
          <w:p w14:paraId="452E55B6">
            <w:pPr>
              <w:pStyle w:val="2"/>
              <w:rPr>
                <w:rFonts w:hint="default" w:ascii="Times New Roman" w:hAnsi="Times New Roman" w:eastAsia="仿宋_GB2312" w:cs="Times New Roman"/>
                <w:color w:val="auto"/>
                <w:highlight w:val="none"/>
                <w:lang w:eastAsia="zh-CN"/>
              </w:rPr>
            </w:pPr>
          </w:p>
          <w:p w14:paraId="74E606C8">
            <w:pPr>
              <w:pStyle w:val="2"/>
              <w:rPr>
                <w:rFonts w:hint="default" w:ascii="Times New Roman" w:hAnsi="Times New Roman" w:eastAsia="仿宋_GB2312" w:cs="Times New Roman"/>
                <w:color w:val="auto"/>
                <w:highlight w:val="none"/>
                <w:lang w:eastAsia="zh-CN"/>
              </w:rPr>
            </w:pPr>
          </w:p>
          <w:p w14:paraId="1D167BD7">
            <w:pPr>
              <w:pStyle w:val="2"/>
              <w:rPr>
                <w:rFonts w:hint="default" w:ascii="Times New Roman" w:hAnsi="Times New Roman" w:eastAsia="仿宋_GB2312" w:cs="Times New Roman"/>
                <w:color w:val="auto"/>
                <w:highlight w:val="none"/>
                <w:lang w:eastAsia="zh-CN"/>
              </w:rPr>
            </w:pPr>
          </w:p>
          <w:p w14:paraId="79C8BCE4">
            <w:pPr>
              <w:pStyle w:val="2"/>
              <w:rPr>
                <w:rFonts w:hint="default" w:ascii="Times New Roman" w:hAnsi="Times New Roman" w:eastAsia="仿宋_GB2312" w:cs="Times New Roman"/>
                <w:color w:val="auto"/>
                <w:highlight w:val="none"/>
                <w:lang w:eastAsia="zh-CN"/>
              </w:rPr>
            </w:pPr>
          </w:p>
          <w:p w14:paraId="60AD6D0B">
            <w:pPr>
              <w:pStyle w:val="2"/>
              <w:rPr>
                <w:rFonts w:hint="default" w:ascii="Times New Roman" w:hAnsi="Times New Roman" w:eastAsia="仿宋_GB2312" w:cs="Times New Roman"/>
                <w:color w:val="auto"/>
                <w:highlight w:val="none"/>
                <w:lang w:eastAsia="zh-CN"/>
              </w:rPr>
            </w:pPr>
          </w:p>
          <w:p w14:paraId="0A0098D4">
            <w:pPr>
              <w:pStyle w:val="2"/>
              <w:rPr>
                <w:rFonts w:hint="default" w:ascii="Times New Roman" w:hAnsi="Times New Roman" w:eastAsia="仿宋_GB2312" w:cs="Times New Roman"/>
                <w:color w:val="auto"/>
                <w:highlight w:val="none"/>
                <w:lang w:eastAsia="zh-CN"/>
              </w:rPr>
            </w:pPr>
          </w:p>
          <w:p w14:paraId="7C78B305">
            <w:pPr>
              <w:pStyle w:val="2"/>
              <w:rPr>
                <w:rFonts w:hint="default" w:ascii="Times New Roman" w:hAnsi="Times New Roman" w:eastAsia="仿宋_GB2312" w:cs="Times New Roman"/>
                <w:color w:val="auto"/>
                <w:highlight w:val="none"/>
                <w:lang w:eastAsia="zh-CN"/>
              </w:rPr>
            </w:pPr>
          </w:p>
          <w:p w14:paraId="19EFCAF5">
            <w:pPr>
              <w:pStyle w:val="2"/>
              <w:rPr>
                <w:rFonts w:hint="default" w:ascii="Times New Roman" w:hAnsi="Times New Roman" w:eastAsia="仿宋_GB2312" w:cs="Times New Roman"/>
                <w:color w:val="auto"/>
                <w:highlight w:val="none"/>
                <w:lang w:eastAsia="zh-CN"/>
              </w:rPr>
            </w:pPr>
          </w:p>
          <w:p w14:paraId="64290857">
            <w:pPr>
              <w:pStyle w:val="2"/>
              <w:rPr>
                <w:rFonts w:hint="default" w:ascii="Times New Roman" w:hAnsi="Times New Roman" w:eastAsia="仿宋_GB2312" w:cs="Times New Roman"/>
                <w:color w:val="auto"/>
                <w:highlight w:val="none"/>
                <w:lang w:eastAsia="zh-CN"/>
              </w:rPr>
            </w:pPr>
          </w:p>
          <w:p w14:paraId="149F6F1F">
            <w:pPr>
              <w:pStyle w:val="2"/>
              <w:rPr>
                <w:rFonts w:hint="default" w:ascii="Times New Roman" w:hAnsi="Times New Roman" w:eastAsia="仿宋_GB2312" w:cs="Times New Roman"/>
                <w:color w:val="auto"/>
                <w:highlight w:val="none"/>
                <w:lang w:eastAsia="zh-CN"/>
              </w:rPr>
            </w:pPr>
          </w:p>
          <w:p w14:paraId="74A28EB5">
            <w:pPr>
              <w:pStyle w:val="2"/>
              <w:rPr>
                <w:rFonts w:hint="default" w:ascii="Times New Roman" w:hAnsi="Times New Roman" w:eastAsia="仿宋_GB2312" w:cs="Times New Roman"/>
                <w:color w:val="auto"/>
                <w:highlight w:val="none"/>
                <w:lang w:eastAsia="zh-CN"/>
              </w:rPr>
            </w:pPr>
          </w:p>
          <w:p w14:paraId="36453E1D">
            <w:pPr>
              <w:pStyle w:val="2"/>
              <w:rPr>
                <w:rFonts w:hint="default" w:ascii="Times New Roman" w:hAnsi="Times New Roman" w:eastAsia="仿宋_GB2312" w:cs="Times New Roman"/>
                <w:color w:val="auto"/>
                <w:highlight w:val="none"/>
                <w:lang w:eastAsia="zh-CN"/>
              </w:rPr>
            </w:pPr>
          </w:p>
          <w:p w14:paraId="53531C7E">
            <w:pPr>
              <w:pStyle w:val="2"/>
              <w:rPr>
                <w:rFonts w:hint="default" w:ascii="Times New Roman" w:hAnsi="Times New Roman" w:eastAsia="仿宋_GB2312" w:cs="Times New Roman"/>
                <w:color w:val="auto"/>
                <w:highlight w:val="none"/>
                <w:lang w:eastAsia="zh-CN"/>
              </w:rPr>
            </w:pPr>
          </w:p>
          <w:p w14:paraId="07744DD4">
            <w:pPr>
              <w:pStyle w:val="2"/>
              <w:rPr>
                <w:rFonts w:hint="default" w:ascii="Times New Roman" w:hAnsi="Times New Roman" w:eastAsia="仿宋_GB2312" w:cs="Times New Roman"/>
                <w:color w:val="auto"/>
                <w:highlight w:val="none"/>
                <w:lang w:eastAsia="zh-CN"/>
              </w:rPr>
            </w:pPr>
          </w:p>
          <w:p w14:paraId="18EA05B5">
            <w:pPr>
              <w:pStyle w:val="2"/>
              <w:rPr>
                <w:rFonts w:hint="default" w:ascii="Times New Roman" w:hAnsi="Times New Roman" w:eastAsia="仿宋_GB2312" w:cs="Times New Roman"/>
                <w:color w:val="auto"/>
                <w:highlight w:val="none"/>
                <w:lang w:eastAsia="zh-CN"/>
              </w:rPr>
            </w:pPr>
          </w:p>
          <w:p w14:paraId="31BDCBF1">
            <w:pPr>
              <w:pStyle w:val="2"/>
              <w:rPr>
                <w:rFonts w:hint="default" w:ascii="Times New Roman" w:hAnsi="Times New Roman" w:eastAsia="仿宋_GB2312" w:cs="Times New Roman"/>
                <w:color w:val="auto"/>
                <w:highlight w:val="none"/>
                <w:lang w:eastAsia="zh-CN"/>
              </w:rPr>
            </w:pPr>
          </w:p>
          <w:p w14:paraId="5F133D35">
            <w:pPr>
              <w:pStyle w:val="2"/>
              <w:rPr>
                <w:rFonts w:hint="default" w:ascii="Times New Roman" w:hAnsi="Times New Roman" w:eastAsia="仿宋_GB2312" w:cs="Times New Roman"/>
                <w:color w:val="auto"/>
                <w:highlight w:val="none"/>
                <w:lang w:eastAsia="zh-CN"/>
              </w:rPr>
            </w:pPr>
          </w:p>
          <w:p w14:paraId="6AE90EDB">
            <w:pPr>
              <w:pStyle w:val="2"/>
              <w:rPr>
                <w:rFonts w:hint="default" w:ascii="Times New Roman" w:hAnsi="Times New Roman" w:eastAsia="仿宋_GB2312" w:cs="Times New Roman"/>
                <w:color w:val="auto"/>
                <w:highlight w:val="none"/>
                <w:lang w:eastAsia="zh-CN"/>
              </w:rPr>
            </w:pPr>
          </w:p>
          <w:p w14:paraId="79E54892">
            <w:pPr>
              <w:pStyle w:val="2"/>
              <w:rPr>
                <w:rFonts w:hint="default" w:ascii="Times New Roman" w:hAnsi="Times New Roman" w:eastAsia="仿宋_GB2312" w:cs="Times New Roman"/>
                <w:color w:val="auto"/>
                <w:highlight w:val="none"/>
                <w:lang w:eastAsia="zh-CN"/>
              </w:rPr>
            </w:pPr>
          </w:p>
          <w:p w14:paraId="68A9229D">
            <w:pPr>
              <w:pStyle w:val="2"/>
              <w:rPr>
                <w:rFonts w:hint="default" w:ascii="Times New Roman" w:hAnsi="Times New Roman" w:eastAsia="仿宋_GB2312" w:cs="Times New Roman"/>
                <w:color w:val="auto"/>
                <w:highlight w:val="none"/>
                <w:lang w:eastAsia="zh-CN"/>
              </w:rPr>
            </w:pPr>
          </w:p>
          <w:p w14:paraId="6B9FEA2A">
            <w:pPr>
              <w:pStyle w:val="2"/>
              <w:rPr>
                <w:rFonts w:hint="default" w:ascii="Times New Roman" w:hAnsi="Times New Roman" w:eastAsia="仿宋_GB2312" w:cs="Times New Roman"/>
                <w:color w:val="auto"/>
                <w:highlight w:val="none"/>
                <w:lang w:eastAsia="zh-CN"/>
              </w:rPr>
            </w:pPr>
          </w:p>
          <w:p w14:paraId="5431BF52">
            <w:pPr>
              <w:pStyle w:val="2"/>
              <w:rPr>
                <w:rFonts w:hint="default" w:ascii="Times New Roman" w:hAnsi="Times New Roman" w:eastAsia="仿宋_GB2312" w:cs="Times New Roman"/>
                <w:color w:val="auto"/>
                <w:highlight w:val="none"/>
                <w:lang w:eastAsia="zh-CN"/>
              </w:rPr>
            </w:pPr>
          </w:p>
          <w:p w14:paraId="5A14C4BA">
            <w:pPr>
              <w:pStyle w:val="2"/>
              <w:rPr>
                <w:rFonts w:hint="default" w:ascii="Times New Roman" w:hAnsi="Times New Roman" w:eastAsia="仿宋_GB2312" w:cs="Times New Roman"/>
                <w:color w:val="auto"/>
                <w:highlight w:val="none"/>
                <w:lang w:eastAsia="zh-CN"/>
              </w:rPr>
            </w:pPr>
          </w:p>
          <w:p w14:paraId="5DC23406">
            <w:pPr>
              <w:pStyle w:val="2"/>
              <w:rPr>
                <w:rFonts w:hint="default" w:ascii="Times New Roman" w:hAnsi="Times New Roman" w:eastAsia="仿宋_GB2312" w:cs="Times New Roman"/>
                <w:color w:val="auto"/>
                <w:highlight w:val="none"/>
                <w:lang w:eastAsia="zh-CN"/>
              </w:rPr>
            </w:pPr>
          </w:p>
          <w:p w14:paraId="5B222D97">
            <w:pPr>
              <w:pStyle w:val="2"/>
              <w:rPr>
                <w:rFonts w:hint="default" w:ascii="Times New Roman" w:hAnsi="Times New Roman" w:eastAsia="仿宋_GB2312" w:cs="Times New Roman"/>
                <w:color w:val="auto"/>
                <w:highlight w:val="none"/>
                <w:lang w:eastAsia="zh-CN"/>
              </w:rPr>
            </w:pPr>
          </w:p>
          <w:p w14:paraId="270E02A9">
            <w:pPr>
              <w:pStyle w:val="2"/>
              <w:rPr>
                <w:rFonts w:hint="default" w:ascii="Times New Roman" w:hAnsi="Times New Roman" w:eastAsia="仿宋_GB2312" w:cs="Times New Roman"/>
                <w:color w:val="auto"/>
                <w:highlight w:val="none"/>
                <w:lang w:eastAsia="zh-CN"/>
              </w:rPr>
            </w:pPr>
          </w:p>
          <w:p w14:paraId="33C9EFF5">
            <w:pPr>
              <w:pStyle w:val="2"/>
              <w:rPr>
                <w:rFonts w:hint="default" w:ascii="Times New Roman" w:hAnsi="Times New Roman" w:eastAsia="仿宋_GB2312" w:cs="Times New Roman"/>
                <w:color w:val="auto"/>
                <w:highlight w:val="none"/>
                <w:lang w:eastAsia="zh-CN"/>
              </w:rPr>
            </w:pPr>
          </w:p>
          <w:p w14:paraId="7AA11C41">
            <w:pPr>
              <w:pStyle w:val="2"/>
              <w:rPr>
                <w:rFonts w:hint="default" w:ascii="Times New Roman" w:hAnsi="Times New Roman" w:eastAsia="仿宋_GB2312" w:cs="Times New Roman"/>
                <w:color w:val="auto"/>
                <w:highlight w:val="none"/>
                <w:lang w:eastAsia="zh-CN"/>
              </w:rPr>
            </w:pPr>
          </w:p>
          <w:p w14:paraId="03334B4E">
            <w:pPr>
              <w:pStyle w:val="2"/>
              <w:rPr>
                <w:rFonts w:hint="default" w:ascii="Times New Roman" w:hAnsi="Times New Roman" w:eastAsia="仿宋_GB2312" w:cs="Times New Roman"/>
                <w:color w:val="auto"/>
                <w:highlight w:val="none"/>
                <w:lang w:eastAsia="zh-CN"/>
              </w:rPr>
            </w:pPr>
          </w:p>
          <w:p w14:paraId="1F20809D">
            <w:pPr>
              <w:pStyle w:val="2"/>
              <w:rPr>
                <w:rFonts w:hint="default" w:ascii="Times New Roman" w:hAnsi="Times New Roman" w:eastAsia="仿宋_GB2312" w:cs="Times New Roman"/>
                <w:color w:val="auto"/>
                <w:highlight w:val="none"/>
                <w:lang w:eastAsia="zh-CN"/>
              </w:rPr>
            </w:pPr>
          </w:p>
          <w:p w14:paraId="79E30F21">
            <w:pPr>
              <w:pStyle w:val="2"/>
              <w:rPr>
                <w:rFonts w:hint="default" w:ascii="Times New Roman" w:hAnsi="Times New Roman" w:eastAsia="仿宋_GB2312" w:cs="Times New Roman"/>
                <w:color w:val="auto"/>
                <w:highlight w:val="none"/>
                <w:lang w:eastAsia="zh-CN"/>
              </w:rPr>
            </w:pPr>
          </w:p>
          <w:p w14:paraId="6BDA7D93">
            <w:pPr>
              <w:pStyle w:val="2"/>
              <w:rPr>
                <w:rFonts w:hint="default" w:ascii="Times New Roman" w:hAnsi="Times New Roman" w:eastAsia="仿宋_GB2312" w:cs="Times New Roman"/>
                <w:color w:val="auto"/>
                <w:highlight w:val="none"/>
                <w:lang w:eastAsia="zh-CN"/>
              </w:rPr>
            </w:pPr>
          </w:p>
          <w:p w14:paraId="12485E3E">
            <w:pPr>
              <w:pStyle w:val="2"/>
              <w:rPr>
                <w:rFonts w:hint="default" w:ascii="Times New Roman" w:hAnsi="Times New Roman" w:eastAsia="仿宋_GB2312" w:cs="Times New Roman"/>
                <w:color w:val="auto"/>
                <w:highlight w:val="none"/>
                <w:lang w:eastAsia="zh-CN"/>
              </w:rPr>
            </w:pPr>
          </w:p>
          <w:p w14:paraId="078A6A11">
            <w:pPr>
              <w:pStyle w:val="2"/>
              <w:rPr>
                <w:rFonts w:hint="default" w:ascii="Times New Roman" w:hAnsi="Times New Roman" w:eastAsia="仿宋_GB2312" w:cs="Times New Roman"/>
                <w:color w:val="auto"/>
                <w:highlight w:val="none"/>
                <w:lang w:eastAsia="zh-CN"/>
              </w:rPr>
            </w:pPr>
          </w:p>
          <w:p w14:paraId="7C480741">
            <w:pPr>
              <w:pStyle w:val="2"/>
              <w:rPr>
                <w:rFonts w:hint="default" w:ascii="Times New Roman" w:hAnsi="Times New Roman" w:eastAsia="仿宋_GB2312" w:cs="Times New Roman"/>
                <w:color w:val="auto"/>
                <w:highlight w:val="none"/>
                <w:lang w:eastAsia="zh-CN"/>
              </w:rPr>
            </w:pPr>
          </w:p>
          <w:p w14:paraId="688FB784">
            <w:pPr>
              <w:pStyle w:val="2"/>
              <w:rPr>
                <w:rFonts w:hint="default" w:ascii="Times New Roman" w:hAnsi="Times New Roman" w:eastAsia="仿宋_GB2312" w:cs="Times New Roman"/>
                <w:color w:val="auto"/>
                <w:highlight w:val="none"/>
                <w:lang w:eastAsia="zh-CN"/>
              </w:rPr>
            </w:pPr>
          </w:p>
          <w:p w14:paraId="31C74B28">
            <w:pPr>
              <w:pStyle w:val="2"/>
              <w:rPr>
                <w:rFonts w:hint="default" w:ascii="Times New Roman" w:hAnsi="Times New Roman" w:eastAsia="仿宋_GB2312" w:cs="Times New Roman"/>
                <w:color w:val="auto"/>
                <w:highlight w:val="none"/>
                <w:lang w:eastAsia="zh-CN"/>
              </w:rPr>
            </w:pPr>
          </w:p>
          <w:p w14:paraId="5A06893E">
            <w:pPr>
              <w:pStyle w:val="2"/>
              <w:rPr>
                <w:rFonts w:hint="default" w:ascii="Times New Roman" w:hAnsi="Times New Roman" w:eastAsia="仿宋_GB2312" w:cs="Times New Roman"/>
                <w:color w:val="auto"/>
                <w:highlight w:val="none"/>
                <w:lang w:eastAsia="zh-CN"/>
              </w:rPr>
            </w:pPr>
          </w:p>
          <w:p w14:paraId="1063723E">
            <w:pPr>
              <w:pStyle w:val="2"/>
              <w:rPr>
                <w:rFonts w:hint="default" w:ascii="Times New Roman" w:hAnsi="Times New Roman" w:eastAsia="仿宋_GB2312" w:cs="Times New Roman"/>
                <w:color w:val="auto"/>
                <w:highlight w:val="none"/>
                <w:lang w:eastAsia="zh-CN"/>
              </w:rPr>
            </w:pPr>
          </w:p>
          <w:p w14:paraId="00DC549E">
            <w:pPr>
              <w:pStyle w:val="2"/>
              <w:rPr>
                <w:rFonts w:hint="default" w:ascii="Times New Roman" w:hAnsi="Times New Roman" w:eastAsia="仿宋_GB2312" w:cs="Times New Roman"/>
                <w:color w:val="auto"/>
                <w:highlight w:val="none"/>
                <w:lang w:eastAsia="zh-CN"/>
              </w:rPr>
            </w:pPr>
          </w:p>
          <w:p w14:paraId="50244EB0">
            <w:pPr>
              <w:pStyle w:val="2"/>
              <w:rPr>
                <w:rFonts w:hint="default" w:ascii="Times New Roman" w:hAnsi="Times New Roman" w:eastAsia="仿宋_GB2312" w:cs="Times New Roman"/>
                <w:color w:val="auto"/>
                <w:highlight w:val="none"/>
                <w:lang w:eastAsia="zh-CN"/>
              </w:rPr>
            </w:pPr>
          </w:p>
          <w:p w14:paraId="2259CD6C">
            <w:pPr>
              <w:pStyle w:val="2"/>
              <w:rPr>
                <w:rFonts w:hint="default" w:ascii="Times New Roman" w:hAnsi="Times New Roman" w:eastAsia="仿宋_GB2312" w:cs="Times New Roman"/>
                <w:color w:val="auto"/>
                <w:highlight w:val="none"/>
                <w:lang w:eastAsia="zh-CN"/>
              </w:rPr>
            </w:pPr>
          </w:p>
          <w:p w14:paraId="21D8CF85">
            <w:pPr>
              <w:pStyle w:val="2"/>
              <w:rPr>
                <w:rFonts w:hint="default" w:ascii="Times New Roman" w:hAnsi="Times New Roman" w:eastAsia="仿宋_GB2312" w:cs="Times New Roman"/>
                <w:color w:val="auto"/>
                <w:highlight w:val="none"/>
                <w:lang w:eastAsia="zh-CN"/>
              </w:rPr>
            </w:pPr>
          </w:p>
          <w:p w14:paraId="5E285558">
            <w:pPr>
              <w:pStyle w:val="2"/>
              <w:rPr>
                <w:rFonts w:hint="default" w:ascii="Times New Roman" w:hAnsi="Times New Roman" w:eastAsia="仿宋_GB2312" w:cs="Times New Roman"/>
                <w:color w:val="auto"/>
                <w:highlight w:val="none"/>
                <w:lang w:eastAsia="zh-CN"/>
              </w:rPr>
            </w:pPr>
          </w:p>
          <w:p w14:paraId="491E834B">
            <w:pPr>
              <w:pStyle w:val="2"/>
              <w:rPr>
                <w:rFonts w:hint="default" w:ascii="Times New Roman" w:hAnsi="Times New Roman" w:eastAsia="仿宋_GB2312" w:cs="Times New Roman"/>
                <w:color w:val="auto"/>
                <w:highlight w:val="none"/>
                <w:lang w:eastAsia="zh-CN"/>
              </w:rPr>
            </w:pPr>
          </w:p>
          <w:p w14:paraId="37A88FB8">
            <w:pPr>
              <w:pStyle w:val="2"/>
              <w:rPr>
                <w:rFonts w:hint="default" w:ascii="Times New Roman" w:hAnsi="Times New Roman" w:eastAsia="仿宋_GB2312" w:cs="Times New Roman"/>
                <w:color w:val="auto"/>
                <w:highlight w:val="none"/>
                <w:lang w:eastAsia="zh-CN"/>
              </w:rPr>
            </w:pPr>
          </w:p>
          <w:p w14:paraId="2CEEFD27">
            <w:pPr>
              <w:pStyle w:val="2"/>
              <w:rPr>
                <w:rFonts w:hint="default" w:ascii="Times New Roman" w:hAnsi="Times New Roman" w:eastAsia="仿宋_GB2312" w:cs="Times New Roman"/>
                <w:color w:val="auto"/>
                <w:highlight w:val="none"/>
                <w:lang w:eastAsia="zh-CN"/>
              </w:rPr>
            </w:pPr>
          </w:p>
          <w:p w14:paraId="32B582FE">
            <w:pPr>
              <w:pStyle w:val="2"/>
              <w:rPr>
                <w:rFonts w:hint="default" w:ascii="Times New Roman" w:hAnsi="Times New Roman" w:eastAsia="仿宋_GB2312" w:cs="Times New Roman"/>
                <w:color w:val="auto"/>
                <w:highlight w:val="none"/>
                <w:lang w:eastAsia="zh-CN"/>
              </w:rPr>
            </w:pPr>
          </w:p>
          <w:p w14:paraId="402BEF68">
            <w:pPr>
              <w:pStyle w:val="2"/>
              <w:rPr>
                <w:rFonts w:hint="default" w:ascii="Times New Roman" w:hAnsi="Times New Roman" w:eastAsia="仿宋_GB2312" w:cs="Times New Roman"/>
                <w:color w:val="auto"/>
                <w:highlight w:val="none"/>
                <w:lang w:eastAsia="zh-CN"/>
              </w:rPr>
            </w:pPr>
          </w:p>
          <w:p w14:paraId="795AFA19">
            <w:pPr>
              <w:pStyle w:val="2"/>
              <w:rPr>
                <w:rFonts w:hint="default" w:ascii="Times New Roman" w:hAnsi="Times New Roman" w:eastAsia="仿宋_GB2312" w:cs="Times New Roman"/>
                <w:color w:val="auto"/>
                <w:highlight w:val="none"/>
                <w:lang w:eastAsia="zh-CN"/>
              </w:rPr>
            </w:pPr>
          </w:p>
          <w:p w14:paraId="57E9293C">
            <w:pPr>
              <w:pStyle w:val="2"/>
              <w:rPr>
                <w:rFonts w:hint="default" w:ascii="Times New Roman" w:hAnsi="Times New Roman" w:eastAsia="仿宋_GB2312" w:cs="Times New Roman"/>
                <w:color w:val="auto"/>
                <w:highlight w:val="none"/>
                <w:lang w:eastAsia="zh-CN"/>
              </w:rPr>
            </w:pPr>
          </w:p>
          <w:p w14:paraId="4EF7F266">
            <w:pPr>
              <w:pStyle w:val="2"/>
              <w:rPr>
                <w:rFonts w:hint="default" w:ascii="Times New Roman" w:hAnsi="Times New Roman" w:eastAsia="仿宋_GB2312" w:cs="Times New Roman"/>
                <w:color w:val="auto"/>
                <w:highlight w:val="none"/>
                <w:lang w:eastAsia="zh-CN"/>
              </w:rPr>
            </w:pPr>
          </w:p>
          <w:p w14:paraId="48DC3D35">
            <w:pPr>
              <w:pStyle w:val="2"/>
              <w:rPr>
                <w:rFonts w:hint="default" w:ascii="Times New Roman" w:hAnsi="Times New Roman" w:eastAsia="仿宋_GB2312" w:cs="Times New Roman"/>
                <w:color w:val="auto"/>
                <w:highlight w:val="none"/>
                <w:lang w:eastAsia="zh-CN"/>
              </w:rPr>
            </w:pPr>
          </w:p>
          <w:p w14:paraId="73A29642">
            <w:pPr>
              <w:pStyle w:val="2"/>
              <w:rPr>
                <w:rFonts w:hint="default" w:ascii="Times New Roman" w:hAnsi="Times New Roman" w:eastAsia="仿宋_GB2312" w:cs="Times New Roman"/>
                <w:color w:val="auto"/>
                <w:highlight w:val="none"/>
                <w:lang w:eastAsia="zh-CN"/>
              </w:rPr>
            </w:pPr>
          </w:p>
          <w:p w14:paraId="0A5EBEA5">
            <w:pPr>
              <w:pStyle w:val="2"/>
              <w:rPr>
                <w:rFonts w:hint="default" w:ascii="Times New Roman" w:hAnsi="Times New Roman" w:eastAsia="仿宋_GB2312" w:cs="Times New Roman"/>
                <w:color w:val="auto"/>
                <w:highlight w:val="none"/>
                <w:lang w:eastAsia="zh-CN"/>
              </w:rPr>
            </w:pPr>
          </w:p>
          <w:p w14:paraId="5A21485F">
            <w:pPr>
              <w:pStyle w:val="2"/>
              <w:rPr>
                <w:rFonts w:hint="default" w:ascii="Times New Roman" w:hAnsi="Times New Roman" w:eastAsia="仿宋_GB2312" w:cs="Times New Roman"/>
                <w:color w:val="auto"/>
                <w:highlight w:val="none"/>
                <w:lang w:eastAsia="zh-CN"/>
              </w:rPr>
            </w:pPr>
          </w:p>
          <w:p w14:paraId="4801C9CE">
            <w:pPr>
              <w:pStyle w:val="2"/>
              <w:rPr>
                <w:rFonts w:hint="default" w:ascii="Times New Roman" w:hAnsi="Times New Roman" w:eastAsia="仿宋_GB2312" w:cs="Times New Roman"/>
                <w:color w:val="auto"/>
                <w:highlight w:val="none"/>
                <w:lang w:eastAsia="zh-CN"/>
              </w:rPr>
            </w:pPr>
          </w:p>
          <w:p w14:paraId="047D0360">
            <w:pPr>
              <w:pStyle w:val="2"/>
              <w:rPr>
                <w:rFonts w:hint="default" w:ascii="Times New Roman" w:hAnsi="Times New Roman" w:eastAsia="仿宋_GB2312" w:cs="Times New Roman"/>
                <w:color w:val="auto"/>
                <w:highlight w:val="none"/>
                <w:lang w:eastAsia="zh-CN"/>
              </w:rPr>
            </w:pPr>
          </w:p>
          <w:p w14:paraId="42476610">
            <w:pPr>
              <w:pStyle w:val="2"/>
              <w:rPr>
                <w:rFonts w:hint="default" w:ascii="Times New Roman" w:hAnsi="Times New Roman" w:eastAsia="仿宋_GB2312" w:cs="Times New Roman"/>
                <w:color w:val="auto"/>
                <w:highlight w:val="none"/>
                <w:lang w:eastAsia="zh-CN"/>
              </w:rPr>
            </w:pPr>
          </w:p>
          <w:p w14:paraId="660FBE86">
            <w:pPr>
              <w:pStyle w:val="2"/>
              <w:rPr>
                <w:rFonts w:hint="default" w:ascii="Times New Roman" w:hAnsi="Times New Roman" w:eastAsia="仿宋_GB2312" w:cs="Times New Roman"/>
                <w:color w:val="auto"/>
                <w:highlight w:val="none"/>
                <w:lang w:eastAsia="zh-CN"/>
              </w:rPr>
            </w:pPr>
          </w:p>
          <w:p w14:paraId="7D87BDCA">
            <w:pPr>
              <w:pStyle w:val="2"/>
              <w:rPr>
                <w:rFonts w:hint="default" w:ascii="Times New Roman" w:hAnsi="Times New Roman" w:eastAsia="仿宋_GB2312" w:cs="Times New Roman"/>
                <w:color w:val="auto"/>
                <w:highlight w:val="none"/>
                <w:lang w:eastAsia="zh-CN"/>
              </w:rPr>
            </w:pPr>
          </w:p>
          <w:p w14:paraId="4D8DDBBA">
            <w:pPr>
              <w:pStyle w:val="2"/>
              <w:rPr>
                <w:rFonts w:hint="default" w:ascii="Times New Roman" w:hAnsi="Times New Roman" w:eastAsia="仿宋_GB2312" w:cs="Times New Roman"/>
                <w:color w:val="auto"/>
                <w:highlight w:val="none"/>
                <w:lang w:eastAsia="zh-CN"/>
              </w:rPr>
            </w:pPr>
          </w:p>
          <w:p w14:paraId="27E8B566">
            <w:pPr>
              <w:pStyle w:val="2"/>
              <w:rPr>
                <w:rFonts w:hint="default" w:ascii="Times New Roman" w:hAnsi="Times New Roman" w:eastAsia="仿宋_GB2312" w:cs="Times New Roman"/>
                <w:color w:val="auto"/>
                <w:highlight w:val="none"/>
                <w:lang w:eastAsia="zh-CN"/>
              </w:rPr>
            </w:pPr>
          </w:p>
          <w:p w14:paraId="5B48A5D5">
            <w:pPr>
              <w:pStyle w:val="2"/>
              <w:rPr>
                <w:rFonts w:hint="default" w:ascii="Times New Roman" w:hAnsi="Times New Roman" w:eastAsia="仿宋_GB2312" w:cs="Times New Roman"/>
                <w:color w:val="auto"/>
                <w:highlight w:val="none"/>
                <w:lang w:eastAsia="zh-CN"/>
              </w:rPr>
            </w:pPr>
          </w:p>
          <w:p w14:paraId="0D8E406B">
            <w:pPr>
              <w:pStyle w:val="2"/>
              <w:rPr>
                <w:rFonts w:hint="default" w:ascii="Times New Roman" w:hAnsi="Times New Roman" w:eastAsia="仿宋_GB2312" w:cs="Times New Roman"/>
                <w:color w:val="auto"/>
                <w:highlight w:val="none"/>
                <w:lang w:eastAsia="zh-CN"/>
              </w:rPr>
            </w:pPr>
          </w:p>
          <w:p w14:paraId="2728597E">
            <w:pPr>
              <w:pStyle w:val="2"/>
              <w:rPr>
                <w:rFonts w:hint="default" w:ascii="Times New Roman" w:hAnsi="Times New Roman" w:eastAsia="仿宋_GB2312" w:cs="Times New Roman"/>
                <w:color w:val="auto"/>
                <w:highlight w:val="none"/>
                <w:lang w:eastAsia="zh-CN"/>
              </w:rPr>
            </w:pPr>
          </w:p>
          <w:p w14:paraId="3899385A">
            <w:pPr>
              <w:pStyle w:val="2"/>
              <w:rPr>
                <w:rFonts w:hint="default" w:ascii="Times New Roman" w:hAnsi="Times New Roman" w:eastAsia="仿宋_GB2312" w:cs="Times New Roman"/>
                <w:color w:val="auto"/>
                <w:highlight w:val="none"/>
                <w:lang w:eastAsia="zh-CN"/>
              </w:rPr>
            </w:pPr>
          </w:p>
          <w:p w14:paraId="714B6FF5">
            <w:pPr>
              <w:pStyle w:val="2"/>
              <w:rPr>
                <w:rFonts w:hint="default" w:ascii="Times New Roman" w:hAnsi="Times New Roman" w:eastAsia="仿宋_GB2312" w:cs="Times New Roman"/>
                <w:color w:val="auto"/>
                <w:highlight w:val="none"/>
                <w:lang w:eastAsia="zh-CN"/>
              </w:rPr>
            </w:pPr>
          </w:p>
          <w:p w14:paraId="34D5D196">
            <w:pPr>
              <w:pStyle w:val="2"/>
              <w:rPr>
                <w:rFonts w:hint="default" w:ascii="Times New Roman" w:hAnsi="Times New Roman" w:eastAsia="仿宋_GB2312" w:cs="Times New Roman"/>
                <w:color w:val="auto"/>
                <w:highlight w:val="none"/>
                <w:lang w:eastAsia="zh-CN"/>
              </w:rPr>
            </w:pPr>
          </w:p>
          <w:p w14:paraId="6B04CAB7">
            <w:pPr>
              <w:pStyle w:val="2"/>
              <w:rPr>
                <w:rFonts w:hint="default" w:ascii="Times New Roman" w:hAnsi="Times New Roman" w:eastAsia="仿宋_GB2312" w:cs="Times New Roman"/>
                <w:color w:val="auto"/>
                <w:highlight w:val="none"/>
                <w:lang w:eastAsia="zh-CN"/>
              </w:rPr>
            </w:pPr>
          </w:p>
          <w:p w14:paraId="2F734081">
            <w:pPr>
              <w:pStyle w:val="2"/>
              <w:rPr>
                <w:rFonts w:hint="default" w:ascii="Times New Roman" w:hAnsi="Times New Roman" w:eastAsia="仿宋_GB2312" w:cs="Times New Roman"/>
                <w:color w:val="auto"/>
                <w:highlight w:val="none"/>
                <w:lang w:eastAsia="zh-CN"/>
              </w:rPr>
            </w:pPr>
          </w:p>
          <w:p w14:paraId="0E95B1FE">
            <w:pPr>
              <w:pStyle w:val="2"/>
              <w:rPr>
                <w:rFonts w:hint="default" w:ascii="Times New Roman" w:hAnsi="Times New Roman" w:eastAsia="仿宋_GB2312" w:cs="Times New Roman"/>
                <w:color w:val="auto"/>
                <w:highlight w:val="none"/>
                <w:lang w:eastAsia="zh-CN"/>
              </w:rPr>
            </w:pPr>
          </w:p>
          <w:p w14:paraId="6E4FB1E7">
            <w:pPr>
              <w:pStyle w:val="2"/>
              <w:rPr>
                <w:rFonts w:hint="default" w:ascii="Times New Roman" w:hAnsi="Times New Roman" w:eastAsia="仿宋_GB2312" w:cs="Times New Roman"/>
                <w:color w:val="auto"/>
                <w:highlight w:val="none"/>
                <w:lang w:eastAsia="zh-CN"/>
              </w:rPr>
            </w:pPr>
          </w:p>
          <w:p w14:paraId="49DE1224">
            <w:pPr>
              <w:pStyle w:val="2"/>
              <w:rPr>
                <w:rFonts w:hint="default" w:ascii="Times New Roman" w:hAnsi="Times New Roman" w:eastAsia="仿宋_GB2312" w:cs="Times New Roman"/>
                <w:color w:val="auto"/>
                <w:highlight w:val="none"/>
                <w:lang w:eastAsia="zh-CN"/>
              </w:rPr>
            </w:pPr>
          </w:p>
          <w:p w14:paraId="1AD50C11">
            <w:pPr>
              <w:pStyle w:val="2"/>
              <w:rPr>
                <w:rFonts w:hint="default" w:ascii="Times New Roman" w:hAnsi="Times New Roman" w:eastAsia="仿宋_GB2312" w:cs="Times New Roman"/>
                <w:color w:val="auto"/>
                <w:highlight w:val="none"/>
                <w:lang w:eastAsia="zh-CN"/>
              </w:rPr>
            </w:pPr>
          </w:p>
          <w:p w14:paraId="766EC2F1">
            <w:pPr>
              <w:pStyle w:val="2"/>
              <w:rPr>
                <w:rFonts w:hint="default" w:ascii="Times New Roman" w:hAnsi="Times New Roman" w:eastAsia="仿宋_GB2312" w:cs="Times New Roman"/>
                <w:color w:val="auto"/>
                <w:highlight w:val="none"/>
                <w:lang w:eastAsia="zh-CN"/>
              </w:rPr>
            </w:pPr>
          </w:p>
          <w:p w14:paraId="2E88900B">
            <w:pPr>
              <w:pStyle w:val="2"/>
              <w:rPr>
                <w:rFonts w:hint="default" w:ascii="Times New Roman" w:hAnsi="Times New Roman" w:eastAsia="仿宋_GB2312" w:cs="Times New Roman"/>
                <w:color w:val="auto"/>
                <w:highlight w:val="none"/>
                <w:lang w:eastAsia="zh-CN"/>
              </w:rPr>
            </w:pPr>
          </w:p>
          <w:p w14:paraId="1BB5F10D">
            <w:pPr>
              <w:pStyle w:val="2"/>
              <w:rPr>
                <w:rFonts w:hint="default" w:ascii="Times New Roman" w:hAnsi="Times New Roman" w:eastAsia="仿宋_GB2312" w:cs="Times New Roman"/>
                <w:color w:val="auto"/>
                <w:highlight w:val="none"/>
                <w:lang w:eastAsia="zh-CN"/>
              </w:rPr>
            </w:pPr>
          </w:p>
          <w:p w14:paraId="1D5F6F93">
            <w:pPr>
              <w:pStyle w:val="2"/>
              <w:rPr>
                <w:rFonts w:hint="default" w:ascii="Times New Roman" w:hAnsi="Times New Roman" w:eastAsia="仿宋_GB2312" w:cs="Times New Roman"/>
                <w:color w:val="auto"/>
                <w:highlight w:val="none"/>
                <w:lang w:eastAsia="zh-CN"/>
              </w:rPr>
            </w:pPr>
          </w:p>
          <w:p w14:paraId="0C7767B5">
            <w:pPr>
              <w:pStyle w:val="2"/>
              <w:rPr>
                <w:rFonts w:hint="default" w:ascii="Times New Roman" w:hAnsi="Times New Roman" w:eastAsia="仿宋_GB2312" w:cs="Times New Roman"/>
                <w:color w:val="auto"/>
                <w:highlight w:val="none"/>
                <w:lang w:eastAsia="zh-CN"/>
              </w:rPr>
            </w:pPr>
          </w:p>
          <w:p w14:paraId="76817047">
            <w:pPr>
              <w:pStyle w:val="2"/>
              <w:rPr>
                <w:rFonts w:hint="default" w:ascii="Times New Roman" w:hAnsi="Times New Roman" w:eastAsia="仿宋_GB2312" w:cs="Times New Roman"/>
                <w:color w:val="auto"/>
                <w:highlight w:val="none"/>
                <w:lang w:eastAsia="zh-CN"/>
              </w:rPr>
            </w:pPr>
          </w:p>
          <w:p w14:paraId="30DA1CEB">
            <w:pPr>
              <w:pStyle w:val="2"/>
              <w:rPr>
                <w:rFonts w:hint="default" w:ascii="Times New Roman" w:hAnsi="Times New Roman" w:eastAsia="仿宋_GB2312" w:cs="Times New Roman"/>
                <w:color w:val="auto"/>
                <w:highlight w:val="none"/>
                <w:lang w:eastAsia="zh-CN"/>
              </w:rPr>
            </w:pPr>
          </w:p>
          <w:p w14:paraId="34106740">
            <w:pPr>
              <w:pStyle w:val="2"/>
              <w:rPr>
                <w:rFonts w:hint="default" w:ascii="Times New Roman" w:hAnsi="Times New Roman" w:eastAsia="仿宋_GB2312" w:cs="Times New Roman"/>
                <w:color w:val="auto"/>
                <w:highlight w:val="none"/>
                <w:lang w:eastAsia="zh-CN"/>
              </w:rPr>
            </w:pPr>
          </w:p>
          <w:p w14:paraId="299CE765">
            <w:pPr>
              <w:pStyle w:val="2"/>
              <w:rPr>
                <w:rFonts w:hint="default" w:ascii="Times New Roman" w:hAnsi="Times New Roman" w:eastAsia="仿宋_GB2312" w:cs="Times New Roman"/>
                <w:color w:val="auto"/>
                <w:highlight w:val="none"/>
                <w:lang w:eastAsia="zh-CN"/>
              </w:rPr>
            </w:pPr>
          </w:p>
          <w:p w14:paraId="506DDFA2">
            <w:pPr>
              <w:pStyle w:val="2"/>
              <w:rPr>
                <w:rFonts w:hint="default" w:ascii="Times New Roman" w:hAnsi="Times New Roman" w:eastAsia="仿宋_GB2312" w:cs="Times New Roman"/>
                <w:color w:val="auto"/>
                <w:highlight w:val="none"/>
                <w:lang w:eastAsia="zh-CN"/>
              </w:rPr>
            </w:pPr>
          </w:p>
          <w:p w14:paraId="2599DB8E">
            <w:pPr>
              <w:pStyle w:val="2"/>
              <w:rPr>
                <w:rFonts w:hint="default" w:ascii="Times New Roman" w:hAnsi="Times New Roman" w:eastAsia="仿宋_GB2312" w:cs="Times New Roman"/>
                <w:color w:val="auto"/>
                <w:highlight w:val="none"/>
                <w:lang w:eastAsia="zh-CN"/>
              </w:rPr>
            </w:pPr>
          </w:p>
          <w:p w14:paraId="36F4A80C">
            <w:pPr>
              <w:pStyle w:val="2"/>
              <w:rPr>
                <w:rFonts w:hint="default" w:ascii="Times New Roman" w:hAnsi="Times New Roman" w:eastAsia="仿宋_GB2312" w:cs="Times New Roman"/>
                <w:color w:val="auto"/>
                <w:highlight w:val="none"/>
                <w:lang w:eastAsia="zh-CN"/>
              </w:rPr>
            </w:pPr>
          </w:p>
          <w:p w14:paraId="0B0BA95E">
            <w:pPr>
              <w:pStyle w:val="2"/>
              <w:rPr>
                <w:rFonts w:hint="default" w:ascii="Times New Roman" w:hAnsi="Times New Roman" w:eastAsia="仿宋_GB2312" w:cs="Times New Roman"/>
                <w:color w:val="auto"/>
                <w:highlight w:val="none"/>
                <w:lang w:eastAsia="zh-CN"/>
              </w:rPr>
            </w:pPr>
          </w:p>
          <w:p w14:paraId="19C51DA7">
            <w:pPr>
              <w:pStyle w:val="2"/>
              <w:rPr>
                <w:rFonts w:hint="default" w:ascii="Times New Roman" w:hAnsi="Times New Roman" w:eastAsia="仿宋_GB2312" w:cs="Times New Roman"/>
                <w:color w:val="auto"/>
                <w:highlight w:val="none"/>
                <w:lang w:eastAsia="zh-CN"/>
              </w:rPr>
            </w:pPr>
          </w:p>
          <w:p w14:paraId="587266BF">
            <w:pPr>
              <w:pStyle w:val="2"/>
              <w:rPr>
                <w:rFonts w:hint="default" w:ascii="Times New Roman" w:hAnsi="Times New Roman" w:eastAsia="仿宋_GB2312" w:cs="Times New Roman"/>
                <w:color w:val="auto"/>
                <w:highlight w:val="none"/>
                <w:lang w:eastAsia="zh-CN"/>
              </w:rPr>
            </w:pPr>
          </w:p>
          <w:p w14:paraId="17B97089">
            <w:pPr>
              <w:pStyle w:val="2"/>
              <w:rPr>
                <w:rFonts w:hint="default" w:ascii="Times New Roman" w:hAnsi="Times New Roman" w:eastAsia="仿宋_GB2312" w:cs="Times New Roman"/>
                <w:color w:val="auto"/>
                <w:highlight w:val="none"/>
                <w:lang w:eastAsia="zh-CN"/>
              </w:rPr>
            </w:pPr>
          </w:p>
          <w:p w14:paraId="20DAA3D0">
            <w:pPr>
              <w:pStyle w:val="2"/>
              <w:rPr>
                <w:rFonts w:hint="default" w:ascii="Times New Roman" w:hAnsi="Times New Roman" w:eastAsia="仿宋_GB2312" w:cs="Times New Roman"/>
                <w:color w:val="auto"/>
                <w:highlight w:val="none"/>
                <w:lang w:eastAsia="zh-CN"/>
              </w:rPr>
            </w:pPr>
          </w:p>
          <w:p w14:paraId="5EB0BD7E">
            <w:pPr>
              <w:pStyle w:val="2"/>
              <w:rPr>
                <w:rFonts w:hint="default" w:ascii="Times New Roman" w:hAnsi="Times New Roman" w:eastAsia="仿宋_GB2312" w:cs="Times New Roman"/>
                <w:color w:val="auto"/>
                <w:highlight w:val="none"/>
                <w:lang w:eastAsia="zh-CN"/>
              </w:rPr>
            </w:pPr>
          </w:p>
          <w:p w14:paraId="60A8CE8D">
            <w:pPr>
              <w:pStyle w:val="2"/>
              <w:rPr>
                <w:rFonts w:hint="default" w:ascii="Times New Roman" w:hAnsi="Times New Roman" w:eastAsia="仿宋_GB2312" w:cs="Times New Roman"/>
                <w:color w:val="auto"/>
                <w:highlight w:val="none"/>
                <w:lang w:eastAsia="zh-CN"/>
              </w:rPr>
            </w:pPr>
          </w:p>
          <w:p w14:paraId="10793417">
            <w:pPr>
              <w:pStyle w:val="2"/>
              <w:rPr>
                <w:rFonts w:hint="default" w:ascii="Times New Roman" w:hAnsi="Times New Roman" w:eastAsia="仿宋_GB2312" w:cs="Times New Roman"/>
                <w:color w:val="auto"/>
                <w:highlight w:val="none"/>
                <w:lang w:eastAsia="zh-CN"/>
              </w:rPr>
            </w:pPr>
          </w:p>
          <w:p w14:paraId="54860ECD">
            <w:pPr>
              <w:pStyle w:val="2"/>
              <w:rPr>
                <w:rFonts w:hint="default" w:ascii="Times New Roman" w:hAnsi="Times New Roman" w:eastAsia="仿宋_GB2312" w:cs="Times New Roman"/>
                <w:color w:val="auto"/>
                <w:highlight w:val="none"/>
                <w:lang w:eastAsia="zh-CN"/>
              </w:rPr>
            </w:pPr>
          </w:p>
          <w:p w14:paraId="6610AADD">
            <w:pPr>
              <w:pStyle w:val="2"/>
              <w:rPr>
                <w:rFonts w:hint="default" w:ascii="Times New Roman" w:hAnsi="Times New Roman" w:eastAsia="仿宋_GB2312" w:cs="Times New Roman"/>
                <w:color w:val="auto"/>
                <w:highlight w:val="none"/>
                <w:lang w:eastAsia="zh-CN"/>
              </w:rPr>
            </w:pPr>
          </w:p>
          <w:p w14:paraId="363C3722">
            <w:pPr>
              <w:pStyle w:val="2"/>
              <w:rPr>
                <w:rFonts w:hint="default" w:ascii="Times New Roman" w:hAnsi="Times New Roman" w:eastAsia="仿宋_GB2312" w:cs="Times New Roman"/>
                <w:color w:val="auto"/>
                <w:highlight w:val="none"/>
                <w:lang w:eastAsia="zh-CN"/>
              </w:rPr>
            </w:pPr>
          </w:p>
          <w:p w14:paraId="6ADA6126">
            <w:pPr>
              <w:pStyle w:val="2"/>
              <w:rPr>
                <w:rFonts w:hint="default" w:ascii="Times New Roman" w:hAnsi="Times New Roman" w:eastAsia="仿宋_GB2312" w:cs="Times New Roman"/>
                <w:color w:val="auto"/>
                <w:highlight w:val="none"/>
                <w:lang w:eastAsia="zh-CN"/>
              </w:rPr>
            </w:pPr>
          </w:p>
          <w:p w14:paraId="3C452338">
            <w:pPr>
              <w:pStyle w:val="2"/>
              <w:rPr>
                <w:rFonts w:hint="default" w:ascii="Times New Roman" w:hAnsi="Times New Roman" w:eastAsia="仿宋_GB2312" w:cs="Times New Roman"/>
                <w:color w:val="auto"/>
                <w:highlight w:val="none"/>
                <w:lang w:eastAsia="zh-CN"/>
              </w:rPr>
            </w:pPr>
          </w:p>
          <w:p w14:paraId="6EBCFE00">
            <w:pPr>
              <w:pStyle w:val="2"/>
              <w:rPr>
                <w:rFonts w:hint="default" w:ascii="Times New Roman" w:hAnsi="Times New Roman" w:eastAsia="仿宋_GB2312" w:cs="Times New Roman"/>
                <w:color w:val="auto"/>
                <w:highlight w:val="none"/>
                <w:lang w:eastAsia="zh-CN"/>
              </w:rPr>
            </w:pPr>
          </w:p>
          <w:p w14:paraId="0791829B">
            <w:pPr>
              <w:pStyle w:val="2"/>
              <w:rPr>
                <w:rFonts w:hint="default" w:ascii="Times New Roman" w:hAnsi="Times New Roman" w:eastAsia="仿宋_GB2312" w:cs="Times New Roman"/>
                <w:color w:val="auto"/>
                <w:highlight w:val="none"/>
                <w:lang w:eastAsia="zh-CN"/>
              </w:rPr>
            </w:pPr>
          </w:p>
          <w:p w14:paraId="1C7F5234">
            <w:pPr>
              <w:pStyle w:val="2"/>
              <w:rPr>
                <w:rFonts w:hint="default" w:ascii="Times New Roman" w:hAnsi="Times New Roman" w:eastAsia="仿宋_GB2312" w:cs="Times New Roman"/>
                <w:color w:val="auto"/>
                <w:highlight w:val="none"/>
                <w:lang w:eastAsia="zh-CN"/>
              </w:rPr>
            </w:pPr>
          </w:p>
          <w:p w14:paraId="68ADFD12">
            <w:pPr>
              <w:pStyle w:val="2"/>
              <w:rPr>
                <w:rFonts w:hint="default" w:ascii="Times New Roman" w:hAnsi="Times New Roman" w:eastAsia="仿宋_GB2312" w:cs="Times New Roman"/>
                <w:color w:val="auto"/>
                <w:highlight w:val="none"/>
                <w:lang w:eastAsia="zh-CN"/>
              </w:rPr>
            </w:pPr>
          </w:p>
          <w:p w14:paraId="748C7E93">
            <w:pPr>
              <w:pStyle w:val="2"/>
              <w:rPr>
                <w:rFonts w:hint="default" w:ascii="Times New Roman" w:hAnsi="Times New Roman" w:eastAsia="仿宋_GB2312" w:cs="Times New Roman"/>
                <w:color w:val="auto"/>
                <w:highlight w:val="none"/>
                <w:lang w:eastAsia="zh-CN"/>
              </w:rPr>
            </w:pPr>
          </w:p>
          <w:p w14:paraId="634998CD">
            <w:pPr>
              <w:pStyle w:val="2"/>
              <w:rPr>
                <w:rFonts w:hint="default" w:ascii="Times New Roman" w:hAnsi="Times New Roman" w:eastAsia="仿宋_GB2312" w:cs="Times New Roman"/>
                <w:color w:val="auto"/>
                <w:highlight w:val="none"/>
                <w:lang w:eastAsia="zh-CN"/>
              </w:rPr>
            </w:pPr>
          </w:p>
          <w:p w14:paraId="603DFB92">
            <w:pPr>
              <w:pStyle w:val="2"/>
              <w:rPr>
                <w:rFonts w:hint="default" w:ascii="Times New Roman" w:hAnsi="Times New Roman" w:eastAsia="仿宋_GB2312" w:cs="Times New Roman"/>
                <w:color w:val="auto"/>
                <w:highlight w:val="none"/>
                <w:lang w:eastAsia="zh-CN"/>
              </w:rPr>
            </w:pPr>
          </w:p>
          <w:p w14:paraId="34DEC1C9">
            <w:pPr>
              <w:pStyle w:val="2"/>
              <w:rPr>
                <w:rFonts w:hint="default" w:ascii="Times New Roman" w:hAnsi="Times New Roman" w:eastAsia="仿宋_GB2312" w:cs="Times New Roman"/>
                <w:color w:val="auto"/>
                <w:highlight w:val="none"/>
                <w:lang w:eastAsia="zh-CN"/>
              </w:rPr>
            </w:pPr>
          </w:p>
          <w:p w14:paraId="36AC7D45">
            <w:pPr>
              <w:pStyle w:val="2"/>
              <w:rPr>
                <w:rFonts w:hint="default" w:ascii="Times New Roman" w:hAnsi="Times New Roman" w:eastAsia="仿宋_GB2312" w:cs="Times New Roman"/>
                <w:color w:val="auto"/>
                <w:highlight w:val="none"/>
                <w:lang w:eastAsia="zh-CN"/>
              </w:rPr>
            </w:pPr>
          </w:p>
          <w:p w14:paraId="306931CA">
            <w:pPr>
              <w:pStyle w:val="2"/>
              <w:rPr>
                <w:rFonts w:hint="default" w:ascii="Times New Roman" w:hAnsi="Times New Roman" w:eastAsia="仿宋_GB2312" w:cs="Times New Roman"/>
                <w:color w:val="auto"/>
                <w:highlight w:val="none"/>
                <w:lang w:eastAsia="zh-CN"/>
              </w:rPr>
            </w:pPr>
          </w:p>
          <w:p w14:paraId="2507B6F9">
            <w:pPr>
              <w:pStyle w:val="2"/>
              <w:rPr>
                <w:rFonts w:hint="default" w:ascii="Times New Roman" w:hAnsi="Times New Roman" w:eastAsia="仿宋_GB2312" w:cs="Times New Roman"/>
                <w:color w:val="auto"/>
                <w:highlight w:val="none"/>
                <w:lang w:eastAsia="zh-CN"/>
              </w:rPr>
            </w:pPr>
          </w:p>
          <w:p w14:paraId="09B9D5C8">
            <w:pPr>
              <w:pStyle w:val="2"/>
              <w:rPr>
                <w:rFonts w:hint="default" w:ascii="Times New Roman" w:hAnsi="Times New Roman" w:eastAsia="仿宋_GB2312" w:cs="Times New Roman"/>
                <w:color w:val="auto"/>
                <w:highlight w:val="none"/>
                <w:lang w:eastAsia="zh-CN"/>
              </w:rPr>
            </w:pPr>
          </w:p>
          <w:p w14:paraId="3C89AF26">
            <w:pPr>
              <w:pStyle w:val="2"/>
              <w:rPr>
                <w:rFonts w:hint="default" w:ascii="Times New Roman" w:hAnsi="Times New Roman" w:eastAsia="仿宋_GB2312" w:cs="Times New Roman"/>
                <w:color w:val="auto"/>
                <w:highlight w:val="none"/>
                <w:lang w:eastAsia="zh-CN"/>
              </w:rPr>
            </w:pPr>
          </w:p>
          <w:p w14:paraId="665F7483">
            <w:pPr>
              <w:pStyle w:val="2"/>
              <w:rPr>
                <w:rFonts w:hint="default" w:ascii="Times New Roman" w:hAnsi="Times New Roman" w:eastAsia="仿宋_GB2312" w:cs="Times New Roman"/>
                <w:color w:val="auto"/>
                <w:highlight w:val="none"/>
                <w:lang w:eastAsia="zh-CN"/>
              </w:rPr>
            </w:pPr>
          </w:p>
          <w:p w14:paraId="0EBAF5CA">
            <w:pPr>
              <w:pStyle w:val="2"/>
              <w:rPr>
                <w:rFonts w:hint="default" w:ascii="Times New Roman" w:hAnsi="Times New Roman" w:eastAsia="仿宋_GB2312" w:cs="Times New Roman"/>
                <w:color w:val="auto"/>
                <w:highlight w:val="none"/>
                <w:lang w:eastAsia="zh-CN"/>
              </w:rPr>
            </w:pPr>
          </w:p>
          <w:p w14:paraId="3D385877">
            <w:pPr>
              <w:pStyle w:val="2"/>
              <w:rPr>
                <w:rFonts w:hint="default" w:ascii="Times New Roman" w:hAnsi="Times New Roman" w:eastAsia="仿宋_GB2312" w:cs="Times New Roman"/>
                <w:color w:val="auto"/>
                <w:highlight w:val="none"/>
                <w:lang w:eastAsia="zh-CN"/>
              </w:rPr>
            </w:pPr>
          </w:p>
          <w:p w14:paraId="54AE34A3">
            <w:pPr>
              <w:pStyle w:val="2"/>
              <w:rPr>
                <w:rFonts w:hint="default" w:ascii="Times New Roman" w:hAnsi="Times New Roman" w:eastAsia="仿宋_GB2312" w:cs="Times New Roman"/>
                <w:color w:val="auto"/>
                <w:highlight w:val="none"/>
                <w:lang w:eastAsia="zh-CN"/>
              </w:rPr>
            </w:pPr>
          </w:p>
          <w:p w14:paraId="426754B3">
            <w:pPr>
              <w:pStyle w:val="2"/>
              <w:rPr>
                <w:rFonts w:hint="default" w:ascii="Times New Roman" w:hAnsi="Times New Roman" w:eastAsia="仿宋_GB2312" w:cs="Times New Roman"/>
                <w:color w:val="auto"/>
                <w:highlight w:val="none"/>
                <w:lang w:eastAsia="zh-CN"/>
              </w:rPr>
            </w:pPr>
          </w:p>
          <w:p w14:paraId="7AA54FB6">
            <w:pPr>
              <w:pStyle w:val="2"/>
              <w:rPr>
                <w:rFonts w:hint="default" w:ascii="Times New Roman" w:hAnsi="Times New Roman" w:eastAsia="仿宋_GB2312" w:cs="Times New Roman"/>
                <w:color w:val="auto"/>
                <w:highlight w:val="none"/>
                <w:lang w:eastAsia="zh-CN"/>
              </w:rPr>
            </w:pPr>
          </w:p>
          <w:p w14:paraId="35DA3A09">
            <w:pPr>
              <w:pStyle w:val="2"/>
              <w:rPr>
                <w:rFonts w:hint="default" w:ascii="Times New Roman" w:hAnsi="Times New Roman" w:eastAsia="仿宋_GB2312" w:cs="Times New Roman"/>
                <w:color w:val="auto"/>
                <w:highlight w:val="none"/>
                <w:lang w:eastAsia="zh-CN"/>
              </w:rPr>
            </w:pPr>
          </w:p>
          <w:p w14:paraId="4FF0D674">
            <w:pPr>
              <w:pStyle w:val="2"/>
              <w:rPr>
                <w:rFonts w:hint="default" w:ascii="Times New Roman" w:hAnsi="Times New Roman" w:eastAsia="仿宋_GB2312" w:cs="Times New Roman"/>
                <w:color w:val="auto"/>
                <w:highlight w:val="none"/>
                <w:lang w:eastAsia="zh-CN"/>
              </w:rPr>
            </w:pPr>
          </w:p>
          <w:p w14:paraId="0129F000">
            <w:pPr>
              <w:pStyle w:val="2"/>
              <w:rPr>
                <w:rFonts w:hint="default" w:ascii="Times New Roman" w:hAnsi="Times New Roman" w:eastAsia="仿宋_GB2312" w:cs="Times New Roman"/>
                <w:color w:val="auto"/>
                <w:highlight w:val="none"/>
                <w:lang w:eastAsia="zh-CN"/>
              </w:rPr>
            </w:pPr>
          </w:p>
          <w:p w14:paraId="4941AB17">
            <w:pPr>
              <w:pStyle w:val="2"/>
              <w:rPr>
                <w:rFonts w:hint="default" w:ascii="Times New Roman" w:hAnsi="Times New Roman" w:eastAsia="仿宋_GB2312" w:cs="Times New Roman"/>
                <w:color w:val="auto"/>
                <w:highlight w:val="none"/>
                <w:lang w:eastAsia="zh-CN"/>
              </w:rPr>
            </w:pPr>
          </w:p>
          <w:p w14:paraId="152A4727">
            <w:pPr>
              <w:pStyle w:val="2"/>
              <w:rPr>
                <w:rFonts w:hint="default" w:ascii="Times New Roman" w:hAnsi="Times New Roman" w:eastAsia="仿宋_GB2312" w:cs="Times New Roman"/>
                <w:color w:val="auto"/>
                <w:highlight w:val="none"/>
                <w:lang w:eastAsia="zh-CN"/>
              </w:rPr>
            </w:pPr>
          </w:p>
          <w:p w14:paraId="0BE71476">
            <w:pPr>
              <w:pStyle w:val="2"/>
              <w:rPr>
                <w:rFonts w:hint="default" w:ascii="Times New Roman" w:hAnsi="Times New Roman" w:eastAsia="仿宋_GB2312" w:cs="Times New Roman"/>
                <w:color w:val="auto"/>
                <w:highlight w:val="none"/>
                <w:lang w:eastAsia="zh-CN"/>
              </w:rPr>
            </w:pPr>
          </w:p>
          <w:p w14:paraId="208AD1B3">
            <w:pPr>
              <w:pStyle w:val="2"/>
              <w:rPr>
                <w:rFonts w:hint="default" w:ascii="Times New Roman" w:hAnsi="Times New Roman" w:eastAsia="仿宋_GB2312" w:cs="Times New Roman"/>
                <w:color w:val="auto"/>
                <w:highlight w:val="none"/>
                <w:lang w:eastAsia="zh-CN"/>
              </w:rPr>
            </w:pPr>
          </w:p>
          <w:p w14:paraId="570DA72D">
            <w:pPr>
              <w:pStyle w:val="2"/>
              <w:rPr>
                <w:rFonts w:hint="default" w:ascii="Times New Roman" w:hAnsi="Times New Roman" w:eastAsia="仿宋_GB2312" w:cs="Times New Roman"/>
                <w:color w:val="auto"/>
                <w:highlight w:val="none"/>
                <w:lang w:eastAsia="zh-CN"/>
              </w:rPr>
            </w:pPr>
          </w:p>
          <w:p w14:paraId="6E5F8346">
            <w:pPr>
              <w:pStyle w:val="2"/>
              <w:rPr>
                <w:rFonts w:hint="default" w:ascii="Times New Roman" w:hAnsi="Times New Roman" w:eastAsia="仿宋_GB2312" w:cs="Times New Roman"/>
                <w:color w:val="auto"/>
                <w:highlight w:val="none"/>
                <w:lang w:eastAsia="zh-CN"/>
              </w:rPr>
            </w:pPr>
          </w:p>
          <w:p w14:paraId="050336F2">
            <w:pPr>
              <w:pStyle w:val="2"/>
              <w:rPr>
                <w:rFonts w:hint="default" w:ascii="Times New Roman" w:hAnsi="Times New Roman" w:eastAsia="仿宋_GB2312" w:cs="Times New Roman"/>
                <w:color w:val="auto"/>
                <w:highlight w:val="none"/>
                <w:lang w:eastAsia="zh-CN"/>
              </w:rPr>
            </w:pPr>
          </w:p>
          <w:p w14:paraId="2B8C359A">
            <w:pPr>
              <w:pStyle w:val="2"/>
              <w:rPr>
                <w:rFonts w:hint="default" w:ascii="Times New Roman" w:hAnsi="Times New Roman" w:eastAsia="仿宋_GB2312" w:cs="Times New Roman"/>
                <w:color w:val="auto"/>
                <w:highlight w:val="none"/>
                <w:lang w:eastAsia="zh-CN"/>
              </w:rPr>
            </w:pPr>
          </w:p>
          <w:p w14:paraId="714E173C">
            <w:pPr>
              <w:pStyle w:val="2"/>
              <w:rPr>
                <w:rFonts w:hint="default" w:ascii="Times New Roman" w:hAnsi="Times New Roman" w:eastAsia="仿宋_GB2312" w:cs="Times New Roman"/>
                <w:color w:val="auto"/>
                <w:highlight w:val="none"/>
                <w:lang w:eastAsia="zh-CN"/>
              </w:rPr>
            </w:pPr>
          </w:p>
          <w:p w14:paraId="382FB146">
            <w:pPr>
              <w:pStyle w:val="2"/>
              <w:rPr>
                <w:rFonts w:hint="default" w:ascii="Times New Roman" w:hAnsi="Times New Roman" w:eastAsia="仿宋_GB2312" w:cs="Times New Roman"/>
                <w:color w:val="auto"/>
                <w:highlight w:val="none"/>
                <w:lang w:eastAsia="zh-CN"/>
              </w:rPr>
            </w:pPr>
          </w:p>
          <w:p w14:paraId="6D687FA1">
            <w:pPr>
              <w:pStyle w:val="2"/>
              <w:rPr>
                <w:rFonts w:hint="default" w:ascii="Times New Roman" w:hAnsi="Times New Roman" w:eastAsia="仿宋_GB2312" w:cs="Times New Roman"/>
                <w:color w:val="auto"/>
                <w:highlight w:val="none"/>
                <w:lang w:eastAsia="zh-CN"/>
              </w:rPr>
            </w:pPr>
          </w:p>
          <w:p w14:paraId="48BC80E8">
            <w:pPr>
              <w:pStyle w:val="2"/>
              <w:rPr>
                <w:rFonts w:hint="default" w:ascii="Times New Roman" w:hAnsi="Times New Roman" w:eastAsia="仿宋_GB2312" w:cs="Times New Roman"/>
                <w:color w:val="auto"/>
                <w:highlight w:val="none"/>
                <w:lang w:eastAsia="zh-CN"/>
              </w:rPr>
            </w:pPr>
          </w:p>
          <w:p w14:paraId="31172589">
            <w:pPr>
              <w:pStyle w:val="2"/>
              <w:rPr>
                <w:rFonts w:hint="default" w:ascii="Times New Roman" w:hAnsi="Times New Roman" w:eastAsia="仿宋_GB2312" w:cs="Times New Roman"/>
                <w:color w:val="auto"/>
                <w:highlight w:val="none"/>
                <w:lang w:eastAsia="zh-CN"/>
              </w:rPr>
            </w:pPr>
          </w:p>
          <w:p w14:paraId="38AD047E">
            <w:pPr>
              <w:pStyle w:val="2"/>
              <w:rPr>
                <w:rFonts w:hint="default" w:ascii="Times New Roman" w:hAnsi="Times New Roman" w:eastAsia="仿宋_GB2312" w:cs="Times New Roman"/>
                <w:color w:val="auto"/>
                <w:highlight w:val="none"/>
                <w:lang w:eastAsia="zh-CN"/>
              </w:rPr>
            </w:pPr>
          </w:p>
          <w:p w14:paraId="3D5285FC">
            <w:pPr>
              <w:pStyle w:val="2"/>
              <w:rPr>
                <w:rFonts w:hint="default" w:ascii="Times New Roman" w:hAnsi="Times New Roman" w:eastAsia="仿宋_GB2312" w:cs="Times New Roman"/>
                <w:color w:val="auto"/>
                <w:highlight w:val="none"/>
                <w:lang w:eastAsia="zh-CN"/>
              </w:rPr>
            </w:pPr>
          </w:p>
          <w:p w14:paraId="2E771E95">
            <w:pPr>
              <w:pStyle w:val="2"/>
              <w:rPr>
                <w:rFonts w:hint="default" w:ascii="Times New Roman" w:hAnsi="Times New Roman" w:eastAsia="仿宋_GB2312" w:cs="Times New Roman"/>
                <w:color w:val="auto"/>
                <w:highlight w:val="none"/>
                <w:lang w:eastAsia="zh-CN"/>
              </w:rPr>
            </w:pPr>
          </w:p>
          <w:p w14:paraId="17E6BCEE">
            <w:pPr>
              <w:pStyle w:val="2"/>
              <w:rPr>
                <w:rFonts w:hint="default" w:ascii="Times New Roman" w:hAnsi="Times New Roman" w:eastAsia="仿宋_GB2312" w:cs="Times New Roman"/>
                <w:color w:val="auto"/>
                <w:highlight w:val="none"/>
                <w:lang w:eastAsia="zh-CN"/>
              </w:rPr>
            </w:pPr>
          </w:p>
          <w:p w14:paraId="26DCE0AE">
            <w:pPr>
              <w:pStyle w:val="2"/>
              <w:rPr>
                <w:rFonts w:hint="default" w:ascii="Times New Roman" w:hAnsi="Times New Roman" w:eastAsia="仿宋_GB2312" w:cs="Times New Roman"/>
                <w:color w:val="auto"/>
                <w:highlight w:val="none"/>
                <w:lang w:eastAsia="zh-CN"/>
              </w:rPr>
            </w:pPr>
          </w:p>
          <w:p w14:paraId="26463731">
            <w:pPr>
              <w:pStyle w:val="2"/>
              <w:rPr>
                <w:rFonts w:hint="default" w:ascii="Times New Roman" w:hAnsi="Times New Roman" w:eastAsia="仿宋_GB2312" w:cs="Times New Roman"/>
                <w:color w:val="auto"/>
                <w:highlight w:val="none"/>
                <w:lang w:eastAsia="zh-CN"/>
              </w:rPr>
            </w:pPr>
          </w:p>
          <w:p w14:paraId="190F1BBF">
            <w:pPr>
              <w:pStyle w:val="2"/>
              <w:rPr>
                <w:rFonts w:hint="default" w:ascii="Times New Roman" w:hAnsi="Times New Roman" w:eastAsia="仿宋_GB2312" w:cs="Times New Roman"/>
                <w:color w:val="auto"/>
                <w:highlight w:val="none"/>
                <w:lang w:eastAsia="zh-CN"/>
              </w:rPr>
            </w:pPr>
          </w:p>
          <w:p w14:paraId="3883E5AB">
            <w:pPr>
              <w:pStyle w:val="2"/>
              <w:rPr>
                <w:rFonts w:hint="default" w:ascii="Times New Roman" w:hAnsi="Times New Roman" w:eastAsia="仿宋_GB2312" w:cs="Times New Roman"/>
                <w:color w:val="auto"/>
                <w:highlight w:val="none"/>
                <w:lang w:eastAsia="zh-CN"/>
              </w:rPr>
            </w:pPr>
          </w:p>
          <w:p w14:paraId="558819A2">
            <w:pPr>
              <w:pStyle w:val="2"/>
              <w:rPr>
                <w:rFonts w:hint="default" w:ascii="Times New Roman" w:hAnsi="Times New Roman" w:eastAsia="仿宋_GB2312" w:cs="Times New Roman"/>
                <w:color w:val="auto"/>
                <w:highlight w:val="none"/>
                <w:lang w:eastAsia="zh-CN"/>
              </w:rPr>
            </w:pPr>
          </w:p>
          <w:p w14:paraId="64DD3843">
            <w:pPr>
              <w:pStyle w:val="2"/>
              <w:rPr>
                <w:rFonts w:hint="default" w:ascii="Times New Roman" w:hAnsi="Times New Roman" w:eastAsia="仿宋_GB2312" w:cs="Times New Roman"/>
                <w:color w:val="auto"/>
                <w:highlight w:val="none"/>
                <w:lang w:eastAsia="zh-CN"/>
              </w:rPr>
            </w:pPr>
          </w:p>
          <w:p w14:paraId="4BEFAF1C">
            <w:pPr>
              <w:pStyle w:val="2"/>
              <w:rPr>
                <w:rFonts w:hint="default" w:ascii="Times New Roman" w:hAnsi="Times New Roman" w:eastAsia="仿宋_GB2312" w:cs="Times New Roman"/>
                <w:color w:val="auto"/>
                <w:highlight w:val="none"/>
                <w:lang w:eastAsia="zh-CN"/>
              </w:rPr>
            </w:pPr>
          </w:p>
          <w:p w14:paraId="62F497E7">
            <w:pPr>
              <w:pStyle w:val="2"/>
              <w:rPr>
                <w:rFonts w:hint="default" w:ascii="Times New Roman" w:hAnsi="Times New Roman" w:eastAsia="仿宋_GB2312" w:cs="Times New Roman"/>
                <w:color w:val="auto"/>
                <w:highlight w:val="none"/>
                <w:lang w:eastAsia="zh-CN"/>
              </w:rPr>
            </w:pPr>
          </w:p>
          <w:p w14:paraId="1E7486A9">
            <w:pPr>
              <w:pStyle w:val="2"/>
              <w:rPr>
                <w:rFonts w:hint="default" w:ascii="Times New Roman" w:hAnsi="Times New Roman" w:eastAsia="仿宋_GB2312" w:cs="Times New Roman"/>
                <w:color w:val="auto"/>
                <w:highlight w:val="none"/>
                <w:lang w:eastAsia="zh-CN"/>
              </w:rPr>
            </w:pPr>
          </w:p>
          <w:p w14:paraId="21D1FCCE">
            <w:pPr>
              <w:pStyle w:val="2"/>
              <w:rPr>
                <w:rFonts w:hint="default" w:ascii="Times New Roman" w:hAnsi="Times New Roman" w:eastAsia="仿宋_GB2312" w:cs="Times New Roman"/>
                <w:color w:val="auto"/>
                <w:highlight w:val="none"/>
                <w:lang w:eastAsia="zh-CN"/>
              </w:rPr>
            </w:pPr>
          </w:p>
          <w:p w14:paraId="42991A52">
            <w:pPr>
              <w:pStyle w:val="2"/>
              <w:rPr>
                <w:rFonts w:hint="default" w:ascii="Times New Roman" w:hAnsi="Times New Roman" w:eastAsia="仿宋_GB2312" w:cs="Times New Roman"/>
                <w:color w:val="auto"/>
                <w:highlight w:val="none"/>
                <w:lang w:eastAsia="zh-CN"/>
              </w:rPr>
            </w:pPr>
          </w:p>
          <w:p w14:paraId="14867DEC">
            <w:pPr>
              <w:pStyle w:val="2"/>
              <w:rPr>
                <w:rFonts w:hint="default" w:ascii="Times New Roman" w:hAnsi="Times New Roman" w:eastAsia="仿宋_GB2312" w:cs="Times New Roman"/>
                <w:color w:val="auto"/>
                <w:highlight w:val="none"/>
                <w:lang w:eastAsia="zh-CN"/>
              </w:rPr>
            </w:pPr>
          </w:p>
          <w:p w14:paraId="2CBAD3DA">
            <w:pPr>
              <w:pStyle w:val="2"/>
              <w:rPr>
                <w:rFonts w:hint="default" w:ascii="Times New Roman" w:hAnsi="Times New Roman" w:eastAsia="仿宋_GB2312" w:cs="Times New Roman"/>
                <w:color w:val="auto"/>
                <w:highlight w:val="none"/>
                <w:lang w:eastAsia="zh-CN"/>
              </w:rPr>
            </w:pPr>
          </w:p>
          <w:p w14:paraId="492FCD95">
            <w:pPr>
              <w:pStyle w:val="2"/>
              <w:rPr>
                <w:rFonts w:hint="default" w:ascii="Times New Roman" w:hAnsi="Times New Roman" w:eastAsia="仿宋_GB2312" w:cs="Times New Roman"/>
                <w:color w:val="auto"/>
                <w:highlight w:val="none"/>
                <w:lang w:eastAsia="zh-CN"/>
              </w:rPr>
            </w:pPr>
          </w:p>
          <w:p w14:paraId="2B631B50">
            <w:pPr>
              <w:pStyle w:val="2"/>
              <w:rPr>
                <w:rFonts w:hint="default" w:ascii="Times New Roman" w:hAnsi="Times New Roman" w:eastAsia="仿宋_GB2312" w:cs="Times New Roman"/>
                <w:color w:val="auto"/>
                <w:highlight w:val="none"/>
                <w:lang w:eastAsia="zh-CN"/>
              </w:rPr>
            </w:pPr>
          </w:p>
          <w:p w14:paraId="31346BA7">
            <w:pPr>
              <w:pStyle w:val="2"/>
              <w:rPr>
                <w:rFonts w:hint="default" w:ascii="Times New Roman" w:hAnsi="Times New Roman" w:eastAsia="仿宋_GB2312" w:cs="Times New Roman"/>
                <w:color w:val="auto"/>
                <w:highlight w:val="none"/>
                <w:lang w:eastAsia="zh-CN"/>
              </w:rPr>
            </w:pPr>
          </w:p>
          <w:p w14:paraId="73B24734">
            <w:pPr>
              <w:pStyle w:val="2"/>
              <w:rPr>
                <w:rFonts w:hint="default" w:ascii="Times New Roman" w:hAnsi="Times New Roman" w:eastAsia="仿宋_GB2312" w:cs="Times New Roman"/>
                <w:color w:val="auto"/>
                <w:highlight w:val="none"/>
                <w:lang w:eastAsia="zh-CN"/>
              </w:rPr>
            </w:pPr>
          </w:p>
          <w:p w14:paraId="7D101CA8">
            <w:pPr>
              <w:pStyle w:val="2"/>
              <w:rPr>
                <w:rFonts w:hint="default" w:ascii="Times New Roman" w:hAnsi="Times New Roman" w:eastAsia="仿宋_GB2312" w:cs="Times New Roman"/>
                <w:color w:val="auto"/>
                <w:highlight w:val="none"/>
                <w:lang w:eastAsia="zh-CN"/>
              </w:rPr>
            </w:pPr>
          </w:p>
          <w:p w14:paraId="0560EA76">
            <w:pPr>
              <w:pStyle w:val="2"/>
              <w:rPr>
                <w:rFonts w:hint="default" w:ascii="Times New Roman" w:hAnsi="Times New Roman" w:eastAsia="仿宋_GB2312" w:cs="Times New Roman"/>
                <w:color w:val="auto"/>
                <w:highlight w:val="none"/>
                <w:lang w:eastAsia="zh-CN"/>
              </w:rPr>
            </w:pPr>
          </w:p>
          <w:p w14:paraId="3CFBD36B">
            <w:pPr>
              <w:pStyle w:val="2"/>
              <w:rPr>
                <w:rFonts w:hint="default" w:ascii="Times New Roman" w:hAnsi="Times New Roman" w:eastAsia="仿宋_GB2312" w:cs="Times New Roman"/>
                <w:color w:val="auto"/>
                <w:highlight w:val="none"/>
                <w:lang w:eastAsia="zh-CN"/>
              </w:rPr>
            </w:pPr>
          </w:p>
          <w:p w14:paraId="64BA4516">
            <w:pPr>
              <w:pStyle w:val="2"/>
              <w:rPr>
                <w:rFonts w:hint="default" w:ascii="Times New Roman" w:hAnsi="Times New Roman" w:eastAsia="仿宋_GB2312" w:cs="Times New Roman"/>
                <w:color w:val="auto"/>
                <w:highlight w:val="none"/>
                <w:lang w:eastAsia="zh-CN"/>
              </w:rPr>
            </w:pPr>
          </w:p>
          <w:p w14:paraId="1CCF8316">
            <w:pPr>
              <w:pStyle w:val="2"/>
              <w:rPr>
                <w:rFonts w:hint="default" w:ascii="Times New Roman" w:hAnsi="Times New Roman" w:eastAsia="仿宋_GB2312" w:cs="Times New Roman"/>
                <w:color w:val="auto"/>
                <w:highlight w:val="none"/>
                <w:lang w:eastAsia="zh-CN"/>
              </w:rPr>
            </w:pPr>
          </w:p>
          <w:p w14:paraId="1B56CA90">
            <w:pPr>
              <w:pStyle w:val="2"/>
              <w:rPr>
                <w:rFonts w:hint="default" w:ascii="Times New Roman" w:hAnsi="Times New Roman" w:eastAsia="仿宋_GB2312" w:cs="Times New Roman"/>
                <w:color w:val="auto"/>
                <w:highlight w:val="none"/>
                <w:lang w:eastAsia="zh-CN"/>
              </w:rPr>
            </w:pPr>
          </w:p>
          <w:p w14:paraId="56E8E2F6">
            <w:pPr>
              <w:pStyle w:val="2"/>
              <w:rPr>
                <w:rFonts w:hint="default" w:ascii="Times New Roman" w:hAnsi="Times New Roman" w:eastAsia="仿宋_GB2312" w:cs="Times New Roman"/>
                <w:color w:val="auto"/>
                <w:highlight w:val="none"/>
                <w:lang w:eastAsia="zh-CN"/>
              </w:rPr>
            </w:pPr>
          </w:p>
          <w:p w14:paraId="0A71CDAF">
            <w:pPr>
              <w:pStyle w:val="2"/>
              <w:rPr>
                <w:rFonts w:hint="default" w:ascii="Times New Roman" w:hAnsi="Times New Roman" w:eastAsia="仿宋_GB2312" w:cs="Times New Roman"/>
                <w:color w:val="auto"/>
                <w:highlight w:val="none"/>
                <w:lang w:eastAsia="zh-CN"/>
              </w:rPr>
            </w:pPr>
          </w:p>
          <w:p w14:paraId="16DC7E3D">
            <w:pPr>
              <w:pStyle w:val="2"/>
              <w:rPr>
                <w:rFonts w:hint="default" w:ascii="Times New Roman" w:hAnsi="Times New Roman" w:eastAsia="仿宋_GB2312" w:cs="Times New Roman"/>
                <w:color w:val="auto"/>
                <w:highlight w:val="none"/>
                <w:lang w:eastAsia="zh-CN"/>
              </w:rPr>
            </w:pPr>
          </w:p>
          <w:p w14:paraId="5A9267D0">
            <w:pPr>
              <w:pStyle w:val="2"/>
              <w:rPr>
                <w:rFonts w:hint="default" w:ascii="Times New Roman" w:hAnsi="Times New Roman" w:eastAsia="仿宋_GB2312" w:cs="Times New Roman"/>
                <w:color w:val="auto"/>
                <w:highlight w:val="none"/>
                <w:lang w:eastAsia="zh-CN"/>
              </w:rPr>
            </w:pPr>
          </w:p>
          <w:p w14:paraId="79BA9912">
            <w:pPr>
              <w:pStyle w:val="2"/>
              <w:rPr>
                <w:rFonts w:hint="default" w:ascii="Times New Roman" w:hAnsi="Times New Roman" w:eastAsia="仿宋_GB2312" w:cs="Times New Roman"/>
                <w:color w:val="auto"/>
                <w:highlight w:val="none"/>
                <w:lang w:eastAsia="zh-CN"/>
              </w:rPr>
            </w:pPr>
          </w:p>
          <w:p w14:paraId="6223E208">
            <w:pPr>
              <w:pStyle w:val="2"/>
              <w:rPr>
                <w:rFonts w:hint="default" w:ascii="Times New Roman" w:hAnsi="Times New Roman" w:eastAsia="仿宋_GB2312" w:cs="Times New Roman"/>
                <w:color w:val="auto"/>
                <w:highlight w:val="none"/>
                <w:lang w:eastAsia="zh-CN"/>
              </w:rPr>
            </w:pPr>
          </w:p>
          <w:p w14:paraId="6F856743">
            <w:pPr>
              <w:pStyle w:val="2"/>
              <w:rPr>
                <w:rFonts w:hint="default" w:ascii="Times New Roman" w:hAnsi="Times New Roman" w:eastAsia="仿宋_GB2312" w:cs="Times New Roman"/>
                <w:color w:val="auto"/>
                <w:highlight w:val="none"/>
                <w:lang w:eastAsia="zh-CN"/>
              </w:rPr>
            </w:pPr>
          </w:p>
          <w:p w14:paraId="550D6262">
            <w:pPr>
              <w:pStyle w:val="2"/>
              <w:rPr>
                <w:rFonts w:hint="default" w:ascii="Times New Roman" w:hAnsi="Times New Roman" w:eastAsia="仿宋_GB2312" w:cs="Times New Roman"/>
                <w:color w:val="auto"/>
                <w:highlight w:val="none"/>
                <w:lang w:eastAsia="zh-CN"/>
              </w:rPr>
            </w:pPr>
          </w:p>
          <w:p w14:paraId="368DB064">
            <w:pPr>
              <w:pStyle w:val="2"/>
              <w:rPr>
                <w:rFonts w:hint="default" w:ascii="Times New Roman" w:hAnsi="Times New Roman" w:eastAsia="仿宋_GB2312" w:cs="Times New Roman"/>
                <w:color w:val="auto"/>
                <w:highlight w:val="none"/>
                <w:lang w:eastAsia="zh-CN"/>
              </w:rPr>
            </w:pPr>
          </w:p>
          <w:p w14:paraId="3D22BC14">
            <w:pPr>
              <w:pStyle w:val="2"/>
              <w:rPr>
                <w:rFonts w:hint="default" w:ascii="Times New Roman" w:hAnsi="Times New Roman" w:eastAsia="仿宋_GB2312" w:cs="Times New Roman"/>
                <w:color w:val="auto"/>
                <w:highlight w:val="none"/>
                <w:lang w:eastAsia="zh-CN"/>
              </w:rPr>
            </w:pPr>
          </w:p>
          <w:p w14:paraId="1D6FA7A8">
            <w:pPr>
              <w:pStyle w:val="2"/>
              <w:rPr>
                <w:rFonts w:hint="default" w:ascii="Times New Roman" w:hAnsi="Times New Roman" w:eastAsia="仿宋_GB2312" w:cs="Times New Roman"/>
                <w:color w:val="auto"/>
                <w:highlight w:val="none"/>
                <w:lang w:eastAsia="zh-CN"/>
              </w:rPr>
            </w:pPr>
          </w:p>
          <w:p w14:paraId="3267CA54">
            <w:pPr>
              <w:pStyle w:val="2"/>
              <w:rPr>
                <w:rFonts w:hint="default" w:ascii="Times New Roman" w:hAnsi="Times New Roman" w:eastAsia="仿宋_GB2312" w:cs="Times New Roman"/>
                <w:color w:val="auto"/>
                <w:highlight w:val="none"/>
                <w:lang w:eastAsia="zh-CN"/>
              </w:rPr>
            </w:pPr>
          </w:p>
          <w:p w14:paraId="0DBF2C47">
            <w:pPr>
              <w:pStyle w:val="2"/>
              <w:rPr>
                <w:rFonts w:hint="default" w:ascii="Times New Roman" w:hAnsi="Times New Roman" w:eastAsia="仿宋_GB2312" w:cs="Times New Roman"/>
                <w:color w:val="auto"/>
                <w:highlight w:val="none"/>
                <w:lang w:eastAsia="zh-CN"/>
              </w:rPr>
            </w:pPr>
          </w:p>
          <w:p w14:paraId="15F5F7F4">
            <w:pPr>
              <w:pStyle w:val="2"/>
              <w:rPr>
                <w:rFonts w:hint="default" w:ascii="Times New Roman" w:hAnsi="Times New Roman" w:eastAsia="仿宋_GB2312" w:cs="Times New Roman"/>
                <w:color w:val="auto"/>
                <w:highlight w:val="none"/>
                <w:lang w:eastAsia="zh-CN"/>
              </w:rPr>
            </w:pPr>
          </w:p>
          <w:p w14:paraId="5966486D">
            <w:pPr>
              <w:pStyle w:val="2"/>
              <w:rPr>
                <w:rFonts w:hint="default" w:ascii="Times New Roman" w:hAnsi="Times New Roman" w:eastAsia="仿宋_GB2312" w:cs="Times New Roman"/>
                <w:color w:val="auto"/>
                <w:highlight w:val="none"/>
                <w:lang w:eastAsia="zh-CN"/>
              </w:rPr>
            </w:pPr>
          </w:p>
          <w:p w14:paraId="45C7E6E8">
            <w:pPr>
              <w:pStyle w:val="2"/>
              <w:rPr>
                <w:rFonts w:hint="default" w:ascii="Times New Roman" w:hAnsi="Times New Roman" w:eastAsia="仿宋_GB2312" w:cs="Times New Roman"/>
                <w:color w:val="auto"/>
                <w:highlight w:val="none"/>
                <w:lang w:eastAsia="zh-CN"/>
              </w:rPr>
            </w:pPr>
          </w:p>
          <w:p w14:paraId="64019B2D">
            <w:pPr>
              <w:pStyle w:val="2"/>
              <w:rPr>
                <w:rFonts w:hint="default" w:ascii="Times New Roman" w:hAnsi="Times New Roman" w:eastAsia="仿宋_GB2312" w:cs="Times New Roman"/>
                <w:color w:val="auto"/>
                <w:highlight w:val="none"/>
                <w:lang w:eastAsia="zh-CN"/>
              </w:rPr>
            </w:pPr>
          </w:p>
          <w:p w14:paraId="5DADCA16">
            <w:pPr>
              <w:pStyle w:val="2"/>
              <w:rPr>
                <w:rFonts w:hint="default" w:ascii="Times New Roman" w:hAnsi="Times New Roman" w:eastAsia="仿宋_GB2312" w:cs="Times New Roman"/>
                <w:color w:val="auto"/>
                <w:highlight w:val="none"/>
                <w:lang w:eastAsia="zh-CN"/>
              </w:rPr>
            </w:pPr>
          </w:p>
          <w:p w14:paraId="490BF06F">
            <w:pPr>
              <w:pStyle w:val="2"/>
              <w:rPr>
                <w:rFonts w:hint="default" w:ascii="Times New Roman" w:hAnsi="Times New Roman" w:eastAsia="仿宋_GB2312" w:cs="Times New Roman"/>
                <w:color w:val="auto"/>
                <w:highlight w:val="none"/>
                <w:lang w:eastAsia="zh-CN"/>
              </w:rPr>
            </w:pPr>
          </w:p>
          <w:p w14:paraId="35D87014">
            <w:pPr>
              <w:pStyle w:val="2"/>
              <w:rPr>
                <w:rFonts w:hint="default" w:ascii="Times New Roman" w:hAnsi="Times New Roman" w:eastAsia="仿宋_GB2312" w:cs="Times New Roman"/>
                <w:color w:val="auto"/>
                <w:highlight w:val="none"/>
                <w:lang w:eastAsia="zh-CN"/>
              </w:rPr>
            </w:pPr>
          </w:p>
          <w:p w14:paraId="42966036">
            <w:pPr>
              <w:pStyle w:val="2"/>
              <w:rPr>
                <w:rFonts w:hint="default" w:ascii="Times New Roman" w:hAnsi="Times New Roman" w:eastAsia="仿宋_GB2312" w:cs="Times New Roman"/>
                <w:color w:val="auto"/>
                <w:highlight w:val="none"/>
                <w:lang w:eastAsia="zh-CN"/>
              </w:rPr>
            </w:pPr>
          </w:p>
          <w:p w14:paraId="2194095A">
            <w:pPr>
              <w:pStyle w:val="2"/>
              <w:rPr>
                <w:rFonts w:hint="default" w:ascii="Times New Roman" w:hAnsi="Times New Roman" w:eastAsia="仿宋_GB2312" w:cs="Times New Roman"/>
                <w:color w:val="auto"/>
                <w:highlight w:val="none"/>
                <w:lang w:eastAsia="zh-CN"/>
              </w:rPr>
            </w:pPr>
          </w:p>
          <w:p w14:paraId="0057B458">
            <w:pPr>
              <w:pStyle w:val="2"/>
              <w:rPr>
                <w:rFonts w:hint="default" w:ascii="Times New Roman" w:hAnsi="Times New Roman" w:eastAsia="仿宋_GB2312" w:cs="Times New Roman"/>
                <w:color w:val="auto"/>
                <w:highlight w:val="none"/>
                <w:lang w:eastAsia="zh-CN"/>
              </w:rPr>
            </w:pPr>
          </w:p>
          <w:p w14:paraId="263119BB">
            <w:pPr>
              <w:pStyle w:val="2"/>
              <w:rPr>
                <w:rFonts w:hint="default" w:ascii="Times New Roman" w:hAnsi="Times New Roman" w:eastAsia="仿宋_GB2312" w:cs="Times New Roman"/>
                <w:color w:val="auto"/>
                <w:highlight w:val="none"/>
                <w:lang w:eastAsia="zh-CN"/>
              </w:rPr>
            </w:pPr>
          </w:p>
          <w:p w14:paraId="47652DE4">
            <w:pPr>
              <w:pStyle w:val="2"/>
              <w:rPr>
                <w:rFonts w:hint="default" w:ascii="Times New Roman" w:hAnsi="Times New Roman" w:eastAsia="仿宋_GB2312" w:cs="Times New Roman"/>
                <w:color w:val="auto"/>
                <w:highlight w:val="none"/>
                <w:lang w:eastAsia="zh-CN"/>
              </w:rPr>
            </w:pPr>
          </w:p>
          <w:p w14:paraId="1AD19723">
            <w:pPr>
              <w:pStyle w:val="2"/>
              <w:rPr>
                <w:rFonts w:hint="default" w:ascii="Times New Roman" w:hAnsi="Times New Roman" w:eastAsia="仿宋_GB2312" w:cs="Times New Roman"/>
                <w:color w:val="auto"/>
                <w:highlight w:val="none"/>
                <w:lang w:eastAsia="zh-CN"/>
              </w:rPr>
            </w:pPr>
          </w:p>
          <w:p w14:paraId="2BC83494">
            <w:pPr>
              <w:pStyle w:val="2"/>
              <w:rPr>
                <w:rFonts w:hint="default" w:ascii="Times New Roman" w:hAnsi="Times New Roman" w:eastAsia="仿宋_GB2312" w:cs="Times New Roman"/>
                <w:color w:val="auto"/>
                <w:highlight w:val="none"/>
                <w:lang w:eastAsia="zh-CN"/>
              </w:rPr>
            </w:pPr>
          </w:p>
          <w:p w14:paraId="40A0E18C">
            <w:pPr>
              <w:pStyle w:val="2"/>
              <w:rPr>
                <w:rFonts w:hint="default" w:ascii="Times New Roman" w:hAnsi="Times New Roman" w:eastAsia="仿宋_GB2312" w:cs="Times New Roman"/>
                <w:color w:val="auto"/>
                <w:highlight w:val="none"/>
                <w:lang w:eastAsia="zh-CN"/>
              </w:rPr>
            </w:pPr>
          </w:p>
          <w:p w14:paraId="3FFADEDB">
            <w:pPr>
              <w:pStyle w:val="2"/>
              <w:rPr>
                <w:rFonts w:hint="default" w:ascii="Times New Roman" w:hAnsi="Times New Roman" w:eastAsia="仿宋_GB2312" w:cs="Times New Roman"/>
                <w:color w:val="auto"/>
                <w:highlight w:val="none"/>
                <w:lang w:eastAsia="zh-CN"/>
              </w:rPr>
            </w:pPr>
          </w:p>
          <w:p w14:paraId="786DB1DD">
            <w:pPr>
              <w:pStyle w:val="2"/>
              <w:rPr>
                <w:rFonts w:hint="default" w:ascii="Times New Roman" w:hAnsi="Times New Roman" w:eastAsia="仿宋_GB2312" w:cs="Times New Roman"/>
                <w:color w:val="auto"/>
                <w:highlight w:val="none"/>
                <w:lang w:eastAsia="zh-CN"/>
              </w:rPr>
            </w:pPr>
          </w:p>
          <w:p w14:paraId="1AC6B7AC">
            <w:pPr>
              <w:pStyle w:val="2"/>
              <w:rPr>
                <w:rFonts w:hint="default" w:ascii="Times New Roman" w:hAnsi="Times New Roman" w:eastAsia="仿宋_GB2312" w:cs="Times New Roman"/>
                <w:color w:val="auto"/>
                <w:highlight w:val="none"/>
                <w:lang w:eastAsia="zh-CN"/>
              </w:rPr>
            </w:pPr>
          </w:p>
          <w:p w14:paraId="666487CD">
            <w:pPr>
              <w:pStyle w:val="2"/>
              <w:rPr>
                <w:rFonts w:hint="default" w:ascii="Times New Roman" w:hAnsi="Times New Roman" w:eastAsia="仿宋_GB2312" w:cs="Times New Roman"/>
                <w:color w:val="auto"/>
                <w:highlight w:val="none"/>
                <w:lang w:eastAsia="zh-CN"/>
              </w:rPr>
            </w:pPr>
          </w:p>
          <w:p w14:paraId="26BD0502">
            <w:pPr>
              <w:pStyle w:val="2"/>
              <w:rPr>
                <w:rFonts w:hint="default" w:ascii="Times New Roman" w:hAnsi="Times New Roman" w:eastAsia="仿宋_GB2312" w:cs="Times New Roman"/>
                <w:color w:val="auto"/>
                <w:highlight w:val="none"/>
                <w:lang w:eastAsia="zh-CN"/>
              </w:rPr>
            </w:pPr>
          </w:p>
          <w:p w14:paraId="6B14E335">
            <w:pPr>
              <w:pStyle w:val="2"/>
              <w:rPr>
                <w:rFonts w:hint="default" w:ascii="Times New Roman" w:hAnsi="Times New Roman" w:eastAsia="仿宋_GB2312" w:cs="Times New Roman"/>
                <w:color w:val="auto"/>
                <w:highlight w:val="none"/>
                <w:lang w:eastAsia="zh-CN"/>
              </w:rPr>
            </w:pPr>
          </w:p>
          <w:p w14:paraId="4EBD554E">
            <w:pPr>
              <w:pStyle w:val="2"/>
              <w:rPr>
                <w:rFonts w:hint="default" w:ascii="Times New Roman" w:hAnsi="Times New Roman" w:eastAsia="仿宋_GB2312" w:cs="Times New Roman"/>
                <w:color w:val="auto"/>
                <w:highlight w:val="none"/>
                <w:lang w:eastAsia="zh-CN"/>
              </w:rPr>
            </w:pPr>
          </w:p>
          <w:p w14:paraId="1B345C49">
            <w:pPr>
              <w:pStyle w:val="2"/>
              <w:rPr>
                <w:rFonts w:hint="default" w:ascii="Times New Roman" w:hAnsi="Times New Roman" w:eastAsia="仿宋_GB2312" w:cs="Times New Roman"/>
                <w:color w:val="auto"/>
                <w:highlight w:val="none"/>
                <w:lang w:eastAsia="zh-CN"/>
              </w:rPr>
            </w:pPr>
          </w:p>
          <w:p w14:paraId="645879C8">
            <w:pPr>
              <w:pStyle w:val="2"/>
              <w:rPr>
                <w:rFonts w:hint="default" w:ascii="Times New Roman" w:hAnsi="Times New Roman" w:eastAsia="仿宋_GB2312" w:cs="Times New Roman"/>
                <w:color w:val="auto"/>
                <w:highlight w:val="none"/>
                <w:lang w:eastAsia="zh-CN"/>
              </w:rPr>
            </w:pPr>
          </w:p>
          <w:p w14:paraId="2723B860">
            <w:pPr>
              <w:pStyle w:val="2"/>
              <w:rPr>
                <w:rFonts w:hint="default" w:ascii="Times New Roman" w:hAnsi="Times New Roman" w:eastAsia="仿宋_GB2312" w:cs="Times New Roman"/>
                <w:color w:val="auto"/>
                <w:highlight w:val="none"/>
                <w:lang w:eastAsia="zh-CN"/>
              </w:rPr>
            </w:pPr>
          </w:p>
          <w:p w14:paraId="79456519">
            <w:pPr>
              <w:pStyle w:val="2"/>
              <w:rPr>
                <w:rFonts w:hint="default" w:ascii="Times New Roman" w:hAnsi="Times New Roman" w:eastAsia="仿宋_GB2312" w:cs="Times New Roman"/>
                <w:color w:val="auto"/>
                <w:highlight w:val="none"/>
                <w:lang w:eastAsia="zh-CN"/>
              </w:rPr>
            </w:pPr>
          </w:p>
          <w:p w14:paraId="27D6B029">
            <w:pPr>
              <w:pStyle w:val="2"/>
              <w:rPr>
                <w:rFonts w:hint="default" w:ascii="Times New Roman" w:hAnsi="Times New Roman" w:eastAsia="仿宋_GB2312" w:cs="Times New Roman"/>
                <w:color w:val="auto"/>
                <w:highlight w:val="none"/>
                <w:lang w:eastAsia="zh-CN"/>
              </w:rPr>
            </w:pPr>
          </w:p>
          <w:p w14:paraId="72E604E7">
            <w:pPr>
              <w:pStyle w:val="2"/>
              <w:rPr>
                <w:rFonts w:hint="default" w:ascii="Times New Roman" w:hAnsi="Times New Roman" w:eastAsia="仿宋_GB2312" w:cs="Times New Roman"/>
                <w:color w:val="auto"/>
                <w:highlight w:val="none"/>
                <w:lang w:eastAsia="zh-CN"/>
              </w:rPr>
            </w:pPr>
          </w:p>
          <w:p w14:paraId="5A2BD752">
            <w:pPr>
              <w:pStyle w:val="2"/>
              <w:rPr>
                <w:rFonts w:hint="default" w:ascii="Times New Roman" w:hAnsi="Times New Roman" w:eastAsia="仿宋_GB2312" w:cs="Times New Roman"/>
                <w:color w:val="auto"/>
                <w:highlight w:val="none"/>
                <w:lang w:eastAsia="zh-CN"/>
              </w:rPr>
            </w:pPr>
          </w:p>
          <w:p w14:paraId="778C4A70">
            <w:pPr>
              <w:pStyle w:val="2"/>
              <w:rPr>
                <w:rFonts w:hint="default" w:ascii="Times New Roman" w:hAnsi="Times New Roman" w:eastAsia="仿宋_GB2312" w:cs="Times New Roman"/>
                <w:color w:val="auto"/>
                <w:highlight w:val="none"/>
                <w:lang w:eastAsia="zh-CN"/>
              </w:rPr>
            </w:pPr>
          </w:p>
          <w:p w14:paraId="4BE60EE8">
            <w:pPr>
              <w:pStyle w:val="2"/>
              <w:rPr>
                <w:rFonts w:hint="default" w:ascii="Times New Roman" w:hAnsi="Times New Roman" w:eastAsia="仿宋_GB2312" w:cs="Times New Roman"/>
                <w:color w:val="auto"/>
                <w:highlight w:val="none"/>
                <w:lang w:eastAsia="zh-CN"/>
              </w:rPr>
            </w:pPr>
          </w:p>
          <w:p w14:paraId="768CCD75">
            <w:pPr>
              <w:pStyle w:val="2"/>
              <w:rPr>
                <w:rFonts w:hint="default" w:ascii="Times New Roman" w:hAnsi="Times New Roman" w:eastAsia="仿宋_GB2312" w:cs="Times New Roman"/>
                <w:color w:val="auto"/>
                <w:highlight w:val="none"/>
                <w:lang w:eastAsia="zh-CN"/>
              </w:rPr>
            </w:pPr>
          </w:p>
          <w:p w14:paraId="01A985CB">
            <w:pPr>
              <w:pStyle w:val="2"/>
              <w:rPr>
                <w:rFonts w:hint="default" w:ascii="Times New Roman" w:hAnsi="Times New Roman" w:eastAsia="仿宋_GB2312" w:cs="Times New Roman"/>
                <w:color w:val="auto"/>
                <w:highlight w:val="none"/>
                <w:lang w:eastAsia="zh-CN"/>
              </w:rPr>
            </w:pPr>
          </w:p>
          <w:p w14:paraId="53F6F5B8">
            <w:pPr>
              <w:pStyle w:val="2"/>
              <w:rPr>
                <w:rFonts w:hint="default" w:ascii="Times New Roman" w:hAnsi="Times New Roman" w:eastAsia="仿宋_GB2312" w:cs="Times New Roman"/>
                <w:color w:val="auto"/>
                <w:highlight w:val="none"/>
                <w:lang w:eastAsia="zh-CN"/>
              </w:rPr>
            </w:pPr>
          </w:p>
          <w:p w14:paraId="2BA90D61">
            <w:pPr>
              <w:pStyle w:val="2"/>
              <w:rPr>
                <w:rFonts w:hint="default" w:ascii="Times New Roman" w:hAnsi="Times New Roman" w:eastAsia="仿宋_GB2312" w:cs="Times New Roman"/>
                <w:color w:val="auto"/>
                <w:highlight w:val="none"/>
                <w:lang w:eastAsia="zh-CN"/>
              </w:rPr>
            </w:pPr>
          </w:p>
          <w:p w14:paraId="5C223024">
            <w:pPr>
              <w:pStyle w:val="2"/>
              <w:rPr>
                <w:rFonts w:hint="default" w:ascii="Times New Roman" w:hAnsi="Times New Roman" w:eastAsia="仿宋_GB2312" w:cs="Times New Roman"/>
                <w:color w:val="auto"/>
                <w:highlight w:val="none"/>
                <w:lang w:eastAsia="zh-CN"/>
              </w:rPr>
            </w:pPr>
          </w:p>
          <w:p w14:paraId="565B9F17">
            <w:pPr>
              <w:pStyle w:val="2"/>
              <w:rPr>
                <w:rFonts w:hint="default" w:ascii="Times New Roman" w:hAnsi="Times New Roman" w:eastAsia="仿宋_GB2312" w:cs="Times New Roman"/>
                <w:color w:val="auto"/>
                <w:highlight w:val="none"/>
                <w:lang w:eastAsia="zh-CN"/>
              </w:rPr>
            </w:pPr>
          </w:p>
          <w:p w14:paraId="4729142C">
            <w:pPr>
              <w:pStyle w:val="2"/>
              <w:rPr>
                <w:rFonts w:hint="default" w:ascii="Times New Roman" w:hAnsi="Times New Roman" w:eastAsia="仿宋_GB2312" w:cs="Times New Roman"/>
                <w:color w:val="auto"/>
                <w:highlight w:val="none"/>
                <w:lang w:eastAsia="zh-CN"/>
              </w:rPr>
            </w:pPr>
          </w:p>
          <w:p w14:paraId="3032D8C9">
            <w:pPr>
              <w:pStyle w:val="2"/>
              <w:rPr>
                <w:rFonts w:hint="default" w:ascii="Times New Roman" w:hAnsi="Times New Roman" w:eastAsia="仿宋_GB2312" w:cs="Times New Roman"/>
                <w:color w:val="auto"/>
                <w:highlight w:val="none"/>
                <w:lang w:eastAsia="zh-CN"/>
              </w:rPr>
            </w:pPr>
          </w:p>
          <w:p w14:paraId="5B95DBCC">
            <w:pPr>
              <w:pStyle w:val="2"/>
              <w:rPr>
                <w:rFonts w:hint="default" w:ascii="Times New Roman" w:hAnsi="Times New Roman" w:eastAsia="仿宋_GB2312" w:cs="Times New Roman"/>
                <w:color w:val="auto"/>
                <w:highlight w:val="none"/>
                <w:lang w:eastAsia="zh-CN"/>
              </w:rPr>
            </w:pPr>
          </w:p>
          <w:p w14:paraId="303D6762">
            <w:pPr>
              <w:pStyle w:val="2"/>
              <w:rPr>
                <w:rFonts w:hint="default" w:ascii="Times New Roman" w:hAnsi="Times New Roman" w:eastAsia="仿宋_GB2312" w:cs="Times New Roman"/>
                <w:color w:val="auto"/>
                <w:highlight w:val="none"/>
                <w:lang w:eastAsia="zh-CN"/>
              </w:rPr>
            </w:pPr>
          </w:p>
          <w:p w14:paraId="50F5AC21">
            <w:pPr>
              <w:pStyle w:val="2"/>
              <w:rPr>
                <w:rFonts w:hint="default" w:ascii="Times New Roman" w:hAnsi="Times New Roman" w:eastAsia="仿宋_GB2312" w:cs="Times New Roman"/>
                <w:color w:val="auto"/>
                <w:highlight w:val="none"/>
                <w:lang w:eastAsia="zh-CN"/>
              </w:rPr>
            </w:pPr>
          </w:p>
          <w:p w14:paraId="2550F047">
            <w:pPr>
              <w:pStyle w:val="2"/>
              <w:rPr>
                <w:rFonts w:hint="default" w:ascii="Times New Roman" w:hAnsi="Times New Roman" w:eastAsia="仿宋_GB2312" w:cs="Times New Roman"/>
                <w:color w:val="auto"/>
                <w:highlight w:val="none"/>
                <w:lang w:eastAsia="zh-CN"/>
              </w:rPr>
            </w:pPr>
          </w:p>
          <w:p w14:paraId="7A98CD1D">
            <w:pPr>
              <w:pStyle w:val="2"/>
              <w:rPr>
                <w:rFonts w:hint="default" w:ascii="Times New Roman" w:hAnsi="Times New Roman" w:eastAsia="仿宋_GB2312" w:cs="Times New Roman"/>
                <w:color w:val="auto"/>
                <w:highlight w:val="none"/>
                <w:lang w:eastAsia="zh-CN"/>
              </w:rPr>
            </w:pPr>
          </w:p>
          <w:p w14:paraId="0AE62F68">
            <w:pPr>
              <w:pStyle w:val="2"/>
              <w:rPr>
                <w:rFonts w:hint="default" w:ascii="Times New Roman" w:hAnsi="Times New Roman" w:eastAsia="仿宋_GB2312" w:cs="Times New Roman"/>
                <w:color w:val="auto"/>
                <w:highlight w:val="none"/>
                <w:lang w:eastAsia="zh-CN"/>
              </w:rPr>
            </w:pPr>
          </w:p>
          <w:p w14:paraId="6B342779">
            <w:pPr>
              <w:pStyle w:val="2"/>
              <w:rPr>
                <w:rFonts w:hint="default" w:ascii="Times New Roman" w:hAnsi="Times New Roman" w:eastAsia="仿宋_GB2312" w:cs="Times New Roman"/>
                <w:color w:val="auto"/>
                <w:highlight w:val="none"/>
                <w:lang w:eastAsia="zh-CN"/>
              </w:rPr>
            </w:pPr>
          </w:p>
          <w:p w14:paraId="1099EAC8">
            <w:pPr>
              <w:pStyle w:val="2"/>
              <w:rPr>
                <w:rFonts w:hint="default" w:ascii="Times New Roman" w:hAnsi="Times New Roman" w:eastAsia="仿宋_GB2312" w:cs="Times New Roman"/>
                <w:color w:val="auto"/>
                <w:highlight w:val="none"/>
                <w:lang w:eastAsia="zh-CN"/>
              </w:rPr>
            </w:pPr>
          </w:p>
          <w:p w14:paraId="6FAA0BCB">
            <w:pPr>
              <w:pStyle w:val="2"/>
              <w:rPr>
                <w:rFonts w:hint="default" w:ascii="Times New Roman" w:hAnsi="Times New Roman" w:eastAsia="仿宋_GB2312" w:cs="Times New Roman"/>
                <w:color w:val="auto"/>
                <w:highlight w:val="none"/>
                <w:lang w:eastAsia="zh-CN"/>
              </w:rPr>
            </w:pPr>
          </w:p>
          <w:p w14:paraId="2E81A036">
            <w:pPr>
              <w:pStyle w:val="2"/>
              <w:rPr>
                <w:rFonts w:hint="default" w:ascii="Times New Roman" w:hAnsi="Times New Roman" w:eastAsia="仿宋_GB2312" w:cs="Times New Roman"/>
                <w:color w:val="auto"/>
                <w:highlight w:val="none"/>
                <w:lang w:eastAsia="zh-CN"/>
              </w:rPr>
            </w:pPr>
          </w:p>
          <w:p w14:paraId="6B8226FE">
            <w:pPr>
              <w:pStyle w:val="2"/>
              <w:rPr>
                <w:rFonts w:hint="default" w:ascii="Times New Roman" w:hAnsi="Times New Roman" w:eastAsia="仿宋_GB2312" w:cs="Times New Roman"/>
                <w:color w:val="auto"/>
                <w:highlight w:val="none"/>
                <w:lang w:eastAsia="zh-CN"/>
              </w:rPr>
            </w:pPr>
          </w:p>
          <w:p w14:paraId="24BA091D">
            <w:pPr>
              <w:pStyle w:val="2"/>
              <w:rPr>
                <w:rFonts w:hint="default" w:ascii="Times New Roman" w:hAnsi="Times New Roman" w:eastAsia="仿宋_GB2312" w:cs="Times New Roman"/>
                <w:color w:val="auto"/>
                <w:highlight w:val="none"/>
                <w:lang w:eastAsia="zh-CN"/>
              </w:rPr>
            </w:pPr>
          </w:p>
          <w:p w14:paraId="47F744AD">
            <w:pPr>
              <w:pStyle w:val="2"/>
              <w:rPr>
                <w:rFonts w:hint="default" w:ascii="Times New Roman" w:hAnsi="Times New Roman" w:eastAsia="仿宋_GB2312" w:cs="Times New Roman"/>
                <w:color w:val="auto"/>
                <w:highlight w:val="none"/>
                <w:lang w:eastAsia="zh-CN"/>
              </w:rPr>
            </w:pPr>
          </w:p>
          <w:p w14:paraId="1FC62ABB">
            <w:pPr>
              <w:pStyle w:val="2"/>
              <w:rPr>
                <w:rFonts w:hint="default" w:ascii="Times New Roman" w:hAnsi="Times New Roman" w:eastAsia="仿宋_GB2312" w:cs="Times New Roman"/>
                <w:color w:val="auto"/>
                <w:highlight w:val="none"/>
                <w:lang w:eastAsia="zh-CN"/>
              </w:rPr>
            </w:pPr>
          </w:p>
          <w:p w14:paraId="1815EC7D">
            <w:pPr>
              <w:pStyle w:val="2"/>
              <w:rPr>
                <w:rFonts w:hint="default" w:ascii="Times New Roman" w:hAnsi="Times New Roman" w:eastAsia="仿宋_GB2312" w:cs="Times New Roman"/>
                <w:color w:val="auto"/>
                <w:highlight w:val="none"/>
                <w:lang w:eastAsia="zh-CN"/>
              </w:rPr>
            </w:pPr>
          </w:p>
          <w:p w14:paraId="41A1A179">
            <w:pPr>
              <w:pStyle w:val="2"/>
              <w:rPr>
                <w:rFonts w:hint="default" w:ascii="Times New Roman" w:hAnsi="Times New Roman" w:eastAsia="仿宋_GB2312" w:cs="Times New Roman"/>
                <w:color w:val="auto"/>
                <w:highlight w:val="none"/>
                <w:lang w:eastAsia="zh-CN"/>
              </w:rPr>
            </w:pPr>
          </w:p>
          <w:p w14:paraId="65862EEF">
            <w:pPr>
              <w:pStyle w:val="2"/>
              <w:rPr>
                <w:rFonts w:hint="default" w:ascii="Times New Roman" w:hAnsi="Times New Roman" w:eastAsia="仿宋_GB2312" w:cs="Times New Roman"/>
                <w:color w:val="auto"/>
                <w:highlight w:val="none"/>
                <w:lang w:eastAsia="zh-CN"/>
              </w:rPr>
            </w:pPr>
          </w:p>
          <w:p w14:paraId="42977E58">
            <w:pPr>
              <w:pStyle w:val="2"/>
              <w:rPr>
                <w:rFonts w:hint="default" w:ascii="Times New Roman" w:hAnsi="Times New Roman" w:eastAsia="仿宋_GB2312" w:cs="Times New Roman"/>
                <w:color w:val="auto"/>
                <w:highlight w:val="none"/>
                <w:lang w:eastAsia="zh-CN"/>
              </w:rPr>
            </w:pPr>
          </w:p>
          <w:p w14:paraId="74B384EF">
            <w:pPr>
              <w:pStyle w:val="2"/>
              <w:rPr>
                <w:rFonts w:hint="default" w:ascii="Times New Roman" w:hAnsi="Times New Roman" w:eastAsia="仿宋_GB2312" w:cs="Times New Roman"/>
                <w:color w:val="auto"/>
                <w:highlight w:val="none"/>
                <w:lang w:eastAsia="zh-CN"/>
              </w:rPr>
            </w:pPr>
          </w:p>
          <w:p w14:paraId="46577361">
            <w:pPr>
              <w:pStyle w:val="2"/>
              <w:rPr>
                <w:rFonts w:hint="default" w:ascii="Times New Roman" w:hAnsi="Times New Roman" w:eastAsia="仿宋_GB2312" w:cs="Times New Roman"/>
                <w:color w:val="auto"/>
                <w:highlight w:val="none"/>
                <w:lang w:eastAsia="zh-CN"/>
              </w:rPr>
            </w:pPr>
          </w:p>
          <w:p w14:paraId="666E0562">
            <w:pPr>
              <w:pStyle w:val="2"/>
              <w:rPr>
                <w:rFonts w:hint="default" w:ascii="Times New Roman" w:hAnsi="Times New Roman" w:eastAsia="仿宋_GB2312" w:cs="Times New Roman"/>
                <w:color w:val="auto"/>
                <w:highlight w:val="none"/>
                <w:lang w:eastAsia="zh-CN"/>
              </w:rPr>
            </w:pPr>
          </w:p>
          <w:p w14:paraId="6455639A">
            <w:pPr>
              <w:pStyle w:val="2"/>
              <w:rPr>
                <w:rFonts w:hint="default" w:ascii="Times New Roman" w:hAnsi="Times New Roman" w:eastAsia="仿宋_GB2312" w:cs="Times New Roman"/>
                <w:color w:val="auto"/>
                <w:highlight w:val="none"/>
                <w:lang w:eastAsia="zh-CN"/>
              </w:rPr>
            </w:pPr>
          </w:p>
          <w:p w14:paraId="4D462F73">
            <w:pPr>
              <w:pStyle w:val="2"/>
              <w:rPr>
                <w:rFonts w:hint="default" w:ascii="Times New Roman" w:hAnsi="Times New Roman" w:eastAsia="仿宋_GB2312" w:cs="Times New Roman"/>
                <w:color w:val="auto"/>
                <w:highlight w:val="none"/>
                <w:lang w:eastAsia="zh-CN"/>
              </w:rPr>
            </w:pPr>
          </w:p>
          <w:p w14:paraId="55800871">
            <w:pPr>
              <w:pStyle w:val="2"/>
              <w:rPr>
                <w:rFonts w:hint="default" w:ascii="Times New Roman" w:hAnsi="Times New Roman" w:eastAsia="仿宋_GB2312" w:cs="Times New Roman"/>
                <w:color w:val="auto"/>
                <w:highlight w:val="none"/>
                <w:lang w:eastAsia="zh-CN"/>
              </w:rPr>
            </w:pPr>
          </w:p>
          <w:p w14:paraId="30DEDB3B">
            <w:pPr>
              <w:pStyle w:val="2"/>
              <w:rPr>
                <w:rFonts w:hint="default" w:ascii="Times New Roman" w:hAnsi="Times New Roman" w:eastAsia="仿宋_GB2312" w:cs="Times New Roman"/>
                <w:color w:val="auto"/>
                <w:highlight w:val="none"/>
                <w:lang w:eastAsia="zh-CN"/>
              </w:rPr>
            </w:pPr>
          </w:p>
          <w:p w14:paraId="0E5C8604">
            <w:pPr>
              <w:pStyle w:val="2"/>
              <w:rPr>
                <w:rFonts w:hint="default" w:ascii="Times New Roman" w:hAnsi="Times New Roman" w:eastAsia="仿宋_GB2312" w:cs="Times New Roman"/>
                <w:color w:val="auto"/>
                <w:highlight w:val="none"/>
                <w:lang w:eastAsia="zh-CN"/>
              </w:rPr>
            </w:pPr>
          </w:p>
          <w:p w14:paraId="340E0429">
            <w:pPr>
              <w:pStyle w:val="2"/>
              <w:rPr>
                <w:rFonts w:hint="default" w:ascii="Times New Roman" w:hAnsi="Times New Roman" w:eastAsia="仿宋_GB2312" w:cs="Times New Roman"/>
                <w:color w:val="auto"/>
                <w:highlight w:val="none"/>
                <w:lang w:eastAsia="zh-CN"/>
              </w:rPr>
            </w:pPr>
          </w:p>
          <w:p w14:paraId="7349A0E9">
            <w:pPr>
              <w:pStyle w:val="2"/>
              <w:rPr>
                <w:rFonts w:hint="default" w:ascii="Times New Roman" w:hAnsi="Times New Roman" w:eastAsia="仿宋_GB2312" w:cs="Times New Roman"/>
                <w:color w:val="auto"/>
                <w:highlight w:val="none"/>
                <w:lang w:eastAsia="zh-CN"/>
              </w:rPr>
            </w:pPr>
          </w:p>
          <w:p w14:paraId="7E16C004">
            <w:pPr>
              <w:pStyle w:val="2"/>
              <w:rPr>
                <w:rFonts w:hint="default" w:ascii="Times New Roman" w:hAnsi="Times New Roman" w:eastAsia="仿宋_GB2312" w:cs="Times New Roman"/>
                <w:color w:val="auto"/>
                <w:highlight w:val="none"/>
                <w:lang w:eastAsia="zh-CN"/>
              </w:rPr>
            </w:pPr>
          </w:p>
          <w:p w14:paraId="47BA3741">
            <w:pPr>
              <w:pStyle w:val="2"/>
              <w:rPr>
                <w:rFonts w:hint="default" w:ascii="Times New Roman" w:hAnsi="Times New Roman" w:eastAsia="仿宋_GB2312" w:cs="Times New Roman"/>
                <w:color w:val="auto"/>
                <w:highlight w:val="none"/>
                <w:lang w:eastAsia="zh-CN"/>
              </w:rPr>
            </w:pPr>
          </w:p>
          <w:p w14:paraId="387A95B7">
            <w:pPr>
              <w:pStyle w:val="2"/>
              <w:rPr>
                <w:rFonts w:hint="default" w:ascii="Times New Roman" w:hAnsi="Times New Roman" w:eastAsia="仿宋_GB2312" w:cs="Times New Roman"/>
                <w:color w:val="auto"/>
                <w:highlight w:val="none"/>
                <w:lang w:eastAsia="zh-CN"/>
              </w:rPr>
            </w:pPr>
          </w:p>
          <w:p w14:paraId="42D6E95A">
            <w:pPr>
              <w:pStyle w:val="2"/>
              <w:rPr>
                <w:rFonts w:hint="default" w:ascii="Times New Roman" w:hAnsi="Times New Roman" w:eastAsia="仿宋_GB2312" w:cs="Times New Roman"/>
                <w:color w:val="auto"/>
                <w:highlight w:val="none"/>
                <w:lang w:eastAsia="zh-CN"/>
              </w:rPr>
            </w:pPr>
          </w:p>
          <w:p w14:paraId="724BB6A7">
            <w:pPr>
              <w:pStyle w:val="2"/>
              <w:rPr>
                <w:rFonts w:hint="default" w:ascii="Times New Roman" w:hAnsi="Times New Roman" w:eastAsia="仿宋_GB2312" w:cs="Times New Roman"/>
                <w:color w:val="auto"/>
                <w:highlight w:val="none"/>
                <w:lang w:eastAsia="zh-CN"/>
              </w:rPr>
            </w:pPr>
          </w:p>
          <w:p w14:paraId="0764E110">
            <w:pPr>
              <w:pStyle w:val="2"/>
              <w:rPr>
                <w:rFonts w:hint="default" w:ascii="Times New Roman" w:hAnsi="Times New Roman" w:eastAsia="仿宋_GB2312" w:cs="Times New Roman"/>
                <w:color w:val="auto"/>
                <w:highlight w:val="none"/>
                <w:lang w:eastAsia="zh-CN"/>
              </w:rPr>
            </w:pPr>
          </w:p>
          <w:p w14:paraId="604C14E7">
            <w:pPr>
              <w:pStyle w:val="2"/>
              <w:rPr>
                <w:rFonts w:hint="default" w:ascii="Times New Roman" w:hAnsi="Times New Roman" w:eastAsia="仿宋_GB2312" w:cs="Times New Roman"/>
                <w:color w:val="auto"/>
                <w:highlight w:val="none"/>
                <w:lang w:eastAsia="zh-CN"/>
              </w:rPr>
            </w:pPr>
          </w:p>
          <w:p w14:paraId="2812A04C">
            <w:pPr>
              <w:pStyle w:val="2"/>
              <w:rPr>
                <w:rFonts w:hint="default" w:ascii="Times New Roman" w:hAnsi="Times New Roman" w:eastAsia="仿宋_GB2312" w:cs="Times New Roman"/>
                <w:color w:val="auto"/>
                <w:highlight w:val="none"/>
                <w:lang w:eastAsia="zh-CN"/>
              </w:rPr>
            </w:pPr>
          </w:p>
          <w:p w14:paraId="736BA805">
            <w:pPr>
              <w:pStyle w:val="2"/>
              <w:rPr>
                <w:rFonts w:hint="default" w:ascii="Times New Roman" w:hAnsi="Times New Roman" w:eastAsia="仿宋_GB2312" w:cs="Times New Roman"/>
                <w:color w:val="auto"/>
                <w:highlight w:val="none"/>
                <w:lang w:eastAsia="zh-CN"/>
              </w:rPr>
            </w:pPr>
          </w:p>
          <w:p w14:paraId="5C76E1D4">
            <w:pPr>
              <w:pStyle w:val="2"/>
              <w:rPr>
                <w:rFonts w:hint="default" w:ascii="Times New Roman" w:hAnsi="Times New Roman" w:eastAsia="仿宋_GB2312" w:cs="Times New Roman"/>
                <w:color w:val="auto"/>
                <w:highlight w:val="none"/>
                <w:lang w:eastAsia="zh-CN"/>
              </w:rPr>
            </w:pPr>
          </w:p>
          <w:p w14:paraId="6F46083E">
            <w:pPr>
              <w:pStyle w:val="2"/>
              <w:rPr>
                <w:rFonts w:hint="default" w:ascii="Times New Roman" w:hAnsi="Times New Roman" w:eastAsia="仿宋_GB2312" w:cs="Times New Roman"/>
                <w:color w:val="auto"/>
                <w:highlight w:val="none"/>
                <w:lang w:eastAsia="zh-CN"/>
              </w:rPr>
            </w:pPr>
          </w:p>
          <w:p w14:paraId="4BB3F339">
            <w:pPr>
              <w:pStyle w:val="2"/>
              <w:rPr>
                <w:rFonts w:hint="default" w:ascii="Times New Roman" w:hAnsi="Times New Roman" w:eastAsia="仿宋_GB2312" w:cs="Times New Roman"/>
                <w:color w:val="auto"/>
                <w:highlight w:val="none"/>
                <w:lang w:eastAsia="zh-CN"/>
              </w:rPr>
            </w:pPr>
          </w:p>
          <w:p w14:paraId="3629E8A4">
            <w:pPr>
              <w:pStyle w:val="2"/>
              <w:rPr>
                <w:rFonts w:hint="default" w:ascii="Times New Roman" w:hAnsi="Times New Roman" w:eastAsia="仿宋_GB2312" w:cs="Times New Roman"/>
                <w:color w:val="auto"/>
                <w:highlight w:val="none"/>
                <w:lang w:eastAsia="zh-CN"/>
              </w:rPr>
            </w:pPr>
          </w:p>
          <w:p w14:paraId="41DD7C3C">
            <w:pPr>
              <w:pStyle w:val="2"/>
              <w:rPr>
                <w:rFonts w:hint="default" w:ascii="Times New Roman" w:hAnsi="Times New Roman" w:eastAsia="仿宋_GB2312" w:cs="Times New Roman"/>
                <w:color w:val="auto"/>
                <w:highlight w:val="none"/>
                <w:lang w:eastAsia="zh-CN"/>
              </w:rPr>
            </w:pPr>
          </w:p>
          <w:p w14:paraId="3E9E6081">
            <w:pPr>
              <w:pStyle w:val="2"/>
              <w:rPr>
                <w:rFonts w:hint="default" w:ascii="Times New Roman" w:hAnsi="Times New Roman" w:eastAsia="仿宋_GB2312" w:cs="Times New Roman"/>
                <w:color w:val="auto"/>
                <w:highlight w:val="none"/>
                <w:lang w:eastAsia="zh-CN"/>
              </w:rPr>
            </w:pPr>
          </w:p>
          <w:p w14:paraId="30F3C5F9">
            <w:pPr>
              <w:pStyle w:val="2"/>
              <w:rPr>
                <w:rFonts w:hint="default" w:ascii="Times New Roman" w:hAnsi="Times New Roman" w:eastAsia="仿宋_GB2312" w:cs="Times New Roman"/>
                <w:color w:val="auto"/>
                <w:highlight w:val="none"/>
                <w:lang w:eastAsia="zh-CN"/>
              </w:rPr>
            </w:pPr>
          </w:p>
          <w:p w14:paraId="33492D88">
            <w:pPr>
              <w:pStyle w:val="2"/>
              <w:rPr>
                <w:rFonts w:hint="default" w:ascii="Times New Roman" w:hAnsi="Times New Roman" w:eastAsia="仿宋_GB2312" w:cs="Times New Roman"/>
                <w:color w:val="auto"/>
                <w:highlight w:val="none"/>
                <w:lang w:eastAsia="zh-CN"/>
              </w:rPr>
            </w:pPr>
          </w:p>
          <w:p w14:paraId="2AA52F1B">
            <w:pPr>
              <w:pStyle w:val="2"/>
              <w:rPr>
                <w:rFonts w:hint="default" w:ascii="Times New Roman" w:hAnsi="Times New Roman" w:eastAsia="仿宋_GB2312" w:cs="Times New Roman"/>
                <w:color w:val="auto"/>
                <w:highlight w:val="none"/>
                <w:lang w:eastAsia="zh-CN"/>
              </w:rPr>
            </w:pPr>
          </w:p>
          <w:p w14:paraId="18C73A1C">
            <w:pPr>
              <w:pStyle w:val="2"/>
              <w:rPr>
                <w:rFonts w:hint="default" w:ascii="Times New Roman" w:hAnsi="Times New Roman" w:eastAsia="仿宋_GB2312" w:cs="Times New Roman"/>
                <w:color w:val="auto"/>
                <w:highlight w:val="none"/>
                <w:lang w:eastAsia="zh-CN"/>
              </w:rPr>
            </w:pPr>
          </w:p>
          <w:p w14:paraId="02219B84">
            <w:pPr>
              <w:pStyle w:val="2"/>
              <w:rPr>
                <w:rFonts w:hint="default" w:ascii="Times New Roman" w:hAnsi="Times New Roman" w:eastAsia="仿宋_GB2312" w:cs="Times New Roman"/>
                <w:color w:val="auto"/>
                <w:highlight w:val="none"/>
                <w:lang w:eastAsia="zh-CN"/>
              </w:rPr>
            </w:pPr>
          </w:p>
          <w:p w14:paraId="5B6F66FB">
            <w:pPr>
              <w:pStyle w:val="2"/>
              <w:rPr>
                <w:rFonts w:hint="default" w:ascii="Times New Roman" w:hAnsi="Times New Roman" w:eastAsia="仿宋_GB2312" w:cs="Times New Roman"/>
                <w:color w:val="auto"/>
                <w:highlight w:val="none"/>
                <w:lang w:eastAsia="zh-CN"/>
              </w:rPr>
            </w:pPr>
          </w:p>
          <w:p w14:paraId="55D278F9">
            <w:pPr>
              <w:pStyle w:val="2"/>
              <w:rPr>
                <w:rFonts w:hint="default" w:ascii="Times New Roman" w:hAnsi="Times New Roman" w:eastAsia="仿宋_GB2312" w:cs="Times New Roman"/>
                <w:color w:val="auto"/>
                <w:highlight w:val="none"/>
                <w:lang w:eastAsia="zh-CN"/>
              </w:rPr>
            </w:pPr>
          </w:p>
          <w:p w14:paraId="3C2935E3">
            <w:pPr>
              <w:pStyle w:val="2"/>
              <w:rPr>
                <w:rFonts w:hint="default" w:ascii="Times New Roman" w:hAnsi="Times New Roman" w:eastAsia="仿宋_GB2312" w:cs="Times New Roman"/>
                <w:color w:val="auto"/>
                <w:highlight w:val="none"/>
                <w:lang w:eastAsia="zh-CN"/>
              </w:rPr>
            </w:pPr>
          </w:p>
          <w:p w14:paraId="15CAA8A9">
            <w:pPr>
              <w:pStyle w:val="2"/>
              <w:rPr>
                <w:rFonts w:hint="default" w:ascii="Times New Roman" w:hAnsi="Times New Roman" w:eastAsia="仿宋_GB2312" w:cs="Times New Roman"/>
                <w:color w:val="auto"/>
                <w:highlight w:val="none"/>
                <w:lang w:eastAsia="zh-CN"/>
              </w:rPr>
            </w:pPr>
          </w:p>
          <w:p w14:paraId="52645A45">
            <w:pPr>
              <w:pStyle w:val="2"/>
              <w:rPr>
                <w:rFonts w:hint="default" w:ascii="Times New Roman" w:hAnsi="Times New Roman" w:eastAsia="仿宋_GB2312" w:cs="Times New Roman"/>
                <w:color w:val="auto"/>
                <w:highlight w:val="none"/>
                <w:lang w:eastAsia="zh-CN"/>
              </w:rPr>
            </w:pPr>
          </w:p>
          <w:p w14:paraId="028B6B2E">
            <w:pPr>
              <w:pStyle w:val="2"/>
              <w:rPr>
                <w:rFonts w:hint="default" w:ascii="Times New Roman" w:hAnsi="Times New Roman" w:eastAsia="仿宋_GB2312" w:cs="Times New Roman"/>
                <w:color w:val="auto"/>
                <w:highlight w:val="none"/>
                <w:lang w:eastAsia="zh-CN"/>
              </w:rPr>
            </w:pPr>
          </w:p>
          <w:p w14:paraId="4CFEDEEF">
            <w:pPr>
              <w:pStyle w:val="2"/>
              <w:rPr>
                <w:rFonts w:hint="default" w:ascii="Times New Roman" w:hAnsi="Times New Roman" w:eastAsia="仿宋_GB2312" w:cs="Times New Roman"/>
                <w:color w:val="auto"/>
                <w:highlight w:val="none"/>
                <w:lang w:eastAsia="zh-CN"/>
              </w:rPr>
            </w:pPr>
          </w:p>
          <w:p w14:paraId="7CF785B2">
            <w:pPr>
              <w:pStyle w:val="2"/>
              <w:rPr>
                <w:rFonts w:hint="default" w:ascii="Times New Roman" w:hAnsi="Times New Roman" w:eastAsia="仿宋_GB2312" w:cs="Times New Roman"/>
                <w:color w:val="auto"/>
                <w:highlight w:val="none"/>
                <w:lang w:eastAsia="zh-CN"/>
              </w:rPr>
            </w:pPr>
          </w:p>
          <w:p w14:paraId="29B3F460">
            <w:pPr>
              <w:pStyle w:val="9"/>
              <w:ind w:left="0" w:leftChars="0" w:firstLine="0" w:firstLineChars="0"/>
              <w:rPr>
                <w:rFonts w:hint="default"/>
                <w:color w:val="auto"/>
                <w:highlight w:val="none"/>
                <w:lang w:eastAsia="zh-CN"/>
              </w:rPr>
            </w:pPr>
          </w:p>
        </w:tc>
        <w:tc>
          <w:tcPr>
            <w:tcW w:w="8669" w:type="dxa"/>
            <w:tcBorders>
              <w:tl2br w:val="nil"/>
              <w:tr2bl w:val="nil"/>
            </w:tcBorders>
          </w:tcPr>
          <w:p w14:paraId="01523E7A">
            <w:pPr>
              <w:adjustRightInd w:val="0"/>
              <w:snapToGrid w:val="0"/>
              <w:spacing w:line="360" w:lineRule="auto"/>
              <w:jc w:val="both"/>
              <w:rPr>
                <w:rFonts w:hint="default" w:ascii="Times New Roman" w:hAnsi="Times New Roman" w:eastAsia="仿宋_GB2312" w:cs="Times New Roman"/>
                <w:b/>
                <w:bCs/>
                <w:color w:val="auto"/>
                <w:sz w:val="24"/>
                <w:szCs w:val="24"/>
                <w:highlight w:val="none"/>
              </w:rPr>
            </w:pPr>
            <w:r>
              <w:rPr>
                <w:rFonts w:hint="eastAsia" w:eastAsia="仿宋_GB2312" w:cs="Times New Roman"/>
                <w:b/>
                <w:bCs/>
                <w:color w:val="auto"/>
                <w:sz w:val="24"/>
                <w:highlight w:val="none"/>
                <w:lang w:eastAsia="zh-CN"/>
              </w:rPr>
              <w:t>1.</w:t>
            </w:r>
            <w:r>
              <w:rPr>
                <w:rFonts w:hint="default" w:ascii="Times New Roman" w:hAnsi="Times New Roman" w:eastAsia="仿宋_GB2312" w:cs="Times New Roman"/>
                <w:b/>
                <w:bCs/>
                <w:color w:val="auto"/>
                <w:sz w:val="24"/>
                <w:szCs w:val="24"/>
                <w:highlight w:val="none"/>
              </w:rPr>
              <w:t>生态环境状况</w:t>
            </w:r>
          </w:p>
          <w:p w14:paraId="697D0154">
            <w:pPr>
              <w:adjustRightInd w:val="0"/>
              <w:snapToGrid w:val="0"/>
              <w:spacing w:line="360" w:lineRule="auto"/>
              <w:jc w:val="both"/>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rPr>
              <w:t>1.</w:t>
            </w:r>
            <w:r>
              <w:rPr>
                <w:rFonts w:hint="default" w:ascii="Times New Roman" w:hAnsi="Times New Roman" w:eastAsia="仿宋_GB2312" w:cs="Times New Roman"/>
                <w:b/>
                <w:bCs/>
                <w:color w:val="auto"/>
                <w:sz w:val="24"/>
                <w:szCs w:val="24"/>
                <w:highlight w:val="none"/>
                <w:lang w:val="en-US" w:eastAsia="zh-CN"/>
              </w:rPr>
              <w:t>1 主体功能区划</w:t>
            </w:r>
          </w:p>
          <w:p w14:paraId="22873D75">
            <w:pPr>
              <w:adjustRightInd w:val="0"/>
              <w:snapToGrid w:val="0"/>
              <w:spacing w:line="360" w:lineRule="auto"/>
              <w:ind w:firstLine="480" w:firstLineChars="200"/>
              <w:rPr>
                <w:rFonts w:hint="eastAsia"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本项目位于</w:t>
            </w:r>
            <w:r>
              <w:rPr>
                <w:rFonts w:hint="eastAsia" w:eastAsia="仿宋_GB2312" w:cs="Times New Roman"/>
                <w:color w:val="auto"/>
                <w:kern w:val="2"/>
                <w:sz w:val="24"/>
                <w:szCs w:val="24"/>
                <w:highlight w:val="none"/>
                <w:lang w:val="en-US" w:eastAsia="zh-CN" w:bidi="ar-SA"/>
              </w:rPr>
              <w:t>固原市泾源县</w:t>
            </w:r>
            <w:r>
              <w:rPr>
                <w:rFonts w:hint="default" w:ascii="Times New Roman" w:hAnsi="Times New Roman" w:eastAsia="仿宋_GB2312" w:cs="Times New Roman"/>
                <w:color w:val="auto"/>
                <w:kern w:val="2"/>
                <w:sz w:val="24"/>
                <w:szCs w:val="24"/>
                <w:highlight w:val="none"/>
                <w:lang w:val="en-US" w:eastAsia="zh-CN" w:bidi="ar-SA"/>
              </w:rPr>
              <w:t>，根据《宁夏回族自治区主体功能区规划》，本项目</w:t>
            </w:r>
            <w:r>
              <w:rPr>
                <w:rFonts w:hint="eastAsia" w:eastAsia="仿宋_GB2312" w:cs="Times New Roman"/>
                <w:color w:val="auto"/>
                <w:kern w:val="2"/>
                <w:sz w:val="24"/>
                <w:szCs w:val="24"/>
                <w:highlight w:val="none"/>
                <w:lang w:val="en-US" w:eastAsia="zh-CN" w:bidi="ar-SA"/>
              </w:rPr>
              <w:t>位于国家级</w:t>
            </w:r>
            <w:r>
              <w:rPr>
                <w:rFonts w:hint="default" w:ascii="Times New Roman" w:hAnsi="Times New Roman" w:eastAsia="仿宋_GB2312" w:cs="Times New Roman"/>
                <w:color w:val="auto"/>
                <w:kern w:val="2"/>
                <w:sz w:val="24"/>
                <w:szCs w:val="24"/>
                <w:highlight w:val="none"/>
                <w:lang w:val="en-US" w:eastAsia="zh-CN" w:bidi="ar-SA"/>
              </w:rPr>
              <w:t>重点生态功能区内。重点生态功能区功能定位是</w:t>
            </w:r>
            <w:r>
              <w:rPr>
                <w:rFonts w:hint="eastAsia" w:eastAsia="仿宋_GB2312" w:cs="Times New Roman"/>
                <w:color w:val="auto"/>
                <w:kern w:val="2"/>
                <w:sz w:val="24"/>
                <w:szCs w:val="24"/>
                <w:highlight w:val="none"/>
                <w:lang w:val="en-US" w:eastAsia="zh-CN" w:bidi="ar-SA"/>
              </w:rPr>
              <w:t>：</w:t>
            </w:r>
            <w:r>
              <w:rPr>
                <w:rFonts w:hint="default" w:ascii="Times New Roman" w:hAnsi="Times New Roman" w:eastAsia="仿宋_GB2312" w:cs="Times New Roman"/>
                <w:color w:val="auto"/>
                <w:kern w:val="2"/>
                <w:sz w:val="24"/>
                <w:szCs w:val="24"/>
                <w:highlight w:val="none"/>
                <w:lang w:val="en-US" w:eastAsia="zh-CN" w:bidi="ar-SA"/>
              </w:rPr>
              <w:t>保障国家生态安全的重要区域，西北重要的生态功能区，人与自然和谐相处的示范区。</w:t>
            </w:r>
          </w:p>
          <w:p w14:paraId="30DA4D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发展方向：限制开发生态区域以修复生态、保护环境、提供生态产品为首要任务，增强水源涵养、水土保持、防风固沙、维护湿地生态等功能，提高生态产品供给的能力，因地制宜地发展资源环境可承载的适宜产业，引导超载人口逐步有序转移。</w:t>
            </w:r>
          </w:p>
          <w:p w14:paraId="01846B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水源涵养型。推进土石山区天然林保护和南部山区、中部干旱带围栏封育，治理土壤侵蚀，维护与重建森林草原、湿地等生态系统。严格保护具有水源涵养功能的自然植被，限制或禁止无序采矿、毁林开荒、开垦草地等行为。加大植树造林力度，减少面源污染。</w:t>
            </w:r>
          </w:p>
          <w:p w14:paraId="4D0A5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水土保持型。大力推行节水灌溉，发展旱作节水农业。禁止陡坡垦殖。加强小流域综合治理，恢复退化植被。严格对资源开发和建设项目的监管，加大矿山环境整治修复力度，控制人为因素对土壤的侵蚀。大力发展草畜产业、马铃薯产业、林果产业、中药材产业等适合当地资源环境的特色农业和加工业，拓宽农民增收渠道，解决农民长远生计，巩固退耕还林成果。</w:t>
            </w:r>
          </w:p>
          <w:p w14:paraId="05A855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防风固沙型。加大退牧还草力度，实施围栏禁牧恢复草地植被。转变传统畜牧业生产方式，推行舍饲圈养。加强对内陆河流的规划管理，保护沙区湿地。推进沙漠化地区防沙治沙，加强防护林带建设和监管。在有条件地区发展扬黄灌溉农业和节水补灌农业，适度发展矿产采掘和加工业。禁止发展高耗水工业。</w:t>
            </w:r>
          </w:p>
          <w:p w14:paraId="00BD13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开发管制原则：</w:t>
            </w:r>
          </w:p>
          <w:p w14:paraId="11A30A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对各类开发活动进行严格管制，尽可能减少对自然生态系统的干扰，不损害生态系统的稳定性和完整性。</w:t>
            </w:r>
          </w:p>
          <w:p w14:paraId="60868C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矿产资源开发、适宜产业发展以及基础设施建设</w:t>
            </w: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都要控制在尽可能小的空间范围之内，并做到耕地、天然地、林地、河流、湖泊等农业和绿色生态空间面积不减少，在有条件地区之间，要通过水系、绿带等构建生态廊道，避免形成“生态孤岛”。</w:t>
            </w:r>
          </w:p>
          <w:p w14:paraId="05894B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严格控制开发强度</w:t>
            </w: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逐步减少农村居民点占用的空间，腾出更多的</w:t>
            </w:r>
            <w:r>
              <w:rPr>
                <w:rFonts w:hint="eastAsia" w:eastAsia="仿宋_GB2312" w:cs="Times New Roman"/>
                <w:color w:val="auto"/>
                <w:kern w:val="2"/>
                <w:sz w:val="24"/>
                <w:szCs w:val="24"/>
                <w:highlight w:val="none"/>
                <w:lang w:val="en-US" w:eastAsia="zh-CN" w:bidi="ar-SA"/>
              </w:rPr>
              <w:t>空间</w:t>
            </w:r>
            <w:r>
              <w:rPr>
                <w:rFonts w:hint="default" w:eastAsia="仿宋_GB2312" w:cs="Times New Roman"/>
                <w:color w:val="auto"/>
                <w:kern w:val="2"/>
                <w:sz w:val="24"/>
                <w:szCs w:val="24"/>
                <w:highlight w:val="none"/>
                <w:lang w:val="en-US" w:eastAsia="zh-CN" w:bidi="ar-SA"/>
              </w:rPr>
              <w:t>维系生态系统的良性循环。城镇建设与开发区要依托现有资源环境承载能力相对较强的城镇集中布局、据点式开发、禁止成片蔓延式扩张。开发区要</w:t>
            </w:r>
            <w:r>
              <w:rPr>
                <w:rFonts w:hint="eastAsia" w:eastAsia="仿宋_GB2312" w:cs="Times New Roman"/>
                <w:color w:val="auto"/>
                <w:kern w:val="2"/>
                <w:sz w:val="24"/>
                <w:szCs w:val="24"/>
                <w:highlight w:val="none"/>
                <w:lang w:val="en-US" w:eastAsia="zh-CN" w:bidi="ar-SA"/>
              </w:rPr>
              <w:t>建成</w:t>
            </w:r>
            <w:r>
              <w:rPr>
                <w:rFonts w:hint="default" w:eastAsia="仿宋_GB2312" w:cs="Times New Roman"/>
                <w:color w:val="auto"/>
                <w:kern w:val="2"/>
                <w:sz w:val="24"/>
                <w:szCs w:val="24"/>
                <w:highlight w:val="none"/>
                <w:lang w:val="en-US" w:eastAsia="zh-CN" w:bidi="ar-SA"/>
              </w:rPr>
              <w:t>低消耗、可循环、少排放、“零污染”的生态型开发区。</w:t>
            </w: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实行更加严格的行业准入条件，严把项目准入关。在不损害生态系统功能的前提下，因地制宜地适度发展旅游、农林牧产品生产和加工、观光休闲农业等产业，积极发展服务业。</w:t>
            </w:r>
          </w:p>
          <w:p w14:paraId="5ADFF8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在现有城镇布局基础上进一步集约开发、集中建设，重点规划和建设资源环境承载能力相对较强的县城和中心镇、大村庄，提高综合承载能力。引导大部分人口向城市地区转移，少部分人口向区域内的县城和中心城镇转移。生态移民点应尽量布局到县城和中心镇。</w:t>
            </w:r>
          </w:p>
          <w:p w14:paraId="7DFBDC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加强县城、中心镇、中心村的道路、供排水、垃圾污水处理等基础设施建设和农村饮水安全工程建设。积极推广沼气、风能、太阳能等清洁能源，努力解决山区农村的能源需求。健全公共服务体系，改善教育、医疗、文化等设施条件，提高公共服务供给能力和水平。</w:t>
            </w:r>
          </w:p>
          <w:p w14:paraId="0F46C8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大力实施扶贫开发</w:t>
            </w: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加快实施教育移民、生态移民</w:t>
            </w: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产业移民和劳务移民，减轻人口超载对生态环境的压力。</w:t>
            </w:r>
          </w:p>
          <w:p w14:paraId="2233AD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本项目为中药材基地项目</w:t>
            </w: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项目实施后</w:t>
            </w:r>
            <w:r>
              <w:rPr>
                <w:rFonts w:hint="eastAsia" w:ascii="Times New Roman" w:hAnsi="Times New Roman" w:eastAsia="仿宋_GB2312" w:cs="Times New Roman"/>
                <w:color w:val="auto"/>
                <w:sz w:val="24"/>
                <w:szCs w:val="24"/>
                <w:lang w:eastAsia="zh-CN"/>
              </w:rPr>
              <w:t>可有效增强区域的水源涵养能力，维护与重建周边森林草原、湿地等生态系统，严格保护具有水源涵养功能的自然植被，减少因水土流失等造成的面源污染，对区域生态环境的改善与保护起到积极作用。同时，项目在建设过程中将严格遵循开发管制原则，对各类开发活动进行严格管理，控制开发强度，尽可能减少对自然生态系统的干扰，确保生态系统的稳定性和完整性。</w:t>
            </w:r>
            <w:r>
              <w:rPr>
                <w:rFonts w:hint="eastAsia" w:eastAsia="仿宋_GB2312" w:cs="Times New Roman"/>
                <w:color w:val="auto"/>
                <w:sz w:val="24"/>
                <w:szCs w:val="24"/>
                <w:lang w:eastAsia="zh-CN"/>
              </w:rPr>
              <w:t>项目建设符合《宁夏回族自治区主体功能区规划》要求。</w:t>
            </w:r>
          </w:p>
          <w:p w14:paraId="6261FE37">
            <w:pPr>
              <w:adjustRightInd w:val="0"/>
              <w:snapToGrid w:val="0"/>
              <w:spacing w:line="360" w:lineRule="auto"/>
              <w:jc w:val="both"/>
              <w:rPr>
                <w:rFonts w:hint="default" w:ascii="Times New Roman" w:hAnsi="Times New Roman" w:eastAsia="仿宋_GB2312" w:cs="Times New Roman"/>
                <w:b/>
                <w:bCs/>
                <w:color w:val="auto"/>
                <w:sz w:val="24"/>
                <w:szCs w:val="24"/>
                <w:highlight w:val="none"/>
                <w:lang w:eastAsia="zh-CN"/>
              </w:rPr>
            </w:pPr>
            <w:r>
              <w:rPr>
                <w:rFonts w:hint="default" w:ascii="Times New Roman" w:hAnsi="Times New Roman" w:eastAsia="仿宋_GB2312" w:cs="Times New Roman"/>
                <w:b/>
                <w:bCs/>
                <w:color w:val="auto"/>
                <w:sz w:val="24"/>
                <w:szCs w:val="24"/>
                <w:highlight w:val="none"/>
              </w:rPr>
              <w:t>1.2</w:t>
            </w:r>
            <w:r>
              <w:rPr>
                <w:rFonts w:hint="default" w:ascii="Times New Roman" w:hAnsi="Times New Roman" w:eastAsia="仿宋_GB2312" w:cs="Times New Roman"/>
                <w:b/>
                <w:bCs/>
                <w:color w:val="auto"/>
                <w:sz w:val="24"/>
                <w:szCs w:val="24"/>
                <w:highlight w:val="none"/>
                <w:lang w:val="en-US" w:eastAsia="zh-CN"/>
              </w:rPr>
              <w:t xml:space="preserve"> 生态功能区划</w:t>
            </w:r>
          </w:p>
          <w:p w14:paraId="63F36202">
            <w:pPr>
              <w:keepNext w:val="0"/>
              <w:keepLines w:val="0"/>
              <w:pageBreakBefore w:val="0"/>
              <w:kinsoku/>
              <w:wordWrap/>
              <w:overflowPunct/>
              <w:topLinePunct w:val="0"/>
              <w:bidi w:val="0"/>
              <w:adjustRightInd/>
              <w:snapToGrid/>
              <w:spacing w:line="360" w:lineRule="auto"/>
              <w:ind w:firstLine="480" w:firstLineChars="200"/>
              <w:jc w:val="both"/>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sz w:val="24"/>
                <w:szCs w:val="24"/>
              </w:rPr>
              <w:t>根据《宁夏生态功能区划》（2003.10），宁夏生态功能区划共划分3个一级区，10个二级区，37个三级区。对照宁夏生态功能区划图可知，本项目位于生态功能三级分区内，所在区域属于</w:t>
            </w:r>
            <w:r>
              <w:rPr>
                <w:rFonts w:hint="eastAsia" w:ascii="Times New Roman" w:hAnsi="Times New Roman" w:eastAsia="仿宋_GB2312" w:cs="Times New Roman"/>
                <w:color w:val="auto"/>
                <w:sz w:val="24"/>
                <w:szCs w:val="24"/>
                <w:lang w:val="en-US" w:eastAsia="zh-CN"/>
              </w:rPr>
              <w:t>I</w:t>
            </w:r>
            <w:r>
              <w:rPr>
                <w:rFonts w:hint="eastAsia" w:eastAsia="仿宋_GB2312" w:cs="Times New Roman"/>
                <w:color w:val="auto"/>
                <w:sz w:val="24"/>
                <w:szCs w:val="24"/>
                <w:lang w:val="en-US" w:eastAsia="zh-CN"/>
              </w:rPr>
              <w:t>1-1</w:t>
            </w:r>
            <w:r>
              <w:rPr>
                <w:rFonts w:hint="eastAsia" w:ascii="Times New Roman" w:hAnsi="Times New Roman" w:eastAsia="仿宋_GB2312" w:cs="Times New Roman"/>
                <w:color w:val="auto"/>
                <w:sz w:val="24"/>
                <w:szCs w:val="24"/>
                <w:lang w:val="en-US" w:eastAsia="zh-CN"/>
              </w:rPr>
              <w:t>六盘山南段水源涵养林生态功能区</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kern w:val="2"/>
                <w:sz w:val="24"/>
                <w:szCs w:val="24"/>
                <w:highlight w:val="none"/>
                <w:lang w:val="en-US" w:eastAsia="zh-CN" w:bidi="ar-SA"/>
              </w:rPr>
              <w:t>本项目与</w:t>
            </w:r>
            <w:r>
              <w:rPr>
                <w:rFonts w:hint="default" w:ascii="Times New Roman" w:hAnsi="Times New Roman" w:eastAsia="仿宋_GB2312" w:cs="Times New Roman"/>
                <w:color w:val="auto"/>
                <w:sz w:val="24"/>
                <w:szCs w:val="24"/>
                <w:highlight w:val="none"/>
              </w:rPr>
              <w:t>宁夏生态功能区划</w:t>
            </w:r>
            <w:r>
              <w:rPr>
                <w:rFonts w:hint="default" w:ascii="Times New Roman" w:hAnsi="Times New Roman" w:eastAsia="仿宋_GB2312" w:cs="Times New Roman"/>
                <w:color w:val="auto"/>
                <w:kern w:val="2"/>
                <w:sz w:val="24"/>
                <w:szCs w:val="24"/>
                <w:highlight w:val="none"/>
                <w:lang w:val="en-US" w:eastAsia="zh-CN" w:bidi="ar-SA"/>
              </w:rPr>
              <w:t>关系详见附图</w:t>
            </w:r>
            <w:r>
              <w:rPr>
                <w:rFonts w:hint="eastAsia" w:eastAsia="仿宋_GB2312" w:cs="Times New Roman"/>
                <w:color w:val="auto"/>
                <w:kern w:val="2"/>
                <w:sz w:val="24"/>
                <w:szCs w:val="24"/>
                <w:highlight w:val="none"/>
                <w:lang w:val="en-US" w:eastAsia="zh-CN" w:bidi="ar-SA"/>
              </w:rPr>
              <w:t>13</w:t>
            </w:r>
            <w:r>
              <w:rPr>
                <w:rFonts w:hint="default" w:ascii="Times New Roman" w:hAnsi="Times New Roman" w:eastAsia="仿宋_GB2312" w:cs="Times New Roman"/>
                <w:color w:val="auto"/>
                <w:kern w:val="2"/>
                <w:sz w:val="24"/>
                <w:szCs w:val="24"/>
                <w:highlight w:val="none"/>
                <w:lang w:val="en-US" w:eastAsia="zh-CN" w:bidi="ar-SA"/>
              </w:rPr>
              <w:t>。</w:t>
            </w:r>
          </w:p>
          <w:p w14:paraId="5DA44159">
            <w:pPr>
              <w:keepNext w:val="0"/>
              <w:keepLines w:val="0"/>
              <w:pageBreakBefore w:val="0"/>
              <w:kinsoku/>
              <w:wordWrap/>
              <w:overflowPunct/>
              <w:topLinePunct w:val="0"/>
              <w:autoSpaceDE/>
              <w:autoSpaceDN/>
              <w:bidi w:val="0"/>
              <w:adjustRightInd w:val="0"/>
              <w:snapToGrid w:val="0"/>
              <w:spacing w:line="240" w:lineRule="auto"/>
              <w:ind w:firstLine="420"/>
              <w:jc w:val="left"/>
              <w:textAlignment w:val="auto"/>
              <w:rPr>
                <w:b/>
                <w:color w:val="auto"/>
                <w:kern w:val="0"/>
              </w:rPr>
            </w:pPr>
            <w:r>
              <w:rPr>
                <w:color w:val="auto"/>
                <w:kern w:val="0"/>
                <w:sz w:val="21"/>
                <w:szCs w:val="21"/>
              </w:rPr>
              <w:t>表</w:t>
            </w:r>
            <w:r>
              <w:rPr>
                <w:rFonts w:hint="eastAsia"/>
                <w:color w:val="auto"/>
                <w:kern w:val="0"/>
                <w:sz w:val="21"/>
                <w:szCs w:val="21"/>
                <w:lang w:val="en-US" w:eastAsia="zh-CN"/>
              </w:rPr>
              <w:t>11</w:t>
            </w:r>
            <w:r>
              <w:rPr>
                <w:color w:val="auto"/>
                <w:kern w:val="0"/>
              </w:rPr>
              <w:t xml:space="preserve">               </w:t>
            </w:r>
            <w:r>
              <w:rPr>
                <w:b/>
                <w:color w:val="auto"/>
                <w:kern w:val="0"/>
              </w:rPr>
              <w:t xml:space="preserve">    </w:t>
            </w:r>
            <w:r>
              <w:rPr>
                <w:rFonts w:hint="eastAsia"/>
                <w:b/>
                <w:color w:val="auto"/>
                <w:kern w:val="0"/>
                <w:lang w:eastAsia="zh-CN"/>
              </w:rPr>
              <w:t>本项目所在区域主体功能区</w:t>
            </w:r>
            <w:r>
              <w:rPr>
                <w:b/>
                <w:color w:val="auto"/>
                <w:kern w:val="0"/>
              </w:rPr>
              <w:t>表</w:t>
            </w:r>
          </w:p>
          <w:tbl>
            <w:tblPr>
              <w:tblStyle w:val="34"/>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080"/>
              <w:gridCol w:w="1275"/>
              <w:gridCol w:w="4871"/>
            </w:tblGrid>
            <w:tr w14:paraId="5A754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189" w:type="dxa"/>
                  <w:tcBorders>
                    <w:tl2br w:val="nil"/>
                    <w:tr2bl w:val="nil"/>
                  </w:tcBorders>
                  <w:noWrap w:val="0"/>
                  <w:vAlign w:val="center"/>
                </w:tcPr>
                <w:p w14:paraId="5C111B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一级区</w:t>
                  </w:r>
                </w:p>
              </w:tc>
              <w:tc>
                <w:tcPr>
                  <w:tcW w:w="1080" w:type="dxa"/>
                  <w:tcBorders>
                    <w:tl2br w:val="nil"/>
                    <w:tr2bl w:val="nil"/>
                  </w:tcBorders>
                  <w:noWrap w:val="0"/>
                  <w:vAlign w:val="center"/>
                </w:tcPr>
                <w:p w14:paraId="53A152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二级区</w:t>
                  </w:r>
                </w:p>
              </w:tc>
              <w:tc>
                <w:tcPr>
                  <w:tcW w:w="1275" w:type="dxa"/>
                  <w:tcBorders>
                    <w:tl2br w:val="nil"/>
                    <w:tr2bl w:val="nil"/>
                  </w:tcBorders>
                  <w:noWrap w:val="0"/>
                  <w:vAlign w:val="center"/>
                </w:tcPr>
                <w:p w14:paraId="3933A7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三级区</w:t>
                  </w:r>
                </w:p>
              </w:tc>
              <w:tc>
                <w:tcPr>
                  <w:tcW w:w="4871" w:type="dxa"/>
                  <w:tcBorders>
                    <w:tl2br w:val="nil"/>
                    <w:tr2bl w:val="nil"/>
                  </w:tcBorders>
                  <w:noWrap w:val="0"/>
                  <w:vAlign w:val="center"/>
                </w:tcPr>
                <w:p w14:paraId="23D794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cs="宋体"/>
                      <w:b/>
                      <w:bCs/>
                      <w:color w:val="auto"/>
                      <w:sz w:val="21"/>
                      <w:szCs w:val="21"/>
                      <w:vertAlign w:val="baseline"/>
                      <w:lang w:val="en-US" w:eastAsia="zh-CN"/>
                    </w:rPr>
                    <w:t>主要生态特点、问题及措施</w:t>
                  </w:r>
                </w:p>
              </w:tc>
            </w:tr>
            <w:tr w14:paraId="66E84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89" w:type="dxa"/>
                  <w:tcBorders>
                    <w:tl2br w:val="nil"/>
                    <w:tr2bl w:val="nil"/>
                  </w:tcBorders>
                  <w:noWrap w:val="0"/>
                  <w:vAlign w:val="center"/>
                </w:tcPr>
                <w:p w14:paraId="6EA335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南部黄土丘陵水土流失区</w:t>
                  </w:r>
                </w:p>
              </w:tc>
              <w:tc>
                <w:tcPr>
                  <w:tcW w:w="1080" w:type="dxa"/>
                  <w:tcBorders>
                    <w:tl2br w:val="nil"/>
                    <w:tr2bl w:val="nil"/>
                  </w:tcBorders>
                  <w:noWrap w:val="0"/>
                  <w:vAlign w:val="center"/>
                </w:tcPr>
                <w:p w14:paraId="2856B1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六盘山森林灌丛草甸生态亚区</w:t>
                  </w:r>
                </w:p>
              </w:tc>
              <w:tc>
                <w:tcPr>
                  <w:tcW w:w="1275" w:type="dxa"/>
                  <w:tcBorders>
                    <w:tl2br w:val="nil"/>
                    <w:tr2bl w:val="nil"/>
                  </w:tcBorders>
                  <w:noWrap w:val="0"/>
                  <w:vAlign w:val="center"/>
                </w:tcPr>
                <w:p w14:paraId="55F776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1"/>
                      <w:szCs w:val="21"/>
                      <w:lang w:val="en-US" w:eastAsia="zh-CN"/>
                    </w:rPr>
                    <w:t>I1①六盘山南段水源涵养林自然保护生态功能区</w:t>
                  </w:r>
                </w:p>
              </w:tc>
              <w:tc>
                <w:tcPr>
                  <w:tcW w:w="4871" w:type="dxa"/>
                  <w:tcBorders>
                    <w:tl2br w:val="nil"/>
                    <w:tr2bl w:val="nil"/>
                  </w:tcBorders>
                  <w:noWrap w:val="0"/>
                  <w:vAlign w:val="center"/>
                </w:tcPr>
                <w:p w14:paraId="7633C3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森林生态系统，具有涵养水源和生物多样性保护的生态服务功能，对水土流失高度敏感。按自然保护区的总体规划，加强对现有林地的保护。天然林人工更新及人工促进天然更新等营林措施。加速人工林建设，切实保护好</w:t>
                  </w:r>
                  <w:r>
                    <w:rPr>
                      <w:rFonts w:hint="eastAsia" w:cs="Times New Roman"/>
                      <w:color w:val="auto"/>
                      <w:sz w:val="21"/>
                      <w:szCs w:val="21"/>
                      <w:lang w:val="en-US" w:eastAsia="zh-CN"/>
                    </w:rPr>
                    <w:t>珍稀动</w:t>
                  </w:r>
                  <w:r>
                    <w:rPr>
                      <w:rFonts w:hint="eastAsia" w:eastAsia="宋体" w:cs="Times New Roman"/>
                      <w:color w:val="auto"/>
                      <w:sz w:val="21"/>
                      <w:szCs w:val="21"/>
                      <w:lang w:val="en-US" w:eastAsia="zh-CN"/>
                    </w:rPr>
                    <w:t>植物资源。</w:t>
                  </w:r>
                </w:p>
              </w:tc>
            </w:tr>
          </w:tbl>
          <w:p w14:paraId="5F83E1E9">
            <w:pPr>
              <w:tabs>
                <w:tab w:val="left" w:pos="6510"/>
              </w:tabs>
              <w:adjustRightInd w:val="0"/>
              <w:snapToGrid w:val="0"/>
              <w:spacing w:line="360" w:lineRule="auto"/>
              <w:ind w:firstLine="482" w:firstLineChars="200"/>
              <w:jc w:val="both"/>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b/>
                <w:bCs/>
                <w:color w:val="auto"/>
                <w:sz w:val="24"/>
                <w:szCs w:val="24"/>
                <w:highlight w:val="none"/>
                <w:lang w:val="en-US" w:eastAsia="zh-CN"/>
              </w:rPr>
              <w:t>分区特征描述：</w:t>
            </w:r>
            <w:r>
              <w:rPr>
                <w:rFonts w:hint="default" w:ascii="Times New Roman" w:hAnsi="Times New Roman" w:eastAsia="仿宋_GB2312" w:cs="Times New Roman"/>
                <w:color w:val="auto"/>
                <w:sz w:val="24"/>
                <w:szCs w:val="24"/>
                <w:highlight w:val="none"/>
                <w:lang w:val="en-US" w:eastAsia="zh-CN"/>
              </w:rPr>
              <w:t>本生态功能区位于六盘山南段，大部分是国家级自然保护区，林地面积约占50%，主要林种有天然次生阔叶林、人工林和天然灌木组成。林下还分布有中旱生或旱生草甸植被</w:t>
            </w:r>
            <w:r>
              <w:rPr>
                <w:rFonts w:hint="eastAsia"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在山顶部位分布有苔草、紫色风毛菊紫羊茅、鬼箭锦鸡儿和</w:t>
            </w:r>
            <w:r>
              <w:rPr>
                <w:rFonts w:hint="eastAsia" w:eastAsia="仿宋_GB2312" w:cs="Times New Roman"/>
                <w:color w:val="auto"/>
                <w:sz w:val="24"/>
                <w:szCs w:val="24"/>
                <w:highlight w:val="none"/>
                <w:lang w:val="en-US" w:eastAsia="zh-CN"/>
              </w:rPr>
              <w:t>其他</w:t>
            </w:r>
            <w:r>
              <w:rPr>
                <w:rFonts w:hint="default" w:ascii="Times New Roman" w:hAnsi="Times New Roman" w:eastAsia="仿宋_GB2312" w:cs="Times New Roman"/>
                <w:color w:val="auto"/>
                <w:sz w:val="24"/>
                <w:szCs w:val="24"/>
                <w:highlight w:val="none"/>
                <w:lang w:val="en-US" w:eastAsia="zh-CN"/>
              </w:rPr>
              <w:t>亚高山草甸植被作为国家级自然保护区，除了具有涵养水源的生态服务功能外，还体现在森林生态系统的生物多样性方面，据不完全统计，有维管束植物128科、609属、1839种</w:t>
            </w:r>
            <w:r>
              <w:rPr>
                <w:rFonts w:hint="eastAsia"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其中蕨类植物28种</w:t>
            </w:r>
            <w:r>
              <w:rPr>
                <w:rFonts w:hint="eastAsia"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裸子植物21种</w:t>
            </w:r>
            <w:r>
              <w:rPr>
                <w:rFonts w:hint="eastAsia"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被子植物1790种。森林动物中有昆虫500多种，陆生脊椎动物207种，列入国家级保护的动物有金钱豹、麝、红腹锦鸡、金雕等。</w:t>
            </w:r>
          </w:p>
          <w:p w14:paraId="4F9F3A86">
            <w:pPr>
              <w:tabs>
                <w:tab w:val="left" w:pos="6510"/>
              </w:tabs>
              <w:adjustRightInd w:val="0"/>
              <w:snapToGrid w:val="0"/>
              <w:spacing w:line="360" w:lineRule="auto"/>
              <w:ind w:firstLine="480" w:firstLineChars="200"/>
              <w:jc w:val="both"/>
              <w:rPr>
                <w:rFonts w:hint="default" w:ascii="Times New Roman" w:hAnsi="Times New Roman" w:eastAsia="仿宋_GB2312" w:cs="Times New Roman"/>
                <w:color w:val="auto"/>
                <w:kern w:val="24"/>
                <w:sz w:val="24"/>
                <w:szCs w:val="24"/>
                <w:lang w:val="en-US" w:eastAsia="zh-CN" w:bidi="ar-SA"/>
              </w:rPr>
            </w:pPr>
            <w:r>
              <w:rPr>
                <w:rFonts w:hint="eastAsia" w:eastAsia="仿宋_GB2312" w:cs="Times New Roman"/>
                <w:color w:val="auto"/>
                <w:sz w:val="24"/>
                <w:szCs w:val="24"/>
                <w:highlight w:val="none"/>
                <w:lang w:val="en-US" w:eastAsia="zh-CN"/>
              </w:rPr>
              <w:t>项目所在区域位于泾源县，项目建设内容为蜂蜜加工包装，柴胡、黄芪及道地中药材种植，</w:t>
            </w:r>
            <w:r>
              <w:rPr>
                <w:rFonts w:hint="default" w:ascii="Times New Roman" w:hAnsi="Times New Roman" w:eastAsia="仿宋_GB2312" w:cs="Times New Roman"/>
                <w:color w:val="auto"/>
                <w:kern w:val="24"/>
                <w:sz w:val="24"/>
                <w:szCs w:val="24"/>
                <w:lang w:val="en-US" w:eastAsia="zh-CN" w:bidi="ar-SA"/>
              </w:rPr>
              <w:t>项目施工期严格控制施工红线范围，设置施工围挡，对表土进行堆存和苫盖，避开雨季施工，施工结束后，对永久占地四周临时扰动区域进行播撒草籽覆绿，通过采取以上措施，项目建设对所在地的生态环境影响较小。因此，本项目符合《宁夏生态功能区划》（2003.12）中的相关要求。</w:t>
            </w:r>
          </w:p>
          <w:p w14:paraId="0EDFB317">
            <w:pPr>
              <w:adjustRightInd w:val="0"/>
              <w:snapToGrid w:val="0"/>
              <w:spacing w:line="360" w:lineRule="auto"/>
              <w:jc w:val="both"/>
              <w:rPr>
                <w:rFonts w:hint="default"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1.3水土流失重点防治区划</w:t>
            </w:r>
          </w:p>
          <w:p w14:paraId="3FD98E64">
            <w:pPr>
              <w:keepNext w:val="0"/>
              <w:keepLines w:val="0"/>
              <w:pageBreakBefore w:val="0"/>
              <w:kinsoku/>
              <w:wordWrap/>
              <w:overflowPunct/>
              <w:topLinePunct w:val="0"/>
              <w:bidi w:val="0"/>
              <w:adjustRightInd/>
              <w:snapToGrid/>
              <w:spacing w:line="360" w:lineRule="auto"/>
              <w:ind w:firstLine="480" w:firstLineChars="200"/>
              <w:jc w:val="both"/>
              <w:rPr>
                <w:rFonts w:hint="default" w:ascii="Times New Roman" w:hAnsi="Times New Roman" w:eastAsia="仿宋_GB2312" w:cs="Times New Roman"/>
                <w:b w:val="0"/>
                <w:bCs w:val="0"/>
                <w:color w:val="auto"/>
                <w:sz w:val="24"/>
                <w:highlight w:val="none"/>
                <w:lang w:val="en-US" w:eastAsia="zh-CN"/>
              </w:rPr>
            </w:pPr>
            <w:r>
              <w:rPr>
                <w:rFonts w:hint="default" w:ascii="Times New Roman" w:hAnsi="Times New Roman" w:eastAsia="仿宋_GB2312" w:cs="Times New Roman"/>
                <w:b w:val="0"/>
                <w:bCs w:val="0"/>
                <w:color w:val="auto"/>
                <w:sz w:val="24"/>
                <w:highlight w:val="none"/>
                <w:lang w:val="en-US" w:eastAsia="zh-CN"/>
              </w:rPr>
              <w:t>本项目</w:t>
            </w:r>
            <w:r>
              <w:rPr>
                <w:rFonts w:hint="eastAsia" w:eastAsia="仿宋_GB2312" w:cs="Times New Roman"/>
                <w:b w:val="0"/>
                <w:bCs w:val="0"/>
                <w:color w:val="auto"/>
                <w:sz w:val="24"/>
                <w:highlight w:val="none"/>
                <w:lang w:val="en-US" w:eastAsia="zh-CN"/>
              </w:rPr>
              <w:t>涉及</w:t>
            </w:r>
            <w:r>
              <w:rPr>
                <w:rFonts w:hint="eastAsia" w:ascii="Times New Roman" w:hAnsi="Times New Roman" w:eastAsia="仿宋_GB2312" w:cs="Times New Roman"/>
                <w:b w:val="0"/>
                <w:bCs w:val="0"/>
                <w:color w:val="auto"/>
                <w:spacing w:val="-6"/>
                <w:kern w:val="16"/>
                <w:sz w:val="24"/>
                <w:highlight w:val="none"/>
                <w:lang w:val="en-US" w:eastAsia="zh-CN"/>
              </w:rPr>
              <w:t>水土流失重点预防区</w:t>
            </w:r>
            <w:r>
              <w:rPr>
                <w:rFonts w:hint="eastAsia" w:ascii="Times New Roman" w:hAnsi="Times New Roman" w:eastAsia="仿宋_GB2312" w:cs="Times New Roman"/>
                <w:b w:val="0"/>
                <w:bCs w:val="0"/>
                <w:color w:val="auto"/>
                <w:sz w:val="24"/>
                <w:highlight w:val="none"/>
                <w:lang w:val="en-US" w:eastAsia="zh-CN"/>
              </w:rPr>
              <w:t>。是指水土流失潜在危险较大的区域。其特征是，人为生产活动较少，现状水土流失较轻，但潜在水土流失危险程度较高，对国家或区域防洪安全、水资源安全和生态安全有重大影响，是今后预防保护的重点。</w:t>
            </w:r>
            <w:r>
              <w:rPr>
                <w:rFonts w:hint="eastAsia" w:eastAsia="仿宋_GB2312" w:cs="Times New Roman"/>
                <w:b w:val="0"/>
                <w:bCs w:val="0"/>
                <w:color w:val="auto"/>
                <w:sz w:val="24"/>
                <w:highlight w:val="none"/>
                <w:lang w:val="en-US" w:eastAsia="zh-CN"/>
              </w:rPr>
              <w:t>本项目所在区域为</w:t>
            </w:r>
            <w:r>
              <w:rPr>
                <w:rFonts w:hint="default" w:ascii="Times New Roman" w:hAnsi="Times New Roman" w:eastAsia="仿宋_GB2312" w:cs="Times New Roman"/>
                <w:b w:val="0"/>
                <w:bCs w:val="0"/>
                <w:color w:val="auto"/>
                <w:sz w:val="24"/>
                <w:highlight w:val="none"/>
                <w:lang w:val="en-US" w:eastAsia="zh-CN"/>
              </w:rPr>
              <w:t>“子午岭</w:t>
            </w:r>
            <w:r>
              <w:rPr>
                <w:rFonts w:hint="eastAsia" w:ascii="Times New Roman" w:hAnsi="Times New Roman" w:eastAsia="仿宋_GB2312" w:cs="Times New Roman"/>
                <w:b w:val="0"/>
                <w:bCs w:val="0"/>
                <w:color w:val="auto"/>
                <w:sz w:val="24"/>
                <w:highlight w:val="none"/>
                <w:lang w:val="en-US" w:eastAsia="zh-CN"/>
              </w:rPr>
              <w:t>－</w:t>
            </w:r>
            <w:r>
              <w:rPr>
                <w:rFonts w:hint="default" w:ascii="Times New Roman" w:hAnsi="Times New Roman" w:eastAsia="仿宋_GB2312" w:cs="Times New Roman"/>
                <w:b w:val="0"/>
                <w:bCs w:val="0"/>
                <w:color w:val="auto"/>
                <w:sz w:val="24"/>
                <w:highlight w:val="none"/>
                <w:lang w:val="en-US" w:eastAsia="zh-CN"/>
              </w:rPr>
              <w:t>六盘山国家级水土流失重点预防区”</w:t>
            </w:r>
            <w:r>
              <w:rPr>
                <w:rFonts w:hint="eastAsia" w:eastAsia="仿宋_GB2312" w:cs="Times New Roman"/>
                <w:b w:val="0"/>
                <w:bCs w:val="0"/>
                <w:color w:val="auto"/>
                <w:sz w:val="24"/>
                <w:highlight w:val="none"/>
                <w:lang w:val="en-US" w:eastAsia="zh-CN"/>
              </w:rPr>
              <w:t>。</w:t>
            </w:r>
          </w:p>
          <w:p w14:paraId="58BAD166">
            <w:pPr>
              <w:keepNext w:val="0"/>
              <w:keepLines w:val="0"/>
              <w:pageBreakBefore w:val="0"/>
              <w:kinsoku/>
              <w:wordWrap/>
              <w:overflowPunct/>
              <w:topLinePunct w:val="0"/>
              <w:bidi w:val="0"/>
              <w:adjustRightInd/>
              <w:snapToGrid/>
              <w:spacing w:line="360" w:lineRule="auto"/>
              <w:ind w:firstLine="480" w:firstLineChars="200"/>
              <w:jc w:val="both"/>
              <w:rPr>
                <w:rFonts w:hint="default" w:ascii="Times New Roman" w:hAnsi="Times New Roman" w:eastAsia="仿宋_GB2312" w:cs="Times New Roman"/>
                <w:b w:val="0"/>
                <w:bCs w:val="0"/>
                <w:color w:val="auto"/>
                <w:sz w:val="24"/>
                <w:highlight w:val="none"/>
                <w:lang w:val="en-US" w:eastAsia="zh-CN"/>
              </w:rPr>
            </w:pPr>
            <w:r>
              <w:rPr>
                <w:rFonts w:hint="eastAsia" w:ascii="Times New Roman" w:hAnsi="Times New Roman" w:eastAsia="仿宋_GB2312" w:cs="Times New Roman"/>
                <w:color w:val="auto"/>
                <w:sz w:val="24"/>
                <w:szCs w:val="24"/>
                <w:lang w:val="en-US" w:eastAsia="zh-CN"/>
              </w:rPr>
              <w:t>子午岭－六盘山国家级水土流失重点预防区</w:t>
            </w:r>
            <w:r>
              <w:rPr>
                <w:rFonts w:hint="default" w:ascii="Times New Roman" w:hAnsi="Times New Roman" w:eastAsia="仿宋_GB2312" w:cs="Times New Roman"/>
                <w:b w:val="0"/>
                <w:bCs w:val="0"/>
                <w:color w:val="auto"/>
                <w:sz w:val="24"/>
                <w:highlight w:val="none"/>
                <w:lang w:val="en-US" w:eastAsia="zh-CN"/>
              </w:rPr>
              <w:t>以“预防水土流失、保护现有植被、维持水源涵养功能” 为核心，属于生态敏感的水源涵养区，林草覆盖度较高但土壤抗侵蚀能力弱（土层薄、坡度大）。</w:t>
            </w:r>
          </w:p>
          <w:p w14:paraId="5F5DCAE6">
            <w:pPr>
              <w:adjustRightInd w:val="0"/>
              <w:snapToGrid w:val="0"/>
              <w:spacing w:line="360" w:lineRule="auto"/>
              <w:jc w:val="both"/>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val="0"/>
                <w:bCs w:val="0"/>
                <w:color w:val="auto"/>
                <w:sz w:val="24"/>
                <w:highlight w:val="none"/>
                <w:lang w:val="en-US" w:eastAsia="zh-CN"/>
              </w:rPr>
              <w:t>以山地、丘陵为主，坡度多在 15°-35°，土层厚度 30</w:t>
            </w:r>
            <w:r>
              <w:rPr>
                <w:rFonts w:hint="eastAsia" w:ascii="Times New Roman" w:hAnsi="Times New Roman" w:eastAsia="仿宋_GB2312" w:cs="Times New Roman"/>
                <w:b w:val="0"/>
                <w:bCs w:val="0"/>
                <w:color w:val="auto"/>
                <w:sz w:val="24"/>
                <w:highlight w:val="none"/>
                <w:lang w:val="en-US" w:eastAsia="zh-CN"/>
              </w:rPr>
              <w:t>—</w:t>
            </w:r>
            <w:r>
              <w:rPr>
                <w:rFonts w:hint="default" w:ascii="Times New Roman" w:hAnsi="Times New Roman" w:eastAsia="仿宋_GB2312" w:cs="Times New Roman"/>
                <w:b w:val="0"/>
                <w:bCs w:val="0"/>
                <w:color w:val="auto"/>
                <w:sz w:val="24"/>
                <w:highlight w:val="none"/>
                <w:lang w:val="en-US" w:eastAsia="zh-CN"/>
              </w:rPr>
              <w:t>60cm，水土流失类型以夏季暴雨引发的水力侵蚀为主，潜在侵蚀风险高。以次生落叶阔叶林、灌丛、山地草甸为主（如六盘山的辽东栎、山杨，子午岭的油松、沙棘），是泾河、渭河的源头区，水源涵养、水土保持功能突出，被称为黄土高原的 “绿岛”“湿岛”。</w:t>
            </w:r>
          </w:p>
          <w:p w14:paraId="2ED4324A">
            <w:pPr>
              <w:adjustRightInd w:val="0"/>
              <w:snapToGrid w:val="0"/>
              <w:spacing w:line="360" w:lineRule="auto"/>
              <w:jc w:val="both"/>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1.</w:t>
            </w:r>
            <w:r>
              <w:rPr>
                <w:rFonts w:hint="eastAsia"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rPr>
              <w:t>生态环境现状</w:t>
            </w:r>
          </w:p>
          <w:p w14:paraId="158494B8">
            <w:pPr>
              <w:adjustRightInd w:val="0"/>
              <w:snapToGrid w:val="0"/>
              <w:spacing w:line="360" w:lineRule="auto"/>
              <w:ind w:firstLine="480" w:firstLineChars="200"/>
              <w:jc w:val="both"/>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eastAsia="zh-CN"/>
              </w:rPr>
              <w:t>土地利用现状</w:t>
            </w:r>
          </w:p>
          <w:p w14:paraId="75529F74">
            <w:pPr>
              <w:tabs>
                <w:tab w:val="left" w:pos="6510"/>
              </w:tabs>
              <w:adjustRightInd w:val="0"/>
              <w:snapToGrid w:val="0"/>
              <w:spacing w:line="360" w:lineRule="auto"/>
              <w:ind w:firstLine="480" w:firstLineChars="200"/>
              <w:jc w:val="both"/>
              <w:rPr>
                <w:rFonts w:hint="default" w:ascii="Times New Roman" w:hAnsi="Times New Roman" w:eastAsia="仿宋_GB2312" w:cs="Times New Roman"/>
                <w:color w:val="auto"/>
                <w:sz w:val="24"/>
                <w:szCs w:val="24"/>
                <w:highlight w:val="none"/>
              </w:rPr>
            </w:pPr>
            <w:r>
              <w:rPr>
                <w:rFonts w:hint="eastAsia" w:eastAsia="仿宋_GB2312" w:cs="Times New Roman"/>
                <w:color w:val="auto"/>
                <w:sz w:val="24"/>
                <w:szCs w:val="24"/>
                <w:highlight w:val="none"/>
                <w:lang w:val="en-US" w:eastAsia="zh-CN"/>
              </w:rPr>
              <w:t>项目用地</w:t>
            </w:r>
            <w:r>
              <w:rPr>
                <w:rFonts w:hint="default" w:ascii="Times New Roman" w:hAnsi="Times New Roman" w:eastAsia="仿宋_GB2312" w:cs="Times New Roman"/>
                <w:color w:val="auto"/>
                <w:sz w:val="24"/>
                <w:szCs w:val="24"/>
                <w:highlight w:val="none"/>
                <w:lang w:val="en-US" w:eastAsia="zh-CN"/>
              </w:rPr>
              <w:t>于农业设施（非建设用地），仅在养殖区域内布设智能设备，不改变土地农业用途，不占用永久基本农田。</w:t>
            </w:r>
          </w:p>
          <w:p w14:paraId="31C07332">
            <w:pPr>
              <w:keepNext w:val="0"/>
              <w:keepLines w:val="0"/>
              <w:pageBreakBefore w:val="0"/>
              <w:tabs>
                <w:tab w:val="left" w:pos="6510"/>
              </w:tabs>
              <w:kinsoku/>
              <w:wordWrap/>
              <w:overflowPunct/>
              <w:topLinePunct w:val="0"/>
              <w:bidi w:val="0"/>
              <w:adjustRightInd/>
              <w:snapToGrid/>
              <w:spacing w:line="360" w:lineRule="auto"/>
              <w:ind w:firstLine="480" w:firstLineChars="200"/>
              <w:jc w:val="both"/>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（2）土壤类型</w:t>
            </w:r>
          </w:p>
          <w:p w14:paraId="4BC13AE3">
            <w:pPr>
              <w:keepNext w:val="0"/>
              <w:keepLines w:val="0"/>
              <w:pageBreakBefore w:val="0"/>
              <w:kinsoku/>
              <w:wordWrap/>
              <w:overflowPunct/>
              <w:topLinePunct w:val="0"/>
              <w:bidi w:val="0"/>
              <w:adjustRightInd/>
              <w:snapToGrid/>
              <w:spacing w:line="360" w:lineRule="auto"/>
              <w:ind w:firstLine="480" w:firstLineChars="200"/>
              <w:jc w:val="both"/>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根据现场调查，项目所在区域评价区呈现典型的黄土丘陵地貌特征，土壤受地貌、生物、气候及人类活动的影响，类型复杂，有山地土、灰钙土、草甸土、盐土等类型，以山地土和草甸土为主。地表土质为沙壤土和黄绵土。评价区内植被较好，土壤受到保护，是南部山区侵蚀最小的地区之一。</w:t>
            </w:r>
          </w:p>
          <w:p w14:paraId="06D6B811">
            <w:pPr>
              <w:keepNext w:val="0"/>
              <w:keepLines w:val="0"/>
              <w:pageBreakBefore w:val="0"/>
              <w:kinsoku/>
              <w:wordWrap/>
              <w:overflowPunct/>
              <w:topLinePunct w:val="0"/>
              <w:bidi w:val="0"/>
              <w:adjustRightInd/>
              <w:snapToGrid/>
              <w:spacing w:line="352" w:lineRule="auto"/>
              <w:ind w:firstLine="480" w:firstLineChars="20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植被分布</w:t>
            </w:r>
          </w:p>
          <w:p w14:paraId="6759EF80">
            <w:pPr>
              <w:keepNext w:val="0"/>
              <w:keepLines w:val="0"/>
              <w:pageBreakBefore w:val="0"/>
              <w:kinsoku/>
              <w:wordWrap/>
              <w:overflowPunct/>
              <w:topLinePunct w:val="0"/>
              <w:bidi w:val="0"/>
              <w:adjustRightInd/>
              <w:snapToGrid/>
              <w:spacing w:line="352"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kern w:val="24"/>
                <w:sz w:val="24"/>
                <w:szCs w:val="24"/>
                <w:lang w:val="en-US" w:eastAsia="zh-CN" w:bidi="ar-SA"/>
              </w:rPr>
              <w:t>项目所在区域位于《宁夏植被图》</w:t>
            </w:r>
            <w:r>
              <w:rPr>
                <w:rFonts w:hint="eastAsia" w:ascii="Times New Roman" w:hAnsi="Times New Roman" w:eastAsia="仿宋_GB2312" w:cs="Times New Roman"/>
                <w:color w:val="auto"/>
                <w:kern w:val="24"/>
                <w:sz w:val="24"/>
                <w:szCs w:val="24"/>
                <w:lang w:val="en-US" w:eastAsia="zh-CN" w:bidi="ar-SA"/>
              </w:rPr>
              <w:t>（见图3-6）</w:t>
            </w:r>
            <w:r>
              <w:rPr>
                <w:rFonts w:hint="default" w:ascii="Times New Roman" w:hAnsi="Times New Roman" w:eastAsia="仿宋_GB2312" w:cs="Times New Roman"/>
                <w:color w:val="auto"/>
                <w:kern w:val="24"/>
                <w:sz w:val="24"/>
                <w:szCs w:val="24"/>
                <w:lang w:val="en-US" w:eastAsia="zh-CN" w:bidi="ar-SA"/>
              </w:rPr>
              <w:t>中的“宁中、宁北洪积和间山平原缓坡丘陵荒漠草原及灌溉栽培植被区——ⅠAL</w:t>
            </w:r>
            <w:r>
              <w:rPr>
                <w:rFonts w:hint="eastAsia" w:ascii="Times New Roman" w:hAnsi="Times New Roman" w:eastAsia="仿宋_GB2312" w:cs="Times New Roman"/>
                <w:color w:val="auto"/>
                <w:kern w:val="24"/>
                <w:sz w:val="24"/>
                <w:szCs w:val="24"/>
                <w:lang w:val="en-US" w:eastAsia="zh-CN" w:bidi="ar-SA"/>
              </w:rPr>
              <w:t>1c固原中部灌丛</w:t>
            </w:r>
            <w:r>
              <w:rPr>
                <w:rFonts w:hint="default" w:ascii="Times New Roman" w:hAnsi="Times New Roman" w:eastAsia="仿宋_GB2312" w:cs="Times New Roman"/>
                <w:color w:val="auto"/>
                <w:kern w:val="24"/>
                <w:sz w:val="24"/>
                <w:szCs w:val="24"/>
                <w:lang w:val="en-US" w:eastAsia="zh-CN" w:bidi="ar-SA"/>
              </w:rPr>
              <w:t>草原小区中</w:t>
            </w:r>
            <w:r>
              <w:rPr>
                <w:rFonts w:hint="eastAsia" w:ascii="Times New Roman" w:hAnsi="Times New Roman" w:eastAsia="仿宋_GB2312" w:cs="Times New Roman"/>
                <w:color w:val="auto"/>
                <w:kern w:val="24"/>
                <w:sz w:val="24"/>
                <w:szCs w:val="24"/>
                <w:lang w:val="en-US" w:eastAsia="zh-CN" w:bidi="ar-SA"/>
              </w:rPr>
              <w:t>6</w:t>
            </w:r>
            <w:r>
              <w:rPr>
                <w:rFonts w:hint="default" w:ascii="Times New Roman" w:hAnsi="Times New Roman" w:eastAsia="仿宋_GB2312" w:cs="Times New Roman"/>
                <w:color w:val="auto"/>
                <w:kern w:val="24"/>
                <w:sz w:val="24"/>
                <w:szCs w:val="24"/>
                <w:lang w:val="en-US" w:eastAsia="zh-CN" w:bidi="ar-SA"/>
              </w:rPr>
              <w:t>4.</w:t>
            </w:r>
            <w:r>
              <w:rPr>
                <w:rFonts w:hint="eastAsia" w:ascii="Times New Roman" w:hAnsi="Times New Roman" w:eastAsia="仿宋_GB2312" w:cs="Times New Roman"/>
                <w:color w:val="auto"/>
                <w:kern w:val="24"/>
                <w:sz w:val="24"/>
                <w:szCs w:val="24"/>
                <w:lang w:val="en-US" w:eastAsia="zh-CN" w:bidi="ar-SA"/>
              </w:rPr>
              <w:t>以春小麦为主，含玉米、洋芋、糜子、豆类、油料一年一熟作物</w:t>
            </w:r>
            <w:r>
              <w:rPr>
                <w:rFonts w:hint="default" w:ascii="Times New Roman" w:hAnsi="Times New Roman" w:eastAsia="仿宋_GB2312" w:cs="Times New Roman"/>
                <w:color w:val="auto"/>
                <w:kern w:val="24"/>
                <w:sz w:val="24"/>
                <w:szCs w:val="24"/>
                <w:lang w:val="en-US" w:eastAsia="zh-CN" w:bidi="ar-SA"/>
              </w:rPr>
              <w:t>，自然植被主要为</w:t>
            </w:r>
            <w:r>
              <w:rPr>
                <w:rFonts w:hint="eastAsia" w:ascii="Times New Roman" w:hAnsi="Times New Roman" w:eastAsia="仿宋_GB2312" w:cs="Times New Roman"/>
                <w:color w:val="auto"/>
                <w:kern w:val="24"/>
                <w:sz w:val="24"/>
                <w:szCs w:val="24"/>
                <w:lang w:val="en-US" w:eastAsia="zh-CN" w:bidi="ar-SA"/>
              </w:rPr>
              <w:t>雾冰藜</w:t>
            </w:r>
            <w:r>
              <w:rPr>
                <w:rFonts w:hint="default" w:ascii="Times New Roman" w:hAnsi="Times New Roman" w:eastAsia="仿宋_GB2312" w:cs="Times New Roman"/>
                <w:color w:val="auto"/>
                <w:kern w:val="24"/>
                <w:sz w:val="24"/>
                <w:szCs w:val="24"/>
                <w:lang w:val="en-US" w:eastAsia="zh-CN" w:bidi="ar-SA"/>
              </w:rPr>
              <w:t>、</w:t>
            </w:r>
            <w:r>
              <w:rPr>
                <w:rFonts w:hint="eastAsia" w:ascii="Times New Roman" w:hAnsi="Times New Roman" w:eastAsia="仿宋_GB2312" w:cs="Times New Roman"/>
                <w:color w:val="auto"/>
                <w:kern w:val="24"/>
                <w:sz w:val="24"/>
                <w:szCs w:val="24"/>
                <w:lang w:val="en-US" w:eastAsia="zh-CN" w:bidi="ar-SA"/>
              </w:rPr>
              <w:t>飞廉、猪毛菜、芨芨草等</w:t>
            </w:r>
            <w:r>
              <w:rPr>
                <w:rFonts w:hint="default" w:ascii="Times New Roman" w:hAnsi="Times New Roman" w:eastAsia="仿宋_GB2312" w:cs="Times New Roman"/>
                <w:color w:val="auto"/>
                <w:kern w:val="24"/>
                <w:sz w:val="24"/>
                <w:szCs w:val="24"/>
                <w:lang w:val="en-US" w:eastAsia="zh-CN" w:bidi="ar-SA"/>
              </w:rPr>
              <w:t>植被</w:t>
            </w:r>
            <w:r>
              <w:rPr>
                <w:rFonts w:hint="eastAsia" w:ascii="Times New Roman" w:hAnsi="Times New Roman" w:eastAsia="仿宋_GB2312" w:cs="Times New Roman"/>
                <w:color w:val="auto"/>
                <w:kern w:val="24"/>
                <w:sz w:val="24"/>
                <w:szCs w:val="24"/>
                <w:lang w:val="en-US" w:eastAsia="zh-CN" w:bidi="ar-SA"/>
              </w:rPr>
              <w:t>，农田主要种植玉米，周边行道树主要为松树、槐树，无国家和地方明令保护的珍稀植物物种</w:t>
            </w:r>
            <w:r>
              <w:rPr>
                <w:rFonts w:hint="default" w:ascii="Times New Roman" w:hAnsi="Times New Roman" w:eastAsia="仿宋_GB2312" w:cs="Times New Roman"/>
                <w:color w:val="auto"/>
                <w:kern w:val="24"/>
                <w:sz w:val="24"/>
                <w:szCs w:val="24"/>
                <w:lang w:val="en-US" w:eastAsia="zh-CN" w:bidi="ar-SA"/>
              </w:rPr>
              <w:t>。</w:t>
            </w:r>
          </w:p>
          <w:p w14:paraId="0F459715">
            <w:pPr>
              <w:keepNext w:val="0"/>
              <w:keepLines w:val="0"/>
              <w:pageBreakBefore w:val="0"/>
              <w:kinsoku/>
              <w:wordWrap/>
              <w:overflowPunct/>
              <w:topLinePunct w:val="0"/>
              <w:bidi w:val="0"/>
              <w:adjustRightInd/>
              <w:snapToGrid/>
              <w:spacing w:line="352" w:lineRule="auto"/>
              <w:ind w:firstLine="480" w:firstLineChars="20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动物</w:t>
            </w:r>
          </w:p>
          <w:p w14:paraId="31FA2AE7">
            <w:pPr>
              <w:pStyle w:val="11"/>
              <w:keepNext w:val="0"/>
              <w:keepLines w:val="0"/>
              <w:pageBreakBefore w:val="0"/>
              <w:widowControl/>
              <w:kinsoku/>
              <w:wordWrap/>
              <w:overflowPunct/>
              <w:topLinePunct w:val="0"/>
              <w:autoSpaceDE/>
              <w:autoSpaceDN/>
              <w:bidi w:val="0"/>
              <w:adjustRightInd w:val="0"/>
              <w:snapToGrid w:val="0"/>
              <w:spacing w:before="0" w:after="0" w:line="348" w:lineRule="auto"/>
              <w:ind w:left="0" w:right="0" w:firstLine="480" w:firstLineChars="200"/>
              <w:textAlignment w:val="auto"/>
              <w:rPr>
                <w:rFonts w:hint="default" w:ascii="Times New Roman" w:hAnsi="Times New Roman" w:eastAsia="仿宋_GB2312" w:cs="Times New Roman"/>
                <w:color w:val="auto"/>
                <w:kern w:val="24"/>
                <w:sz w:val="24"/>
                <w:szCs w:val="24"/>
                <w:lang w:val="en-US" w:eastAsia="zh-CN" w:bidi="ar-SA"/>
              </w:rPr>
            </w:pPr>
            <w:r>
              <w:rPr>
                <w:rFonts w:hint="default" w:ascii="Times New Roman" w:hAnsi="Times New Roman" w:eastAsia="仿宋_GB2312" w:cs="Times New Roman"/>
                <w:color w:val="auto"/>
                <w:kern w:val="24"/>
                <w:sz w:val="24"/>
                <w:szCs w:val="24"/>
                <w:lang w:val="en-US" w:eastAsia="zh-CN" w:bidi="ar-SA"/>
              </w:rPr>
              <w:t>项目</w:t>
            </w:r>
            <w:r>
              <w:rPr>
                <w:rFonts w:hint="eastAsia" w:ascii="Times New Roman" w:hAnsi="Times New Roman" w:eastAsia="仿宋_GB2312" w:cs="Times New Roman"/>
                <w:color w:val="auto"/>
                <w:kern w:val="24"/>
                <w:sz w:val="24"/>
                <w:szCs w:val="24"/>
                <w:lang w:val="en-US" w:eastAsia="zh-CN" w:bidi="ar-SA"/>
              </w:rPr>
              <w:t>所在区受人群耕种、活动影响，周边</w:t>
            </w:r>
            <w:r>
              <w:rPr>
                <w:rFonts w:hint="default" w:ascii="Times New Roman" w:hAnsi="Times New Roman" w:eastAsia="仿宋_GB2312" w:cs="Times New Roman"/>
                <w:color w:val="auto"/>
                <w:kern w:val="24"/>
                <w:sz w:val="24"/>
                <w:szCs w:val="24"/>
                <w:lang w:val="en-US" w:eastAsia="zh-CN" w:bidi="ar-SA"/>
              </w:rPr>
              <w:t>野生动物品种、数量均很少，主要是一些常见种类，兽类有野兔和鼠类，爬行类主要有蜥蜴、蛇；鸟类主要有麻雀、喜鹊等常见种。根据现场调查和访问，评价区域范围内无国家及自治区级珍稀野生保护动物及栖息地。</w:t>
            </w:r>
          </w:p>
          <w:p w14:paraId="176B3EDB">
            <w:pPr>
              <w:pStyle w:val="17"/>
              <w:keepNext w:val="0"/>
              <w:keepLines w:val="0"/>
              <w:pageBreakBefore w:val="0"/>
              <w:kinsoku/>
              <w:wordWrap/>
              <w:overflowPunct/>
              <w:topLinePunct w:val="0"/>
              <w:bidi w:val="0"/>
              <w:adjustRightInd/>
              <w:snapToGrid/>
              <w:spacing w:line="360" w:lineRule="auto"/>
              <w:rPr>
                <w:rFonts w:hint="default" w:ascii="Times New Roman" w:hAnsi="Times New Roman" w:eastAsia="仿宋_GB2312" w:cs="Times New Roman"/>
                <w:b/>
                <w:bCs/>
                <w:color w:val="auto"/>
                <w:sz w:val="24"/>
                <w:highlight w:val="none"/>
                <w:lang w:eastAsia="zh-CN"/>
              </w:rPr>
            </w:pPr>
            <w:r>
              <w:rPr>
                <w:rFonts w:hint="eastAsia"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eastAsia="zh-CN"/>
              </w:rPr>
              <w:t>大气环境</w:t>
            </w:r>
            <w:r>
              <w:rPr>
                <w:rFonts w:hint="default" w:ascii="Times New Roman" w:hAnsi="Times New Roman" w:eastAsia="仿宋_GB2312" w:cs="Times New Roman"/>
                <w:b/>
                <w:bCs/>
                <w:color w:val="auto"/>
                <w:sz w:val="24"/>
                <w:highlight w:val="none"/>
                <w:lang w:val="en-US" w:eastAsia="zh-CN"/>
              </w:rPr>
              <w:t>质量</w:t>
            </w:r>
            <w:r>
              <w:rPr>
                <w:rFonts w:hint="default" w:ascii="Times New Roman" w:hAnsi="Times New Roman" w:eastAsia="仿宋_GB2312" w:cs="Times New Roman"/>
                <w:b/>
                <w:bCs/>
                <w:color w:val="auto"/>
                <w:sz w:val="24"/>
                <w:highlight w:val="none"/>
                <w:lang w:eastAsia="zh-CN"/>
              </w:rPr>
              <w:t>现状</w:t>
            </w:r>
          </w:p>
          <w:p w14:paraId="6FD6693F">
            <w:pPr>
              <w:pStyle w:val="17"/>
              <w:keepNext w:val="0"/>
              <w:keepLines w:val="0"/>
              <w:pageBreakBefore w:val="0"/>
              <w:kinsoku/>
              <w:wordWrap/>
              <w:overflowPunct/>
              <w:topLinePunct w:val="0"/>
              <w:bidi w:val="0"/>
              <w:adjustRightInd/>
              <w:snapToGrid/>
              <w:spacing w:line="360" w:lineRule="auto"/>
              <w:ind w:firstLine="480" w:firstLineChars="200"/>
              <w:rPr>
                <w:rFonts w:hint="default" w:ascii="Times New Roman" w:hAnsi="Times New Roman" w:eastAsia="仿宋_GB2312" w:cs="Times New Roman"/>
                <w:color w:val="auto"/>
                <w:sz w:val="24"/>
                <w:highlight w:val="yellow"/>
              </w:rPr>
            </w:pPr>
            <w:r>
              <w:rPr>
                <w:rFonts w:hint="default" w:ascii="Times New Roman" w:hAnsi="Times New Roman" w:eastAsia="仿宋_GB2312" w:cs="Times New Roman"/>
                <w:b w:val="0"/>
                <w:bCs/>
                <w:color w:val="auto"/>
                <w:sz w:val="24"/>
                <w:szCs w:val="24"/>
                <w:highlight w:val="none"/>
                <w:lang w:val="en-US" w:eastAsia="zh-CN"/>
              </w:rPr>
              <w:t>本项目位于固原市泾源县</w:t>
            </w:r>
            <w:r>
              <w:rPr>
                <w:rFonts w:hint="eastAsia" w:eastAsia="仿宋_GB2312" w:cs="Times New Roman"/>
                <w:color w:val="auto"/>
                <w:sz w:val="24"/>
                <w:highlight w:val="none"/>
                <w:lang w:val="en-US" w:eastAsia="zh-CN"/>
              </w:rPr>
              <w:t>六盘山镇、泾河镇、大湾乡</w:t>
            </w:r>
            <w:r>
              <w:rPr>
                <w:rFonts w:hint="default" w:ascii="Times New Roman" w:hAnsi="Times New Roman" w:eastAsia="仿宋_GB2312" w:cs="Times New Roman"/>
                <w:b w:val="0"/>
                <w:bCs/>
                <w:color w:val="auto"/>
                <w:sz w:val="24"/>
                <w:szCs w:val="24"/>
                <w:highlight w:val="none"/>
                <w:lang w:val="en-US" w:eastAsia="zh-CN"/>
              </w:rPr>
              <w:t>，隶属于泾源县行政区划范围内，故本次评价采用</w:t>
            </w:r>
            <w:r>
              <w:rPr>
                <w:rFonts w:hint="eastAsia" w:ascii="Times New Roman" w:hAnsi="Times New Roman" w:eastAsia="仿宋_GB2312" w:cs="Times New Roman"/>
                <w:b w:val="0"/>
                <w:bCs/>
                <w:color w:val="auto"/>
                <w:sz w:val="24"/>
                <w:szCs w:val="24"/>
                <w:highlight w:val="none"/>
                <w:lang w:val="en-US" w:eastAsia="zh-CN"/>
              </w:rPr>
              <w:t>固原市</w:t>
            </w:r>
            <w:r>
              <w:rPr>
                <w:rFonts w:hint="default" w:ascii="Times New Roman" w:hAnsi="Times New Roman" w:eastAsia="仿宋_GB2312" w:cs="Times New Roman"/>
                <w:b w:val="0"/>
                <w:bCs/>
                <w:color w:val="auto"/>
                <w:sz w:val="24"/>
                <w:szCs w:val="24"/>
                <w:highlight w:val="none"/>
                <w:lang w:val="en-US" w:eastAsia="zh-CN"/>
              </w:rPr>
              <w:t>环境空气质量数据进行分析。</w:t>
            </w:r>
            <w:r>
              <w:rPr>
                <w:rFonts w:hint="eastAsia" w:ascii="Times New Roman" w:hAnsi="Times New Roman" w:eastAsia="仿宋_GB2312" w:cs="Times New Roman"/>
                <w:color w:val="auto"/>
                <w:kern w:val="2"/>
                <w:sz w:val="24"/>
                <w:szCs w:val="24"/>
                <w:highlight w:val="none"/>
                <w:lang w:val="en-US" w:eastAsia="zh-CN" w:bidi="ar-SA"/>
              </w:rPr>
              <w:t>项目区域环境空气质量现状达标区判定采用宁夏回族自治区生态环境厅公布的《2024年宁夏回族自治区生态环境质量状况》统计的固原市环境空气质量现状数据。</w:t>
            </w:r>
            <w:r>
              <w:rPr>
                <w:rFonts w:hint="default" w:ascii="Times New Roman" w:hAnsi="Times New Roman" w:eastAsia="仿宋_GB2312" w:cs="Times New Roman"/>
                <w:color w:val="auto"/>
                <w:sz w:val="24"/>
                <w:highlight w:val="none"/>
              </w:rPr>
              <w:t>具体监测结果统计见表</w:t>
            </w:r>
            <w:r>
              <w:rPr>
                <w:rFonts w:hint="eastAsia" w:ascii="Times New Roman" w:hAnsi="Times New Roman" w:eastAsia="仿宋_GB2312" w:cs="Times New Roman"/>
                <w:color w:val="auto"/>
                <w:sz w:val="24"/>
                <w:highlight w:val="none"/>
                <w:lang w:val="en-US" w:eastAsia="zh-CN"/>
              </w:rPr>
              <w:t>12</w:t>
            </w:r>
            <w:r>
              <w:rPr>
                <w:rFonts w:hint="default" w:ascii="Times New Roman" w:hAnsi="Times New Roman" w:eastAsia="仿宋_GB2312" w:cs="Times New Roman"/>
                <w:color w:val="auto"/>
                <w:sz w:val="24"/>
                <w:highlight w:val="none"/>
              </w:rPr>
              <w:t>。</w:t>
            </w:r>
          </w:p>
          <w:p w14:paraId="2E5D7A38">
            <w:pPr>
              <w:pStyle w:val="2"/>
              <w:keepNext w:val="0"/>
              <w:keepLines w:val="0"/>
              <w:pageBreakBefore w:val="0"/>
              <w:kinsoku/>
              <w:wordWrap/>
              <w:overflowPunct/>
              <w:topLinePunct w:val="0"/>
              <w:bidi w:val="0"/>
              <w:adjustRightInd/>
              <w:snapToGrid/>
              <w:spacing w:line="240" w:lineRule="auto"/>
              <w:ind w:left="0" w:leftChars="0" w:firstLine="420" w:firstLineChars="200"/>
              <w:jc w:val="both"/>
              <w:rPr>
                <w:rFonts w:hint="default" w:ascii="Times New Roman" w:hAnsi="Times New Roman" w:eastAsia="宋体" w:cs="Times New Roman"/>
                <w:b w:val="0"/>
                <w:bCs w:val="0"/>
                <w:color w:val="auto"/>
                <w:sz w:val="21"/>
                <w:szCs w:val="21"/>
                <w:highlight w:val="none"/>
              </w:rPr>
            </w:pPr>
          </w:p>
          <w:p w14:paraId="487A026A">
            <w:pPr>
              <w:pStyle w:val="2"/>
              <w:keepNext w:val="0"/>
              <w:keepLines w:val="0"/>
              <w:pageBreakBefore w:val="0"/>
              <w:kinsoku/>
              <w:wordWrap/>
              <w:overflowPunct/>
              <w:topLinePunct w:val="0"/>
              <w:bidi w:val="0"/>
              <w:adjustRightInd/>
              <w:snapToGrid/>
              <w:spacing w:line="240" w:lineRule="auto"/>
              <w:ind w:left="0" w:leftChars="0" w:firstLine="42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val="0"/>
                <w:color w:val="auto"/>
                <w:sz w:val="21"/>
                <w:szCs w:val="21"/>
                <w:highlight w:val="none"/>
              </w:rPr>
              <w:t>表</w:t>
            </w:r>
            <w:r>
              <w:rPr>
                <w:rFonts w:hint="eastAsia" w:cs="Times New Roman"/>
                <w:b w:val="0"/>
                <w:bCs w:val="0"/>
                <w:color w:val="auto"/>
                <w:sz w:val="21"/>
                <w:szCs w:val="21"/>
                <w:highlight w:val="none"/>
                <w:lang w:val="en-US" w:eastAsia="zh-CN"/>
              </w:rPr>
              <w:t>12</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 xml:space="preserve"> 20</w:t>
            </w:r>
            <w:r>
              <w:rPr>
                <w:rFonts w:hint="default"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年</w:t>
            </w:r>
            <w:r>
              <w:rPr>
                <w:rFonts w:hint="eastAsia" w:cs="Times New Roman"/>
                <w:b/>
                <w:bCs/>
                <w:color w:val="auto"/>
                <w:sz w:val="24"/>
                <w:szCs w:val="24"/>
                <w:highlight w:val="none"/>
                <w:lang w:val="en-US" w:eastAsia="zh-CN"/>
              </w:rPr>
              <w:t>固原市</w:t>
            </w:r>
            <w:r>
              <w:rPr>
                <w:rFonts w:hint="default" w:ascii="Times New Roman" w:hAnsi="Times New Roman" w:eastAsia="宋体" w:cs="Times New Roman"/>
                <w:b/>
                <w:bCs/>
                <w:color w:val="auto"/>
                <w:sz w:val="24"/>
                <w:szCs w:val="24"/>
                <w:highlight w:val="none"/>
              </w:rPr>
              <w:t>环境空气质量现状</w:t>
            </w:r>
          </w:p>
          <w:tbl>
            <w:tblPr>
              <w:tblStyle w:val="33"/>
              <w:tblW w:w="8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468"/>
              <w:gridCol w:w="1358"/>
              <w:gridCol w:w="1420"/>
              <w:gridCol w:w="1176"/>
              <w:gridCol w:w="1137"/>
            </w:tblGrid>
            <w:tr w14:paraId="6B7AD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98" w:type="dxa"/>
                  <w:tcBorders>
                    <w:tl2br w:val="nil"/>
                    <w:tr2bl w:val="nil"/>
                  </w:tcBorders>
                  <w:noWrap w:val="0"/>
                  <w:vAlign w:val="center"/>
                </w:tcPr>
                <w:p w14:paraId="13238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2468" w:type="dxa"/>
                  <w:tcBorders>
                    <w:tl2br w:val="nil"/>
                    <w:tr2bl w:val="nil"/>
                  </w:tcBorders>
                  <w:noWrap w:val="0"/>
                  <w:vAlign w:val="center"/>
                </w:tcPr>
                <w:p w14:paraId="12D52D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年评价指标</w:t>
                  </w:r>
                </w:p>
              </w:tc>
              <w:tc>
                <w:tcPr>
                  <w:tcW w:w="1358" w:type="dxa"/>
                  <w:tcBorders>
                    <w:tl2br w:val="nil"/>
                    <w:tr2bl w:val="nil"/>
                  </w:tcBorders>
                  <w:noWrap w:val="0"/>
                  <w:vAlign w:val="center"/>
                </w:tcPr>
                <w:p w14:paraId="2CA9A6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现状浓度（μg/m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420" w:type="dxa"/>
                  <w:tcBorders>
                    <w:tl2br w:val="nil"/>
                    <w:tr2bl w:val="nil"/>
                  </w:tcBorders>
                  <w:noWrap w:val="0"/>
                  <w:vAlign w:val="center"/>
                </w:tcPr>
                <w:p w14:paraId="11251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标准值（μg/m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176" w:type="dxa"/>
                  <w:tcBorders>
                    <w:tl2br w:val="nil"/>
                    <w:tr2bl w:val="nil"/>
                  </w:tcBorders>
                  <w:noWrap w:val="0"/>
                  <w:vAlign w:val="center"/>
                </w:tcPr>
                <w:p w14:paraId="376CEA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占标率/%</w:t>
                  </w:r>
                </w:p>
              </w:tc>
              <w:tc>
                <w:tcPr>
                  <w:tcW w:w="1137" w:type="dxa"/>
                  <w:tcBorders>
                    <w:tl2br w:val="nil"/>
                    <w:tr2bl w:val="nil"/>
                  </w:tcBorders>
                  <w:noWrap w:val="0"/>
                  <w:vAlign w:val="center"/>
                </w:tcPr>
                <w:p w14:paraId="0179BF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2A879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98" w:type="dxa"/>
                  <w:tcBorders>
                    <w:tl2br w:val="nil"/>
                    <w:tr2bl w:val="nil"/>
                  </w:tcBorders>
                  <w:noWrap w:val="0"/>
                  <w:vAlign w:val="center"/>
                </w:tcPr>
                <w:p w14:paraId="5CD15C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2468" w:type="dxa"/>
                  <w:tcBorders>
                    <w:tl2br w:val="nil"/>
                    <w:tr2bl w:val="nil"/>
                  </w:tcBorders>
                  <w:noWrap w:val="0"/>
                  <w:vAlign w:val="center"/>
                </w:tcPr>
                <w:p w14:paraId="28D27A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358" w:type="dxa"/>
                  <w:tcBorders>
                    <w:tl2br w:val="nil"/>
                    <w:tr2bl w:val="nil"/>
                  </w:tcBorders>
                  <w:noWrap w:val="0"/>
                  <w:vAlign w:val="center"/>
                </w:tcPr>
                <w:p w14:paraId="6B4328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eastAsia" w:cs="Times New Roman"/>
                      <w:color w:val="auto"/>
                      <w:sz w:val="21"/>
                      <w:szCs w:val="21"/>
                      <w:lang w:val="en-US" w:eastAsia="zh-CN"/>
                    </w:rPr>
                    <w:t>1</w:t>
                  </w:r>
                </w:p>
              </w:tc>
              <w:tc>
                <w:tcPr>
                  <w:tcW w:w="1420" w:type="dxa"/>
                  <w:tcBorders>
                    <w:tl2br w:val="nil"/>
                    <w:tr2bl w:val="nil"/>
                  </w:tcBorders>
                  <w:noWrap w:val="0"/>
                  <w:vAlign w:val="center"/>
                </w:tcPr>
                <w:p w14:paraId="31EF6A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176" w:type="dxa"/>
                  <w:tcBorders>
                    <w:tl2br w:val="nil"/>
                    <w:tr2bl w:val="nil"/>
                  </w:tcBorders>
                  <w:noWrap w:val="0"/>
                  <w:vAlign w:val="center"/>
                </w:tcPr>
                <w:p w14:paraId="250A97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87.14</w:t>
                  </w:r>
                </w:p>
              </w:tc>
              <w:tc>
                <w:tcPr>
                  <w:tcW w:w="1137" w:type="dxa"/>
                  <w:tcBorders>
                    <w:tl2br w:val="nil"/>
                    <w:tr2bl w:val="nil"/>
                  </w:tcBorders>
                  <w:noWrap w:val="0"/>
                  <w:vAlign w:val="center"/>
                </w:tcPr>
                <w:p w14:paraId="4E6A1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达标</w:t>
                  </w:r>
                </w:p>
              </w:tc>
            </w:tr>
            <w:tr w14:paraId="1004F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98" w:type="dxa"/>
                  <w:tcBorders>
                    <w:tl2br w:val="nil"/>
                    <w:tr2bl w:val="nil"/>
                  </w:tcBorders>
                  <w:noWrap w:val="0"/>
                  <w:vAlign w:val="center"/>
                </w:tcPr>
                <w:p w14:paraId="47595B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2468" w:type="dxa"/>
                  <w:tcBorders>
                    <w:tl2br w:val="nil"/>
                    <w:tr2bl w:val="nil"/>
                  </w:tcBorders>
                  <w:noWrap w:val="0"/>
                  <w:vAlign w:val="center"/>
                </w:tcPr>
                <w:p w14:paraId="014D6E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358" w:type="dxa"/>
                  <w:tcBorders>
                    <w:tl2br w:val="nil"/>
                    <w:tr2bl w:val="nil"/>
                  </w:tcBorders>
                  <w:noWrap w:val="0"/>
                  <w:vAlign w:val="center"/>
                </w:tcPr>
                <w:p w14:paraId="6B1C72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2</w:t>
                  </w:r>
                </w:p>
              </w:tc>
              <w:tc>
                <w:tcPr>
                  <w:tcW w:w="1420" w:type="dxa"/>
                  <w:tcBorders>
                    <w:tl2br w:val="nil"/>
                    <w:tr2bl w:val="nil"/>
                  </w:tcBorders>
                  <w:noWrap w:val="0"/>
                  <w:vAlign w:val="center"/>
                </w:tcPr>
                <w:p w14:paraId="4E946A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176" w:type="dxa"/>
                  <w:tcBorders>
                    <w:tl2br w:val="nil"/>
                    <w:tr2bl w:val="nil"/>
                  </w:tcBorders>
                  <w:noWrap w:val="0"/>
                  <w:vAlign w:val="center"/>
                </w:tcPr>
                <w:p w14:paraId="422DF7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62.86</w:t>
                  </w:r>
                </w:p>
              </w:tc>
              <w:tc>
                <w:tcPr>
                  <w:tcW w:w="1137" w:type="dxa"/>
                  <w:tcBorders>
                    <w:tl2br w:val="nil"/>
                    <w:tr2bl w:val="nil"/>
                  </w:tcBorders>
                  <w:noWrap w:val="0"/>
                  <w:vAlign w:val="center"/>
                </w:tcPr>
                <w:p w14:paraId="68B57C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9E87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98" w:type="dxa"/>
                  <w:tcBorders>
                    <w:tl2br w:val="nil"/>
                    <w:tr2bl w:val="nil"/>
                  </w:tcBorders>
                  <w:noWrap w:val="0"/>
                  <w:vAlign w:val="center"/>
                </w:tcPr>
                <w:p w14:paraId="2B1E19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2468" w:type="dxa"/>
                  <w:tcBorders>
                    <w:tl2br w:val="nil"/>
                    <w:tr2bl w:val="nil"/>
                  </w:tcBorders>
                  <w:noWrap w:val="0"/>
                  <w:vAlign w:val="center"/>
                </w:tcPr>
                <w:p w14:paraId="7BBBEB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358" w:type="dxa"/>
                  <w:tcBorders>
                    <w:tl2br w:val="nil"/>
                    <w:tr2bl w:val="nil"/>
                  </w:tcBorders>
                  <w:noWrap w:val="0"/>
                  <w:vAlign w:val="center"/>
                </w:tcPr>
                <w:p w14:paraId="334EE8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420" w:type="dxa"/>
                  <w:tcBorders>
                    <w:tl2br w:val="nil"/>
                    <w:tr2bl w:val="nil"/>
                  </w:tcBorders>
                  <w:noWrap w:val="0"/>
                  <w:vAlign w:val="center"/>
                </w:tcPr>
                <w:p w14:paraId="568FC4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176" w:type="dxa"/>
                  <w:tcBorders>
                    <w:tl2br w:val="nil"/>
                    <w:tr2bl w:val="nil"/>
                  </w:tcBorders>
                  <w:noWrap w:val="0"/>
                  <w:vAlign w:val="center"/>
                </w:tcPr>
                <w:p w14:paraId="07805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10.00</w:t>
                  </w:r>
                </w:p>
              </w:tc>
              <w:tc>
                <w:tcPr>
                  <w:tcW w:w="1137" w:type="dxa"/>
                  <w:tcBorders>
                    <w:tl2br w:val="nil"/>
                    <w:tr2bl w:val="nil"/>
                  </w:tcBorders>
                  <w:noWrap w:val="0"/>
                  <w:vAlign w:val="center"/>
                </w:tcPr>
                <w:p w14:paraId="210A11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054C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98" w:type="dxa"/>
                  <w:tcBorders>
                    <w:tl2br w:val="nil"/>
                    <w:tr2bl w:val="nil"/>
                  </w:tcBorders>
                  <w:noWrap w:val="0"/>
                  <w:vAlign w:val="center"/>
                </w:tcPr>
                <w:p w14:paraId="1DFBA4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2468" w:type="dxa"/>
                  <w:tcBorders>
                    <w:tl2br w:val="nil"/>
                    <w:tr2bl w:val="nil"/>
                  </w:tcBorders>
                  <w:noWrap w:val="0"/>
                  <w:vAlign w:val="center"/>
                </w:tcPr>
                <w:p w14:paraId="551D5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358" w:type="dxa"/>
                  <w:tcBorders>
                    <w:tl2br w:val="nil"/>
                    <w:tr2bl w:val="nil"/>
                  </w:tcBorders>
                  <w:noWrap w:val="0"/>
                  <w:vAlign w:val="center"/>
                </w:tcPr>
                <w:p w14:paraId="01C00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c>
              <w:tc>
                <w:tcPr>
                  <w:tcW w:w="1420" w:type="dxa"/>
                  <w:tcBorders>
                    <w:tl2br w:val="nil"/>
                    <w:tr2bl w:val="nil"/>
                  </w:tcBorders>
                  <w:noWrap w:val="0"/>
                  <w:vAlign w:val="center"/>
                </w:tcPr>
                <w:p w14:paraId="5D7C32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176" w:type="dxa"/>
                  <w:tcBorders>
                    <w:tl2br w:val="nil"/>
                    <w:tr2bl w:val="nil"/>
                  </w:tcBorders>
                  <w:noWrap w:val="0"/>
                  <w:vAlign w:val="center"/>
                </w:tcPr>
                <w:p w14:paraId="17B4BC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42.5</w:t>
                  </w:r>
                </w:p>
              </w:tc>
              <w:tc>
                <w:tcPr>
                  <w:tcW w:w="1137" w:type="dxa"/>
                  <w:tcBorders>
                    <w:tl2br w:val="nil"/>
                    <w:tr2bl w:val="nil"/>
                  </w:tcBorders>
                  <w:noWrap w:val="0"/>
                  <w:vAlign w:val="center"/>
                </w:tcPr>
                <w:p w14:paraId="62302B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278F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98" w:type="dxa"/>
                  <w:tcBorders>
                    <w:tl2br w:val="nil"/>
                    <w:tr2bl w:val="nil"/>
                  </w:tcBorders>
                  <w:noWrap w:val="0"/>
                  <w:vAlign w:val="center"/>
                </w:tcPr>
                <w:p w14:paraId="41F28D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2468" w:type="dxa"/>
                  <w:tcBorders>
                    <w:tl2br w:val="nil"/>
                    <w:tr2bl w:val="nil"/>
                  </w:tcBorders>
                  <w:noWrap w:val="0"/>
                  <w:vAlign w:val="center"/>
                </w:tcPr>
                <w:p w14:paraId="336038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24小时平均第95百分数（mg/m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358" w:type="dxa"/>
                  <w:tcBorders>
                    <w:tl2br w:val="nil"/>
                    <w:tr2bl w:val="nil"/>
                  </w:tcBorders>
                  <w:noWrap w:val="0"/>
                  <w:vAlign w:val="center"/>
                </w:tcPr>
                <w:p w14:paraId="752E53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0</w:t>
                  </w:r>
                </w:p>
              </w:tc>
              <w:tc>
                <w:tcPr>
                  <w:tcW w:w="1420" w:type="dxa"/>
                  <w:tcBorders>
                    <w:tl2br w:val="nil"/>
                    <w:tr2bl w:val="nil"/>
                  </w:tcBorders>
                  <w:noWrap w:val="0"/>
                  <w:vAlign w:val="center"/>
                </w:tcPr>
                <w:p w14:paraId="0CFA4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76" w:type="dxa"/>
                  <w:tcBorders>
                    <w:tl2br w:val="nil"/>
                    <w:tr2bl w:val="nil"/>
                  </w:tcBorders>
                  <w:noWrap w:val="0"/>
                  <w:vAlign w:val="center"/>
                </w:tcPr>
                <w:p w14:paraId="4FF3F6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25.00</w:t>
                  </w:r>
                </w:p>
              </w:tc>
              <w:tc>
                <w:tcPr>
                  <w:tcW w:w="1137" w:type="dxa"/>
                  <w:tcBorders>
                    <w:tl2br w:val="nil"/>
                    <w:tr2bl w:val="nil"/>
                  </w:tcBorders>
                  <w:noWrap w:val="0"/>
                  <w:vAlign w:val="center"/>
                </w:tcPr>
                <w:p w14:paraId="52BA22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F076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98" w:type="dxa"/>
                  <w:tcBorders>
                    <w:tl2br w:val="nil"/>
                    <w:tr2bl w:val="nil"/>
                  </w:tcBorders>
                  <w:noWrap w:val="0"/>
                  <w:vAlign w:val="center"/>
                </w:tcPr>
                <w:p w14:paraId="397A84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2468" w:type="dxa"/>
                  <w:tcBorders>
                    <w:tl2br w:val="nil"/>
                    <w:tr2bl w:val="nil"/>
                  </w:tcBorders>
                  <w:noWrap w:val="0"/>
                  <w:vAlign w:val="center"/>
                </w:tcPr>
                <w:p w14:paraId="714E93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日最大8小时滑动平均值的第90百分数</w:t>
                  </w:r>
                </w:p>
              </w:tc>
              <w:tc>
                <w:tcPr>
                  <w:tcW w:w="1358" w:type="dxa"/>
                  <w:tcBorders>
                    <w:tl2br w:val="nil"/>
                    <w:tr2bl w:val="nil"/>
                  </w:tcBorders>
                  <w:noWrap w:val="0"/>
                  <w:vAlign w:val="center"/>
                </w:tcPr>
                <w:p w14:paraId="676FF7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136</w:t>
                  </w:r>
                </w:p>
              </w:tc>
              <w:tc>
                <w:tcPr>
                  <w:tcW w:w="1420" w:type="dxa"/>
                  <w:tcBorders>
                    <w:tl2br w:val="nil"/>
                    <w:tr2bl w:val="nil"/>
                  </w:tcBorders>
                  <w:noWrap w:val="0"/>
                  <w:vAlign w:val="center"/>
                </w:tcPr>
                <w:p w14:paraId="63B37F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1176" w:type="dxa"/>
                  <w:tcBorders>
                    <w:tl2br w:val="nil"/>
                    <w:tr2bl w:val="nil"/>
                  </w:tcBorders>
                  <w:noWrap w:val="0"/>
                  <w:vAlign w:val="center"/>
                </w:tcPr>
                <w:p w14:paraId="7B8E69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85.00</w:t>
                  </w:r>
                </w:p>
              </w:tc>
              <w:tc>
                <w:tcPr>
                  <w:tcW w:w="1137" w:type="dxa"/>
                  <w:tcBorders>
                    <w:tl2br w:val="nil"/>
                    <w:tr2bl w:val="nil"/>
                  </w:tcBorders>
                  <w:noWrap w:val="0"/>
                  <w:vAlign w:val="center"/>
                </w:tcPr>
                <w:p w14:paraId="1539A5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17F2515F">
            <w:pPr>
              <w:pStyle w:val="4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由上表可知，2024年</w:t>
            </w:r>
            <w:r>
              <w:rPr>
                <w:rFonts w:hint="eastAsia" w:ascii="Times New Roman" w:hAnsi="Times New Roman" w:eastAsia="仿宋_GB2312" w:cs="Times New Roman"/>
                <w:color w:val="auto"/>
                <w:kern w:val="2"/>
                <w:sz w:val="24"/>
                <w:szCs w:val="24"/>
                <w:highlight w:val="none"/>
                <w:lang w:val="en-US" w:eastAsia="zh-CN" w:bidi="ar-SA"/>
              </w:rPr>
              <w:t>固原市</w:t>
            </w:r>
            <w:r>
              <w:rPr>
                <w:rFonts w:hint="default" w:ascii="Times New Roman" w:hAnsi="Times New Roman" w:eastAsia="仿宋_GB2312" w:cs="Times New Roman"/>
                <w:color w:val="auto"/>
                <w:kern w:val="2"/>
                <w:sz w:val="24"/>
                <w:szCs w:val="24"/>
                <w:highlight w:val="none"/>
                <w:lang w:val="en-US" w:eastAsia="zh-CN" w:bidi="ar-SA"/>
              </w:rPr>
              <w:t>大气环境中PM</w:t>
            </w:r>
            <w:r>
              <w:rPr>
                <w:rFonts w:hint="default" w:ascii="Times New Roman" w:hAnsi="Times New Roman" w:eastAsia="仿宋_GB2312" w:cs="Times New Roman"/>
                <w:color w:val="auto"/>
                <w:kern w:val="2"/>
                <w:sz w:val="24"/>
                <w:szCs w:val="24"/>
                <w:highlight w:val="none"/>
                <w:vertAlign w:val="subscript"/>
                <w:lang w:val="en-US" w:eastAsia="zh-CN" w:bidi="ar-SA"/>
              </w:rPr>
              <w:t>10</w:t>
            </w:r>
            <w:r>
              <w:rPr>
                <w:rFonts w:hint="default" w:ascii="Times New Roman" w:hAnsi="Times New Roman" w:eastAsia="仿宋_GB2312" w:cs="Times New Roman"/>
                <w:color w:val="auto"/>
                <w:kern w:val="2"/>
                <w:sz w:val="24"/>
                <w:szCs w:val="24"/>
                <w:highlight w:val="none"/>
                <w:lang w:val="en-US" w:eastAsia="zh-CN" w:bidi="ar-SA"/>
              </w:rPr>
              <w:t>、PM</w:t>
            </w:r>
            <w:r>
              <w:rPr>
                <w:rFonts w:hint="default" w:ascii="Times New Roman" w:hAnsi="Times New Roman" w:eastAsia="仿宋_GB2312" w:cs="Times New Roman"/>
                <w:color w:val="auto"/>
                <w:kern w:val="2"/>
                <w:sz w:val="24"/>
                <w:szCs w:val="24"/>
                <w:highlight w:val="none"/>
                <w:vertAlign w:val="subscript"/>
                <w:lang w:val="en-US" w:eastAsia="zh-CN" w:bidi="ar-SA"/>
              </w:rPr>
              <w:t>2.5</w:t>
            </w:r>
            <w:r>
              <w:rPr>
                <w:rFonts w:hint="default" w:ascii="Times New Roman" w:hAnsi="Times New Roman" w:eastAsia="仿宋_GB2312" w:cs="Times New Roman"/>
                <w:color w:val="auto"/>
                <w:kern w:val="2"/>
                <w:sz w:val="24"/>
                <w:szCs w:val="24"/>
                <w:highlight w:val="none"/>
                <w:lang w:val="en-US" w:eastAsia="zh-CN" w:bidi="ar-SA"/>
              </w:rPr>
              <w:t>、SO</w:t>
            </w:r>
            <w:r>
              <w:rPr>
                <w:rFonts w:hint="default" w:ascii="Times New Roman" w:hAnsi="Times New Roman" w:eastAsia="仿宋_GB2312" w:cs="Times New Roman"/>
                <w:color w:val="auto"/>
                <w:kern w:val="2"/>
                <w:sz w:val="24"/>
                <w:szCs w:val="24"/>
                <w:highlight w:val="none"/>
                <w:vertAlign w:val="subscript"/>
                <w:lang w:val="en-US" w:eastAsia="zh-CN" w:bidi="ar-SA"/>
              </w:rPr>
              <w:t>2</w:t>
            </w:r>
            <w:r>
              <w:rPr>
                <w:rFonts w:hint="default" w:ascii="Times New Roman" w:hAnsi="Times New Roman" w:eastAsia="仿宋_GB2312" w:cs="Times New Roman"/>
                <w:color w:val="auto"/>
                <w:kern w:val="2"/>
                <w:sz w:val="24"/>
                <w:szCs w:val="24"/>
                <w:highlight w:val="none"/>
                <w:lang w:val="en-US" w:eastAsia="zh-CN" w:bidi="ar-SA"/>
              </w:rPr>
              <w:t>、NO</w:t>
            </w:r>
            <w:r>
              <w:rPr>
                <w:rFonts w:hint="default" w:ascii="Times New Roman" w:hAnsi="Times New Roman" w:eastAsia="仿宋_GB2312" w:cs="Times New Roman"/>
                <w:color w:val="auto"/>
                <w:kern w:val="2"/>
                <w:sz w:val="24"/>
                <w:szCs w:val="24"/>
                <w:highlight w:val="none"/>
                <w:vertAlign w:val="subscript"/>
                <w:lang w:val="en-US" w:eastAsia="zh-CN" w:bidi="ar-SA"/>
              </w:rPr>
              <w:t>2</w:t>
            </w:r>
            <w:r>
              <w:rPr>
                <w:rFonts w:hint="default" w:ascii="Times New Roman" w:hAnsi="Times New Roman" w:eastAsia="仿宋_GB2312" w:cs="Times New Roman"/>
                <w:color w:val="auto"/>
                <w:kern w:val="2"/>
                <w:sz w:val="24"/>
                <w:szCs w:val="24"/>
                <w:highlight w:val="none"/>
                <w:lang w:val="en-US" w:eastAsia="zh-CN" w:bidi="ar-SA"/>
              </w:rPr>
              <w:t>、CO、O</w:t>
            </w:r>
            <w:r>
              <w:rPr>
                <w:rFonts w:hint="default" w:ascii="Times New Roman" w:hAnsi="Times New Roman" w:eastAsia="仿宋_GB2312" w:cs="Times New Roman"/>
                <w:color w:val="auto"/>
                <w:kern w:val="2"/>
                <w:sz w:val="24"/>
                <w:szCs w:val="24"/>
                <w:highlight w:val="none"/>
                <w:vertAlign w:val="subscript"/>
                <w:lang w:val="en-US" w:eastAsia="zh-CN" w:bidi="ar-SA"/>
              </w:rPr>
              <w:t>3</w:t>
            </w:r>
            <w:r>
              <w:rPr>
                <w:rFonts w:hint="default" w:ascii="Times New Roman" w:hAnsi="Times New Roman" w:eastAsia="仿宋_GB2312" w:cs="Times New Roman"/>
                <w:color w:val="auto"/>
                <w:kern w:val="2"/>
                <w:sz w:val="24"/>
                <w:szCs w:val="24"/>
                <w:highlight w:val="none"/>
                <w:lang w:val="en-US" w:eastAsia="zh-CN" w:bidi="ar-SA"/>
              </w:rPr>
              <w:t>环境监测数据均符合《环境空气质量标准》（GB3095-2012）及修改单中二级标准要求，属于达标区。</w:t>
            </w:r>
          </w:p>
          <w:p w14:paraId="16AC514D">
            <w:pPr>
              <w:keepNext w:val="0"/>
              <w:keepLines w:val="0"/>
              <w:pageBreakBefore w:val="0"/>
              <w:kinsoku/>
              <w:wordWrap/>
              <w:overflowPunct/>
              <w:topLinePunct w:val="0"/>
              <w:bidi w:val="0"/>
              <w:adjustRightInd/>
              <w:snapToGrid/>
              <w:spacing w:line="360" w:lineRule="auto"/>
              <w:rPr>
                <w:rFonts w:hint="default" w:ascii="Times New Roman" w:hAnsi="Times New Roman" w:eastAsia="仿宋_GB2312" w:cs="Times New Roman"/>
                <w:b/>
                <w:bCs/>
                <w:color w:val="auto"/>
                <w:sz w:val="24"/>
                <w:szCs w:val="24"/>
                <w:highlight w:val="none"/>
              </w:rPr>
            </w:pPr>
            <w:r>
              <w:rPr>
                <w:rFonts w:hint="eastAsia" w:eastAsia="仿宋_GB2312" w:cs="Times New Roman"/>
                <w:b/>
                <w:bCs/>
                <w:color w:val="auto"/>
                <w:sz w:val="24"/>
                <w:szCs w:val="24"/>
                <w:highlight w:val="none"/>
                <w:lang w:val="en-US" w:eastAsia="zh-CN"/>
              </w:rPr>
              <w:t>3.</w:t>
            </w:r>
            <w:r>
              <w:rPr>
                <w:rFonts w:hint="default" w:ascii="Times New Roman" w:hAnsi="Times New Roman" w:eastAsia="仿宋_GB2312" w:cs="Times New Roman"/>
                <w:b/>
                <w:bCs/>
                <w:color w:val="auto"/>
                <w:sz w:val="24"/>
                <w:szCs w:val="24"/>
                <w:highlight w:val="none"/>
              </w:rPr>
              <w:t>地表水环境质量状况</w:t>
            </w:r>
          </w:p>
          <w:p w14:paraId="1DE109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 w:val="0"/>
                <w:bCs/>
                <w:color w:val="auto"/>
                <w:sz w:val="24"/>
                <w:szCs w:val="24"/>
                <w:highlight w:val="none"/>
                <w:lang w:val="en-US" w:eastAsia="zh-CN"/>
              </w:rPr>
            </w:pPr>
            <w:r>
              <w:rPr>
                <w:rFonts w:hint="eastAsia" w:eastAsia="仿宋_GB2312" w:cs="Times New Roman"/>
                <w:b w:val="0"/>
                <w:bCs/>
                <w:color w:val="auto"/>
                <w:sz w:val="24"/>
                <w:szCs w:val="24"/>
                <w:highlight w:val="none"/>
                <w:lang w:val="en-US" w:eastAsia="zh-CN"/>
              </w:rPr>
              <w:t>项目所在地的主要地表水体主要为泾河，泾河为黄河支流渭河的第一大支流，本次地表水现状评价利用已有资料为主，引用《2024年宁夏生态环境质量状况》中泾河龙潭水库断面水质现状结论进行评价。根据结论可知，泾河龙潭水库断面为Ⅰ类水质，与上年相比，龙潭水库断面水质有所好转，泾河龙潭水库断面整体水质满足《地表水环境质量标准》（GB3838-2002）中的Ⅱ类标准要求。</w:t>
            </w:r>
          </w:p>
          <w:p w14:paraId="68B541C7">
            <w:pPr>
              <w:keepNext w:val="0"/>
              <w:keepLines w:val="0"/>
              <w:pageBreakBefore w:val="0"/>
              <w:kinsoku/>
              <w:wordWrap/>
              <w:overflowPunct/>
              <w:topLinePunct w:val="0"/>
              <w:bidi w:val="0"/>
              <w:adjustRightInd/>
              <w:snapToGrid/>
              <w:spacing w:line="360" w:lineRule="auto"/>
              <w:rPr>
                <w:rFonts w:hint="default" w:ascii="Times New Roman" w:hAnsi="Times New Roman" w:eastAsia="仿宋_GB2312" w:cs="Times New Roman"/>
                <w:b/>
                <w:bCs/>
                <w:color w:val="auto"/>
                <w:sz w:val="24"/>
                <w:szCs w:val="24"/>
                <w:highlight w:val="none"/>
              </w:rPr>
            </w:pPr>
            <w:r>
              <w:rPr>
                <w:rFonts w:hint="eastAsia" w:eastAsia="仿宋_GB2312" w:cs="Times New Roman"/>
                <w:b/>
                <w:color w:val="auto"/>
                <w:sz w:val="24"/>
                <w:szCs w:val="24"/>
                <w:highlight w:val="none"/>
                <w:lang w:val="en-US" w:eastAsia="zh-CN"/>
              </w:rPr>
              <w:t>4.</w:t>
            </w:r>
            <w:r>
              <w:rPr>
                <w:rFonts w:hint="default" w:ascii="Times New Roman" w:hAnsi="Times New Roman" w:eastAsia="仿宋_GB2312" w:cs="Times New Roman"/>
                <w:b/>
                <w:color w:val="auto"/>
                <w:sz w:val="24"/>
                <w:szCs w:val="24"/>
                <w:highlight w:val="none"/>
              </w:rPr>
              <w:t>声环境</w:t>
            </w:r>
            <w:r>
              <w:rPr>
                <w:rFonts w:hint="default" w:ascii="Times New Roman" w:hAnsi="Times New Roman" w:eastAsia="仿宋_GB2312" w:cs="Times New Roman"/>
                <w:b/>
                <w:bCs/>
                <w:color w:val="auto"/>
                <w:sz w:val="24"/>
                <w:szCs w:val="24"/>
                <w:highlight w:val="none"/>
              </w:rPr>
              <w:t>质量状况</w:t>
            </w:r>
          </w:p>
          <w:p w14:paraId="48EFB035">
            <w:pPr>
              <w:adjustRightInd w:val="0"/>
              <w:snapToGrid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本项目位于</w:t>
            </w:r>
            <w:r>
              <w:rPr>
                <w:rFonts w:hint="eastAsia" w:ascii="Times New Roman" w:hAnsi="Times New Roman" w:eastAsia="仿宋_GB2312" w:cs="Times New Roman"/>
                <w:color w:val="auto"/>
                <w:sz w:val="24"/>
                <w:szCs w:val="24"/>
                <w:highlight w:val="none"/>
                <w:lang w:val="en-US" w:eastAsia="zh-CN"/>
              </w:rPr>
              <w:t>宁夏回族自治区泾源县六盘山镇</w:t>
            </w:r>
            <w:r>
              <w:rPr>
                <w:rFonts w:hint="default" w:ascii="Times New Roman" w:hAnsi="Times New Roman" w:eastAsia="仿宋_GB2312" w:cs="Times New Roman"/>
                <w:color w:val="auto"/>
                <w:sz w:val="24"/>
                <w:szCs w:val="24"/>
                <w:highlight w:val="none"/>
                <w:lang w:val="en-US" w:eastAsia="zh-CN"/>
              </w:rPr>
              <w:t>，厂界外周边50m范围内声环境保护目标</w:t>
            </w:r>
            <w:r>
              <w:rPr>
                <w:rFonts w:hint="eastAsia" w:ascii="Times New Roman" w:hAnsi="Times New Roman" w:eastAsia="仿宋_GB2312" w:cs="Times New Roman"/>
                <w:color w:val="auto"/>
                <w:sz w:val="24"/>
                <w:szCs w:val="24"/>
                <w:highlight w:val="none"/>
                <w:lang w:val="en-US" w:eastAsia="zh-CN"/>
              </w:rPr>
              <w:t>见下表：</w:t>
            </w:r>
          </w:p>
          <w:p w14:paraId="7F81A278">
            <w:pPr>
              <w:adjustRightInd w:val="0"/>
              <w:snapToGrid w:val="0"/>
              <w:ind w:firstLine="420" w:firstLineChars="200"/>
              <w:jc w:val="both"/>
              <w:rPr>
                <w:rFonts w:hint="eastAsia" w:eastAsia="宋体" w:cs="Times New Roman"/>
                <w:b w:val="0"/>
                <w:bCs/>
                <w:color w:val="auto"/>
                <w:sz w:val="24"/>
                <w:lang w:val="en-US" w:eastAsia="zh-CN"/>
              </w:rPr>
            </w:pPr>
            <w:r>
              <w:rPr>
                <w:rFonts w:hint="eastAsia" w:ascii="Times New Roman" w:hAnsi="Times New Roman" w:eastAsia="宋体" w:cs="Times New Roman"/>
                <w:b w:val="0"/>
                <w:bCs/>
                <w:snapToGrid/>
                <w:color w:val="auto"/>
                <w:kern w:val="2"/>
                <w:sz w:val="21"/>
                <w:szCs w:val="21"/>
                <w:lang w:val="en-US" w:eastAsia="zh-CN" w:bidi="ar-SA"/>
              </w:rPr>
              <w:t>表</w:t>
            </w:r>
            <w:r>
              <w:rPr>
                <w:rFonts w:hint="eastAsia" w:cs="Times New Roman"/>
                <w:b w:val="0"/>
                <w:bCs/>
                <w:snapToGrid/>
                <w:color w:val="auto"/>
                <w:kern w:val="2"/>
                <w:sz w:val="21"/>
                <w:szCs w:val="21"/>
                <w:lang w:val="en-US" w:eastAsia="zh-CN" w:bidi="ar-SA"/>
              </w:rPr>
              <w:t>13</w:t>
            </w:r>
            <w:r>
              <w:rPr>
                <w:rFonts w:hint="eastAsia" w:ascii="Times New Roman" w:hAnsi="Times New Roman" w:eastAsia="宋体" w:cs="Times New Roman"/>
                <w:b w:val="0"/>
                <w:bCs/>
                <w:snapToGrid/>
                <w:color w:val="auto"/>
                <w:kern w:val="2"/>
                <w:sz w:val="21"/>
                <w:szCs w:val="21"/>
                <w:lang w:val="en-US" w:eastAsia="zh-CN" w:bidi="ar-SA"/>
              </w:rPr>
              <w:t xml:space="preserve"> </w:t>
            </w:r>
            <w:r>
              <w:rPr>
                <w:rFonts w:hint="eastAsia" w:eastAsia="宋体" w:cs="Times New Roman"/>
                <w:b w:val="0"/>
                <w:bCs/>
                <w:color w:val="auto"/>
                <w:sz w:val="24"/>
                <w:lang w:val="en-US" w:eastAsia="zh-CN"/>
              </w:rPr>
              <w:t xml:space="preserve">                       </w:t>
            </w:r>
            <w:r>
              <w:rPr>
                <w:rFonts w:hint="eastAsia" w:eastAsia="宋体" w:cs="Times New Roman"/>
                <w:b/>
                <w:bCs w:val="0"/>
                <w:color w:val="auto"/>
                <w:sz w:val="24"/>
                <w:lang w:val="en-US" w:eastAsia="zh-CN"/>
              </w:rPr>
              <w:t>噪声监测内容一览表</w:t>
            </w:r>
          </w:p>
          <w:tbl>
            <w:tblPr>
              <w:tblStyle w:val="33"/>
              <w:tblW w:w="8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3462"/>
              <w:gridCol w:w="1810"/>
              <w:gridCol w:w="1880"/>
            </w:tblGrid>
            <w:tr w14:paraId="15E0E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386" w:type="dxa"/>
                  <w:tcBorders>
                    <w:tl2br w:val="nil"/>
                    <w:tr2bl w:val="nil"/>
                  </w:tcBorders>
                  <w:noWrap w:val="0"/>
                  <w:vAlign w:val="center"/>
                </w:tcPr>
                <w:p w14:paraId="6B25B046">
                  <w:pPr>
                    <w:spacing w:line="320" w:lineRule="exact"/>
                    <w:ind w:firstLine="0" w:firstLineChars="0"/>
                    <w:jc w:val="center"/>
                    <w:rPr>
                      <w:b/>
                      <w:color w:val="auto"/>
                      <w:sz w:val="21"/>
                      <w:szCs w:val="21"/>
                      <w:highlight w:val="none"/>
                    </w:rPr>
                  </w:pPr>
                  <w:r>
                    <w:rPr>
                      <w:b/>
                      <w:color w:val="auto"/>
                      <w:sz w:val="21"/>
                      <w:szCs w:val="21"/>
                      <w:highlight w:val="none"/>
                    </w:rPr>
                    <w:t>监测类别</w:t>
                  </w:r>
                </w:p>
              </w:tc>
              <w:tc>
                <w:tcPr>
                  <w:tcW w:w="3462" w:type="dxa"/>
                  <w:tcBorders>
                    <w:tl2br w:val="nil"/>
                    <w:tr2bl w:val="nil"/>
                  </w:tcBorders>
                  <w:noWrap w:val="0"/>
                  <w:vAlign w:val="center"/>
                </w:tcPr>
                <w:p w14:paraId="1BA07EA1">
                  <w:pPr>
                    <w:spacing w:line="320" w:lineRule="exact"/>
                    <w:ind w:firstLine="0" w:firstLineChars="0"/>
                    <w:jc w:val="center"/>
                    <w:rPr>
                      <w:b/>
                      <w:color w:val="auto"/>
                      <w:sz w:val="21"/>
                      <w:szCs w:val="21"/>
                      <w:highlight w:val="none"/>
                    </w:rPr>
                  </w:pPr>
                  <w:r>
                    <w:rPr>
                      <w:b/>
                      <w:color w:val="auto"/>
                      <w:sz w:val="21"/>
                      <w:szCs w:val="21"/>
                      <w:highlight w:val="none"/>
                    </w:rPr>
                    <w:t>监测点位</w:t>
                  </w:r>
                </w:p>
              </w:tc>
              <w:tc>
                <w:tcPr>
                  <w:tcW w:w="1810" w:type="dxa"/>
                  <w:tcBorders>
                    <w:tl2br w:val="nil"/>
                    <w:tr2bl w:val="nil"/>
                  </w:tcBorders>
                  <w:noWrap w:val="0"/>
                  <w:vAlign w:val="center"/>
                </w:tcPr>
                <w:p w14:paraId="446E2F2C">
                  <w:pPr>
                    <w:spacing w:line="320" w:lineRule="exact"/>
                    <w:ind w:firstLine="0" w:firstLineChars="0"/>
                    <w:jc w:val="center"/>
                    <w:rPr>
                      <w:b/>
                      <w:color w:val="auto"/>
                      <w:sz w:val="21"/>
                      <w:szCs w:val="21"/>
                      <w:highlight w:val="none"/>
                    </w:rPr>
                  </w:pPr>
                  <w:r>
                    <w:rPr>
                      <w:b/>
                      <w:color w:val="auto"/>
                      <w:sz w:val="21"/>
                      <w:szCs w:val="21"/>
                      <w:highlight w:val="none"/>
                    </w:rPr>
                    <w:t>监测项目</w:t>
                  </w:r>
                </w:p>
              </w:tc>
              <w:tc>
                <w:tcPr>
                  <w:tcW w:w="1880" w:type="dxa"/>
                  <w:tcBorders>
                    <w:tl2br w:val="nil"/>
                    <w:tr2bl w:val="nil"/>
                  </w:tcBorders>
                  <w:noWrap w:val="0"/>
                  <w:vAlign w:val="center"/>
                </w:tcPr>
                <w:p w14:paraId="024D4577">
                  <w:pPr>
                    <w:spacing w:line="320" w:lineRule="exact"/>
                    <w:ind w:firstLine="0" w:firstLineChars="0"/>
                    <w:jc w:val="center"/>
                    <w:rPr>
                      <w:b/>
                      <w:color w:val="auto"/>
                      <w:sz w:val="21"/>
                      <w:szCs w:val="21"/>
                      <w:highlight w:val="none"/>
                    </w:rPr>
                  </w:pPr>
                  <w:r>
                    <w:rPr>
                      <w:b/>
                      <w:color w:val="auto"/>
                      <w:sz w:val="21"/>
                      <w:szCs w:val="21"/>
                      <w:highlight w:val="none"/>
                    </w:rPr>
                    <w:t>监测频次</w:t>
                  </w:r>
                </w:p>
              </w:tc>
            </w:tr>
            <w:tr w14:paraId="215AF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86" w:type="dxa"/>
                  <w:vMerge w:val="restart"/>
                  <w:tcBorders>
                    <w:tl2br w:val="nil"/>
                    <w:tr2bl w:val="nil"/>
                  </w:tcBorders>
                  <w:noWrap w:val="0"/>
                  <w:vAlign w:val="center"/>
                </w:tcPr>
                <w:p w14:paraId="30840EDD">
                  <w:pPr>
                    <w:spacing w:line="320" w:lineRule="exact"/>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声</w:t>
                  </w:r>
                  <w:r>
                    <w:rPr>
                      <w:rFonts w:hint="eastAsia"/>
                      <w:color w:val="auto"/>
                      <w:sz w:val="21"/>
                      <w:szCs w:val="21"/>
                      <w:highlight w:val="none"/>
                      <w:lang w:eastAsia="zh-CN"/>
                    </w:rPr>
                    <w:t>环境敏感点</w:t>
                  </w:r>
                </w:p>
              </w:tc>
              <w:tc>
                <w:tcPr>
                  <w:tcW w:w="3462" w:type="dxa"/>
                  <w:tcBorders>
                    <w:tl2br w:val="nil"/>
                    <w:tr2bl w:val="nil"/>
                  </w:tcBorders>
                  <w:shd w:val="clear" w:color="auto" w:fill="auto"/>
                  <w:noWrap w:val="0"/>
                  <w:vAlign w:val="center"/>
                </w:tcPr>
                <w:p w14:paraId="631189BB">
                  <w:pPr>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w:t>
                  </w:r>
                  <w:r>
                    <w:rPr>
                      <w:rFonts w:hint="eastAsia" w:ascii="Times New Roman" w:hAnsi="Times New Roman" w:eastAsia="宋体" w:cs="Times New Roman"/>
                      <w:b w:val="0"/>
                      <w:bCs w:val="0"/>
                      <w:color w:val="auto"/>
                      <w:sz w:val="21"/>
                      <w:szCs w:val="21"/>
                      <w:highlight w:val="none"/>
                      <w:vertAlign w:val="baseline"/>
                      <w:lang w:val="en-US" w:eastAsia="zh-CN"/>
                    </w:rPr>
                    <w:t>1#</w:t>
                  </w:r>
                </w:p>
              </w:tc>
              <w:tc>
                <w:tcPr>
                  <w:tcW w:w="1810" w:type="dxa"/>
                  <w:vMerge w:val="restart"/>
                  <w:tcBorders>
                    <w:tl2br w:val="nil"/>
                    <w:tr2bl w:val="nil"/>
                  </w:tcBorders>
                  <w:noWrap w:val="0"/>
                  <w:vAlign w:val="center"/>
                </w:tcPr>
                <w:p w14:paraId="2D7800E6">
                  <w:pPr>
                    <w:spacing w:line="320" w:lineRule="exact"/>
                    <w:ind w:firstLine="0" w:firstLineChars="0"/>
                    <w:jc w:val="center"/>
                    <w:rPr>
                      <w:color w:val="auto"/>
                      <w:sz w:val="21"/>
                      <w:szCs w:val="21"/>
                      <w:highlight w:val="none"/>
                    </w:rPr>
                  </w:pPr>
                  <w:r>
                    <w:rPr>
                      <w:color w:val="auto"/>
                      <w:sz w:val="21"/>
                      <w:szCs w:val="21"/>
                      <w:highlight w:val="none"/>
                    </w:rPr>
                    <w:t>昼间等效</w:t>
                  </w:r>
                  <w:r>
                    <w:rPr>
                      <w:rFonts w:hint="eastAsia"/>
                      <w:color w:val="auto"/>
                      <w:sz w:val="21"/>
                      <w:szCs w:val="21"/>
                      <w:highlight w:val="none"/>
                    </w:rPr>
                    <w:t>连续A</w:t>
                  </w:r>
                  <w:r>
                    <w:rPr>
                      <w:color w:val="auto"/>
                      <w:sz w:val="21"/>
                      <w:szCs w:val="21"/>
                      <w:highlight w:val="none"/>
                    </w:rPr>
                    <w:t>声级</w:t>
                  </w:r>
                </w:p>
              </w:tc>
              <w:tc>
                <w:tcPr>
                  <w:tcW w:w="1880" w:type="dxa"/>
                  <w:vMerge w:val="restart"/>
                  <w:tcBorders>
                    <w:tl2br w:val="nil"/>
                    <w:tr2bl w:val="nil"/>
                  </w:tcBorders>
                  <w:noWrap w:val="0"/>
                  <w:vAlign w:val="center"/>
                </w:tcPr>
                <w:p w14:paraId="6C466455">
                  <w:pPr>
                    <w:spacing w:line="320" w:lineRule="exact"/>
                    <w:ind w:firstLine="0" w:firstLineChars="0"/>
                    <w:jc w:val="center"/>
                    <w:rPr>
                      <w:color w:val="auto"/>
                      <w:sz w:val="21"/>
                      <w:szCs w:val="21"/>
                      <w:highlight w:val="none"/>
                    </w:rPr>
                  </w:pPr>
                  <w:r>
                    <w:rPr>
                      <w:color w:val="auto"/>
                      <w:sz w:val="21"/>
                      <w:szCs w:val="21"/>
                      <w:highlight w:val="none"/>
                    </w:rPr>
                    <w:t>昼</w:t>
                  </w:r>
                  <w:r>
                    <w:rPr>
                      <w:rFonts w:hint="eastAsia"/>
                      <w:color w:val="auto"/>
                      <w:sz w:val="21"/>
                      <w:szCs w:val="21"/>
                      <w:highlight w:val="none"/>
                    </w:rPr>
                    <w:t>间</w:t>
                  </w:r>
                  <w:r>
                    <w:rPr>
                      <w:color w:val="auto"/>
                      <w:sz w:val="21"/>
                      <w:szCs w:val="21"/>
                      <w:highlight w:val="none"/>
                    </w:rPr>
                    <w:t>1次</w:t>
                  </w:r>
                </w:p>
              </w:tc>
            </w:tr>
            <w:tr w14:paraId="662BC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386" w:type="dxa"/>
                  <w:vMerge w:val="continue"/>
                  <w:tcBorders>
                    <w:tl2br w:val="nil"/>
                    <w:tr2bl w:val="nil"/>
                  </w:tcBorders>
                  <w:noWrap w:val="0"/>
                  <w:vAlign w:val="center"/>
                </w:tcPr>
                <w:p w14:paraId="422CC06A">
                  <w:pPr>
                    <w:spacing w:line="320" w:lineRule="exact"/>
                    <w:ind w:firstLine="0" w:firstLineChars="0"/>
                    <w:jc w:val="center"/>
                    <w:rPr>
                      <w:rFonts w:hint="eastAsia"/>
                      <w:color w:val="auto"/>
                      <w:sz w:val="21"/>
                      <w:szCs w:val="21"/>
                      <w:highlight w:val="none"/>
                      <w:lang w:eastAsia="zh-CN"/>
                    </w:rPr>
                  </w:pPr>
                </w:p>
              </w:tc>
              <w:tc>
                <w:tcPr>
                  <w:tcW w:w="3462" w:type="dxa"/>
                  <w:tcBorders>
                    <w:tl2br w:val="nil"/>
                    <w:tr2bl w:val="nil"/>
                  </w:tcBorders>
                  <w:shd w:val="clear" w:color="auto" w:fill="auto"/>
                  <w:noWrap w:val="0"/>
                  <w:vAlign w:val="center"/>
                </w:tcPr>
                <w:p w14:paraId="62A93B1E">
                  <w:pPr>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w:t>
                  </w:r>
                  <w:r>
                    <w:rPr>
                      <w:rFonts w:hint="eastAsia" w:ascii="Times New Roman" w:hAnsi="Times New Roman" w:eastAsia="宋体" w:cs="Times New Roman"/>
                      <w:b w:val="0"/>
                      <w:bCs w:val="0"/>
                      <w:color w:val="auto"/>
                      <w:sz w:val="21"/>
                      <w:szCs w:val="21"/>
                      <w:highlight w:val="none"/>
                      <w:vertAlign w:val="baseline"/>
                      <w:lang w:val="en-US" w:eastAsia="zh-CN"/>
                    </w:rPr>
                    <w:t>2#</w:t>
                  </w:r>
                </w:p>
              </w:tc>
              <w:tc>
                <w:tcPr>
                  <w:tcW w:w="1810" w:type="dxa"/>
                  <w:vMerge w:val="continue"/>
                  <w:tcBorders>
                    <w:tl2br w:val="nil"/>
                    <w:tr2bl w:val="nil"/>
                  </w:tcBorders>
                  <w:noWrap w:val="0"/>
                  <w:vAlign w:val="center"/>
                </w:tcPr>
                <w:p w14:paraId="0E99DC5B">
                  <w:pPr>
                    <w:spacing w:line="320" w:lineRule="exact"/>
                    <w:ind w:firstLine="0" w:firstLineChars="0"/>
                    <w:jc w:val="center"/>
                    <w:rPr>
                      <w:color w:val="0000FF"/>
                      <w:sz w:val="21"/>
                      <w:szCs w:val="21"/>
                      <w:highlight w:val="none"/>
                    </w:rPr>
                  </w:pPr>
                </w:p>
              </w:tc>
              <w:tc>
                <w:tcPr>
                  <w:tcW w:w="1880" w:type="dxa"/>
                  <w:vMerge w:val="continue"/>
                  <w:tcBorders>
                    <w:tl2br w:val="nil"/>
                    <w:tr2bl w:val="nil"/>
                  </w:tcBorders>
                  <w:noWrap w:val="0"/>
                  <w:vAlign w:val="center"/>
                </w:tcPr>
                <w:p w14:paraId="010C0B99">
                  <w:pPr>
                    <w:spacing w:line="320" w:lineRule="exact"/>
                    <w:ind w:firstLine="0" w:firstLineChars="0"/>
                    <w:jc w:val="center"/>
                    <w:rPr>
                      <w:color w:val="0000FF"/>
                      <w:sz w:val="21"/>
                      <w:szCs w:val="21"/>
                      <w:highlight w:val="none"/>
                    </w:rPr>
                  </w:pPr>
                </w:p>
              </w:tc>
            </w:tr>
            <w:tr w14:paraId="0F286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386" w:type="dxa"/>
                  <w:vMerge w:val="continue"/>
                  <w:tcBorders>
                    <w:tl2br w:val="nil"/>
                    <w:tr2bl w:val="nil"/>
                  </w:tcBorders>
                  <w:noWrap w:val="0"/>
                  <w:vAlign w:val="center"/>
                </w:tcPr>
                <w:p w14:paraId="70BE0637">
                  <w:pPr>
                    <w:spacing w:line="320" w:lineRule="exact"/>
                    <w:ind w:firstLine="0" w:firstLineChars="0"/>
                    <w:jc w:val="center"/>
                    <w:rPr>
                      <w:rFonts w:hint="eastAsia"/>
                      <w:color w:val="auto"/>
                      <w:sz w:val="21"/>
                      <w:szCs w:val="21"/>
                      <w:highlight w:val="none"/>
                      <w:lang w:eastAsia="zh-CN"/>
                    </w:rPr>
                  </w:pPr>
                </w:p>
              </w:tc>
              <w:tc>
                <w:tcPr>
                  <w:tcW w:w="3462" w:type="dxa"/>
                  <w:tcBorders>
                    <w:tl2br w:val="nil"/>
                    <w:tr2bl w:val="nil"/>
                  </w:tcBorders>
                  <w:shd w:val="clear" w:color="auto" w:fill="auto"/>
                  <w:noWrap w:val="0"/>
                  <w:vAlign w:val="center"/>
                </w:tcPr>
                <w:p w14:paraId="3B03CEE6">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w:t>
                  </w: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1810" w:type="dxa"/>
                  <w:vMerge w:val="continue"/>
                  <w:tcBorders>
                    <w:tl2br w:val="nil"/>
                    <w:tr2bl w:val="nil"/>
                  </w:tcBorders>
                  <w:noWrap w:val="0"/>
                  <w:vAlign w:val="center"/>
                </w:tcPr>
                <w:p w14:paraId="5090C59B">
                  <w:pPr>
                    <w:spacing w:line="320" w:lineRule="exact"/>
                    <w:ind w:firstLine="0" w:firstLineChars="0"/>
                    <w:jc w:val="center"/>
                    <w:rPr>
                      <w:color w:val="0000FF"/>
                      <w:sz w:val="21"/>
                      <w:szCs w:val="21"/>
                      <w:highlight w:val="none"/>
                    </w:rPr>
                  </w:pPr>
                </w:p>
              </w:tc>
              <w:tc>
                <w:tcPr>
                  <w:tcW w:w="1880" w:type="dxa"/>
                  <w:vMerge w:val="continue"/>
                  <w:tcBorders>
                    <w:tl2br w:val="nil"/>
                    <w:tr2bl w:val="nil"/>
                  </w:tcBorders>
                  <w:noWrap w:val="0"/>
                  <w:vAlign w:val="center"/>
                </w:tcPr>
                <w:p w14:paraId="6D5BA66B">
                  <w:pPr>
                    <w:spacing w:line="320" w:lineRule="exact"/>
                    <w:ind w:firstLine="0" w:firstLineChars="0"/>
                    <w:jc w:val="center"/>
                    <w:rPr>
                      <w:color w:val="0000FF"/>
                      <w:sz w:val="21"/>
                      <w:szCs w:val="21"/>
                      <w:highlight w:val="none"/>
                    </w:rPr>
                  </w:pPr>
                </w:p>
              </w:tc>
            </w:tr>
            <w:tr w14:paraId="175C3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386" w:type="dxa"/>
                  <w:vMerge w:val="continue"/>
                  <w:tcBorders>
                    <w:tl2br w:val="nil"/>
                    <w:tr2bl w:val="nil"/>
                  </w:tcBorders>
                  <w:noWrap w:val="0"/>
                  <w:vAlign w:val="center"/>
                </w:tcPr>
                <w:p w14:paraId="7A4898FC">
                  <w:pPr>
                    <w:spacing w:line="320" w:lineRule="exact"/>
                    <w:ind w:firstLine="0" w:firstLineChars="0"/>
                    <w:jc w:val="center"/>
                    <w:rPr>
                      <w:rFonts w:hint="eastAsia"/>
                      <w:color w:val="auto"/>
                      <w:sz w:val="21"/>
                      <w:szCs w:val="21"/>
                      <w:highlight w:val="none"/>
                      <w:lang w:eastAsia="zh-CN"/>
                    </w:rPr>
                  </w:pPr>
                </w:p>
              </w:tc>
              <w:tc>
                <w:tcPr>
                  <w:tcW w:w="3462" w:type="dxa"/>
                  <w:tcBorders>
                    <w:tl2br w:val="nil"/>
                    <w:tr2bl w:val="nil"/>
                  </w:tcBorders>
                  <w:shd w:val="clear" w:color="auto" w:fill="auto"/>
                  <w:noWrap w:val="0"/>
                  <w:vAlign w:val="center"/>
                </w:tcPr>
                <w:p w14:paraId="607B3EFA">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w:t>
                  </w: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1810" w:type="dxa"/>
                  <w:vMerge w:val="continue"/>
                  <w:tcBorders>
                    <w:tl2br w:val="nil"/>
                    <w:tr2bl w:val="nil"/>
                  </w:tcBorders>
                  <w:noWrap w:val="0"/>
                  <w:vAlign w:val="center"/>
                </w:tcPr>
                <w:p w14:paraId="2B50D1A7">
                  <w:pPr>
                    <w:spacing w:line="320" w:lineRule="exact"/>
                    <w:ind w:firstLine="0" w:firstLineChars="0"/>
                    <w:jc w:val="center"/>
                    <w:rPr>
                      <w:color w:val="0000FF"/>
                      <w:sz w:val="21"/>
                      <w:szCs w:val="21"/>
                      <w:highlight w:val="none"/>
                    </w:rPr>
                  </w:pPr>
                </w:p>
              </w:tc>
              <w:tc>
                <w:tcPr>
                  <w:tcW w:w="1880" w:type="dxa"/>
                  <w:vMerge w:val="continue"/>
                  <w:tcBorders>
                    <w:tl2br w:val="nil"/>
                    <w:tr2bl w:val="nil"/>
                  </w:tcBorders>
                  <w:noWrap w:val="0"/>
                  <w:vAlign w:val="center"/>
                </w:tcPr>
                <w:p w14:paraId="002ACE8E">
                  <w:pPr>
                    <w:spacing w:line="320" w:lineRule="exact"/>
                    <w:ind w:firstLine="0" w:firstLineChars="0"/>
                    <w:jc w:val="center"/>
                    <w:rPr>
                      <w:color w:val="0000FF"/>
                      <w:sz w:val="21"/>
                      <w:szCs w:val="21"/>
                      <w:highlight w:val="none"/>
                    </w:rPr>
                  </w:pPr>
                </w:p>
              </w:tc>
            </w:tr>
            <w:tr w14:paraId="45769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386" w:type="dxa"/>
                  <w:vMerge w:val="continue"/>
                  <w:tcBorders>
                    <w:tl2br w:val="nil"/>
                    <w:tr2bl w:val="nil"/>
                  </w:tcBorders>
                  <w:noWrap w:val="0"/>
                  <w:vAlign w:val="center"/>
                </w:tcPr>
                <w:p w14:paraId="1F957314">
                  <w:pPr>
                    <w:spacing w:line="320" w:lineRule="exact"/>
                    <w:ind w:firstLine="0" w:firstLineChars="0"/>
                    <w:jc w:val="center"/>
                    <w:rPr>
                      <w:rFonts w:hint="eastAsia"/>
                      <w:color w:val="auto"/>
                      <w:sz w:val="21"/>
                      <w:szCs w:val="21"/>
                      <w:highlight w:val="none"/>
                      <w:lang w:eastAsia="zh-CN"/>
                    </w:rPr>
                  </w:pPr>
                </w:p>
              </w:tc>
              <w:tc>
                <w:tcPr>
                  <w:tcW w:w="3462" w:type="dxa"/>
                  <w:tcBorders>
                    <w:tl2br w:val="nil"/>
                    <w:tr2bl w:val="nil"/>
                  </w:tcBorders>
                  <w:shd w:val="clear" w:color="auto" w:fill="auto"/>
                  <w:noWrap w:val="0"/>
                  <w:vAlign w:val="center"/>
                </w:tcPr>
                <w:p w14:paraId="69EB473C">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w:t>
                  </w:r>
                  <w:r>
                    <w:rPr>
                      <w:rFonts w:hint="eastAsia" w:ascii="Times New Roman" w:hAnsi="Times New Roman" w:eastAsia="宋体" w:cs="Times New Roman"/>
                      <w:b w:val="0"/>
                      <w:bCs w:val="0"/>
                      <w:color w:val="auto"/>
                      <w:sz w:val="21"/>
                      <w:szCs w:val="21"/>
                      <w:highlight w:val="none"/>
                      <w:vertAlign w:val="baseline"/>
                      <w:lang w:val="en-US" w:eastAsia="zh-CN"/>
                    </w:rPr>
                    <w:t>5#</w:t>
                  </w:r>
                </w:p>
              </w:tc>
              <w:tc>
                <w:tcPr>
                  <w:tcW w:w="1810" w:type="dxa"/>
                  <w:vMerge w:val="continue"/>
                  <w:tcBorders>
                    <w:tl2br w:val="nil"/>
                    <w:tr2bl w:val="nil"/>
                  </w:tcBorders>
                  <w:noWrap w:val="0"/>
                  <w:vAlign w:val="center"/>
                </w:tcPr>
                <w:p w14:paraId="7572C8BB">
                  <w:pPr>
                    <w:spacing w:line="320" w:lineRule="exact"/>
                    <w:ind w:firstLine="0" w:firstLineChars="0"/>
                    <w:jc w:val="center"/>
                    <w:rPr>
                      <w:color w:val="0000FF"/>
                      <w:sz w:val="21"/>
                      <w:szCs w:val="21"/>
                      <w:highlight w:val="none"/>
                    </w:rPr>
                  </w:pPr>
                </w:p>
              </w:tc>
              <w:tc>
                <w:tcPr>
                  <w:tcW w:w="1880" w:type="dxa"/>
                  <w:vMerge w:val="continue"/>
                  <w:tcBorders>
                    <w:tl2br w:val="nil"/>
                    <w:tr2bl w:val="nil"/>
                  </w:tcBorders>
                  <w:noWrap w:val="0"/>
                  <w:vAlign w:val="center"/>
                </w:tcPr>
                <w:p w14:paraId="6E4BE53F">
                  <w:pPr>
                    <w:spacing w:line="320" w:lineRule="exact"/>
                    <w:ind w:firstLine="0" w:firstLineChars="0"/>
                    <w:jc w:val="center"/>
                    <w:rPr>
                      <w:color w:val="0000FF"/>
                      <w:sz w:val="21"/>
                      <w:szCs w:val="21"/>
                      <w:highlight w:val="none"/>
                    </w:rPr>
                  </w:pPr>
                </w:p>
              </w:tc>
            </w:tr>
            <w:tr w14:paraId="7626F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386" w:type="dxa"/>
                  <w:vMerge w:val="continue"/>
                  <w:tcBorders>
                    <w:tl2br w:val="nil"/>
                    <w:tr2bl w:val="nil"/>
                  </w:tcBorders>
                  <w:noWrap w:val="0"/>
                  <w:vAlign w:val="center"/>
                </w:tcPr>
                <w:p w14:paraId="1EB2F46D">
                  <w:pPr>
                    <w:spacing w:line="320" w:lineRule="exact"/>
                    <w:ind w:firstLine="0" w:firstLineChars="0"/>
                    <w:jc w:val="center"/>
                    <w:rPr>
                      <w:rFonts w:hint="eastAsia"/>
                      <w:color w:val="auto"/>
                      <w:sz w:val="21"/>
                      <w:szCs w:val="21"/>
                      <w:highlight w:val="none"/>
                      <w:lang w:eastAsia="zh-CN"/>
                    </w:rPr>
                  </w:pPr>
                </w:p>
              </w:tc>
              <w:tc>
                <w:tcPr>
                  <w:tcW w:w="3462" w:type="dxa"/>
                  <w:tcBorders>
                    <w:tl2br w:val="nil"/>
                    <w:tr2bl w:val="nil"/>
                  </w:tcBorders>
                  <w:shd w:val="clear" w:color="auto" w:fill="auto"/>
                  <w:noWrap w:val="0"/>
                  <w:vAlign w:val="center"/>
                </w:tcPr>
                <w:p w14:paraId="0C839A2E">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w:t>
                  </w:r>
                  <w:r>
                    <w:rPr>
                      <w:rFonts w:hint="eastAsia" w:ascii="Times New Roman" w:hAnsi="Times New Roman" w:eastAsia="宋体" w:cs="Times New Roman"/>
                      <w:b w:val="0"/>
                      <w:bCs w:val="0"/>
                      <w:color w:val="auto"/>
                      <w:sz w:val="21"/>
                      <w:szCs w:val="21"/>
                      <w:highlight w:val="none"/>
                      <w:vertAlign w:val="baseline"/>
                      <w:lang w:val="en-US" w:eastAsia="zh-CN"/>
                    </w:rPr>
                    <w:t>6#</w:t>
                  </w:r>
                </w:p>
              </w:tc>
              <w:tc>
                <w:tcPr>
                  <w:tcW w:w="1810" w:type="dxa"/>
                  <w:vMerge w:val="continue"/>
                  <w:tcBorders>
                    <w:tl2br w:val="nil"/>
                    <w:tr2bl w:val="nil"/>
                  </w:tcBorders>
                  <w:noWrap w:val="0"/>
                  <w:vAlign w:val="center"/>
                </w:tcPr>
                <w:p w14:paraId="2F40279B">
                  <w:pPr>
                    <w:spacing w:line="320" w:lineRule="exact"/>
                    <w:ind w:firstLine="0" w:firstLineChars="0"/>
                    <w:jc w:val="center"/>
                    <w:rPr>
                      <w:color w:val="0000FF"/>
                      <w:sz w:val="21"/>
                      <w:szCs w:val="21"/>
                      <w:highlight w:val="none"/>
                    </w:rPr>
                  </w:pPr>
                </w:p>
              </w:tc>
              <w:tc>
                <w:tcPr>
                  <w:tcW w:w="1880" w:type="dxa"/>
                  <w:vMerge w:val="continue"/>
                  <w:tcBorders>
                    <w:tl2br w:val="nil"/>
                    <w:tr2bl w:val="nil"/>
                  </w:tcBorders>
                  <w:noWrap w:val="0"/>
                  <w:vAlign w:val="center"/>
                </w:tcPr>
                <w:p w14:paraId="4CF334A6">
                  <w:pPr>
                    <w:spacing w:line="320" w:lineRule="exact"/>
                    <w:ind w:firstLine="0" w:firstLineChars="0"/>
                    <w:jc w:val="center"/>
                    <w:rPr>
                      <w:color w:val="0000FF"/>
                      <w:sz w:val="21"/>
                      <w:szCs w:val="21"/>
                      <w:highlight w:val="none"/>
                    </w:rPr>
                  </w:pPr>
                </w:p>
              </w:tc>
            </w:tr>
            <w:tr w14:paraId="7F68C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386" w:type="dxa"/>
                  <w:vMerge w:val="continue"/>
                  <w:tcBorders>
                    <w:tl2br w:val="nil"/>
                    <w:tr2bl w:val="nil"/>
                  </w:tcBorders>
                  <w:noWrap w:val="0"/>
                  <w:vAlign w:val="center"/>
                </w:tcPr>
                <w:p w14:paraId="342873E0">
                  <w:pPr>
                    <w:spacing w:line="320" w:lineRule="exact"/>
                    <w:ind w:firstLine="0" w:firstLineChars="0"/>
                    <w:jc w:val="center"/>
                    <w:rPr>
                      <w:rFonts w:hint="eastAsia"/>
                      <w:color w:val="auto"/>
                      <w:sz w:val="21"/>
                      <w:szCs w:val="21"/>
                      <w:highlight w:val="none"/>
                      <w:lang w:eastAsia="zh-CN"/>
                    </w:rPr>
                  </w:pPr>
                </w:p>
              </w:tc>
              <w:tc>
                <w:tcPr>
                  <w:tcW w:w="3462" w:type="dxa"/>
                  <w:tcBorders>
                    <w:tl2br w:val="nil"/>
                    <w:tr2bl w:val="nil"/>
                  </w:tcBorders>
                  <w:shd w:val="clear" w:color="auto" w:fill="auto"/>
                  <w:noWrap w:val="0"/>
                  <w:vAlign w:val="center"/>
                </w:tcPr>
                <w:p w14:paraId="7CCB5567">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w:t>
                  </w:r>
                  <w:r>
                    <w:rPr>
                      <w:rFonts w:hint="eastAsia" w:ascii="Times New Roman" w:hAnsi="Times New Roman" w:eastAsia="宋体" w:cs="Times New Roman"/>
                      <w:b w:val="0"/>
                      <w:bCs w:val="0"/>
                      <w:color w:val="auto"/>
                      <w:sz w:val="21"/>
                      <w:szCs w:val="21"/>
                      <w:highlight w:val="none"/>
                      <w:vertAlign w:val="baseline"/>
                      <w:lang w:val="en-US" w:eastAsia="zh-CN"/>
                    </w:rPr>
                    <w:t>7#</w:t>
                  </w:r>
                </w:p>
              </w:tc>
              <w:tc>
                <w:tcPr>
                  <w:tcW w:w="1810" w:type="dxa"/>
                  <w:vMerge w:val="continue"/>
                  <w:tcBorders>
                    <w:tl2br w:val="nil"/>
                    <w:tr2bl w:val="nil"/>
                  </w:tcBorders>
                  <w:noWrap w:val="0"/>
                  <w:vAlign w:val="center"/>
                </w:tcPr>
                <w:p w14:paraId="48AEE046">
                  <w:pPr>
                    <w:spacing w:line="320" w:lineRule="exact"/>
                    <w:ind w:firstLine="0" w:firstLineChars="0"/>
                    <w:jc w:val="center"/>
                    <w:rPr>
                      <w:color w:val="0000FF"/>
                      <w:sz w:val="21"/>
                      <w:szCs w:val="21"/>
                      <w:highlight w:val="none"/>
                    </w:rPr>
                  </w:pPr>
                </w:p>
              </w:tc>
              <w:tc>
                <w:tcPr>
                  <w:tcW w:w="1880" w:type="dxa"/>
                  <w:vMerge w:val="continue"/>
                  <w:tcBorders>
                    <w:tl2br w:val="nil"/>
                    <w:tr2bl w:val="nil"/>
                  </w:tcBorders>
                  <w:noWrap w:val="0"/>
                  <w:vAlign w:val="center"/>
                </w:tcPr>
                <w:p w14:paraId="0E20ADBA">
                  <w:pPr>
                    <w:spacing w:line="320" w:lineRule="exact"/>
                    <w:ind w:firstLine="0" w:firstLineChars="0"/>
                    <w:jc w:val="center"/>
                    <w:rPr>
                      <w:color w:val="0000FF"/>
                      <w:sz w:val="21"/>
                      <w:szCs w:val="21"/>
                      <w:highlight w:val="none"/>
                    </w:rPr>
                  </w:pPr>
                </w:p>
              </w:tc>
            </w:tr>
            <w:tr w14:paraId="6D8A9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386" w:type="dxa"/>
                  <w:vMerge w:val="continue"/>
                  <w:tcBorders>
                    <w:tl2br w:val="nil"/>
                    <w:tr2bl w:val="nil"/>
                  </w:tcBorders>
                  <w:noWrap w:val="0"/>
                  <w:vAlign w:val="center"/>
                </w:tcPr>
                <w:p w14:paraId="01EFE210">
                  <w:pPr>
                    <w:spacing w:line="320" w:lineRule="exact"/>
                    <w:ind w:firstLine="0" w:firstLineChars="0"/>
                    <w:jc w:val="center"/>
                    <w:rPr>
                      <w:rFonts w:hint="eastAsia"/>
                      <w:color w:val="auto"/>
                      <w:sz w:val="21"/>
                      <w:szCs w:val="21"/>
                      <w:highlight w:val="none"/>
                      <w:lang w:eastAsia="zh-CN"/>
                    </w:rPr>
                  </w:pPr>
                </w:p>
              </w:tc>
              <w:tc>
                <w:tcPr>
                  <w:tcW w:w="3462" w:type="dxa"/>
                  <w:tcBorders>
                    <w:tl2br w:val="nil"/>
                    <w:tr2bl w:val="nil"/>
                  </w:tcBorders>
                  <w:shd w:val="clear" w:color="auto" w:fill="auto"/>
                  <w:noWrap w:val="0"/>
                  <w:vAlign w:val="center"/>
                </w:tcPr>
                <w:p w14:paraId="241D5649">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w:t>
                  </w:r>
                  <w:r>
                    <w:rPr>
                      <w:rFonts w:hint="eastAsia" w:ascii="Times New Roman" w:hAnsi="Times New Roman" w:eastAsia="宋体" w:cs="Times New Roman"/>
                      <w:b w:val="0"/>
                      <w:bCs w:val="0"/>
                      <w:color w:val="auto"/>
                      <w:sz w:val="21"/>
                      <w:szCs w:val="21"/>
                      <w:highlight w:val="none"/>
                      <w:vertAlign w:val="baseline"/>
                      <w:lang w:val="en-US" w:eastAsia="zh-CN"/>
                    </w:rPr>
                    <w:t>8#</w:t>
                  </w:r>
                </w:p>
              </w:tc>
              <w:tc>
                <w:tcPr>
                  <w:tcW w:w="1810" w:type="dxa"/>
                  <w:vMerge w:val="continue"/>
                  <w:tcBorders>
                    <w:tl2br w:val="nil"/>
                    <w:tr2bl w:val="nil"/>
                  </w:tcBorders>
                  <w:noWrap w:val="0"/>
                  <w:vAlign w:val="center"/>
                </w:tcPr>
                <w:p w14:paraId="23625A12">
                  <w:pPr>
                    <w:spacing w:line="320" w:lineRule="exact"/>
                    <w:ind w:firstLine="0" w:firstLineChars="0"/>
                    <w:jc w:val="center"/>
                    <w:rPr>
                      <w:color w:val="0000FF"/>
                      <w:sz w:val="21"/>
                      <w:szCs w:val="21"/>
                      <w:highlight w:val="none"/>
                    </w:rPr>
                  </w:pPr>
                </w:p>
              </w:tc>
              <w:tc>
                <w:tcPr>
                  <w:tcW w:w="1880" w:type="dxa"/>
                  <w:vMerge w:val="continue"/>
                  <w:tcBorders>
                    <w:tl2br w:val="nil"/>
                    <w:tr2bl w:val="nil"/>
                  </w:tcBorders>
                  <w:noWrap w:val="0"/>
                  <w:vAlign w:val="center"/>
                </w:tcPr>
                <w:p w14:paraId="6BB78CB7">
                  <w:pPr>
                    <w:spacing w:line="320" w:lineRule="exact"/>
                    <w:ind w:firstLine="0" w:firstLineChars="0"/>
                    <w:jc w:val="center"/>
                    <w:rPr>
                      <w:color w:val="0000FF"/>
                      <w:sz w:val="21"/>
                      <w:szCs w:val="21"/>
                      <w:highlight w:val="none"/>
                    </w:rPr>
                  </w:pPr>
                </w:p>
              </w:tc>
            </w:tr>
            <w:tr w14:paraId="6B2DF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386" w:type="dxa"/>
                  <w:vMerge w:val="continue"/>
                  <w:tcBorders>
                    <w:tl2br w:val="nil"/>
                    <w:tr2bl w:val="nil"/>
                  </w:tcBorders>
                  <w:noWrap w:val="0"/>
                  <w:vAlign w:val="center"/>
                </w:tcPr>
                <w:p w14:paraId="5C2F223B">
                  <w:pPr>
                    <w:spacing w:line="320" w:lineRule="exact"/>
                    <w:ind w:firstLine="0" w:firstLineChars="0"/>
                    <w:jc w:val="center"/>
                    <w:rPr>
                      <w:rFonts w:hint="eastAsia"/>
                      <w:color w:val="auto"/>
                      <w:sz w:val="21"/>
                      <w:szCs w:val="21"/>
                      <w:highlight w:val="none"/>
                      <w:lang w:eastAsia="zh-CN"/>
                    </w:rPr>
                  </w:pPr>
                </w:p>
              </w:tc>
              <w:tc>
                <w:tcPr>
                  <w:tcW w:w="3462" w:type="dxa"/>
                  <w:tcBorders>
                    <w:tl2br w:val="nil"/>
                    <w:tr2bl w:val="nil"/>
                  </w:tcBorders>
                  <w:shd w:val="clear" w:color="auto" w:fill="auto"/>
                  <w:noWrap w:val="0"/>
                  <w:vAlign w:val="center"/>
                </w:tcPr>
                <w:p w14:paraId="544AF534">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w:t>
                  </w:r>
                  <w:r>
                    <w:rPr>
                      <w:rFonts w:hint="eastAsia" w:ascii="Times New Roman" w:hAnsi="Times New Roman" w:eastAsia="宋体" w:cs="Times New Roman"/>
                      <w:b w:val="0"/>
                      <w:bCs w:val="0"/>
                      <w:color w:val="auto"/>
                      <w:sz w:val="21"/>
                      <w:szCs w:val="21"/>
                      <w:highlight w:val="none"/>
                      <w:vertAlign w:val="baseline"/>
                      <w:lang w:val="en-US" w:eastAsia="zh-CN"/>
                    </w:rPr>
                    <w:t>9#</w:t>
                  </w:r>
                </w:p>
              </w:tc>
              <w:tc>
                <w:tcPr>
                  <w:tcW w:w="1810" w:type="dxa"/>
                  <w:vMerge w:val="continue"/>
                  <w:tcBorders>
                    <w:tl2br w:val="nil"/>
                    <w:tr2bl w:val="nil"/>
                  </w:tcBorders>
                  <w:noWrap w:val="0"/>
                  <w:vAlign w:val="center"/>
                </w:tcPr>
                <w:p w14:paraId="235DBA34">
                  <w:pPr>
                    <w:spacing w:line="320" w:lineRule="exact"/>
                    <w:ind w:firstLine="0" w:firstLineChars="0"/>
                    <w:jc w:val="center"/>
                    <w:rPr>
                      <w:color w:val="0000FF"/>
                      <w:sz w:val="21"/>
                      <w:szCs w:val="21"/>
                      <w:highlight w:val="none"/>
                    </w:rPr>
                  </w:pPr>
                </w:p>
              </w:tc>
              <w:tc>
                <w:tcPr>
                  <w:tcW w:w="1880" w:type="dxa"/>
                  <w:vMerge w:val="continue"/>
                  <w:tcBorders>
                    <w:tl2br w:val="nil"/>
                    <w:tr2bl w:val="nil"/>
                  </w:tcBorders>
                  <w:noWrap w:val="0"/>
                  <w:vAlign w:val="center"/>
                </w:tcPr>
                <w:p w14:paraId="2705B1BF">
                  <w:pPr>
                    <w:spacing w:line="320" w:lineRule="exact"/>
                    <w:ind w:firstLine="0" w:firstLineChars="0"/>
                    <w:jc w:val="center"/>
                    <w:rPr>
                      <w:color w:val="0000FF"/>
                      <w:sz w:val="21"/>
                      <w:szCs w:val="21"/>
                      <w:highlight w:val="none"/>
                    </w:rPr>
                  </w:pPr>
                </w:p>
              </w:tc>
            </w:tr>
          </w:tbl>
          <w:p w14:paraId="4BE13B14">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rFonts w:hint="eastAsia" w:ascii="Times New Roman" w:hAnsi="Times New Roman" w:eastAsia="仿宋_GB2312" w:cs="Times New Roman"/>
                <w:color w:val="auto"/>
                <w:kern w:val="16"/>
                <w:sz w:val="24"/>
                <w:szCs w:val="22"/>
                <w:highlight w:val="none"/>
                <w:lang w:val="en-US" w:eastAsia="zh-CN" w:bidi="ar-SA"/>
              </w:rPr>
            </w:pPr>
            <w:r>
              <w:rPr>
                <w:rFonts w:hint="default" w:ascii="Times New Roman" w:hAnsi="Times New Roman" w:eastAsia="仿宋_GB2312" w:cs="Times New Roman"/>
                <w:color w:val="auto"/>
                <w:kern w:val="16"/>
                <w:sz w:val="24"/>
                <w:szCs w:val="22"/>
                <w:highlight w:val="none"/>
                <w:lang w:val="en-US" w:eastAsia="zh-CN" w:bidi="ar-SA"/>
              </w:rPr>
              <w:fldChar w:fldCharType="begin"/>
            </w:r>
            <w:r>
              <w:rPr>
                <w:rFonts w:hint="default" w:ascii="Times New Roman" w:hAnsi="Times New Roman" w:eastAsia="仿宋_GB2312" w:cs="Times New Roman"/>
                <w:color w:val="auto"/>
                <w:kern w:val="16"/>
                <w:sz w:val="24"/>
                <w:szCs w:val="22"/>
                <w:highlight w:val="none"/>
                <w:lang w:val="en-US" w:eastAsia="zh-CN" w:bidi="ar-SA"/>
              </w:rPr>
              <w:instrText xml:space="preserve"> = 1 \* GB3 \* MERGEFORMAT </w:instrText>
            </w:r>
            <w:r>
              <w:rPr>
                <w:rFonts w:hint="default" w:ascii="Times New Roman" w:hAnsi="Times New Roman" w:eastAsia="仿宋_GB2312" w:cs="Times New Roman"/>
                <w:color w:val="auto"/>
                <w:kern w:val="16"/>
                <w:sz w:val="24"/>
                <w:szCs w:val="22"/>
                <w:highlight w:val="none"/>
                <w:lang w:val="en-US" w:eastAsia="zh-CN" w:bidi="ar-SA"/>
              </w:rPr>
              <w:fldChar w:fldCharType="separate"/>
            </w:r>
            <w:r>
              <w:rPr>
                <w:rFonts w:hint="default" w:ascii="Times New Roman" w:hAnsi="Times New Roman" w:eastAsia="仿宋_GB2312" w:cs="Times New Roman"/>
                <w:color w:val="auto"/>
                <w:kern w:val="16"/>
                <w:sz w:val="24"/>
                <w:szCs w:val="22"/>
                <w:highlight w:val="none"/>
                <w:lang w:val="en-US" w:eastAsia="zh-CN" w:bidi="ar-SA"/>
              </w:rPr>
              <w:t>①</w:t>
            </w:r>
            <w:r>
              <w:rPr>
                <w:rFonts w:hint="default" w:ascii="Times New Roman" w:hAnsi="Times New Roman" w:eastAsia="仿宋_GB2312" w:cs="Times New Roman"/>
                <w:color w:val="auto"/>
                <w:kern w:val="16"/>
                <w:sz w:val="24"/>
                <w:szCs w:val="22"/>
                <w:highlight w:val="none"/>
                <w:lang w:val="en-US" w:eastAsia="zh-CN" w:bidi="ar-SA"/>
              </w:rPr>
              <w:fldChar w:fldCharType="end"/>
            </w:r>
            <w:r>
              <w:rPr>
                <w:rFonts w:hint="eastAsia" w:ascii="Times New Roman" w:hAnsi="Times New Roman" w:eastAsia="仿宋_GB2312" w:cs="Times New Roman"/>
                <w:color w:val="auto"/>
                <w:kern w:val="16"/>
                <w:sz w:val="24"/>
                <w:szCs w:val="22"/>
                <w:highlight w:val="none"/>
                <w:lang w:val="en-US" w:eastAsia="zh-CN" w:bidi="ar-SA"/>
              </w:rPr>
              <w:t>监测点位：本次监测布设9个噪声监测点，监测点位见下图，噪声监测内容详见表24。</w:t>
            </w:r>
          </w:p>
          <w:p w14:paraId="30D78239">
            <w:pPr>
              <w:pStyle w:val="7"/>
              <w:ind w:left="0" w:leftChars="0" w:firstLine="0" w:firstLineChars="0"/>
              <w:jc w:val="center"/>
            </w:pPr>
            <w:r>
              <w:drawing>
                <wp:inline distT="0" distB="0" distL="114300" distR="114300">
                  <wp:extent cx="5361940" cy="3608070"/>
                  <wp:effectExtent l="0" t="0" r="10160" b="1143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9"/>
                          <a:stretch>
                            <a:fillRect/>
                          </a:stretch>
                        </pic:blipFill>
                        <pic:spPr>
                          <a:xfrm>
                            <a:off x="0" y="0"/>
                            <a:ext cx="5361940" cy="3608070"/>
                          </a:xfrm>
                          <a:prstGeom prst="rect">
                            <a:avLst/>
                          </a:prstGeom>
                          <a:noFill/>
                          <a:ln>
                            <a:noFill/>
                          </a:ln>
                        </pic:spPr>
                      </pic:pic>
                    </a:graphicData>
                  </a:graphic>
                </wp:inline>
              </w:drawing>
            </w:r>
          </w:p>
          <w:p w14:paraId="135CD90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pacing w:val="-4"/>
                <w:lang w:val="en-US" w:eastAsia="zh-CN"/>
              </w:rPr>
            </w:pPr>
            <w:r>
              <w:rPr>
                <w:rFonts w:hint="eastAsia" w:ascii="Times New Roman" w:hAnsi="Times New Roman" w:eastAsia="宋体" w:cs="Times New Roman"/>
                <w:b/>
                <w:bCs/>
                <w:spacing w:val="-4"/>
                <w:lang w:eastAsia="zh-CN"/>
              </w:rPr>
              <w:t>图</w:t>
            </w:r>
            <w:r>
              <w:rPr>
                <w:rFonts w:hint="eastAsia" w:ascii="Times New Roman" w:hAnsi="Times New Roman" w:eastAsia="宋体" w:cs="Times New Roman"/>
                <w:b/>
                <w:bCs/>
                <w:spacing w:val="-4"/>
                <w:lang w:val="en-US" w:eastAsia="zh-CN"/>
              </w:rPr>
              <w:t>3-1   大湾乡中药材分拣包装晾晒车间建设工程监测点位图</w:t>
            </w:r>
          </w:p>
          <w:p w14:paraId="4A50C8EA">
            <w:pPr>
              <w:pStyle w:val="7"/>
              <w:ind w:left="0" w:leftChars="0" w:firstLine="0" w:firstLineChars="0"/>
              <w:jc w:val="center"/>
            </w:pPr>
            <w:r>
              <w:drawing>
                <wp:inline distT="0" distB="0" distL="114300" distR="114300">
                  <wp:extent cx="5364480" cy="3609340"/>
                  <wp:effectExtent l="0" t="0" r="7620"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5364480" cy="3609340"/>
                          </a:xfrm>
                          <a:prstGeom prst="rect">
                            <a:avLst/>
                          </a:prstGeom>
                          <a:noFill/>
                          <a:ln>
                            <a:noFill/>
                          </a:ln>
                        </pic:spPr>
                      </pic:pic>
                    </a:graphicData>
                  </a:graphic>
                </wp:inline>
              </w:drawing>
            </w:r>
          </w:p>
          <w:p w14:paraId="7915F2F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pacing w:val="-4"/>
                <w:lang w:val="en-US" w:eastAsia="zh-CN"/>
              </w:rPr>
            </w:pPr>
            <w:r>
              <w:rPr>
                <w:rFonts w:hint="eastAsia" w:ascii="Times New Roman" w:hAnsi="Times New Roman" w:eastAsia="宋体" w:cs="Times New Roman"/>
                <w:b/>
                <w:bCs/>
                <w:spacing w:val="-4"/>
                <w:lang w:eastAsia="zh-CN"/>
              </w:rPr>
              <w:t>图</w:t>
            </w:r>
            <w:r>
              <w:rPr>
                <w:rFonts w:hint="eastAsia" w:ascii="Times New Roman" w:hAnsi="Times New Roman" w:eastAsia="宋体" w:cs="Times New Roman"/>
                <w:b/>
                <w:bCs/>
                <w:spacing w:val="-4"/>
                <w:lang w:val="en-US" w:eastAsia="zh-CN"/>
              </w:rPr>
              <w:t>3-2   六盘山镇蜂蜜加工包装车间建设工程声环境监测点位图</w:t>
            </w:r>
          </w:p>
          <w:p w14:paraId="4F03801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pacing w:val="-4"/>
                <w:lang w:val="en-US" w:eastAsia="zh-CN"/>
              </w:rPr>
            </w:pPr>
            <w:r>
              <w:drawing>
                <wp:inline distT="0" distB="0" distL="114300" distR="114300">
                  <wp:extent cx="5364480" cy="3379470"/>
                  <wp:effectExtent l="0" t="0" r="7620" b="1143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364480" cy="3379470"/>
                          </a:xfrm>
                          <a:prstGeom prst="rect">
                            <a:avLst/>
                          </a:prstGeom>
                          <a:noFill/>
                          <a:ln>
                            <a:noFill/>
                          </a:ln>
                        </pic:spPr>
                      </pic:pic>
                    </a:graphicData>
                  </a:graphic>
                </wp:inline>
              </w:drawing>
            </w:r>
            <w:r>
              <w:rPr>
                <w:rFonts w:hint="eastAsia" w:ascii="Times New Roman" w:hAnsi="Times New Roman" w:eastAsia="宋体" w:cs="Times New Roman"/>
                <w:b/>
                <w:bCs/>
                <w:spacing w:val="-4"/>
                <w:lang w:eastAsia="zh-CN"/>
              </w:rPr>
              <w:t>图</w:t>
            </w:r>
            <w:r>
              <w:rPr>
                <w:rFonts w:hint="eastAsia" w:ascii="Times New Roman" w:hAnsi="Times New Roman" w:eastAsia="宋体" w:cs="Times New Roman"/>
                <w:b/>
                <w:bCs/>
                <w:spacing w:val="-4"/>
                <w:lang w:val="en-US" w:eastAsia="zh-CN"/>
              </w:rPr>
              <w:t>3-3   六盘山镇中药材物流中转集散地建设工程、六盘山镇中药材分拣包装晾晒车间建设项目监测点位图</w:t>
            </w:r>
          </w:p>
          <w:p w14:paraId="2E3E04E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imes New Roman" w:hAnsi="Times New Roman" w:eastAsia="仿宋_GB2312" w:cs="Times New Roman"/>
                <w:color w:val="auto"/>
                <w:kern w:val="16"/>
                <w:sz w:val="24"/>
                <w:szCs w:val="22"/>
                <w:highlight w:val="none"/>
                <w:lang w:val="en-US" w:eastAsia="zh-CN" w:bidi="ar-SA"/>
              </w:rPr>
            </w:pPr>
            <w:r>
              <w:rPr>
                <w:rFonts w:hint="default" w:ascii="Times New Roman" w:hAnsi="Times New Roman" w:eastAsia="仿宋_GB2312" w:cs="Times New Roman"/>
                <w:color w:val="auto"/>
                <w:kern w:val="16"/>
                <w:sz w:val="24"/>
                <w:szCs w:val="22"/>
                <w:highlight w:val="none"/>
                <w:lang w:val="en-US" w:eastAsia="zh-CN" w:bidi="ar-SA"/>
              </w:rPr>
              <w:fldChar w:fldCharType="begin"/>
            </w:r>
            <w:r>
              <w:rPr>
                <w:rFonts w:hint="default" w:ascii="Times New Roman" w:hAnsi="Times New Roman" w:eastAsia="仿宋_GB2312" w:cs="Times New Roman"/>
                <w:color w:val="auto"/>
                <w:kern w:val="16"/>
                <w:sz w:val="24"/>
                <w:szCs w:val="22"/>
                <w:highlight w:val="none"/>
                <w:lang w:val="en-US" w:eastAsia="zh-CN" w:bidi="ar-SA"/>
              </w:rPr>
              <w:instrText xml:space="preserve"> = 2 \* GB3 \* MERGEFORMAT </w:instrText>
            </w:r>
            <w:r>
              <w:rPr>
                <w:rFonts w:hint="default" w:ascii="Times New Roman" w:hAnsi="Times New Roman" w:eastAsia="仿宋_GB2312" w:cs="Times New Roman"/>
                <w:color w:val="auto"/>
                <w:kern w:val="16"/>
                <w:sz w:val="24"/>
                <w:szCs w:val="22"/>
                <w:highlight w:val="none"/>
                <w:lang w:val="en-US" w:eastAsia="zh-CN" w:bidi="ar-SA"/>
              </w:rPr>
              <w:fldChar w:fldCharType="separate"/>
            </w:r>
            <w:r>
              <w:rPr>
                <w:rFonts w:hint="default" w:ascii="Times New Roman" w:hAnsi="Times New Roman" w:eastAsia="仿宋_GB2312" w:cs="Times New Roman"/>
                <w:color w:val="auto"/>
                <w:kern w:val="16"/>
                <w:sz w:val="24"/>
                <w:szCs w:val="22"/>
                <w:highlight w:val="none"/>
                <w:lang w:val="en-US" w:eastAsia="zh-CN" w:bidi="ar-SA"/>
              </w:rPr>
              <w:t>②</w:t>
            </w:r>
            <w:r>
              <w:rPr>
                <w:rFonts w:hint="default" w:ascii="Times New Roman" w:hAnsi="Times New Roman" w:eastAsia="仿宋_GB2312" w:cs="Times New Roman"/>
                <w:color w:val="auto"/>
                <w:kern w:val="16"/>
                <w:sz w:val="24"/>
                <w:szCs w:val="22"/>
                <w:highlight w:val="none"/>
                <w:lang w:val="en-US" w:eastAsia="zh-CN" w:bidi="ar-SA"/>
              </w:rPr>
              <w:fldChar w:fldCharType="end"/>
            </w:r>
            <w:r>
              <w:rPr>
                <w:rFonts w:hint="eastAsia" w:ascii="Times New Roman" w:hAnsi="Times New Roman" w:eastAsia="仿宋_GB2312" w:cs="Times New Roman"/>
                <w:color w:val="auto"/>
                <w:kern w:val="16"/>
                <w:sz w:val="24"/>
                <w:szCs w:val="22"/>
                <w:highlight w:val="none"/>
                <w:lang w:val="en-US" w:eastAsia="zh-CN" w:bidi="ar-SA"/>
              </w:rPr>
              <w:t>检测结果：</w:t>
            </w:r>
          </w:p>
          <w:p w14:paraId="1A6A255E">
            <w:pPr>
              <w:adjustRightInd w:val="0"/>
              <w:snapToGrid w:val="0"/>
              <w:ind w:firstLine="420" w:firstLineChars="200"/>
              <w:jc w:val="both"/>
              <w:rPr>
                <w:rFonts w:hint="default" w:ascii="Times New Roman" w:hAnsi="Times New Roman" w:eastAsia="宋体" w:cs="Times New Roman"/>
                <w:b/>
                <w:color w:val="auto"/>
                <w:highlight w:val="none"/>
              </w:rPr>
            </w:pPr>
            <w:r>
              <w:rPr>
                <w:rFonts w:hint="default" w:ascii="Times New Roman" w:hAnsi="Times New Roman" w:eastAsia="宋体" w:cs="Times New Roman"/>
                <w:b w:val="0"/>
                <w:bCs/>
                <w:snapToGrid/>
                <w:color w:val="auto"/>
                <w:kern w:val="2"/>
                <w:sz w:val="21"/>
                <w:szCs w:val="21"/>
                <w:highlight w:val="none"/>
                <w:lang w:val="en-US" w:eastAsia="zh-CN" w:bidi="ar-SA"/>
              </w:rPr>
              <w:t>表</w:t>
            </w:r>
            <w:r>
              <w:rPr>
                <w:rFonts w:hint="eastAsia" w:cs="Times New Roman"/>
                <w:b w:val="0"/>
                <w:bCs/>
                <w:snapToGrid/>
                <w:color w:val="auto"/>
                <w:kern w:val="2"/>
                <w:sz w:val="21"/>
                <w:szCs w:val="21"/>
                <w:highlight w:val="none"/>
                <w:lang w:val="en-US" w:eastAsia="zh-CN" w:bidi="ar-SA"/>
              </w:rPr>
              <w:t>14</w:t>
            </w:r>
            <w:r>
              <w:rPr>
                <w:rFonts w:hint="default" w:ascii="Times New Roman" w:hAnsi="Times New Roman" w:eastAsia="宋体" w:cs="Times New Roman"/>
                <w:b/>
                <w:color w:val="auto"/>
                <w:sz w:val="24"/>
                <w:szCs w:val="24"/>
                <w:highlight w:val="none"/>
              </w:rPr>
              <w:t xml:space="preserve">         噪声</w:t>
            </w:r>
            <w:r>
              <w:rPr>
                <w:rFonts w:hint="eastAsia" w:ascii="Times New Roman" w:hAnsi="Times New Roman" w:eastAsia="宋体" w:cs="Times New Roman"/>
                <w:b/>
                <w:color w:val="auto"/>
                <w:sz w:val="24"/>
                <w:szCs w:val="24"/>
                <w:highlight w:val="none"/>
                <w:lang w:val="en-US" w:eastAsia="zh-CN"/>
              </w:rPr>
              <w:t>监测结果</w:t>
            </w:r>
            <w:r>
              <w:rPr>
                <w:rFonts w:hint="default" w:ascii="Times New Roman" w:hAnsi="Times New Roman" w:eastAsia="宋体" w:cs="Times New Roman"/>
                <w:b/>
                <w:color w:val="auto"/>
                <w:sz w:val="24"/>
                <w:szCs w:val="24"/>
                <w:highlight w:val="none"/>
              </w:rPr>
              <w:t>一览表            单位：dB（A）</w:t>
            </w:r>
          </w:p>
          <w:tbl>
            <w:tblPr>
              <w:tblStyle w:val="34"/>
              <w:tblW w:w="85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668"/>
              <w:gridCol w:w="4978"/>
              <w:gridCol w:w="1175"/>
            </w:tblGrid>
            <w:tr w14:paraId="00C25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36" w:type="dxa"/>
                  <w:vMerge w:val="restart"/>
                  <w:tcBorders>
                    <w:tl2br w:val="nil"/>
                    <w:tr2bl w:val="nil"/>
                  </w:tcBorders>
                  <w:noWrap w:val="0"/>
                  <w:vAlign w:val="center"/>
                </w:tcPr>
                <w:p w14:paraId="68D3E00A">
                  <w:pPr>
                    <w:snapToGrid w:val="0"/>
                    <w:jc w:val="center"/>
                    <w:rPr>
                      <w:rFonts w:hint="default"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点位编号</w:t>
                  </w:r>
                </w:p>
              </w:tc>
              <w:tc>
                <w:tcPr>
                  <w:tcW w:w="1668" w:type="dxa"/>
                  <w:vMerge w:val="restart"/>
                  <w:tcBorders>
                    <w:tl2br w:val="nil"/>
                    <w:tr2bl w:val="nil"/>
                  </w:tcBorders>
                  <w:noWrap w:val="0"/>
                  <w:vAlign w:val="center"/>
                </w:tcPr>
                <w:p w14:paraId="77A49465">
                  <w:pPr>
                    <w:snapToGrid w:val="0"/>
                    <w:jc w:val="center"/>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点位</w:t>
                  </w:r>
                </w:p>
              </w:tc>
              <w:tc>
                <w:tcPr>
                  <w:tcW w:w="4978" w:type="dxa"/>
                  <w:tcBorders>
                    <w:tl2br w:val="nil"/>
                    <w:tr2bl w:val="nil"/>
                  </w:tcBorders>
                  <w:noWrap w:val="0"/>
                  <w:vAlign w:val="center"/>
                </w:tcPr>
                <w:p w14:paraId="6690BD6F">
                  <w:pPr>
                    <w:snapToGrid w:val="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检测结果dB（A）</w:t>
                  </w:r>
                </w:p>
              </w:tc>
              <w:tc>
                <w:tcPr>
                  <w:tcW w:w="1175" w:type="dxa"/>
                  <w:vMerge w:val="restart"/>
                  <w:tcBorders>
                    <w:tl2br w:val="nil"/>
                    <w:tr2bl w:val="nil"/>
                  </w:tcBorders>
                  <w:noWrap w:val="0"/>
                  <w:vAlign w:val="center"/>
                </w:tcPr>
                <w:p w14:paraId="0C12ADA6">
                  <w:pPr>
                    <w:snapToGrid w:val="0"/>
                    <w:jc w:val="center"/>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达标情况</w:t>
                  </w:r>
                </w:p>
              </w:tc>
            </w:tr>
            <w:tr w14:paraId="40435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36" w:type="dxa"/>
                  <w:vMerge w:val="continue"/>
                  <w:tcBorders>
                    <w:tl2br w:val="nil"/>
                    <w:tr2bl w:val="nil"/>
                  </w:tcBorders>
                  <w:noWrap w:val="0"/>
                  <w:vAlign w:val="center"/>
                </w:tcPr>
                <w:p w14:paraId="2372C626">
                  <w:pPr>
                    <w:snapToGrid w:val="0"/>
                    <w:jc w:val="center"/>
                    <w:rPr>
                      <w:color w:val="auto"/>
                      <w:highlight w:val="none"/>
                    </w:rPr>
                  </w:pPr>
                </w:p>
              </w:tc>
              <w:tc>
                <w:tcPr>
                  <w:tcW w:w="1668" w:type="dxa"/>
                  <w:vMerge w:val="continue"/>
                  <w:tcBorders>
                    <w:tl2br w:val="nil"/>
                    <w:tr2bl w:val="nil"/>
                  </w:tcBorders>
                  <w:noWrap w:val="0"/>
                  <w:vAlign w:val="center"/>
                </w:tcPr>
                <w:p w14:paraId="705ADDC0">
                  <w:pPr>
                    <w:snapToGrid w:val="0"/>
                    <w:jc w:val="center"/>
                    <w:rPr>
                      <w:b/>
                      <w:bCs/>
                      <w:color w:val="auto"/>
                      <w:highlight w:val="none"/>
                    </w:rPr>
                  </w:pPr>
                </w:p>
              </w:tc>
              <w:tc>
                <w:tcPr>
                  <w:tcW w:w="4978" w:type="dxa"/>
                  <w:tcBorders>
                    <w:tl2br w:val="nil"/>
                    <w:tr2bl w:val="nil"/>
                  </w:tcBorders>
                  <w:noWrap w:val="0"/>
                  <w:vAlign w:val="center"/>
                </w:tcPr>
                <w:p w14:paraId="5A59C08A">
                  <w:pPr>
                    <w:snapToGrid w:val="0"/>
                    <w:ind w:left="0" w:leftChars="0" w:right="0" w:rightChars="0"/>
                    <w:jc w:val="center"/>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昼间</w:t>
                  </w:r>
                </w:p>
              </w:tc>
              <w:tc>
                <w:tcPr>
                  <w:tcW w:w="1175" w:type="dxa"/>
                  <w:vMerge w:val="continue"/>
                  <w:tcBorders>
                    <w:tl2br w:val="nil"/>
                    <w:tr2bl w:val="nil"/>
                  </w:tcBorders>
                  <w:noWrap w:val="0"/>
                  <w:vAlign w:val="center"/>
                </w:tcPr>
                <w:p w14:paraId="220015E0">
                  <w:pPr>
                    <w:snapToGrid w:val="0"/>
                    <w:jc w:val="center"/>
                    <w:rPr>
                      <w:rFonts w:hint="eastAsia" w:ascii="Times New Roman" w:hAnsi="Times New Roman" w:eastAsia="宋体" w:cs="Times New Roman"/>
                      <w:b/>
                      <w:bCs/>
                      <w:color w:val="auto"/>
                      <w:sz w:val="21"/>
                      <w:szCs w:val="21"/>
                      <w:highlight w:val="none"/>
                      <w:vertAlign w:val="baseline"/>
                      <w:lang w:val="en-US" w:eastAsia="zh-CN"/>
                    </w:rPr>
                  </w:pPr>
                </w:p>
              </w:tc>
            </w:tr>
            <w:tr w14:paraId="7D952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36" w:type="dxa"/>
                  <w:tcBorders>
                    <w:tl2br w:val="nil"/>
                    <w:tr2bl w:val="nil"/>
                  </w:tcBorders>
                  <w:noWrap w:val="0"/>
                  <w:vAlign w:val="center"/>
                </w:tcPr>
                <w:p w14:paraId="77471CA0">
                  <w:pPr>
                    <w:snapToGrid w:val="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eastAsia="zh-CN"/>
                    </w:rPr>
                    <w:t>△</w:t>
                  </w:r>
                  <w:r>
                    <w:rPr>
                      <w:rFonts w:hint="eastAsia" w:ascii="Times New Roman" w:hAnsi="Times New Roman" w:eastAsia="宋体" w:cs="Times New Roman"/>
                      <w:b/>
                      <w:bCs/>
                      <w:color w:val="auto"/>
                      <w:sz w:val="21"/>
                      <w:szCs w:val="21"/>
                      <w:highlight w:val="none"/>
                      <w:vertAlign w:val="baseline"/>
                      <w:lang w:val="en-US" w:eastAsia="zh-CN"/>
                    </w:rPr>
                    <w:t>1#</w:t>
                  </w:r>
                </w:p>
              </w:tc>
              <w:tc>
                <w:tcPr>
                  <w:tcW w:w="1668" w:type="dxa"/>
                  <w:tcBorders>
                    <w:tl2br w:val="nil"/>
                    <w:tr2bl w:val="nil"/>
                  </w:tcBorders>
                  <w:noWrap w:val="0"/>
                  <w:vAlign w:val="center"/>
                </w:tcPr>
                <w:p w14:paraId="4310E497">
                  <w:pPr>
                    <w:snapToGrid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1#居民点</w:t>
                  </w:r>
                </w:p>
              </w:tc>
              <w:tc>
                <w:tcPr>
                  <w:tcW w:w="4978" w:type="dxa"/>
                  <w:tcBorders>
                    <w:tl2br w:val="nil"/>
                    <w:tr2bl w:val="nil"/>
                  </w:tcBorders>
                  <w:noWrap w:val="0"/>
                  <w:vAlign w:val="center"/>
                </w:tcPr>
                <w:p w14:paraId="6B2F367F">
                  <w:pPr>
                    <w:snapToGrid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42</w:t>
                  </w:r>
                </w:p>
              </w:tc>
              <w:tc>
                <w:tcPr>
                  <w:tcW w:w="1175" w:type="dxa"/>
                  <w:tcBorders>
                    <w:tl2br w:val="nil"/>
                    <w:tr2bl w:val="nil"/>
                  </w:tcBorders>
                  <w:noWrap w:val="0"/>
                  <w:vAlign w:val="center"/>
                </w:tcPr>
                <w:p w14:paraId="4241E4BE">
                  <w:pPr>
                    <w:snapToGrid w:val="0"/>
                    <w:jc w:val="center"/>
                    <w:rPr>
                      <w:rFonts w:hint="eastAsia" w:ascii="Times New Roman" w:hAnsi="Times New Roman" w:eastAsia="宋体" w:cs="Times New Roman"/>
                      <w:b w:val="0"/>
                      <w:bCs w:val="0"/>
                      <w:color w:val="auto"/>
                      <w:sz w:val="21"/>
                      <w:szCs w:val="21"/>
                      <w:highlight w:val="none"/>
                      <w:vertAlign w:val="baseline"/>
                      <w:lang w:eastAsia="zh-CN"/>
                    </w:rPr>
                  </w:pPr>
                  <w:r>
                    <w:rPr>
                      <w:rFonts w:hint="eastAsia" w:ascii="Times New Roman" w:hAnsi="Times New Roman" w:eastAsia="宋体" w:cs="Times New Roman"/>
                      <w:b w:val="0"/>
                      <w:bCs w:val="0"/>
                      <w:color w:val="auto"/>
                      <w:sz w:val="21"/>
                      <w:szCs w:val="21"/>
                      <w:highlight w:val="none"/>
                      <w:vertAlign w:val="baseline"/>
                      <w:lang w:eastAsia="zh-CN"/>
                    </w:rPr>
                    <w:t>达标</w:t>
                  </w:r>
                </w:p>
              </w:tc>
            </w:tr>
            <w:tr w14:paraId="6B9DC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36" w:type="dxa"/>
                  <w:tcBorders>
                    <w:tl2br w:val="nil"/>
                    <w:tr2bl w:val="nil"/>
                  </w:tcBorders>
                  <w:noWrap w:val="0"/>
                  <w:vAlign w:val="center"/>
                </w:tcPr>
                <w:p w14:paraId="5D274268">
                  <w:pPr>
                    <w:snapToGrid w:val="0"/>
                    <w:jc w:val="center"/>
                    <w:rPr>
                      <w:rFonts w:hint="default"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w:t>
                  </w:r>
                  <w:r>
                    <w:rPr>
                      <w:rFonts w:hint="eastAsia" w:ascii="Times New Roman" w:hAnsi="Times New Roman" w:eastAsia="宋体" w:cs="Times New Roman"/>
                      <w:b/>
                      <w:bCs/>
                      <w:color w:val="auto"/>
                      <w:sz w:val="21"/>
                      <w:szCs w:val="21"/>
                      <w:highlight w:val="none"/>
                      <w:vertAlign w:val="baseline"/>
                      <w:lang w:val="en-US" w:eastAsia="zh-CN"/>
                    </w:rPr>
                    <w:t>2#</w:t>
                  </w:r>
                </w:p>
              </w:tc>
              <w:tc>
                <w:tcPr>
                  <w:tcW w:w="1668" w:type="dxa"/>
                  <w:tcBorders>
                    <w:tl2br w:val="nil"/>
                    <w:tr2bl w:val="nil"/>
                  </w:tcBorders>
                  <w:noWrap w:val="0"/>
                  <w:vAlign w:val="center"/>
                </w:tcPr>
                <w:p w14:paraId="6E2C3E7D">
                  <w:pPr>
                    <w:snapToGrid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2#居民点</w:t>
                  </w:r>
                </w:p>
              </w:tc>
              <w:tc>
                <w:tcPr>
                  <w:tcW w:w="4978" w:type="dxa"/>
                  <w:tcBorders>
                    <w:tl2br w:val="nil"/>
                    <w:tr2bl w:val="nil"/>
                  </w:tcBorders>
                  <w:noWrap w:val="0"/>
                  <w:vAlign w:val="center"/>
                </w:tcPr>
                <w:p w14:paraId="25128785">
                  <w:pPr>
                    <w:snapToGrid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50</w:t>
                  </w:r>
                </w:p>
              </w:tc>
              <w:tc>
                <w:tcPr>
                  <w:tcW w:w="1175" w:type="dxa"/>
                  <w:tcBorders>
                    <w:tl2br w:val="nil"/>
                    <w:tr2bl w:val="nil"/>
                  </w:tcBorders>
                  <w:noWrap w:val="0"/>
                  <w:vAlign w:val="center"/>
                </w:tcPr>
                <w:p w14:paraId="3C4CDF53">
                  <w:pPr>
                    <w:snapToGrid w:val="0"/>
                    <w:jc w:val="center"/>
                    <w:rPr>
                      <w:rFonts w:hint="default" w:ascii="Times New Roman" w:hAnsi="Times New Roman" w:eastAsia="宋体" w:cs="Times New Roman"/>
                      <w:b w:val="0"/>
                      <w:bCs w:val="0"/>
                      <w:color w:val="auto"/>
                      <w:sz w:val="21"/>
                      <w:szCs w:val="21"/>
                      <w:highlight w:val="none"/>
                      <w:vertAlign w:val="baseline"/>
                      <w:lang w:eastAsia="zh-CN"/>
                    </w:rPr>
                  </w:pPr>
                  <w:r>
                    <w:rPr>
                      <w:rFonts w:hint="eastAsia" w:ascii="Times New Roman" w:hAnsi="Times New Roman" w:eastAsia="宋体" w:cs="Times New Roman"/>
                      <w:b w:val="0"/>
                      <w:bCs w:val="0"/>
                      <w:color w:val="auto"/>
                      <w:sz w:val="21"/>
                      <w:szCs w:val="21"/>
                      <w:highlight w:val="none"/>
                      <w:vertAlign w:val="baseline"/>
                      <w:lang w:eastAsia="zh-CN"/>
                    </w:rPr>
                    <w:t>达标</w:t>
                  </w:r>
                </w:p>
              </w:tc>
            </w:tr>
            <w:tr w14:paraId="78287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36" w:type="dxa"/>
                  <w:tcBorders>
                    <w:tl2br w:val="nil"/>
                    <w:tr2bl w:val="nil"/>
                  </w:tcBorders>
                  <w:shd w:val="clear" w:color="auto" w:fill="auto"/>
                  <w:noWrap w:val="0"/>
                  <w:vAlign w:val="center"/>
                </w:tcPr>
                <w:p w14:paraId="1F2945D0">
                  <w:pPr>
                    <w:snapToGrid w:val="0"/>
                    <w:jc w:val="center"/>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eastAsia="zh-CN"/>
                    </w:rPr>
                    <w:t>△</w:t>
                  </w:r>
                  <w:r>
                    <w:rPr>
                      <w:rFonts w:hint="eastAsia" w:ascii="Times New Roman" w:hAnsi="Times New Roman" w:eastAsia="宋体" w:cs="Times New Roman"/>
                      <w:b/>
                      <w:bCs/>
                      <w:color w:val="auto"/>
                      <w:sz w:val="21"/>
                      <w:szCs w:val="21"/>
                      <w:highlight w:val="none"/>
                      <w:vertAlign w:val="baseline"/>
                      <w:lang w:val="en-US" w:eastAsia="zh-CN"/>
                    </w:rPr>
                    <w:t>3#</w:t>
                  </w:r>
                </w:p>
              </w:tc>
              <w:tc>
                <w:tcPr>
                  <w:tcW w:w="1668" w:type="dxa"/>
                  <w:tcBorders>
                    <w:tl2br w:val="nil"/>
                    <w:tr2bl w:val="nil"/>
                  </w:tcBorders>
                  <w:shd w:val="clear" w:color="auto" w:fill="auto"/>
                  <w:noWrap w:val="0"/>
                  <w:vAlign w:val="center"/>
                </w:tcPr>
                <w:p w14:paraId="6A97CF4E">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3#居民点</w:t>
                  </w:r>
                </w:p>
              </w:tc>
              <w:tc>
                <w:tcPr>
                  <w:tcW w:w="4978" w:type="dxa"/>
                  <w:tcBorders>
                    <w:tl2br w:val="nil"/>
                    <w:tr2bl w:val="nil"/>
                  </w:tcBorders>
                  <w:shd w:val="clear" w:color="auto" w:fill="auto"/>
                  <w:noWrap w:val="0"/>
                  <w:vAlign w:val="center"/>
                </w:tcPr>
                <w:p w14:paraId="5F1F0ADE">
                  <w:pPr>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52</w:t>
                  </w:r>
                </w:p>
              </w:tc>
              <w:tc>
                <w:tcPr>
                  <w:tcW w:w="1175" w:type="dxa"/>
                  <w:tcBorders>
                    <w:tl2br w:val="nil"/>
                    <w:tr2bl w:val="nil"/>
                  </w:tcBorders>
                  <w:shd w:val="clear" w:color="auto" w:fill="auto"/>
                  <w:noWrap w:val="0"/>
                  <w:vAlign w:val="center"/>
                </w:tcPr>
                <w:p w14:paraId="0479BBE0">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达标</w:t>
                  </w:r>
                </w:p>
              </w:tc>
            </w:tr>
            <w:tr w14:paraId="45190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36" w:type="dxa"/>
                  <w:tcBorders>
                    <w:tl2br w:val="nil"/>
                    <w:tr2bl w:val="nil"/>
                  </w:tcBorders>
                  <w:shd w:val="clear" w:color="auto" w:fill="auto"/>
                  <w:noWrap w:val="0"/>
                  <w:vAlign w:val="center"/>
                </w:tcPr>
                <w:p w14:paraId="2A951282">
                  <w:pPr>
                    <w:snapToGrid w:val="0"/>
                    <w:jc w:val="center"/>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eastAsia="zh-CN"/>
                    </w:rPr>
                    <w:t>△</w:t>
                  </w:r>
                  <w:r>
                    <w:rPr>
                      <w:rFonts w:hint="eastAsia" w:ascii="Times New Roman" w:hAnsi="Times New Roman" w:eastAsia="宋体" w:cs="Times New Roman"/>
                      <w:b/>
                      <w:bCs/>
                      <w:color w:val="auto"/>
                      <w:sz w:val="21"/>
                      <w:szCs w:val="21"/>
                      <w:highlight w:val="none"/>
                      <w:vertAlign w:val="baseline"/>
                      <w:lang w:val="en-US" w:eastAsia="zh-CN"/>
                    </w:rPr>
                    <w:t>4#</w:t>
                  </w:r>
                </w:p>
              </w:tc>
              <w:tc>
                <w:tcPr>
                  <w:tcW w:w="1668" w:type="dxa"/>
                  <w:tcBorders>
                    <w:tl2br w:val="nil"/>
                    <w:tr2bl w:val="nil"/>
                  </w:tcBorders>
                  <w:shd w:val="clear" w:color="auto" w:fill="auto"/>
                  <w:noWrap w:val="0"/>
                  <w:vAlign w:val="center"/>
                </w:tcPr>
                <w:p w14:paraId="2DC61DB0">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4#居民点</w:t>
                  </w:r>
                </w:p>
              </w:tc>
              <w:tc>
                <w:tcPr>
                  <w:tcW w:w="4978" w:type="dxa"/>
                  <w:tcBorders>
                    <w:tl2br w:val="nil"/>
                    <w:tr2bl w:val="nil"/>
                  </w:tcBorders>
                  <w:shd w:val="clear" w:color="auto" w:fill="auto"/>
                  <w:noWrap w:val="0"/>
                  <w:vAlign w:val="center"/>
                </w:tcPr>
                <w:p w14:paraId="15C91642">
                  <w:pPr>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54</w:t>
                  </w:r>
                </w:p>
              </w:tc>
              <w:tc>
                <w:tcPr>
                  <w:tcW w:w="1175" w:type="dxa"/>
                  <w:tcBorders>
                    <w:tl2br w:val="nil"/>
                    <w:tr2bl w:val="nil"/>
                  </w:tcBorders>
                  <w:shd w:val="clear" w:color="auto" w:fill="auto"/>
                  <w:noWrap w:val="0"/>
                  <w:vAlign w:val="center"/>
                </w:tcPr>
                <w:p w14:paraId="08184AB5">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达标</w:t>
                  </w:r>
                </w:p>
              </w:tc>
            </w:tr>
            <w:tr w14:paraId="5AB40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36" w:type="dxa"/>
                  <w:tcBorders>
                    <w:tl2br w:val="nil"/>
                    <w:tr2bl w:val="nil"/>
                  </w:tcBorders>
                  <w:shd w:val="clear" w:color="auto" w:fill="auto"/>
                  <w:noWrap w:val="0"/>
                  <w:vAlign w:val="center"/>
                </w:tcPr>
                <w:p w14:paraId="384A1A13">
                  <w:pPr>
                    <w:snapToGrid w:val="0"/>
                    <w:jc w:val="center"/>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eastAsia="zh-CN"/>
                    </w:rPr>
                    <w:t>△</w:t>
                  </w:r>
                  <w:r>
                    <w:rPr>
                      <w:rFonts w:hint="eastAsia" w:ascii="Times New Roman" w:hAnsi="Times New Roman" w:eastAsia="宋体" w:cs="Times New Roman"/>
                      <w:b/>
                      <w:bCs/>
                      <w:color w:val="auto"/>
                      <w:sz w:val="21"/>
                      <w:szCs w:val="21"/>
                      <w:highlight w:val="none"/>
                      <w:vertAlign w:val="baseline"/>
                      <w:lang w:val="en-US" w:eastAsia="zh-CN"/>
                    </w:rPr>
                    <w:t>5#</w:t>
                  </w:r>
                </w:p>
              </w:tc>
              <w:tc>
                <w:tcPr>
                  <w:tcW w:w="1668" w:type="dxa"/>
                  <w:tcBorders>
                    <w:tl2br w:val="nil"/>
                    <w:tr2bl w:val="nil"/>
                  </w:tcBorders>
                  <w:shd w:val="clear" w:color="auto" w:fill="auto"/>
                  <w:noWrap w:val="0"/>
                  <w:vAlign w:val="center"/>
                </w:tcPr>
                <w:p w14:paraId="1DBC5687">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5#居民点</w:t>
                  </w:r>
                </w:p>
              </w:tc>
              <w:tc>
                <w:tcPr>
                  <w:tcW w:w="4978" w:type="dxa"/>
                  <w:tcBorders>
                    <w:tl2br w:val="nil"/>
                    <w:tr2bl w:val="nil"/>
                  </w:tcBorders>
                  <w:shd w:val="clear" w:color="auto" w:fill="auto"/>
                  <w:noWrap w:val="0"/>
                  <w:vAlign w:val="center"/>
                </w:tcPr>
                <w:p w14:paraId="22C8D5E1">
                  <w:pPr>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54</w:t>
                  </w:r>
                </w:p>
              </w:tc>
              <w:tc>
                <w:tcPr>
                  <w:tcW w:w="1175" w:type="dxa"/>
                  <w:tcBorders>
                    <w:tl2br w:val="nil"/>
                    <w:tr2bl w:val="nil"/>
                  </w:tcBorders>
                  <w:shd w:val="clear" w:color="auto" w:fill="auto"/>
                  <w:noWrap w:val="0"/>
                  <w:vAlign w:val="center"/>
                </w:tcPr>
                <w:p w14:paraId="3D94ACB4">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达标</w:t>
                  </w:r>
                </w:p>
              </w:tc>
            </w:tr>
            <w:tr w14:paraId="2F132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36" w:type="dxa"/>
                  <w:tcBorders>
                    <w:tl2br w:val="nil"/>
                    <w:tr2bl w:val="nil"/>
                  </w:tcBorders>
                  <w:shd w:val="clear" w:color="auto" w:fill="auto"/>
                  <w:noWrap w:val="0"/>
                  <w:vAlign w:val="center"/>
                </w:tcPr>
                <w:p w14:paraId="56231920">
                  <w:pPr>
                    <w:snapToGrid w:val="0"/>
                    <w:jc w:val="center"/>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eastAsia="zh-CN"/>
                    </w:rPr>
                    <w:t>△</w:t>
                  </w:r>
                  <w:r>
                    <w:rPr>
                      <w:rFonts w:hint="eastAsia" w:ascii="Times New Roman" w:hAnsi="Times New Roman" w:eastAsia="宋体" w:cs="Times New Roman"/>
                      <w:b/>
                      <w:bCs/>
                      <w:color w:val="auto"/>
                      <w:sz w:val="21"/>
                      <w:szCs w:val="21"/>
                      <w:highlight w:val="none"/>
                      <w:vertAlign w:val="baseline"/>
                      <w:lang w:val="en-US" w:eastAsia="zh-CN"/>
                    </w:rPr>
                    <w:t>6#</w:t>
                  </w:r>
                </w:p>
              </w:tc>
              <w:tc>
                <w:tcPr>
                  <w:tcW w:w="1668" w:type="dxa"/>
                  <w:tcBorders>
                    <w:tl2br w:val="nil"/>
                    <w:tr2bl w:val="nil"/>
                  </w:tcBorders>
                  <w:shd w:val="clear" w:color="auto" w:fill="auto"/>
                  <w:noWrap w:val="0"/>
                  <w:vAlign w:val="center"/>
                </w:tcPr>
                <w:p w14:paraId="1C130DA1">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6#居民点</w:t>
                  </w:r>
                </w:p>
              </w:tc>
              <w:tc>
                <w:tcPr>
                  <w:tcW w:w="4978" w:type="dxa"/>
                  <w:tcBorders>
                    <w:tl2br w:val="nil"/>
                    <w:tr2bl w:val="nil"/>
                  </w:tcBorders>
                  <w:shd w:val="clear" w:color="auto" w:fill="auto"/>
                  <w:noWrap w:val="0"/>
                  <w:vAlign w:val="center"/>
                </w:tcPr>
                <w:p w14:paraId="4093CC5D">
                  <w:pPr>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50</w:t>
                  </w:r>
                </w:p>
              </w:tc>
              <w:tc>
                <w:tcPr>
                  <w:tcW w:w="1175" w:type="dxa"/>
                  <w:tcBorders>
                    <w:tl2br w:val="nil"/>
                    <w:tr2bl w:val="nil"/>
                  </w:tcBorders>
                  <w:shd w:val="clear" w:color="auto" w:fill="auto"/>
                  <w:noWrap w:val="0"/>
                  <w:vAlign w:val="center"/>
                </w:tcPr>
                <w:p w14:paraId="3BF79288">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达标</w:t>
                  </w:r>
                </w:p>
              </w:tc>
            </w:tr>
            <w:tr w14:paraId="67078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36" w:type="dxa"/>
                  <w:tcBorders>
                    <w:tl2br w:val="nil"/>
                    <w:tr2bl w:val="nil"/>
                  </w:tcBorders>
                  <w:shd w:val="clear" w:color="auto" w:fill="auto"/>
                  <w:noWrap w:val="0"/>
                  <w:vAlign w:val="center"/>
                </w:tcPr>
                <w:p w14:paraId="1DCF1F2D">
                  <w:pPr>
                    <w:snapToGrid w:val="0"/>
                    <w:jc w:val="center"/>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eastAsia="zh-CN"/>
                    </w:rPr>
                    <w:t>△</w:t>
                  </w:r>
                  <w:r>
                    <w:rPr>
                      <w:rFonts w:hint="eastAsia" w:ascii="Times New Roman" w:hAnsi="Times New Roman" w:eastAsia="宋体" w:cs="Times New Roman"/>
                      <w:b/>
                      <w:bCs/>
                      <w:color w:val="auto"/>
                      <w:sz w:val="21"/>
                      <w:szCs w:val="21"/>
                      <w:highlight w:val="none"/>
                      <w:vertAlign w:val="baseline"/>
                      <w:lang w:val="en-US" w:eastAsia="zh-CN"/>
                    </w:rPr>
                    <w:t>7#</w:t>
                  </w:r>
                </w:p>
              </w:tc>
              <w:tc>
                <w:tcPr>
                  <w:tcW w:w="1668" w:type="dxa"/>
                  <w:tcBorders>
                    <w:tl2br w:val="nil"/>
                    <w:tr2bl w:val="nil"/>
                  </w:tcBorders>
                  <w:shd w:val="clear" w:color="auto" w:fill="auto"/>
                  <w:noWrap w:val="0"/>
                  <w:vAlign w:val="center"/>
                </w:tcPr>
                <w:p w14:paraId="36CAC9CE">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7#居民点</w:t>
                  </w:r>
                </w:p>
              </w:tc>
              <w:tc>
                <w:tcPr>
                  <w:tcW w:w="4978" w:type="dxa"/>
                  <w:tcBorders>
                    <w:tl2br w:val="nil"/>
                    <w:tr2bl w:val="nil"/>
                  </w:tcBorders>
                  <w:shd w:val="clear" w:color="auto" w:fill="auto"/>
                  <w:noWrap w:val="0"/>
                  <w:vAlign w:val="center"/>
                </w:tcPr>
                <w:p w14:paraId="41901BF9">
                  <w:pPr>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43</w:t>
                  </w:r>
                </w:p>
              </w:tc>
              <w:tc>
                <w:tcPr>
                  <w:tcW w:w="1175" w:type="dxa"/>
                  <w:tcBorders>
                    <w:tl2br w:val="nil"/>
                    <w:tr2bl w:val="nil"/>
                  </w:tcBorders>
                  <w:shd w:val="clear" w:color="auto" w:fill="auto"/>
                  <w:noWrap w:val="0"/>
                  <w:vAlign w:val="center"/>
                </w:tcPr>
                <w:p w14:paraId="7E03D727">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达标</w:t>
                  </w:r>
                </w:p>
              </w:tc>
            </w:tr>
            <w:tr w14:paraId="64431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36" w:type="dxa"/>
                  <w:tcBorders>
                    <w:tl2br w:val="nil"/>
                    <w:tr2bl w:val="nil"/>
                  </w:tcBorders>
                  <w:shd w:val="clear" w:color="auto" w:fill="auto"/>
                  <w:noWrap w:val="0"/>
                  <w:vAlign w:val="center"/>
                </w:tcPr>
                <w:p w14:paraId="46FE279D">
                  <w:pPr>
                    <w:snapToGrid w:val="0"/>
                    <w:jc w:val="center"/>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eastAsia="zh-CN"/>
                    </w:rPr>
                    <w:t>△</w:t>
                  </w:r>
                  <w:r>
                    <w:rPr>
                      <w:rFonts w:hint="eastAsia" w:ascii="Times New Roman" w:hAnsi="Times New Roman" w:eastAsia="宋体" w:cs="Times New Roman"/>
                      <w:b/>
                      <w:bCs/>
                      <w:color w:val="auto"/>
                      <w:sz w:val="21"/>
                      <w:szCs w:val="21"/>
                      <w:highlight w:val="none"/>
                      <w:vertAlign w:val="baseline"/>
                      <w:lang w:val="en-US" w:eastAsia="zh-CN"/>
                    </w:rPr>
                    <w:t>8#</w:t>
                  </w:r>
                </w:p>
              </w:tc>
              <w:tc>
                <w:tcPr>
                  <w:tcW w:w="1668" w:type="dxa"/>
                  <w:tcBorders>
                    <w:tl2br w:val="nil"/>
                    <w:tr2bl w:val="nil"/>
                  </w:tcBorders>
                  <w:shd w:val="clear" w:color="auto" w:fill="auto"/>
                  <w:noWrap w:val="0"/>
                  <w:vAlign w:val="center"/>
                </w:tcPr>
                <w:p w14:paraId="31594CD6">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8#居民点</w:t>
                  </w:r>
                </w:p>
              </w:tc>
              <w:tc>
                <w:tcPr>
                  <w:tcW w:w="4978" w:type="dxa"/>
                  <w:tcBorders>
                    <w:tl2br w:val="nil"/>
                    <w:tr2bl w:val="nil"/>
                  </w:tcBorders>
                  <w:shd w:val="clear" w:color="auto" w:fill="auto"/>
                  <w:noWrap w:val="0"/>
                  <w:vAlign w:val="center"/>
                </w:tcPr>
                <w:p w14:paraId="34B31F09">
                  <w:pPr>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50</w:t>
                  </w:r>
                </w:p>
              </w:tc>
              <w:tc>
                <w:tcPr>
                  <w:tcW w:w="1175" w:type="dxa"/>
                  <w:tcBorders>
                    <w:tl2br w:val="nil"/>
                    <w:tr2bl w:val="nil"/>
                  </w:tcBorders>
                  <w:shd w:val="clear" w:color="auto" w:fill="auto"/>
                  <w:noWrap w:val="0"/>
                  <w:vAlign w:val="center"/>
                </w:tcPr>
                <w:p w14:paraId="5396F5C7">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达标</w:t>
                  </w:r>
                </w:p>
              </w:tc>
            </w:tr>
            <w:tr w14:paraId="0DBAE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36" w:type="dxa"/>
                  <w:tcBorders>
                    <w:tl2br w:val="nil"/>
                    <w:tr2bl w:val="nil"/>
                  </w:tcBorders>
                  <w:shd w:val="clear" w:color="auto" w:fill="auto"/>
                  <w:noWrap w:val="0"/>
                  <w:vAlign w:val="center"/>
                </w:tcPr>
                <w:p w14:paraId="3E4971BF">
                  <w:pPr>
                    <w:snapToGrid w:val="0"/>
                    <w:jc w:val="center"/>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eastAsia="zh-CN"/>
                    </w:rPr>
                    <w:t>△</w:t>
                  </w:r>
                  <w:r>
                    <w:rPr>
                      <w:rFonts w:hint="eastAsia" w:ascii="Times New Roman" w:hAnsi="Times New Roman" w:eastAsia="宋体" w:cs="Times New Roman"/>
                      <w:b/>
                      <w:bCs/>
                      <w:color w:val="auto"/>
                      <w:sz w:val="21"/>
                      <w:szCs w:val="21"/>
                      <w:highlight w:val="none"/>
                      <w:vertAlign w:val="baseline"/>
                      <w:lang w:val="en-US" w:eastAsia="zh-CN"/>
                    </w:rPr>
                    <w:t>9#</w:t>
                  </w:r>
                </w:p>
              </w:tc>
              <w:tc>
                <w:tcPr>
                  <w:tcW w:w="1668" w:type="dxa"/>
                  <w:tcBorders>
                    <w:tl2br w:val="nil"/>
                    <w:tr2bl w:val="nil"/>
                  </w:tcBorders>
                  <w:shd w:val="clear" w:color="auto" w:fill="auto"/>
                  <w:noWrap w:val="0"/>
                  <w:vAlign w:val="center"/>
                </w:tcPr>
                <w:p w14:paraId="7C43D81E">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9#居民点</w:t>
                  </w:r>
                </w:p>
              </w:tc>
              <w:tc>
                <w:tcPr>
                  <w:tcW w:w="4978" w:type="dxa"/>
                  <w:tcBorders>
                    <w:tl2br w:val="nil"/>
                    <w:tr2bl w:val="nil"/>
                  </w:tcBorders>
                  <w:shd w:val="clear" w:color="auto" w:fill="auto"/>
                  <w:noWrap w:val="0"/>
                  <w:vAlign w:val="center"/>
                </w:tcPr>
                <w:p w14:paraId="18FD6E37">
                  <w:pPr>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48</w:t>
                  </w:r>
                </w:p>
              </w:tc>
              <w:tc>
                <w:tcPr>
                  <w:tcW w:w="1175" w:type="dxa"/>
                  <w:tcBorders>
                    <w:tl2br w:val="nil"/>
                    <w:tr2bl w:val="nil"/>
                  </w:tcBorders>
                  <w:shd w:val="clear" w:color="auto" w:fill="auto"/>
                  <w:noWrap w:val="0"/>
                  <w:vAlign w:val="center"/>
                </w:tcPr>
                <w:p w14:paraId="7EC63D48">
                  <w:pPr>
                    <w:snapToGrid w:val="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eastAsia="zh-CN"/>
                    </w:rPr>
                    <w:t>达标</w:t>
                  </w:r>
                </w:p>
              </w:tc>
            </w:tr>
            <w:tr w14:paraId="5A842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557" w:type="dxa"/>
                  <w:gridSpan w:val="4"/>
                  <w:tcBorders>
                    <w:tl2br w:val="nil"/>
                    <w:tr2bl w:val="nil"/>
                  </w:tcBorders>
                  <w:noWrap w:val="0"/>
                  <w:vAlign w:val="center"/>
                </w:tcPr>
                <w:p w14:paraId="681DC675">
                  <w:pPr>
                    <w:snapToGrid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本项目昼、夜间噪声值符合《声环境质量标准》（GB3096-2008）中的1类标准要求。</w:t>
                  </w:r>
                </w:p>
              </w:tc>
            </w:tr>
          </w:tbl>
          <w:p w14:paraId="5C29E54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color w:val="auto"/>
                <w:sz w:val="24"/>
                <w:szCs w:val="24"/>
                <w:highlight w:val="none"/>
                <w:lang w:eastAsia="zh-CN"/>
              </w:rPr>
            </w:pPr>
            <w:r>
              <w:rPr>
                <w:rFonts w:hint="eastAsia" w:eastAsia="仿宋_GB2312" w:cs="Times New Roman"/>
                <w:b/>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rPr>
              <w:t>地下水</w:t>
            </w:r>
            <w:r>
              <w:rPr>
                <w:rFonts w:hint="eastAsia" w:eastAsia="仿宋_GB2312" w:cs="Times New Roman"/>
                <w:b/>
                <w:bCs/>
                <w:color w:val="auto"/>
                <w:sz w:val="24"/>
                <w:szCs w:val="24"/>
                <w:highlight w:val="none"/>
                <w:lang w:eastAsia="zh-CN"/>
              </w:rPr>
              <w:t>、</w:t>
            </w:r>
            <w:r>
              <w:rPr>
                <w:rFonts w:hint="default" w:ascii="Times New Roman" w:hAnsi="Times New Roman" w:eastAsia="仿宋_GB2312" w:cs="Times New Roman"/>
                <w:b/>
                <w:color w:val="auto"/>
                <w:sz w:val="24"/>
                <w:szCs w:val="24"/>
                <w:highlight w:val="none"/>
              </w:rPr>
              <w:t>土壤</w:t>
            </w:r>
            <w:r>
              <w:rPr>
                <w:rFonts w:hint="eastAsia" w:eastAsia="仿宋_GB2312" w:cs="Times New Roman"/>
                <w:b/>
                <w:color w:val="auto"/>
                <w:sz w:val="24"/>
                <w:szCs w:val="24"/>
                <w:highlight w:val="none"/>
                <w:lang w:eastAsia="zh-CN"/>
              </w:rPr>
              <w:t>环境</w:t>
            </w:r>
            <w:r>
              <w:rPr>
                <w:rFonts w:hint="default" w:ascii="Times New Roman" w:hAnsi="Times New Roman" w:eastAsia="仿宋_GB2312" w:cs="Times New Roman"/>
                <w:b/>
                <w:color w:val="auto"/>
                <w:sz w:val="24"/>
                <w:szCs w:val="24"/>
                <w:highlight w:val="none"/>
                <w:lang w:eastAsia="zh-CN"/>
              </w:rPr>
              <w:t>现状</w:t>
            </w:r>
          </w:p>
          <w:p w14:paraId="45C835AC">
            <w:pPr>
              <w:pStyle w:val="89"/>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default" w:ascii="Times New Roman" w:hAnsi="Times New Roman" w:eastAsia="仿宋_GB2312" w:cs="Times New Roman"/>
                <w:color w:val="auto"/>
                <w:kern w:val="0"/>
                <w:sz w:val="24"/>
                <w:highlight w:val="none"/>
                <w:lang w:val="en-US"/>
              </w:rPr>
            </w:pPr>
            <w:r>
              <w:rPr>
                <w:rFonts w:hint="default" w:ascii="Times New Roman" w:hAnsi="Times New Roman" w:eastAsia="仿宋_GB2312" w:cs="Times New Roman"/>
                <w:color w:val="auto"/>
                <w:kern w:val="24"/>
                <w:sz w:val="24"/>
                <w:szCs w:val="24"/>
                <w:lang w:val="en-US" w:eastAsia="zh-CN" w:bidi="ar-SA"/>
              </w:rPr>
              <w:t>根据《建设项目环境影响报告表编制技术指南》（生态影响类）（试行），地下水、土壤等其他环境要素参照环境影响评价相关技术导则开展补充监测和调查。根据《环境影响评价技术导则 地下水环境》（HJ610-2016）</w:t>
            </w:r>
            <w:r>
              <w:rPr>
                <w:rFonts w:hint="eastAsia" w:ascii="Times New Roman" w:hAnsi="Times New Roman" w:eastAsia="仿宋_GB2312" w:cs="Times New Roman"/>
                <w:color w:val="auto"/>
                <w:kern w:val="24"/>
                <w:sz w:val="24"/>
                <w:szCs w:val="24"/>
                <w:lang w:val="en-US" w:eastAsia="zh-CN" w:bidi="ar-SA"/>
              </w:rPr>
              <w:t>，</w:t>
            </w:r>
            <w:r>
              <w:rPr>
                <w:rFonts w:hint="eastAsia" w:ascii="Times New Roman" w:hAnsi="Times New Roman" w:eastAsia="仿宋_GB2312" w:cs="Times New Roman"/>
                <w:color w:val="auto"/>
                <w:kern w:val="16"/>
                <w:sz w:val="24"/>
                <w:szCs w:val="24"/>
                <w:highlight w:val="none"/>
                <w:lang w:val="en-US" w:eastAsia="zh-CN" w:bidi="ar-SA"/>
              </w:rPr>
              <w:t>本项目为农产品基地项目，本项目地下水环境影响评价行业分类属于Ⅳ类项目，不需要进行地下水环境影响评价。根据《环境影响评价技术导则 土壤环境（试行）》 （HJ964-2018）附录 A，本项目土壤环境影响评价项目类别属于Ⅳ类项目，不需要进行土壤环境影响评价。</w:t>
            </w:r>
            <w:r>
              <w:rPr>
                <w:rFonts w:hint="eastAsia" w:eastAsia="仿宋_GB2312" w:cs="Times New Roman"/>
                <w:color w:val="auto"/>
                <w:kern w:val="0"/>
                <w:sz w:val="24"/>
                <w:szCs w:val="24"/>
                <w:highlight w:val="none"/>
                <w:lang w:val="en-US" w:eastAsia="zh-CN" w:bidi="ar-SA"/>
              </w:rPr>
              <w:t>且项目区内不存在地下水环境敏感目标，</w:t>
            </w:r>
            <w:r>
              <w:rPr>
                <w:rFonts w:hint="eastAsia" w:ascii="Times New Roman" w:hAnsi="Times New Roman" w:eastAsia="仿宋_GB2312" w:cs="Times New Roman"/>
                <w:color w:val="auto"/>
                <w:kern w:val="16"/>
                <w:sz w:val="24"/>
                <w:szCs w:val="24"/>
                <w:highlight w:val="none"/>
                <w:lang w:val="en-US" w:eastAsia="zh-CN" w:bidi="ar-SA"/>
              </w:rPr>
              <w:t>本项目无地下水及土壤污染途径，无需进行地下水、土壤环境现状调查。</w:t>
            </w:r>
          </w:p>
        </w:tc>
      </w:tr>
      <w:tr w14:paraId="4D7680A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532" w:type="dxa"/>
            <w:tcBorders>
              <w:tl2br w:val="nil"/>
              <w:tr2bl w:val="nil"/>
            </w:tcBorders>
            <w:vAlign w:val="center"/>
          </w:tcPr>
          <w:p w14:paraId="2674B3D9">
            <w:pPr>
              <w:adjustRightInd w:val="0"/>
              <w:snapToGrid w:val="0"/>
              <w:jc w:val="center"/>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b/>
                <w:bCs/>
                <w:color w:val="auto"/>
                <w:kern w:val="0"/>
                <w:sz w:val="21"/>
                <w:szCs w:val="21"/>
                <w:highlight w:val="none"/>
                <w:lang w:eastAsia="zh-CN"/>
              </w:rPr>
              <w:t>与项目有关的原有环境污染和生态破坏问题</w:t>
            </w:r>
          </w:p>
        </w:tc>
        <w:tc>
          <w:tcPr>
            <w:tcW w:w="8669" w:type="dxa"/>
            <w:tcBorders>
              <w:tl2br w:val="nil"/>
              <w:tr2bl w:val="nil"/>
            </w:tcBorders>
            <w:vAlign w:val="center"/>
          </w:tcPr>
          <w:p w14:paraId="66ED9BBC">
            <w:pPr>
              <w:keepNext w:val="0"/>
              <w:keepLines w:val="0"/>
              <w:pageBreakBefore w:val="0"/>
              <w:widowControl w:val="0"/>
              <w:kinsoku/>
              <w:wordWrap/>
              <w:overflowPunct/>
              <w:topLinePunct w:val="0"/>
              <w:autoSpaceDE/>
              <w:autoSpaceDN/>
              <w:bidi w:val="0"/>
              <w:adjustRightInd w:val="0"/>
              <w:snapToGrid/>
              <w:spacing w:line="360" w:lineRule="auto"/>
              <w:ind w:right="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本项目为新建项目，位于农村地区，无与项目有关的原有环境污染和生态破坏问题。</w:t>
            </w:r>
          </w:p>
        </w:tc>
      </w:tr>
      <w:tr w14:paraId="5679F69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601" w:hRule="atLeast"/>
          <w:jc w:val="center"/>
        </w:trPr>
        <w:tc>
          <w:tcPr>
            <w:tcW w:w="532" w:type="dxa"/>
            <w:tcBorders>
              <w:tl2br w:val="nil"/>
              <w:tr2bl w:val="nil"/>
            </w:tcBorders>
            <w:vAlign w:val="center"/>
          </w:tcPr>
          <w:p w14:paraId="4FCB4D11">
            <w:pPr>
              <w:adjustRightInd w:val="0"/>
              <w:snapToGrid w:val="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b/>
                <w:bCs/>
                <w:color w:val="auto"/>
                <w:kern w:val="0"/>
                <w:sz w:val="24"/>
                <w:highlight w:val="none"/>
                <w:lang w:eastAsia="zh-CN"/>
              </w:rPr>
              <w:t>生态</w:t>
            </w:r>
            <w:r>
              <w:rPr>
                <w:rFonts w:hint="default" w:ascii="Times New Roman" w:hAnsi="Times New Roman" w:eastAsia="仿宋_GB2312" w:cs="Times New Roman"/>
                <w:b/>
                <w:bCs/>
                <w:color w:val="auto"/>
                <w:kern w:val="0"/>
                <w:sz w:val="24"/>
                <w:highlight w:val="none"/>
              </w:rPr>
              <w:t>环境保护目标</w:t>
            </w:r>
          </w:p>
        </w:tc>
        <w:tc>
          <w:tcPr>
            <w:tcW w:w="8669" w:type="dxa"/>
            <w:tcBorders>
              <w:tl2br w:val="nil"/>
              <w:tr2bl w:val="nil"/>
            </w:tcBorders>
            <w:vAlign w:val="top"/>
          </w:tcPr>
          <w:p w14:paraId="4247C89E">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仿宋_GB2312" w:cs="Times New Roman"/>
                <w:b/>
                <w:bCs/>
                <w:color w:val="auto"/>
                <w:sz w:val="24"/>
                <w:szCs w:val="32"/>
                <w:highlight w:val="none"/>
              </w:rPr>
            </w:pPr>
            <w:r>
              <w:rPr>
                <w:rFonts w:hint="eastAsia" w:eastAsia="仿宋_GB2312" w:cs="Times New Roman"/>
                <w:b/>
                <w:bCs/>
                <w:color w:val="auto"/>
                <w:sz w:val="24"/>
                <w:szCs w:val="32"/>
                <w:highlight w:val="none"/>
                <w:lang w:eastAsia="zh-CN"/>
              </w:rPr>
              <w:t>1.</w:t>
            </w:r>
            <w:r>
              <w:rPr>
                <w:rFonts w:hint="default" w:ascii="Times New Roman" w:hAnsi="Times New Roman" w:eastAsia="仿宋_GB2312" w:cs="Times New Roman"/>
                <w:b/>
                <w:bCs/>
                <w:color w:val="auto"/>
                <w:sz w:val="24"/>
                <w:szCs w:val="32"/>
                <w:highlight w:val="none"/>
              </w:rPr>
              <w:t>生态环境</w:t>
            </w:r>
          </w:p>
          <w:p w14:paraId="70E9FF4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32"/>
                <w:highlight w:val="none"/>
                <w:lang w:eastAsia="zh-CN"/>
              </w:rPr>
            </w:pPr>
            <w:r>
              <w:rPr>
                <w:rFonts w:hint="default" w:ascii="Times New Roman" w:hAnsi="Times New Roman" w:eastAsia="仿宋_GB2312" w:cs="Times New Roman"/>
                <w:color w:val="auto"/>
                <w:sz w:val="24"/>
                <w:szCs w:val="32"/>
                <w:highlight w:val="none"/>
                <w:lang w:eastAsia="zh-CN"/>
              </w:rPr>
              <w:t>按照《环境影响评价技术导则 生态影响》（HJ19-2022）相关要求，</w:t>
            </w:r>
            <w:r>
              <w:rPr>
                <w:rFonts w:hint="default" w:ascii="Times New Roman" w:hAnsi="Times New Roman" w:eastAsia="仿宋_GB2312" w:cs="Times New Roman"/>
                <w:color w:val="auto"/>
                <w:sz w:val="24"/>
                <w:szCs w:val="24"/>
                <w:highlight w:val="none"/>
                <w:lang w:val="en-US" w:eastAsia="zh-CN"/>
              </w:rPr>
              <w:t>依据建设项目影响区域的生态敏感性和影响程度，判定本项目生态影响评价等级为三级，本项目直接影响区域为项目占地范围内，无间接影响区域</w:t>
            </w:r>
            <w:r>
              <w:rPr>
                <w:rFonts w:hint="default" w:ascii="Times New Roman" w:hAnsi="Times New Roman" w:eastAsia="仿宋_GB2312" w:cs="Times New Roman"/>
                <w:color w:val="auto"/>
                <w:sz w:val="24"/>
                <w:szCs w:val="32"/>
                <w:highlight w:val="none"/>
                <w:lang w:eastAsia="zh-CN"/>
              </w:rPr>
              <w:t>，主要生态保护目标见下表：</w:t>
            </w:r>
          </w:p>
          <w:p w14:paraId="3CD0FCDF">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仿宋_GB2312" w:cs="Times New Roman"/>
                <w:b/>
                <w:bCs/>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1"/>
                <w:szCs w:val="21"/>
                <w:highlight w:val="none"/>
                <w:lang w:val="en-US" w:eastAsia="zh-CN" w:bidi="ar-SA"/>
              </w:rPr>
              <w:t>表</w:t>
            </w:r>
            <w:r>
              <w:rPr>
                <w:rFonts w:hint="eastAsia" w:eastAsia="仿宋_GB2312" w:cs="Times New Roman"/>
                <w:b w:val="0"/>
                <w:bCs w:val="0"/>
                <w:color w:val="auto"/>
                <w:kern w:val="0"/>
                <w:sz w:val="21"/>
                <w:szCs w:val="21"/>
                <w:highlight w:val="none"/>
                <w:lang w:val="en-US" w:eastAsia="zh-CN" w:bidi="ar-SA"/>
              </w:rPr>
              <w:t>15</w:t>
            </w:r>
            <w:r>
              <w:rPr>
                <w:rFonts w:hint="eastAsia" w:ascii="宋体" w:hAnsi="宋体" w:eastAsia="宋体" w:cs="宋体"/>
                <w:b w:val="0"/>
                <w:bCs w:val="0"/>
                <w:color w:val="auto"/>
                <w:kern w:val="0"/>
                <w:sz w:val="21"/>
                <w:szCs w:val="21"/>
                <w:highlight w:val="none"/>
                <w:lang w:val="en-US" w:eastAsia="zh-CN" w:bidi="ar-SA"/>
              </w:rPr>
              <w:t xml:space="preserve">                </w:t>
            </w:r>
            <w:r>
              <w:rPr>
                <w:rFonts w:hint="eastAsia" w:ascii="宋体" w:hAnsi="宋体" w:cs="宋体"/>
                <w:b w:val="0"/>
                <w:bCs w:val="0"/>
                <w:color w:val="auto"/>
                <w:kern w:val="0"/>
                <w:sz w:val="21"/>
                <w:szCs w:val="21"/>
                <w:highlight w:val="none"/>
                <w:lang w:val="en-US" w:eastAsia="zh-CN" w:bidi="ar-SA"/>
              </w:rPr>
              <w:t xml:space="preserve">     </w:t>
            </w:r>
            <w:r>
              <w:rPr>
                <w:rFonts w:hint="eastAsia" w:ascii="宋体" w:hAnsi="宋体" w:eastAsia="宋体" w:cs="宋体"/>
                <w:b w:val="0"/>
                <w:bCs w:val="0"/>
                <w:color w:val="auto"/>
                <w:kern w:val="0"/>
                <w:sz w:val="21"/>
                <w:szCs w:val="21"/>
                <w:highlight w:val="none"/>
                <w:lang w:val="en-US" w:eastAsia="zh-CN" w:bidi="ar-SA"/>
              </w:rPr>
              <w:t xml:space="preserve">  </w:t>
            </w:r>
            <w:r>
              <w:rPr>
                <w:rFonts w:hint="eastAsia" w:ascii="宋体" w:hAnsi="宋体" w:eastAsia="宋体" w:cs="宋体"/>
                <w:b/>
                <w:bCs/>
                <w:color w:val="auto"/>
                <w:kern w:val="0"/>
                <w:sz w:val="24"/>
                <w:szCs w:val="24"/>
                <w:highlight w:val="none"/>
                <w:lang w:val="en-US" w:eastAsia="zh-CN" w:bidi="ar-SA"/>
              </w:rPr>
              <w:t>生态环境保护目标</w:t>
            </w:r>
          </w:p>
          <w:tbl>
            <w:tblPr>
              <w:tblStyle w:val="3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822"/>
              <w:gridCol w:w="1802"/>
              <w:gridCol w:w="1679"/>
              <w:gridCol w:w="1679"/>
            </w:tblGrid>
            <w:tr w14:paraId="76C1F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3" w:type="dxa"/>
                  <w:tcBorders>
                    <w:tl2br w:val="nil"/>
                    <w:tr2bl w:val="nil"/>
                  </w:tcBorders>
                  <w:noWrap w:val="0"/>
                  <w:vAlign w:val="center"/>
                </w:tcPr>
                <w:p w14:paraId="12EA9FA4">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环境要素</w:t>
                  </w:r>
                </w:p>
              </w:tc>
              <w:tc>
                <w:tcPr>
                  <w:tcW w:w="1750" w:type="dxa"/>
                  <w:tcBorders>
                    <w:tl2br w:val="nil"/>
                    <w:tr2bl w:val="nil"/>
                  </w:tcBorders>
                  <w:noWrap w:val="0"/>
                  <w:vAlign w:val="center"/>
                </w:tcPr>
                <w:p w14:paraId="2F34B74D">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保护内容</w:t>
                  </w:r>
                </w:p>
              </w:tc>
              <w:tc>
                <w:tcPr>
                  <w:tcW w:w="1730" w:type="dxa"/>
                  <w:tcBorders>
                    <w:tl2br w:val="nil"/>
                    <w:tr2bl w:val="nil"/>
                  </w:tcBorders>
                  <w:noWrap w:val="0"/>
                  <w:vAlign w:val="center"/>
                </w:tcPr>
                <w:p w14:paraId="2ADFA6CF">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位置关系</w:t>
                  </w:r>
                </w:p>
              </w:tc>
              <w:tc>
                <w:tcPr>
                  <w:tcW w:w="1612" w:type="dxa"/>
                  <w:tcBorders>
                    <w:tl2br w:val="nil"/>
                    <w:tr2bl w:val="nil"/>
                  </w:tcBorders>
                  <w:noWrap w:val="0"/>
                  <w:vAlign w:val="center"/>
                </w:tcPr>
                <w:p w14:paraId="5A604FEF">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功能</w:t>
                  </w:r>
                </w:p>
              </w:tc>
              <w:tc>
                <w:tcPr>
                  <w:tcW w:w="1612" w:type="dxa"/>
                  <w:tcBorders>
                    <w:tl2br w:val="nil"/>
                    <w:tr2bl w:val="nil"/>
                  </w:tcBorders>
                  <w:noWrap w:val="0"/>
                  <w:vAlign w:val="center"/>
                </w:tcPr>
                <w:p w14:paraId="67462B18">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保护级别</w:t>
                  </w:r>
                </w:p>
              </w:tc>
            </w:tr>
            <w:tr w14:paraId="23C6C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3" w:type="dxa"/>
                  <w:tcBorders>
                    <w:tl2br w:val="nil"/>
                    <w:tr2bl w:val="nil"/>
                  </w:tcBorders>
                  <w:noWrap w:val="0"/>
                  <w:vAlign w:val="center"/>
                </w:tcPr>
                <w:p w14:paraId="72D78477">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生态环境</w:t>
                  </w:r>
                </w:p>
              </w:tc>
              <w:tc>
                <w:tcPr>
                  <w:tcW w:w="1750" w:type="dxa"/>
                  <w:tcBorders>
                    <w:tl2br w:val="nil"/>
                    <w:tr2bl w:val="nil"/>
                  </w:tcBorders>
                  <w:noWrap w:val="0"/>
                  <w:vAlign w:val="center"/>
                </w:tcPr>
                <w:p w14:paraId="41E06DC7">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评价区动物、植物、土壤、耕地</w:t>
                  </w:r>
                </w:p>
              </w:tc>
              <w:tc>
                <w:tcPr>
                  <w:tcW w:w="1730" w:type="dxa"/>
                  <w:tcBorders>
                    <w:tl2br w:val="nil"/>
                    <w:tr2bl w:val="nil"/>
                  </w:tcBorders>
                  <w:noWrap w:val="0"/>
                  <w:vAlign w:val="center"/>
                </w:tcPr>
                <w:p w14:paraId="121500CC">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项目占地范围内</w:t>
                  </w:r>
                </w:p>
              </w:tc>
              <w:tc>
                <w:tcPr>
                  <w:tcW w:w="1612" w:type="dxa"/>
                  <w:tcBorders>
                    <w:tl2br w:val="nil"/>
                    <w:tr2bl w:val="nil"/>
                  </w:tcBorders>
                  <w:noWrap w:val="0"/>
                  <w:vAlign w:val="center"/>
                </w:tcPr>
                <w:p w14:paraId="0B014BAB">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维持生态平衡</w:t>
                  </w:r>
                </w:p>
              </w:tc>
              <w:tc>
                <w:tcPr>
                  <w:tcW w:w="1612" w:type="dxa"/>
                  <w:tcBorders>
                    <w:tl2br w:val="nil"/>
                    <w:tr2bl w:val="nil"/>
                  </w:tcBorders>
                  <w:noWrap w:val="0"/>
                  <w:vAlign w:val="center"/>
                </w:tcPr>
                <w:p w14:paraId="0123E86A">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保护生态环境</w:t>
                  </w:r>
                </w:p>
                <w:p w14:paraId="6D564A75">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良性循环</w:t>
                  </w:r>
                </w:p>
              </w:tc>
            </w:tr>
          </w:tbl>
          <w:p w14:paraId="18B6EC65">
            <w:pPr>
              <w:keepNext w:val="0"/>
              <w:keepLines w:val="0"/>
              <w:pageBreakBefore w:val="0"/>
              <w:widowControl w:val="0"/>
              <w:kinsoku/>
              <w:wordWrap/>
              <w:overflowPunct/>
              <w:topLinePunct w:val="0"/>
              <w:autoSpaceDE/>
              <w:autoSpaceDN/>
              <w:bidi w:val="0"/>
              <w:snapToGrid/>
              <w:spacing w:line="360" w:lineRule="auto"/>
              <w:ind w:right="0"/>
              <w:textAlignment w:val="auto"/>
              <w:rPr>
                <w:rFonts w:hint="default" w:ascii="Times New Roman" w:hAnsi="Times New Roman" w:eastAsia="仿宋_GB2312" w:cs="Times New Roman"/>
                <w:b/>
                <w:bCs/>
                <w:color w:val="auto"/>
                <w:sz w:val="24"/>
                <w:highlight w:val="none"/>
              </w:rPr>
            </w:pPr>
            <w:r>
              <w:rPr>
                <w:rFonts w:hint="eastAsia" w:eastAsia="仿宋_GB2312" w:cs="Times New Roman"/>
                <w:b/>
                <w:bCs/>
                <w:color w:val="auto"/>
                <w:sz w:val="24"/>
                <w:szCs w:val="32"/>
                <w:highlight w:val="none"/>
                <w:lang w:val="en-US" w:eastAsia="zh-CN"/>
              </w:rPr>
              <w:t>2.</w:t>
            </w:r>
            <w:r>
              <w:rPr>
                <w:rFonts w:hint="default" w:ascii="Times New Roman" w:hAnsi="Times New Roman" w:eastAsia="仿宋_GB2312" w:cs="Times New Roman"/>
                <w:b/>
                <w:bCs/>
                <w:color w:val="auto"/>
                <w:sz w:val="24"/>
                <w:highlight w:val="none"/>
              </w:rPr>
              <w:t>声环境保护目标</w:t>
            </w:r>
          </w:p>
          <w:p w14:paraId="50CC68DB">
            <w:pPr>
              <w:pStyle w:val="122"/>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cs="Times New Roman"/>
                <w:color w:val="auto"/>
                <w:kern w:val="0"/>
                <w:sz w:val="24"/>
                <w:szCs w:val="24"/>
                <w:highlight w:val="yellow"/>
                <w:lang w:val="en-US" w:eastAsia="zh-CN" w:bidi="ar-SA"/>
              </w:rPr>
            </w:pPr>
            <w:r>
              <w:rPr>
                <w:rFonts w:hint="eastAsia" w:ascii="Times New Roman" w:hAnsi="Times New Roman" w:eastAsia="仿宋_GB2312" w:cs="Times New Roman"/>
                <w:color w:val="auto"/>
                <w:kern w:val="0"/>
                <w:sz w:val="24"/>
                <w:szCs w:val="24"/>
                <w:highlight w:val="none"/>
                <w:lang w:val="en-US" w:eastAsia="zh-CN" w:bidi="ar-SA"/>
              </w:rPr>
              <w:t>本项目200m范围内声环</w:t>
            </w:r>
            <w:r>
              <w:rPr>
                <w:rFonts w:hint="eastAsia" w:ascii="Times New Roman" w:hAnsi="Times New Roman" w:eastAsia="仿宋_GB2312" w:cs="Times New Roman"/>
                <w:color w:val="auto"/>
                <w:kern w:val="24"/>
                <w:sz w:val="24"/>
                <w:szCs w:val="24"/>
                <w:lang w:val="en-US" w:eastAsia="zh-CN" w:bidi="ar-SA"/>
              </w:rPr>
              <w:t>境保护目标如下。</w:t>
            </w:r>
          </w:p>
          <w:p w14:paraId="08A39867">
            <w:pPr>
              <w:keepNext w:val="0"/>
              <w:keepLines w:val="0"/>
              <w:pageBreakBefore w:val="0"/>
              <w:widowControl w:val="0"/>
              <w:tabs>
                <w:tab w:val="left" w:pos="8280"/>
              </w:tabs>
              <w:kinsoku/>
              <w:wordWrap/>
              <w:overflowPunct/>
              <w:topLinePunct w:val="0"/>
              <w:bidi w:val="0"/>
              <w:spacing w:line="240" w:lineRule="auto"/>
              <w:ind w:firstLine="420" w:firstLineChars="200"/>
              <w:jc w:val="left"/>
              <w:textAlignment w:val="auto"/>
              <w:outlineLvl w:val="9"/>
              <w:rPr>
                <w:rFonts w:hint="eastAsia"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val="0"/>
                <w:bCs w:val="0"/>
                <w:color w:val="auto"/>
                <w:sz w:val="21"/>
                <w:szCs w:val="21"/>
                <w:highlight w:val="none"/>
              </w:rPr>
              <w:t>表</w:t>
            </w:r>
            <w:r>
              <w:rPr>
                <w:rFonts w:hint="eastAsia" w:cs="Times New Roman"/>
                <w:b w:val="0"/>
                <w:bCs w:val="0"/>
                <w:color w:val="auto"/>
                <w:sz w:val="21"/>
                <w:szCs w:val="21"/>
                <w:highlight w:val="none"/>
                <w:lang w:val="en-US" w:eastAsia="zh-CN"/>
              </w:rPr>
              <w:t>16</w:t>
            </w:r>
            <w:r>
              <w:rPr>
                <w:rFonts w:hint="default" w:ascii="Times New Roman" w:hAnsi="Times New Roman" w:eastAsia="宋体" w:cs="Times New Roman"/>
                <w:b w:val="0"/>
                <w:bCs w:val="0"/>
                <w:color w:val="auto"/>
                <w:sz w:val="24"/>
                <w:szCs w:val="24"/>
                <w:highlight w:val="none"/>
              </w:rPr>
              <w:t xml:space="preserve">      </w:t>
            </w:r>
            <w:r>
              <w:rPr>
                <w:rFonts w:hint="eastAsia"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 xml:space="preserve">  </w:t>
            </w:r>
            <w:r>
              <w:rPr>
                <w:rFonts w:hint="default" w:ascii="Times New Roman" w:hAnsi="Times New Roman" w:eastAsia="宋体" w:cs="Times New Roman"/>
                <w:b/>
                <w:bCs/>
                <w:color w:val="auto"/>
                <w:sz w:val="24"/>
                <w:szCs w:val="24"/>
                <w:highlight w:val="none"/>
              </w:rPr>
              <w:t>本项目所在区域</w:t>
            </w:r>
            <w:r>
              <w:rPr>
                <w:rFonts w:hint="eastAsia" w:ascii="Times New Roman" w:hAnsi="Times New Roman" w:cs="Times New Roman"/>
                <w:b/>
                <w:bCs/>
                <w:color w:val="auto"/>
                <w:sz w:val="24"/>
                <w:szCs w:val="24"/>
                <w:highlight w:val="none"/>
                <w:lang w:val="en-US" w:eastAsia="zh-CN"/>
              </w:rPr>
              <w:t>声</w:t>
            </w:r>
            <w:r>
              <w:rPr>
                <w:rFonts w:hint="default" w:ascii="Times New Roman" w:hAnsi="Times New Roman" w:eastAsia="宋体" w:cs="Times New Roman"/>
                <w:b/>
                <w:bCs/>
                <w:color w:val="auto"/>
                <w:sz w:val="24"/>
                <w:szCs w:val="24"/>
                <w:highlight w:val="none"/>
              </w:rPr>
              <w:t>环境保护目标一览表</w:t>
            </w:r>
          </w:p>
          <w:tbl>
            <w:tblPr>
              <w:tblStyle w:val="33"/>
              <w:tblpPr w:leftFromText="180" w:rightFromText="180" w:vertAnchor="text" w:tblpXSpec="center" w:tblpY="1"/>
              <w:tblOverlap w:val="never"/>
              <w:tblW w:w="84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524"/>
              <w:gridCol w:w="1471"/>
              <w:gridCol w:w="1196"/>
              <w:gridCol w:w="1206"/>
              <w:gridCol w:w="825"/>
              <w:gridCol w:w="675"/>
              <w:gridCol w:w="813"/>
            </w:tblGrid>
            <w:tr w14:paraId="3740B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4" w:type="dxa"/>
                  <w:gridSpan w:val="8"/>
                  <w:noWrap w:val="0"/>
                  <w:vAlign w:val="center"/>
                </w:tcPr>
                <w:p w14:paraId="02FC8CBC">
                  <w:pPr>
                    <w:adjustRightInd w:val="0"/>
                    <w:snapToGrid w:val="0"/>
                    <w:jc w:val="center"/>
                    <w:rPr>
                      <w:rFonts w:hint="default" w:ascii="Times New Roman" w:hAnsi="Times New Roman" w:cs="Times New Roman"/>
                      <w:b/>
                      <w:color w:val="auto"/>
                      <w:szCs w:val="22"/>
                      <w:highlight w:val="none"/>
                      <w:lang w:val="en-US" w:eastAsia="zh-CN"/>
                    </w:rPr>
                  </w:pPr>
                  <w:r>
                    <w:rPr>
                      <w:rFonts w:hint="eastAsia" w:cs="Times New Roman"/>
                      <w:b/>
                      <w:color w:val="auto"/>
                      <w:szCs w:val="22"/>
                      <w:highlight w:val="none"/>
                      <w:lang w:val="en-US" w:eastAsia="zh-CN"/>
                    </w:rPr>
                    <w:t>什子村</w:t>
                  </w:r>
                </w:p>
              </w:tc>
            </w:tr>
            <w:tr w14:paraId="43C34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vMerge w:val="restart"/>
                  <w:noWrap w:val="0"/>
                  <w:vAlign w:val="center"/>
                </w:tcPr>
                <w:p w14:paraId="0536A377">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环境要素</w:t>
                  </w:r>
                </w:p>
              </w:tc>
              <w:tc>
                <w:tcPr>
                  <w:tcW w:w="2995" w:type="dxa"/>
                  <w:gridSpan w:val="2"/>
                  <w:noWrap w:val="0"/>
                  <w:vAlign w:val="center"/>
                </w:tcPr>
                <w:p w14:paraId="7B98C2D1">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坐标</w:t>
                  </w:r>
                </w:p>
              </w:tc>
              <w:tc>
                <w:tcPr>
                  <w:tcW w:w="1196" w:type="dxa"/>
                  <w:vMerge w:val="restart"/>
                  <w:noWrap w:val="0"/>
                  <w:vAlign w:val="center"/>
                </w:tcPr>
                <w:p w14:paraId="1B9C5B14">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保护</w:t>
                  </w:r>
                </w:p>
                <w:p w14:paraId="368B9210">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对象</w:t>
                  </w:r>
                </w:p>
              </w:tc>
              <w:tc>
                <w:tcPr>
                  <w:tcW w:w="1206" w:type="dxa"/>
                  <w:vMerge w:val="restart"/>
                  <w:noWrap w:val="0"/>
                  <w:vAlign w:val="center"/>
                </w:tcPr>
                <w:p w14:paraId="063A65D4">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保护内容</w:t>
                  </w:r>
                </w:p>
              </w:tc>
              <w:tc>
                <w:tcPr>
                  <w:tcW w:w="825" w:type="dxa"/>
                  <w:vMerge w:val="restart"/>
                  <w:noWrap w:val="0"/>
                  <w:vAlign w:val="center"/>
                </w:tcPr>
                <w:p w14:paraId="6C392382">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环境功能区</w:t>
                  </w:r>
                </w:p>
              </w:tc>
              <w:tc>
                <w:tcPr>
                  <w:tcW w:w="675" w:type="dxa"/>
                  <w:vMerge w:val="restart"/>
                  <w:noWrap w:val="0"/>
                  <w:vAlign w:val="center"/>
                </w:tcPr>
                <w:p w14:paraId="21313057">
                  <w:pPr>
                    <w:adjustRightInd w:val="0"/>
                    <w:snapToGrid w:val="0"/>
                    <w:jc w:val="center"/>
                    <w:rPr>
                      <w:rFonts w:hint="default" w:ascii="Times New Roman" w:hAnsi="Times New Roman" w:eastAsia="仿宋" w:cs="Times New Roman"/>
                      <w:b/>
                      <w:color w:val="auto"/>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方位</w:t>
                  </w:r>
                </w:p>
              </w:tc>
              <w:tc>
                <w:tcPr>
                  <w:tcW w:w="813" w:type="dxa"/>
                  <w:vMerge w:val="restart"/>
                  <w:noWrap w:val="0"/>
                  <w:vAlign w:val="center"/>
                </w:tcPr>
                <w:p w14:paraId="39A80079">
                  <w:pPr>
                    <w:adjustRightInd w:val="0"/>
                    <w:snapToGrid w:val="0"/>
                    <w:jc w:val="center"/>
                    <w:rPr>
                      <w:rFonts w:hint="default" w:ascii="Times New Roman" w:hAnsi="Times New Roman" w:cs="Times New Roman"/>
                      <w:b/>
                      <w:color w:val="auto"/>
                      <w:szCs w:val="22"/>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距离</w:t>
                  </w:r>
                </w:p>
              </w:tc>
            </w:tr>
            <w:tr w14:paraId="48085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vMerge w:val="continue"/>
                  <w:noWrap w:val="0"/>
                  <w:vAlign w:val="center"/>
                </w:tcPr>
                <w:p w14:paraId="19539DFB">
                  <w:pPr>
                    <w:snapToGrid w:val="0"/>
                    <w:jc w:val="center"/>
                    <w:rPr>
                      <w:rFonts w:hint="default" w:ascii="Times New Roman" w:hAnsi="Times New Roman" w:eastAsia="宋体" w:cs="Times New Roman"/>
                      <w:color w:val="auto"/>
                      <w:highlight w:val="none"/>
                      <w:lang w:eastAsia="zh-CN"/>
                    </w:rPr>
                  </w:pPr>
                </w:p>
              </w:tc>
              <w:tc>
                <w:tcPr>
                  <w:tcW w:w="1524" w:type="dxa"/>
                  <w:noWrap w:val="0"/>
                  <w:vAlign w:val="center"/>
                </w:tcPr>
                <w:p w14:paraId="07F8FAFD">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经度（E）</w:t>
                  </w:r>
                </w:p>
              </w:tc>
              <w:tc>
                <w:tcPr>
                  <w:tcW w:w="1471" w:type="dxa"/>
                  <w:noWrap w:val="0"/>
                  <w:vAlign w:val="center"/>
                </w:tcPr>
                <w:p w14:paraId="61F134CA">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纬度（N）</w:t>
                  </w:r>
                </w:p>
              </w:tc>
              <w:tc>
                <w:tcPr>
                  <w:tcW w:w="1196" w:type="dxa"/>
                  <w:vMerge w:val="continue"/>
                  <w:noWrap w:val="0"/>
                  <w:vAlign w:val="center"/>
                </w:tcPr>
                <w:p w14:paraId="0ADD2D7E">
                  <w:pPr>
                    <w:jc w:val="center"/>
                    <w:rPr>
                      <w:rFonts w:hint="default" w:ascii="Times New Roman" w:hAnsi="Times New Roman" w:cs="Times New Roman"/>
                      <w:color w:val="auto"/>
                      <w:highlight w:val="none"/>
                      <w:lang w:eastAsia="zh-CN"/>
                    </w:rPr>
                  </w:pPr>
                </w:p>
              </w:tc>
              <w:tc>
                <w:tcPr>
                  <w:tcW w:w="1206" w:type="dxa"/>
                  <w:vMerge w:val="continue"/>
                  <w:noWrap w:val="0"/>
                  <w:vAlign w:val="center"/>
                </w:tcPr>
                <w:p w14:paraId="157BDF6A">
                  <w:pPr>
                    <w:jc w:val="center"/>
                    <w:rPr>
                      <w:rFonts w:hint="default" w:ascii="Times New Roman" w:hAnsi="Times New Roman" w:cs="Times New Roman"/>
                      <w:color w:val="auto"/>
                      <w:highlight w:val="none"/>
                      <w:lang w:val="en-US" w:eastAsia="zh-CN"/>
                    </w:rPr>
                  </w:pPr>
                </w:p>
              </w:tc>
              <w:tc>
                <w:tcPr>
                  <w:tcW w:w="825" w:type="dxa"/>
                  <w:vMerge w:val="continue"/>
                  <w:noWrap w:val="0"/>
                  <w:vAlign w:val="center"/>
                </w:tcPr>
                <w:p w14:paraId="4C8E484B">
                  <w:pPr>
                    <w:jc w:val="center"/>
                    <w:rPr>
                      <w:rFonts w:hint="default" w:ascii="Times New Roman" w:hAnsi="Times New Roman" w:cs="Times New Roman"/>
                      <w:color w:val="auto"/>
                      <w:highlight w:val="none"/>
                      <w:lang w:val="en-US" w:eastAsia="zh-CN"/>
                    </w:rPr>
                  </w:pPr>
                </w:p>
              </w:tc>
              <w:tc>
                <w:tcPr>
                  <w:tcW w:w="675" w:type="dxa"/>
                  <w:vMerge w:val="continue"/>
                  <w:noWrap w:val="0"/>
                  <w:vAlign w:val="center"/>
                </w:tcPr>
                <w:p w14:paraId="532324AD">
                  <w:pPr>
                    <w:snapToGrid w:val="0"/>
                    <w:jc w:val="center"/>
                    <w:rPr>
                      <w:rFonts w:hint="default" w:ascii="Times New Roman" w:hAnsi="Times New Roman" w:cs="Times New Roman"/>
                      <w:color w:val="auto"/>
                      <w:highlight w:val="none"/>
                      <w:lang w:val="en-US" w:eastAsia="zh-CN"/>
                    </w:rPr>
                  </w:pPr>
                </w:p>
              </w:tc>
              <w:tc>
                <w:tcPr>
                  <w:tcW w:w="813" w:type="dxa"/>
                  <w:vMerge w:val="continue"/>
                  <w:noWrap w:val="0"/>
                  <w:vAlign w:val="center"/>
                </w:tcPr>
                <w:p w14:paraId="0410C1E7">
                  <w:pPr>
                    <w:snapToGrid w:val="0"/>
                    <w:jc w:val="center"/>
                    <w:rPr>
                      <w:rFonts w:hint="default" w:ascii="Times New Roman" w:hAnsi="Times New Roman" w:cs="Times New Roman"/>
                      <w:color w:val="auto"/>
                      <w:highlight w:val="none"/>
                      <w:lang w:val="en-US" w:eastAsia="zh-CN"/>
                    </w:rPr>
                  </w:pPr>
                </w:p>
              </w:tc>
            </w:tr>
            <w:tr w14:paraId="75A05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14E67A5D">
                  <w:pPr>
                    <w:snapToGrid w:val="0"/>
                    <w:jc w:val="center"/>
                    <w:rPr>
                      <w:rFonts w:hint="default" w:ascii="Times New Roman" w:hAnsi="Times New Roman" w:eastAsia="宋体" w:cs="Times New Roman"/>
                      <w:color w:val="auto"/>
                      <w:highlight w:val="none"/>
                      <w:lang w:eastAsia="zh-CN"/>
                    </w:rPr>
                  </w:pPr>
                  <w:r>
                    <w:rPr>
                      <w:rFonts w:hint="eastAsia" w:ascii="Times New Roman" w:hAnsi="Times New Roman" w:cs="Times New Roman"/>
                      <w:b/>
                      <w:bCs/>
                      <w:color w:val="auto"/>
                      <w:highlight w:val="none"/>
                      <w:lang w:val="en-US" w:eastAsia="zh-CN"/>
                    </w:rPr>
                    <w:t>声</w:t>
                  </w:r>
                </w:p>
              </w:tc>
              <w:tc>
                <w:tcPr>
                  <w:tcW w:w="1524" w:type="dxa"/>
                  <w:noWrap w:val="0"/>
                  <w:vAlign w:val="center"/>
                </w:tcPr>
                <w:p w14:paraId="03994088">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106°17′12.69″</w:t>
                  </w:r>
                </w:p>
              </w:tc>
              <w:tc>
                <w:tcPr>
                  <w:tcW w:w="1471" w:type="dxa"/>
                  <w:noWrap w:val="0"/>
                  <w:vAlign w:val="center"/>
                </w:tcPr>
                <w:p w14:paraId="2E011B21">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35°39′45.65″</w:t>
                  </w:r>
                </w:p>
              </w:tc>
              <w:tc>
                <w:tcPr>
                  <w:tcW w:w="1196" w:type="dxa"/>
                  <w:noWrap w:val="0"/>
                  <w:vAlign w:val="center"/>
                </w:tcPr>
                <w:p w14:paraId="4F4449D7">
                  <w:pPr>
                    <w:jc w:val="center"/>
                    <w:rPr>
                      <w:rFonts w:hint="default" w:ascii="Times New Roman" w:hAnsi="Times New Roman" w:cs="Times New Roman"/>
                      <w:color w:val="auto"/>
                      <w:highlight w:val="none"/>
                      <w:lang w:val="en-US" w:eastAsia="zh-CN"/>
                    </w:rPr>
                  </w:pPr>
                  <w:r>
                    <w:rPr>
                      <w:rFonts w:hint="eastAsia" w:cs="Times New Roman"/>
                      <w:b w:val="0"/>
                      <w:bCs/>
                      <w:color w:val="auto"/>
                      <w:szCs w:val="22"/>
                      <w:highlight w:val="none"/>
                      <w:lang w:val="en-US" w:eastAsia="zh-CN"/>
                    </w:rPr>
                    <w:t>什子村</w:t>
                  </w:r>
                </w:p>
              </w:tc>
              <w:tc>
                <w:tcPr>
                  <w:tcW w:w="1206" w:type="dxa"/>
                  <w:noWrap w:val="0"/>
                  <w:vAlign w:val="center"/>
                </w:tcPr>
                <w:p w14:paraId="37878C27">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居民13户</w:t>
                  </w:r>
                </w:p>
              </w:tc>
              <w:tc>
                <w:tcPr>
                  <w:tcW w:w="825" w:type="dxa"/>
                  <w:noWrap w:val="0"/>
                  <w:vAlign w:val="center"/>
                </w:tcPr>
                <w:p w14:paraId="2CF65824">
                  <w:pPr>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75" w:type="dxa"/>
                  <w:noWrap w:val="0"/>
                  <w:vAlign w:val="center"/>
                </w:tcPr>
                <w:p w14:paraId="605CD4CD">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N</w:t>
                  </w:r>
                </w:p>
              </w:tc>
              <w:tc>
                <w:tcPr>
                  <w:tcW w:w="813" w:type="dxa"/>
                  <w:noWrap w:val="0"/>
                  <w:vAlign w:val="center"/>
                </w:tcPr>
                <w:p w14:paraId="0F1E096C">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43m</w:t>
                  </w:r>
                </w:p>
              </w:tc>
            </w:tr>
            <w:tr w14:paraId="4D989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8424" w:type="dxa"/>
                  <w:gridSpan w:val="8"/>
                  <w:noWrap w:val="0"/>
                  <w:vAlign w:val="center"/>
                </w:tcPr>
                <w:p w14:paraId="17135360">
                  <w:pPr>
                    <w:adjustRightInd w:val="0"/>
                    <w:snapToGrid w:val="0"/>
                    <w:jc w:val="center"/>
                    <w:rPr>
                      <w:rFonts w:hint="default" w:ascii="Times New Roman" w:hAnsi="Times New Roman" w:cs="Times New Roman"/>
                      <w:b/>
                      <w:color w:val="auto"/>
                      <w:szCs w:val="22"/>
                      <w:highlight w:val="none"/>
                      <w:lang w:val="en-US" w:eastAsia="zh-CN"/>
                    </w:rPr>
                  </w:pPr>
                  <w:r>
                    <w:rPr>
                      <w:rFonts w:hint="eastAsia" w:ascii="Times New Roman" w:hAnsi="Times New Roman" w:cs="Times New Roman"/>
                      <w:b/>
                      <w:color w:val="auto"/>
                      <w:szCs w:val="22"/>
                      <w:highlight w:val="none"/>
                      <w:lang w:val="en-US" w:eastAsia="zh-CN"/>
                    </w:rPr>
                    <w:t>卧羊川村</w:t>
                  </w:r>
                </w:p>
              </w:tc>
            </w:tr>
            <w:tr w14:paraId="4057D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vMerge w:val="restart"/>
                  <w:noWrap w:val="0"/>
                  <w:vAlign w:val="center"/>
                </w:tcPr>
                <w:p w14:paraId="1843F294">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环境要素</w:t>
                  </w:r>
                </w:p>
              </w:tc>
              <w:tc>
                <w:tcPr>
                  <w:tcW w:w="2995" w:type="dxa"/>
                  <w:gridSpan w:val="2"/>
                  <w:noWrap w:val="0"/>
                  <w:vAlign w:val="center"/>
                </w:tcPr>
                <w:p w14:paraId="118F3C49">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坐标</w:t>
                  </w:r>
                </w:p>
              </w:tc>
              <w:tc>
                <w:tcPr>
                  <w:tcW w:w="1196" w:type="dxa"/>
                  <w:vMerge w:val="restart"/>
                  <w:noWrap w:val="0"/>
                  <w:vAlign w:val="center"/>
                </w:tcPr>
                <w:p w14:paraId="0A9F7C4E">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保护</w:t>
                  </w:r>
                </w:p>
                <w:p w14:paraId="7AB7F3ED">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对象</w:t>
                  </w:r>
                </w:p>
              </w:tc>
              <w:tc>
                <w:tcPr>
                  <w:tcW w:w="1206" w:type="dxa"/>
                  <w:vMerge w:val="restart"/>
                  <w:noWrap w:val="0"/>
                  <w:vAlign w:val="center"/>
                </w:tcPr>
                <w:p w14:paraId="6F2BE4F0">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保护内容</w:t>
                  </w:r>
                </w:p>
              </w:tc>
              <w:tc>
                <w:tcPr>
                  <w:tcW w:w="825" w:type="dxa"/>
                  <w:vMerge w:val="restart"/>
                  <w:noWrap w:val="0"/>
                  <w:vAlign w:val="center"/>
                </w:tcPr>
                <w:p w14:paraId="3A8DFB42">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环境功能区</w:t>
                  </w:r>
                </w:p>
              </w:tc>
              <w:tc>
                <w:tcPr>
                  <w:tcW w:w="675" w:type="dxa"/>
                  <w:vMerge w:val="restart"/>
                  <w:noWrap w:val="0"/>
                  <w:vAlign w:val="center"/>
                </w:tcPr>
                <w:p w14:paraId="31EEF879">
                  <w:pPr>
                    <w:adjustRightInd w:val="0"/>
                    <w:snapToGrid w:val="0"/>
                    <w:jc w:val="center"/>
                    <w:rPr>
                      <w:rFonts w:hint="default" w:ascii="Times New Roman" w:hAnsi="Times New Roman" w:eastAsia="仿宋" w:cs="Times New Roman"/>
                      <w:b/>
                      <w:color w:val="auto"/>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方位</w:t>
                  </w:r>
                </w:p>
              </w:tc>
              <w:tc>
                <w:tcPr>
                  <w:tcW w:w="813" w:type="dxa"/>
                  <w:vMerge w:val="restart"/>
                  <w:noWrap w:val="0"/>
                  <w:vAlign w:val="center"/>
                </w:tcPr>
                <w:p w14:paraId="2FBF3CE4">
                  <w:pPr>
                    <w:adjustRightInd w:val="0"/>
                    <w:snapToGrid w:val="0"/>
                    <w:jc w:val="center"/>
                    <w:rPr>
                      <w:rFonts w:hint="default" w:ascii="Times New Roman" w:hAnsi="Times New Roman" w:cs="Times New Roman"/>
                      <w:b/>
                      <w:color w:val="auto"/>
                      <w:szCs w:val="22"/>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距离</w:t>
                  </w:r>
                </w:p>
              </w:tc>
            </w:tr>
            <w:tr w14:paraId="3E3A0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vMerge w:val="continue"/>
                  <w:noWrap w:val="0"/>
                  <w:vAlign w:val="center"/>
                </w:tcPr>
                <w:p w14:paraId="4D989488">
                  <w:pPr>
                    <w:snapToGrid w:val="0"/>
                    <w:jc w:val="center"/>
                    <w:rPr>
                      <w:rFonts w:hint="default" w:ascii="Times New Roman" w:hAnsi="Times New Roman" w:eastAsia="宋体" w:cs="Times New Roman"/>
                      <w:color w:val="auto"/>
                      <w:highlight w:val="none"/>
                      <w:lang w:eastAsia="zh-CN"/>
                    </w:rPr>
                  </w:pPr>
                </w:p>
              </w:tc>
              <w:tc>
                <w:tcPr>
                  <w:tcW w:w="1524" w:type="dxa"/>
                  <w:noWrap w:val="0"/>
                  <w:vAlign w:val="center"/>
                </w:tcPr>
                <w:p w14:paraId="7A977EDE">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经度（E）</w:t>
                  </w:r>
                </w:p>
              </w:tc>
              <w:tc>
                <w:tcPr>
                  <w:tcW w:w="1471" w:type="dxa"/>
                  <w:noWrap w:val="0"/>
                  <w:vAlign w:val="center"/>
                </w:tcPr>
                <w:p w14:paraId="14F937A5">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纬度（N）</w:t>
                  </w:r>
                </w:p>
              </w:tc>
              <w:tc>
                <w:tcPr>
                  <w:tcW w:w="1196" w:type="dxa"/>
                  <w:vMerge w:val="continue"/>
                  <w:noWrap w:val="0"/>
                  <w:vAlign w:val="center"/>
                </w:tcPr>
                <w:p w14:paraId="6BC37CE1">
                  <w:pPr>
                    <w:jc w:val="center"/>
                    <w:rPr>
                      <w:rFonts w:hint="default" w:ascii="Times New Roman" w:hAnsi="Times New Roman" w:cs="Times New Roman"/>
                      <w:color w:val="auto"/>
                      <w:highlight w:val="none"/>
                      <w:lang w:eastAsia="zh-CN"/>
                    </w:rPr>
                  </w:pPr>
                </w:p>
              </w:tc>
              <w:tc>
                <w:tcPr>
                  <w:tcW w:w="1206" w:type="dxa"/>
                  <w:vMerge w:val="continue"/>
                  <w:noWrap w:val="0"/>
                  <w:vAlign w:val="center"/>
                </w:tcPr>
                <w:p w14:paraId="3BFC0154">
                  <w:pPr>
                    <w:jc w:val="center"/>
                    <w:rPr>
                      <w:rFonts w:hint="default" w:ascii="Times New Roman" w:hAnsi="Times New Roman" w:cs="Times New Roman"/>
                      <w:color w:val="auto"/>
                      <w:highlight w:val="none"/>
                      <w:lang w:val="en-US" w:eastAsia="zh-CN"/>
                    </w:rPr>
                  </w:pPr>
                </w:p>
              </w:tc>
              <w:tc>
                <w:tcPr>
                  <w:tcW w:w="825" w:type="dxa"/>
                  <w:vMerge w:val="continue"/>
                  <w:noWrap w:val="0"/>
                  <w:vAlign w:val="center"/>
                </w:tcPr>
                <w:p w14:paraId="70BF6A77">
                  <w:pPr>
                    <w:jc w:val="center"/>
                    <w:rPr>
                      <w:rFonts w:hint="default" w:ascii="Times New Roman" w:hAnsi="Times New Roman" w:cs="Times New Roman"/>
                      <w:color w:val="auto"/>
                      <w:highlight w:val="none"/>
                      <w:lang w:val="en-US" w:eastAsia="zh-CN"/>
                    </w:rPr>
                  </w:pPr>
                </w:p>
              </w:tc>
              <w:tc>
                <w:tcPr>
                  <w:tcW w:w="675" w:type="dxa"/>
                  <w:vMerge w:val="continue"/>
                  <w:noWrap w:val="0"/>
                  <w:vAlign w:val="center"/>
                </w:tcPr>
                <w:p w14:paraId="3ED78C8C">
                  <w:pPr>
                    <w:snapToGrid w:val="0"/>
                    <w:jc w:val="center"/>
                    <w:rPr>
                      <w:rFonts w:hint="default" w:ascii="Times New Roman" w:hAnsi="Times New Roman" w:cs="Times New Roman"/>
                      <w:color w:val="auto"/>
                      <w:highlight w:val="none"/>
                      <w:lang w:val="en-US" w:eastAsia="zh-CN"/>
                    </w:rPr>
                  </w:pPr>
                </w:p>
              </w:tc>
              <w:tc>
                <w:tcPr>
                  <w:tcW w:w="813" w:type="dxa"/>
                  <w:vMerge w:val="continue"/>
                  <w:noWrap w:val="0"/>
                  <w:vAlign w:val="center"/>
                </w:tcPr>
                <w:p w14:paraId="3370A0A9">
                  <w:pPr>
                    <w:snapToGrid w:val="0"/>
                    <w:jc w:val="center"/>
                    <w:rPr>
                      <w:rFonts w:hint="default" w:ascii="Times New Roman" w:hAnsi="Times New Roman" w:cs="Times New Roman"/>
                      <w:color w:val="auto"/>
                      <w:highlight w:val="none"/>
                      <w:lang w:val="en-US" w:eastAsia="zh-CN"/>
                    </w:rPr>
                  </w:pPr>
                </w:p>
              </w:tc>
            </w:tr>
            <w:tr w14:paraId="4A7FA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noWrap w:val="0"/>
                  <w:vAlign w:val="center"/>
                </w:tcPr>
                <w:p w14:paraId="01C1C68B">
                  <w:pPr>
                    <w:snapToGrid w:val="0"/>
                    <w:jc w:val="center"/>
                    <w:rPr>
                      <w:rFonts w:hint="default" w:ascii="Times New Roman" w:hAnsi="Times New Roman" w:eastAsia="宋体" w:cs="Times New Roman"/>
                      <w:color w:val="auto"/>
                      <w:highlight w:val="none"/>
                      <w:lang w:eastAsia="zh-CN"/>
                    </w:rPr>
                  </w:pPr>
                  <w:r>
                    <w:rPr>
                      <w:rFonts w:hint="eastAsia" w:ascii="Times New Roman" w:hAnsi="Times New Roman" w:cs="Times New Roman"/>
                      <w:b/>
                      <w:bCs/>
                      <w:color w:val="auto"/>
                      <w:highlight w:val="none"/>
                      <w:lang w:val="en-US" w:eastAsia="zh-CN"/>
                    </w:rPr>
                    <w:t>声</w:t>
                  </w:r>
                </w:p>
              </w:tc>
              <w:tc>
                <w:tcPr>
                  <w:tcW w:w="1524" w:type="dxa"/>
                  <w:noWrap w:val="0"/>
                  <w:vAlign w:val="center"/>
                </w:tcPr>
                <w:p w14:paraId="4AFE76E0">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106°17′59.74″</w:t>
                  </w:r>
                </w:p>
              </w:tc>
              <w:tc>
                <w:tcPr>
                  <w:tcW w:w="1471" w:type="dxa"/>
                  <w:noWrap w:val="0"/>
                  <w:vAlign w:val="center"/>
                </w:tcPr>
                <w:p w14:paraId="3A573F84">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35°39′36.00″</w:t>
                  </w:r>
                </w:p>
              </w:tc>
              <w:tc>
                <w:tcPr>
                  <w:tcW w:w="1196" w:type="dxa"/>
                  <w:noWrap w:val="0"/>
                  <w:vAlign w:val="center"/>
                </w:tcPr>
                <w:p w14:paraId="4B6B3F2C">
                  <w:pPr>
                    <w:jc w:val="center"/>
                    <w:rPr>
                      <w:rFonts w:hint="default" w:ascii="Times New Roman" w:hAnsi="Times New Roman" w:cs="Times New Roman"/>
                      <w:color w:val="auto"/>
                      <w:highlight w:val="none"/>
                      <w:lang w:val="en-US" w:eastAsia="zh-CN"/>
                    </w:rPr>
                  </w:pPr>
                  <w:r>
                    <w:rPr>
                      <w:rFonts w:hint="eastAsia" w:ascii="Times New Roman" w:hAnsi="Times New Roman" w:cs="Times New Roman"/>
                      <w:b w:val="0"/>
                      <w:bCs/>
                      <w:color w:val="auto"/>
                      <w:szCs w:val="22"/>
                      <w:highlight w:val="none"/>
                      <w:lang w:val="en-US" w:eastAsia="zh-CN"/>
                    </w:rPr>
                    <w:t>卧羊川村</w:t>
                  </w:r>
                </w:p>
              </w:tc>
              <w:tc>
                <w:tcPr>
                  <w:tcW w:w="1206" w:type="dxa"/>
                  <w:noWrap w:val="0"/>
                  <w:vAlign w:val="center"/>
                </w:tcPr>
                <w:p w14:paraId="0A092AD4">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居民3户</w:t>
                  </w:r>
                </w:p>
              </w:tc>
              <w:tc>
                <w:tcPr>
                  <w:tcW w:w="825" w:type="dxa"/>
                  <w:noWrap w:val="0"/>
                  <w:vAlign w:val="center"/>
                </w:tcPr>
                <w:p w14:paraId="0B3E073F">
                  <w:pPr>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75" w:type="dxa"/>
                  <w:noWrap w:val="0"/>
                  <w:vAlign w:val="center"/>
                </w:tcPr>
                <w:p w14:paraId="4259740F">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E</w:t>
                  </w:r>
                </w:p>
              </w:tc>
              <w:tc>
                <w:tcPr>
                  <w:tcW w:w="813" w:type="dxa"/>
                  <w:noWrap w:val="0"/>
                  <w:vAlign w:val="center"/>
                </w:tcPr>
                <w:p w14:paraId="6C03DB09">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35m</w:t>
                  </w:r>
                </w:p>
              </w:tc>
            </w:tr>
          </w:tbl>
          <w:p w14:paraId="713019ED">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仿宋_GB2312" w:cs="Times New Roman"/>
                <w:b/>
                <w:bCs/>
                <w:color w:val="auto"/>
                <w:sz w:val="24"/>
                <w:szCs w:val="32"/>
                <w:highlight w:val="none"/>
                <w:lang w:val="en-US" w:eastAsia="zh-CN"/>
              </w:rPr>
            </w:pPr>
            <w:r>
              <w:rPr>
                <w:rFonts w:hint="eastAsia" w:eastAsia="仿宋_GB2312" w:cs="Times New Roman"/>
                <w:b/>
                <w:bCs/>
                <w:color w:val="auto"/>
                <w:sz w:val="24"/>
                <w:szCs w:val="32"/>
                <w:highlight w:val="none"/>
                <w:lang w:val="en-US" w:eastAsia="zh-CN"/>
              </w:rPr>
              <w:t>3.</w:t>
            </w:r>
            <w:r>
              <w:rPr>
                <w:rFonts w:hint="default" w:ascii="Times New Roman" w:hAnsi="Times New Roman" w:eastAsia="仿宋_GB2312" w:cs="Times New Roman"/>
                <w:b/>
                <w:bCs/>
                <w:color w:val="auto"/>
                <w:sz w:val="24"/>
                <w:szCs w:val="32"/>
                <w:highlight w:val="none"/>
                <w:lang w:val="en-US" w:eastAsia="zh-CN"/>
              </w:rPr>
              <w:t>大气环境</w:t>
            </w:r>
          </w:p>
          <w:p w14:paraId="3D3B54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16"/>
                <w:sz w:val="24"/>
                <w:szCs w:val="24"/>
                <w:highlight w:val="none"/>
                <w:lang w:val="en-US" w:eastAsia="zh-CN" w:bidi="ar-SA"/>
              </w:rPr>
            </w:pPr>
            <w:r>
              <w:rPr>
                <w:rFonts w:hint="eastAsia" w:eastAsia="仿宋_GB2312" w:cs="Times New Roman"/>
                <w:color w:val="auto"/>
                <w:kern w:val="16"/>
                <w:sz w:val="24"/>
                <w:szCs w:val="24"/>
                <w:highlight w:val="none"/>
                <w:lang w:val="en-US" w:eastAsia="zh-CN" w:bidi="ar-SA"/>
              </w:rPr>
              <w:t>本项目500范围内大气环境保护目标如下：</w:t>
            </w:r>
          </w:p>
          <w:p w14:paraId="4172A991">
            <w:pPr>
              <w:adjustRightInd w:val="0"/>
              <w:snapToGrid w:val="0"/>
              <w:ind w:firstLine="420" w:firstLineChars="200"/>
              <w:jc w:val="both"/>
              <w:rPr>
                <w:rFonts w:hint="eastAsia" w:eastAsia="宋体" w:cs="Times New Roman"/>
                <w:b w:val="0"/>
                <w:bCs/>
                <w:color w:val="auto"/>
                <w:sz w:val="24"/>
                <w:lang w:val="en-US" w:eastAsia="zh-CN"/>
              </w:rPr>
            </w:pPr>
            <w:r>
              <w:rPr>
                <w:rFonts w:hint="eastAsia" w:ascii="Times New Roman" w:hAnsi="Times New Roman" w:eastAsia="宋体" w:cs="Times New Roman"/>
                <w:b w:val="0"/>
                <w:bCs/>
                <w:snapToGrid/>
                <w:color w:val="auto"/>
                <w:kern w:val="2"/>
                <w:sz w:val="21"/>
                <w:szCs w:val="21"/>
                <w:lang w:val="en-US" w:eastAsia="zh-CN" w:bidi="ar-SA"/>
              </w:rPr>
              <w:t>表</w:t>
            </w:r>
            <w:r>
              <w:rPr>
                <w:rFonts w:hint="eastAsia" w:cs="Times New Roman"/>
                <w:b w:val="0"/>
                <w:bCs/>
                <w:snapToGrid/>
                <w:color w:val="auto"/>
                <w:kern w:val="2"/>
                <w:sz w:val="21"/>
                <w:szCs w:val="21"/>
                <w:lang w:val="en-US" w:eastAsia="zh-CN" w:bidi="ar-SA"/>
              </w:rPr>
              <w:t>17</w:t>
            </w:r>
            <w:r>
              <w:rPr>
                <w:rFonts w:hint="eastAsia" w:ascii="Times New Roman" w:hAnsi="Times New Roman" w:eastAsia="宋体" w:cs="Times New Roman"/>
                <w:b w:val="0"/>
                <w:bCs/>
                <w:snapToGrid/>
                <w:color w:val="auto"/>
                <w:kern w:val="2"/>
                <w:sz w:val="21"/>
                <w:szCs w:val="21"/>
                <w:lang w:val="en-US" w:eastAsia="zh-CN" w:bidi="ar-SA"/>
              </w:rPr>
              <w:t xml:space="preserve"> </w:t>
            </w:r>
            <w:r>
              <w:rPr>
                <w:rFonts w:hint="eastAsia" w:eastAsia="宋体" w:cs="Times New Roman"/>
                <w:b w:val="0"/>
                <w:bCs/>
                <w:color w:val="auto"/>
                <w:sz w:val="24"/>
                <w:lang w:val="en-US" w:eastAsia="zh-CN"/>
              </w:rPr>
              <w:t xml:space="preserve">                </w:t>
            </w:r>
            <w:r>
              <w:rPr>
                <w:rFonts w:hint="eastAsia" w:eastAsia="宋体" w:cs="Times New Roman"/>
                <w:b/>
                <w:bCs w:val="0"/>
                <w:color w:val="auto"/>
                <w:sz w:val="24"/>
                <w:lang w:val="en-US" w:eastAsia="zh-CN"/>
              </w:rPr>
              <w:t>大气环境保护目标一览表</w:t>
            </w:r>
          </w:p>
          <w:tbl>
            <w:tblPr>
              <w:tblStyle w:val="33"/>
              <w:tblpPr w:leftFromText="180" w:rightFromText="180" w:vertAnchor="text" w:tblpXSpec="center" w:tblpY="1"/>
              <w:tblOverlap w:val="never"/>
              <w:tblW w:w="84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524"/>
              <w:gridCol w:w="1471"/>
              <w:gridCol w:w="1196"/>
              <w:gridCol w:w="1206"/>
              <w:gridCol w:w="825"/>
              <w:gridCol w:w="675"/>
              <w:gridCol w:w="813"/>
            </w:tblGrid>
            <w:tr w14:paraId="098A9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8424" w:type="dxa"/>
                  <w:gridSpan w:val="8"/>
                  <w:noWrap w:val="0"/>
                  <w:vAlign w:val="center"/>
                </w:tcPr>
                <w:p w14:paraId="39E112FA">
                  <w:pPr>
                    <w:adjustRightInd w:val="0"/>
                    <w:snapToGrid w:val="0"/>
                    <w:jc w:val="center"/>
                    <w:rPr>
                      <w:rFonts w:hint="default" w:ascii="Times New Roman" w:hAnsi="Times New Roman" w:cs="Times New Roman"/>
                      <w:b/>
                      <w:color w:val="auto"/>
                      <w:szCs w:val="22"/>
                      <w:highlight w:val="none"/>
                      <w:lang w:val="en-US" w:eastAsia="zh-CN"/>
                    </w:rPr>
                  </w:pPr>
                  <w:r>
                    <w:rPr>
                      <w:rFonts w:hint="eastAsia" w:cs="Times New Roman"/>
                      <w:b/>
                      <w:color w:val="auto"/>
                      <w:szCs w:val="22"/>
                      <w:highlight w:val="none"/>
                      <w:lang w:val="en-US" w:eastAsia="zh-CN"/>
                    </w:rPr>
                    <w:t>什子村</w:t>
                  </w:r>
                </w:p>
              </w:tc>
            </w:tr>
            <w:tr w14:paraId="55C8E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vMerge w:val="restart"/>
                  <w:noWrap w:val="0"/>
                  <w:vAlign w:val="center"/>
                </w:tcPr>
                <w:p w14:paraId="59C5F450">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环境要素</w:t>
                  </w:r>
                </w:p>
              </w:tc>
              <w:tc>
                <w:tcPr>
                  <w:tcW w:w="2995" w:type="dxa"/>
                  <w:gridSpan w:val="2"/>
                  <w:noWrap w:val="0"/>
                  <w:vAlign w:val="center"/>
                </w:tcPr>
                <w:p w14:paraId="346EFA5B">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坐标</w:t>
                  </w:r>
                </w:p>
              </w:tc>
              <w:tc>
                <w:tcPr>
                  <w:tcW w:w="1196" w:type="dxa"/>
                  <w:vMerge w:val="restart"/>
                  <w:noWrap w:val="0"/>
                  <w:vAlign w:val="center"/>
                </w:tcPr>
                <w:p w14:paraId="04471CD1">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保护</w:t>
                  </w:r>
                </w:p>
                <w:p w14:paraId="250FA50B">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对象</w:t>
                  </w:r>
                </w:p>
              </w:tc>
              <w:tc>
                <w:tcPr>
                  <w:tcW w:w="1206" w:type="dxa"/>
                  <w:vMerge w:val="restart"/>
                  <w:noWrap w:val="0"/>
                  <w:vAlign w:val="center"/>
                </w:tcPr>
                <w:p w14:paraId="5B53A605">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保护内容</w:t>
                  </w:r>
                </w:p>
              </w:tc>
              <w:tc>
                <w:tcPr>
                  <w:tcW w:w="825" w:type="dxa"/>
                  <w:vMerge w:val="restart"/>
                  <w:noWrap w:val="0"/>
                  <w:vAlign w:val="center"/>
                </w:tcPr>
                <w:p w14:paraId="0365C889">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环境功能区</w:t>
                  </w:r>
                </w:p>
              </w:tc>
              <w:tc>
                <w:tcPr>
                  <w:tcW w:w="675" w:type="dxa"/>
                  <w:vMerge w:val="restart"/>
                  <w:noWrap w:val="0"/>
                  <w:vAlign w:val="center"/>
                </w:tcPr>
                <w:p w14:paraId="5EE1E833">
                  <w:pPr>
                    <w:adjustRightInd w:val="0"/>
                    <w:snapToGrid w:val="0"/>
                    <w:jc w:val="center"/>
                    <w:rPr>
                      <w:rFonts w:hint="default" w:ascii="Times New Roman" w:hAnsi="Times New Roman" w:eastAsia="仿宋" w:cs="Times New Roman"/>
                      <w:b/>
                      <w:color w:val="auto"/>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方位</w:t>
                  </w:r>
                </w:p>
              </w:tc>
              <w:tc>
                <w:tcPr>
                  <w:tcW w:w="813" w:type="dxa"/>
                  <w:vMerge w:val="restart"/>
                  <w:noWrap w:val="0"/>
                  <w:vAlign w:val="center"/>
                </w:tcPr>
                <w:p w14:paraId="69B4DFFD">
                  <w:pPr>
                    <w:adjustRightInd w:val="0"/>
                    <w:snapToGrid w:val="0"/>
                    <w:jc w:val="center"/>
                    <w:rPr>
                      <w:rFonts w:hint="default" w:ascii="Times New Roman" w:hAnsi="Times New Roman" w:cs="Times New Roman"/>
                      <w:b/>
                      <w:color w:val="auto"/>
                      <w:szCs w:val="22"/>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距离</w:t>
                  </w:r>
                </w:p>
              </w:tc>
            </w:tr>
            <w:tr w14:paraId="2C03E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vMerge w:val="continue"/>
                  <w:noWrap w:val="0"/>
                  <w:vAlign w:val="center"/>
                </w:tcPr>
                <w:p w14:paraId="5076B9A5">
                  <w:pPr>
                    <w:snapToGrid w:val="0"/>
                    <w:jc w:val="center"/>
                    <w:rPr>
                      <w:rFonts w:hint="default" w:ascii="Times New Roman" w:hAnsi="Times New Roman" w:eastAsia="宋体" w:cs="Times New Roman"/>
                      <w:color w:val="auto"/>
                      <w:highlight w:val="none"/>
                      <w:lang w:eastAsia="zh-CN"/>
                    </w:rPr>
                  </w:pPr>
                </w:p>
              </w:tc>
              <w:tc>
                <w:tcPr>
                  <w:tcW w:w="1524" w:type="dxa"/>
                  <w:noWrap w:val="0"/>
                  <w:vAlign w:val="center"/>
                </w:tcPr>
                <w:p w14:paraId="0C33B955">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经度（E）</w:t>
                  </w:r>
                </w:p>
              </w:tc>
              <w:tc>
                <w:tcPr>
                  <w:tcW w:w="1471" w:type="dxa"/>
                  <w:noWrap w:val="0"/>
                  <w:vAlign w:val="center"/>
                </w:tcPr>
                <w:p w14:paraId="1ED00557">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纬度（N）</w:t>
                  </w:r>
                </w:p>
              </w:tc>
              <w:tc>
                <w:tcPr>
                  <w:tcW w:w="1196" w:type="dxa"/>
                  <w:vMerge w:val="continue"/>
                  <w:noWrap w:val="0"/>
                  <w:vAlign w:val="center"/>
                </w:tcPr>
                <w:p w14:paraId="198BFA82">
                  <w:pPr>
                    <w:jc w:val="center"/>
                    <w:rPr>
                      <w:rFonts w:hint="default" w:ascii="Times New Roman" w:hAnsi="Times New Roman" w:cs="Times New Roman"/>
                      <w:color w:val="auto"/>
                      <w:highlight w:val="none"/>
                      <w:lang w:eastAsia="zh-CN"/>
                    </w:rPr>
                  </w:pPr>
                </w:p>
              </w:tc>
              <w:tc>
                <w:tcPr>
                  <w:tcW w:w="1206" w:type="dxa"/>
                  <w:vMerge w:val="continue"/>
                  <w:noWrap w:val="0"/>
                  <w:vAlign w:val="center"/>
                </w:tcPr>
                <w:p w14:paraId="515DEB1D">
                  <w:pPr>
                    <w:jc w:val="center"/>
                    <w:rPr>
                      <w:rFonts w:hint="default" w:ascii="Times New Roman" w:hAnsi="Times New Roman" w:cs="Times New Roman"/>
                      <w:color w:val="auto"/>
                      <w:highlight w:val="none"/>
                      <w:lang w:val="en-US" w:eastAsia="zh-CN"/>
                    </w:rPr>
                  </w:pPr>
                </w:p>
              </w:tc>
              <w:tc>
                <w:tcPr>
                  <w:tcW w:w="825" w:type="dxa"/>
                  <w:vMerge w:val="continue"/>
                  <w:noWrap w:val="0"/>
                  <w:vAlign w:val="center"/>
                </w:tcPr>
                <w:p w14:paraId="6A08E916">
                  <w:pPr>
                    <w:jc w:val="center"/>
                    <w:rPr>
                      <w:rFonts w:hint="default" w:ascii="Times New Roman" w:hAnsi="Times New Roman" w:cs="Times New Roman"/>
                      <w:color w:val="auto"/>
                      <w:highlight w:val="none"/>
                      <w:lang w:val="en-US" w:eastAsia="zh-CN"/>
                    </w:rPr>
                  </w:pPr>
                </w:p>
              </w:tc>
              <w:tc>
                <w:tcPr>
                  <w:tcW w:w="675" w:type="dxa"/>
                  <w:vMerge w:val="continue"/>
                  <w:noWrap w:val="0"/>
                  <w:vAlign w:val="center"/>
                </w:tcPr>
                <w:p w14:paraId="7A3C1E3D">
                  <w:pPr>
                    <w:snapToGrid w:val="0"/>
                    <w:jc w:val="center"/>
                    <w:rPr>
                      <w:rFonts w:hint="default" w:ascii="Times New Roman" w:hAnsi="Times New Roman" w:cs="Times New Roman"/>
                      <w:color w:val="auto"/>
                      <w:highlight w:val="none"/>
                      <w:lang w:val="en-US" w:eastAsia="zh-CN"/>
                    </w:rPr>
                  </w:pPr>
                </w:p>
              </w:tc>
              <w:tc>
                <w:tcPr>
                  <w:tcW w:w="813" w:type="dxa"/>
                  <w:vMerge w:val="continue"/>
                  <w:noWrap w:val="0"/>
                  <w:vAlign w:val="center"/>
                </w:tcPr>
                <w:p w14:paraId="67ECFC5B">
                  <w:pPr>
                    <w:snapToGrid w:val="0"/>
                    <w:jc w:val="center"/>
                    <w:rPr>
                      <w:rFonts w:hint="default" w:ascii="Times New Roman" w:hAnsi="Times New Roman" w:cs="Times New Roman"/>
                      <w:color w:val="auto"/>
                      <w:highlight w:val="none"/>
                      <w:lang w:val="en-US" w:eastAsia="zh-CN"/>
                    </w:rPr>
                  </w:pPr>
                </w:p>
              </w:tc>
            </w:tr>
            <w:tr w14:paraId="7EB7A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25E5132">
                  <w:pPr>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大气</w:t>
                  </w:r>
                </w:p>
              </w:tc>
              <w:tc>
                <w:tcPr>
                  <w:tcW w:w="1524" w:type="dxa"/>
                  <w:noWrap w:val="0"/>
                  <w:vAlign w:val="center"/>
                </w:tcPr>
                <w:p w14:paraId="273B6213">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106°17′12.69″</w:t>
                  </w:r>
                </w:p>
              </w:tc>
              <w:tc>
                <w:tcPr>
                  <w:tcW w:w="1471" w:type="dxa"/>
                  <w:noWrap w:val="0"/>
                  <w:vAlign w:val="center"/>
                </w:tcPr>
                <w:p w14:paraId="0C7D1AFC">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35°39′45.65″</w:t>
                  </w:r>
                </w:p>
              </w:tc>
              <w:tc>
                <w:tcPr>
                  <w:tcW w:w="1196" w:type="dxa"/>
                  <w:noWrap w:val="0"/>
                  <w:vAlign w:val="center"/>
                </w:tcPr>
                <w:p w14:paraId="64B521C0">
                  <w:pPr>
                    <w:jc w:val="center"/>
                    <w:rPr>
                      <w:rFonts w:hint="default" w:ascii="Times New Roman" w:hAnsi="Times New Roman" w:cs="Times New Roman"/>
                      <w:color w:val="auto"/>
                      <w:highlight w:val="none"/>
                      <w:lang w:val="en-US" w:eastAsia="zh-CN"/>
                    </w:rPr>
                  </w:pPr>
                  <w:r>
                    <w:rPr>
                      <w:rFonts w:hint="eastAsia" w:cs="Times New Roman"/>
                      <w:b w:val="0"/>
                      <w:bCs/>
                      <w:color w:val="auto"/>
                      <w:szCs w:val="22"/>
                      <w:highlight w:val="none"/>
                      <w:lang w:val="en-US" w:eastAsia="zh-CN"/>
                    </w:rPr>
                    <w:t>什子村</w:t>
                  </w:r>
                </w:p>
              </w:tc>
              <w:tc>
                <w:tcPr>
                  <w:tcW w:w="1206" w:type="dxa"/>
                  <w:noWrap w:val="0"/>
                  <w:vAlign w:val="center"/>
                </w:tcPr>
                <w:p w14:paraId="3C6020B0">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居民13户</w:t>
                  </w:r>
                </w:p>
              </w:tc>
              <w:tc>
                <w:tcPr>
                  <w:tcW w:w="825" w:type="dxa"/>
                  <w:noWrap w:val="0"/>
                  <w:vAlign w:val="center"/>
                </w:tcPr>
                <w:p w14:paraId="0CD7E8F3">
                  <w:pPr>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75" w:type="dxa"/>
                  <w:noWrap w:val="0"/>
                  <w:vAlign w:val="center"/>
                </w:tcPr>
                <w:p w14:paraId="35DE29C1">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N</w:t>
                  </w:r>
                </w:p>
              </w:tc>
              <w:tc>
                <w:tcPr>
                  <w:tcW w:w="813" w:type="dxa"/>
                  <w:noWrap w:val="0"/>
                  <w:vAlign w:val="center"/>
                </w:tcPr>
                <w:p w14:paraId="119910BB">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131m</w:t>
                  </w:r>
                </w:p>
              </w:tc>
            </w:tr>
            <w:tr w14:paraId="5E7A3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8424" w:type="dxa"/>
                  <w:gridSpan w:val="8"/>
                  <w:noWrap w:val="0"/>
                  <w:vAlign w:val="center"/>
                </w:tcPr>
                <w:p w14:paraId="7D66B698">
                  <w:pPr>
                    <w:adjustRightInd w:val="0"/>
                    <w:snapToGrid w:val="0"/>
                    <w:jc w:val="center"/>
                    <w:rPr>
                      <w:rFonts w:hint="default" w:ascii="Times New Roman" w:hAnsi="Times New Roman" w:cs="Times New Roman"/>
                      <w:b/>
                      <w:color w:val="auto"/>
                      <w:szCs w:val="22"/>
                      <w:highlight w:val="none"/>
                      <w:lang w:val="en-US" w:eastAsia="zh-CN"/>
                    </w:rPr>
                  </w:pPr>
                  <w:r>
                    <w:rPr>
                      <w:rFonts w:hint="eastAsia" w:ascii="Times New Roman" w:hAnsi="Times New Roman" w:cs="Times New Roman"/>
                      <w:b/>
                      <w:color w:val="auto"/>
                      <w:szCs w:val="22"/>
                      <w:highlight w:val="none"/>
                      <w:lang w:val="en-US" w:eastAsia="zh-CN"/>
                    </w:rPr>
                    <w:t>卧羊川村</w:t>
                  </w:r>
                </w:p>
              </w:tc>
            </w:tr>
            <w:tr w14:paraId="320CF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vMerge w:val="restart"/>
                  <w:noWrap w:val="0"/>
                  <w:vAlign w:val="center"/>
                </w:tcPr>
                <w:p w14:paraId="1D08EE45">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环境要素</w:t>
                  </w:r>
                </w:p>
              </w:tc>
              <w:tc>
                <w:tcPr>
                  <w:tcW w:w="2995" w:type="dxa"/>
                  <w:gridSpan w:val="2"/>
                  <w:noWrap w:val="0"/>
                  <w:vAlign w:val="center"/>
                </w:tcPr>
                <w:p w14:paraId="6E37CABD">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坐标</w:t>
                  </w:r>
                </w:p>
              </w:tc>
              <w:tc>
                <w:tcPr>
                  <w:tcW w:w="1196" w:type="dxa"/>
                  <w:vMerge w:val="restart"/>
                  <w:noWrap w:val="0"/>
                  <w:vAlign w:val="center"/>
                </w:tcPr>
                <w:p w14:paraId="424873DF">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保护</w:t>
                  </w:r>
                </w:p>
                <w:p w14:paraId="02D78829">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对象</w:t>
                  </w:r>
                </w:p>
              </w:tc>
              <w:tc>
                <w:tcPr>
                  <w:tcW w:w="1206" w:type="dxa"/>
                  <w:vMerge w:val="restart"/>
                  <w:noWrap w:val="0"/>
                  <w:vAlign w:val="center"/>
                </w:tcPr>
                <w:p w14:paraId="3F4D742A">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保护内容</w:t>
                  </w:r>
                </w:p>
              </w:tc>
              <w:tc>
                <w:tcPr>
                  <w:tcW w:w="825" w:type="dxa"/>
                  <w:vMerge w:val="restart"/>
                  <w:noWrap w:val="0"/>
                  <w:vAlign w:val="center"/>
                </w:tcPr>
                <w:p w14:paraId="59A8E3EF">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环境功能区</w:t>
                  </w:r>
                </w:p>
              </w:tc>
              <w:tc>
                <w:tcPr>
                  <w:tcW w:w="675" w:type="dxa"/>
                  <w:vMerge w:val="restart"/>
                  <w:noWrap w:val="0"/>
                  <w:vAlign w:val="center"/>
                </w:tcPr>
                <w:p w14:paraId="66CDDC28">
                  <w:pPr>
                    <w:adjustRightInd w:val="0"/>
                    <w:snapToGrid w:val="0"/>
                    <w:jc w:val="center"/>
                    <w:rPr>
                      <w:rFonts w:hint="default" w:ascii="Times New Roman" w:hAnsi="Times New Roman" w:eastAsia="仿宋" w:cs="Times New Roman"/>
                      <w:b/>
                      <w:color w:val="auto"/>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方位</w:t>
                  </w:r>
                </w:p>
              </w:tc>
              <w:tc>
                <w:tcPr>
                  <w:tcW w:w="813" w:type="dxa"/>
                  <w:vMerge w:val="restart"/>
                  <w:noWrap w:val="0"/>
                  <w:vAlign w:val="center"/>
                </w:tcPr>
                <w:p w14:paraId="0FB8B0F5">
                  <w:pPr>
                    <w:adjustRightInd w:val="0"/>
                    <w:snapToGrid w:val="0"/>
                    <w:jc w:val="center"/>
                    <w:rPr>
                      <w:rFonts w:hint="default" w:ascii="Times New Roman" w:hAnsi="Times New Roman" w:cs="Times New Roman"/>
                      <w:b/>
                      <w:color w:val="auto"/>
                      <w:szCs w:val="22"/>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距离</w:t>
                  </w:r>
                </w:p>
              </w:tc>
            </w:tr>
            <w:tr w14:paraId="1C20F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vMerge w:val="continue"/>
                  <w:noWrap w:val="0"/>
                  <w:vAlign w:val="center"/>
                </w:tcPr>
                <w:p w14:paraId="538E52A6">
                  <w:pPr>
                    <w:snapToGrid w:val="0"/>
                    <w:jc w:val="center"/>
                    <w:rPr>
                      <w:rFonts w:hint="default" w:ascii="Times New Roman" w:hAnsi="Times New Roman" w:eastAsia="宋体" w:cs="Times New Roman"/>
                      <w:color w:val="auto"/>
                      <w:highlight w:val="none"/>
                      <w:lang w:eastAsia="zh-CN"/>
                    </w:rPr>
                  </w:pPr>
                </w:p>
              </w:tc>
              <w:tc>
                <w:tcPr>
                  <w:tcW w:w="1524" w:type="dxa"/>
                  <w:noWrap w:val="0"/>
                  <w:vAlign w:val="center"/>
                </w:tcPr>
                <w:p w14:paraId="779588C9">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经度（E）</w:t>
                  </w:r>
                </w:p>
              </w:tc>
              <w:tc>
                <w:tcPr>
                  <w:tcW w:w="1471" w:type="dxa"/>
                  <w:noWrap w:val="0"/>
                  <w:vAlign w:val="center"/>
                </w:tcPr>
                <w:p w14:paraId="2091773A">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纬度（N）</w:t>
                  </w:r>
                </w:p>
              </w:tc>
              <w:tc>
                <w:tcPr>
                  <w:tcW w:w="1196" w:type="dxa"/>
                  <w:vMerge w:val="continue"/>
                  <w:noWrap w:val="0"/>
                  <w:vAlign w:val="center"/>
                </w:tcPr>
                <w:p w14:paraId="66098F1D">
                  <w:pPr>
                    <w:jc w:val="center"/>
                    <w:rPr>
                      <w:rFonts w:hint="default" w:ascii="Times New Roman" w:hAnsi="Times New Roman" w:cs="Times New Roman"/>
                      <w:color w:val="auto"/>
                      <w:highlight w:val="none"/>
                      <w:lang w:eastAsia="zh-CN"/>
                    </w:rPr>
                  </w:pPr>
                </w:p>
              </w:tc>
              <w:tc>
                <w:tcPr>
                  <w:tcW w:w="1206" w:type="dxa"/>
                  <w:vMerge w:val="continue"/>
                  <w:noWrap w:val="0"/>
                  <w:vAlign w:val="center"/>
                </w:tcPr>
                <w:p w14:paraId="22EE9268">
                  <w:pPr>
                    <w:jc w:val="center"/>
                    <w:rPr>
                      <w:rFonts w:hint="default" w:ascii="Times New Roman" w:hAnsi="Times New Roman" w:cs="Times New Roman"/>
                      <w:color w:val="auto"/>
                      <w:highlight w:val="none"/>
                      <w:lang w:val="en-US" w:eastAsia="zh-CN"/>
                    </w:rPr>
                  </w:pPr>
                </w:p>
              </w:tc>
              <w:tc>
                <w:tcPr>
                  <w:tcW w:w="825" w:type="dxa"/>
                  <w:vMerge w:val="continue"/>
                  <w:noWrap w:val="0"/>
                  <w:vAlign w:val="center"/>
                </w:tcPr>
                <w:p w14:paraId="4476BCB6">
                  <w:pPr>
                    <w:jc w:val="center"/>
                    <w:rPr>
                      <w:rFonts w:hint="default" w:ascii="Times New Roman" w:hAnsi="Times New Roman" w:cs="Times New Roman"/>
                      <w:color w:val="auto"/>
                      <w:highlight w:val="none"/>
                      <w:lang w:val="en-US" w:eastAsia="zh-CN"/>
                    </w:rPr>
                  </w:pPr>
                </w:p>
              </w:tc>
              <w:tc>
                <w:tcPr>
                  <w:tcW w:w="675" w:type="dxa"/>
                  <w:vMerge w:val="continue"/>
                  <w:noWrap w:val="0"/>
                  <w:vAlign w:val="center"/>
                </w:tcPr>
                <w:p w14:paraId="47D3C6DD">
                  <w:pPr>
                    <w:snapToGrid w:val="0"/>
                    <w:jc w:val="center"/>
                    <w:rPr>
                      <w:rFonts w:hint="default" w:ascii="Times New Roman" w:hAnsi="Times New Roman" w:cs="Times New Roman"/>
                      <w:color w:val="auto"/>
                      <w:highlight w:val="none"/>
                      <w:lang w:val="en-US" w:eastAsia="zh-CN"/>
                    </w:rPr>
                  </w:pPr>
                </w:p>
              </w:tc>
              <w:tc>
                <w:tcPr>
                  <w:tcW w:w="813" w:type="dxa"/>
                  <w:vMerge w:val="continue"/>
                  <w:noWrap w:val="0"/>
                  <w:vAlign w:val="center"/>
                </w:tcPr>
                <w:p w14:paraId="5BA7E5C9">
                  <w:pPr>
                    <w:snapToGrid w:val="0"/>
                    <w:jc w:val="center"/>
                    <w:rPr>
                      <w:rFonts w:hint="default" w:ascii="Times New Roman" w:hAnsi="Times New Roman" w:cs="Times New Roman"/>
                      <w:color w:val="auto"/>
                      <w:highlight w:val="none"/>
                      <w:lang w:val="en-US" w:eastAsia="zh-CN"/>
                    </w:rPr>
                  </w:pPr>
                </w:p>
              </w:tc>
            </w:tr>
            <w:tr w14:paraId="390C6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noWrap w:val="0"/>
                  <w:vAlign w:val="center"/>
                </w:tcPr>
                <w:p w14:paraId="52D49D02">
                  <w:pPr>
                    <w:snapToGrid w:val="0"/>
                    <w:jc w:val="center"/>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大气</w:t>
                  </w:r>
                </w:p>
              </w:tc>
              <w:tc>
                <w:tcPr>
                  <w:tcW w:w="1524" w:type="dxa"/>
                  <w:noWrap w:val="0"/>
                  <w:vAlign w:val="center"/>
                </w:tcPr>
                <w:p w14:paraId="715FE9D0">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106°17′59.74″</w:t>
                  </w:r>
                </w:p>
              </w:tc>
              <w:tc>
                <w:tcPr>
                  <w:tcW w:w="1471" w:type="dxa"/>
                  <w:noWrap w:val="0"/>
                  <w:vAlign w:val="center"/>
                </w:tcPr>
                <w:p w14:paraId="01CEB5E4">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35°39′36.00″</w:t>
                  </w:r>
                </w:p>
              </w:tc>
              <w:tc>
                <w:tcPr>
                  <w:tcW w:w="1196" w:type="dxa"/>
                  <w:noWrap w:val="0"/>
                  <w:vAlign w:val="center"/>
                </w:tcPr>
                <w:p w14:paraId="6FBF25E8">
                  <w:pPr>
                    <w:jc w:val="center"/>
                    <w:rPr>
                      <w:rFonts w:hint="default" w:ascii="Times New Roman" w:hAnsi="Times New Roman" w:cs="Times New Roman"/>
                      <w:color w:val="auto"/>
                      <w:highlight w:val="none"/>
                      <w:lang w:val="en-US" w:eastAsia="zh-CN"/>
                    </w:rPr>
                  </w:pPr>
                  <w:r>
                    <w:rPr>
                      <w:rFonts w:hint="eastAsia" w:ascii="Times New Roman" w:hAnsi="Times New Roman" w:cs="Times New Roman"/>
                      <w:b w:val="0"/>
                      <w:bCs/>
                      <w:color w:val="auto"/>
                      <w:szCs w:val="22"/>
                      <w:highlight w:val="none"/>
                      <w:lang w:val="en-US" w:eastAsia="zh-CN"/>
                    </w:rPr>
                    <w:t>卧羊川村</w:t>
                  </w:r>
                </w:p>
              </w:tc>
              <w:tc>
                <w:tcPr>
                  <w:tcW w:w="1206" w:type="dxa"/>
                  <w:noWrap w:val="0"/>
                  <w:vAlign w:val="center"/>
                </w:tcPr>
                <w:p w14:paraId="42E6363B">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居民3户</w:t>
                  </w:r>
                </w:p>
              </w:tc>
              <w:tc>
                <w:tcPr>
                  <w:tcW w:w="825" w:type="dxa"/>
                  <w:noWrap w:val="0"/>
                  <w:vAlign w:val="center"/>
                </w:tcPr>
                <w:p w14:paraId="76A0A23C">
                  <w:pPr>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75" w:type="dxa"/>
                  <w:noWrap w:val="0"/>
                  <w:vAlign w:val="center"/>
                </w:tcPr>
                <w:p w14:paraId="7B462826">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E</w:t>
                  </w:r>
                </w:p>
              </w:tc>
              <w:tc>
                <w:tcPr>
                  <w:tcW w:w="813" w:type="dxa"/>
                  <w:noWrap w:val="0"/>
                  <w:vAlign w:val="center"/>
                </w:tcPr>
                <w:p w14:paraId="694E8527">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163m</w:t>
                  </w:r>
                </w:p>
              </w:tc>
            </w:tr>
            <w:tr w14:paraId="6725E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4" w:type="dxa"/>
                  <w:gridSpan w:val="8"/>
                  <w:noWrap w:val="0"/>
                  <w:vAlign w:val="center"/>
                </w:tcPr>
                <w:p w14:paraId="0DAF39D1">
                  <w:pPr>
                    <w:adjustRightInd w:val="0"/>
                    <w:snapToGrid w:val="0"/>
                    <w:jc w:val="center"/>
                    <w:rPr>
                      <w:rFonts w:hint="default" w:ascii="Times New Roman" w:hAnsi="Times New Roman" w:cs="Times New Roman"/>
                      <w:b/>
                      <w:color w:val="auto"/>
                      <w:szCs w:val="22"/>
                      <w:highlight w:val="none"/>
                      <w:lang w:val="en-US" w:eastAsia="zh-CN"/>
                    </w:rPr>
                  </w:pPr>
                  <w:r>
                    <w:rPr>
                      <w:rFonts w:hint="default" w:ascii="Times New Roman" w:hAnsi="Times New Roman" w:cs="Times New Roman"/>
                      <w:b/>
                      <w:color w:val="auto"/>
                      <w:szCs w:val="22"/>
                      <w:highlight w:val="none"/>
                      <w:lang w:val="en-US" w:eastAsia="zh-CN"/>
                    </w:rPr>
                    <w:t>庙儿沟村</w:t>
                  </w:r>
                </w:p>
              </w:tc>
            </w:tr>
            <w:tr w14:paraId="20157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vMerge w:val="restart"/>
                  <w:noWrap w:val="0"/>
                  <w:vAlign w:val="center"/>
                </w:tcPr>
                <w:p w14:paraId="11CFDE7A">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环境要素</w:t>
                  </w:r>
                </w:p>
              </w:tc>
              <w:tc>
                <w:tcPr>
                  <w:tcW w:w="2995" w:type="dxa"/>
                  <w:gridSpan w:val="2"/>
                  <w:noWrap w:val="0"/>
                  <w:vAlign w:val="center"/>
                </w:tcPr>
                <w:p w14:paraId="2B05DD05">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坐标</w:t>
                  </w:r>
                </w:p>
              </w:tc>
              <w:tc>
                <w:tcPr>
                  <w:tcW w:w="1196" w:type="dxa"/>
                  <w:vMerge w:val="restart"/>
                  <w:noWrap w:val="0"/>
                  <w:vAlign w:val="center"/>
                </w:tcPr>
                <w:p w14:paraId="57517FA1">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保护对象</w:t>
                  </w:r>
                </w:p>
              </w:tc>
              <w:tc>
                <w:tcPr>
                  <w:tcW w:w="1206" w:type="dxa"/>
                  <w:vMerge w:val="restart"/>
                  <w:noWrap w:val="0"/>
                  <w:vAlign w:val="center"/>
                </w:tcPr>
                <w:p w14:paraId="2DB081AF">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保护内容</w:t>
                  </w:r>
                </w:p>
              </w:tc>
              <w:tc>
                <w:tcPr>
                  <w:tcW w:w="825" w:type="dxa"/>
                  <w:vMerge w:val="restart"/>
                  <w:noWrap w:val="0"/>
                  <w:vAlign w:val="center"/>
                </w:tcPr>
                <w:p w14:paraId="791A5F17">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环境功能区</w:t>
                  </w:r>
                </w:p>
              </w:tc>
              <w:tc>
                <w:tcPr>
                  <w:tcW w:w="675" w:type="dxa"/>
                  <w:vMerge w:val="restart"/>
                  <w:noWrap w:val="0"/>
                  <w:vAlign w:val="center"/>
                </w:tcPr>
                <w:p w14:paraId="6A398AA0">
                  <w:pPr>
                    <w:adjustRightInd w:val="0"/>
                    <w:snapToGrid w:val="0"/>
                    <w:jc w:val="center"/>
                    <w:rPr>
                      <w:rFonts w:hint="default" w:ascii="Times New Roman" w:hAnsi="Times New Roman" w:eastAsia="仿宋" w:cs="Times New Roman"/>
                      <w:b/>
                      <w:color w:val="auto"/>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方位</w:t>
                  </w:r>
                </w:p>
              </w:tc>
              <w:tc>
                <w:tcPr>
                  <w:tcW w:w="813" w:type="dxa"/>
                  <w:vMerge w:val="restart"/>
                  <w:noWrap w:val="0"/>
                  <w:vAlign w:val="center"/>
                </w:tcPr>
                <w:p w14:paraId="16EBC3AE">
                  <w:pPr>
                    <w:adjustRightInd w:val="0"/>
                    <w:snapToGrid w:val="0"/>
                    <w:jc w:val="center"/>
                    <w:rPr>
                      <w:rFonts w:hint="default" w:ascii="Times New Roman" w:hAnsi="Times New Roman" w:cs="Times New Roman"/>
                      <w:b/>
                      <w:color w:val="auto"/>
                      <w:szCs w:val="22"/>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距离</w:t>
                  </w:r>
                </w:p>
              </w:tc>
            </w:tr>
            <w:tr w14:paraId="176A00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vMerge w:val="continue"/>
                  <w:noWrap w:val="0"/>
                  <w:vAlign w:val="center"/>
                </w:tcPr>
                <w:p w14:paraId="0A267A49">
                  <w:pPr>
                    <w:snapToGrid w:val="0"/>
                    <w:jc w:val="center"/>
                    <w:rPr>
                      <w:rFonts w:hint="default" w:ascii="Times New Roman" w:hAnsi="Times New Roman" w:eastAsia="宋体" w:cs="Times New Roman"/>
                      <w:color w:val="auto"/>
                      <w:highlight w:val="none"/>
                      <w:lang w:eastAsia="zh-CN"/>
                    </w:rPr>
                  </w:pPr>
                </w:p>
              </w:tc>
              <w:tc>
                <w:tcPr>
                  <w:tcW w:w="1524" w:type="dxa"/>
                  <w:noWrap w:val="0"/>
                  <w:vAlign w:val="center"/>
                </w:tcPr>
                <w:p w14:paraId="66F717F2">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经度（E）</w:t>
                  </w:r>
                </w:p>
              </w:tc>
              <w:tc>
                <w:tcPr>
                  <w:tcW w:w="1471" w:type="dxa"/>
                  <w:noWrap w:val="0"/>
                  <w:vAlign w:val="center"/>
                </w:tcPr>
                <w:p w14:paraId="42EE9BDA">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纬度（N）</w:t>
                  </w:r>
                </w:p>
              </w:tc>
              <w:tc>
                <w:tcPr>
                  <w:tcW w:w="1196" w:type="dxa"/>
                  <w:vMerge w:val="continue"/>
                  <w:noWrap w:val="0"/>
                  <w:vAlign w:val="center"/>
                </w:tcPr>
                <w:p w14:paraId="188E7DA3">
                  <w:pPr>
                    <w:jc w:val="center"/>
                    <w:rPr>
                      <w:rFonts w:hint="default" w:ascii="Times New Roman" w:hAnsi="Times New Roman" w:cs="Times New Roman"/>
                      <w:color w:val="auto"/>
                      <w:highlight w:val="none"/>
                      <w:lang w:eastAsia="zh-CN"/>
                    </w:rPr>
                  </w:pPr>
                </w:p>
              </w:tc>
              <w:tc>
                <w:tcPr>
                  <w:tcW w:w="1206" w:type="dxa"/>
                  <w:vMerge w:val="continue"/>
                  <w:noWrap w:val="0"/>
                  <w:vAlign w:val="center"/>
                </w:tcPr>
                <w:p w14:paraId="5823D81B">
                  <w:pPr>
                    <w:jc w:val="center"/>
                    <w:rPr>
                      <w:rFonts w:hint="default" w:ascii="Times New Roman" w:hAnsi="Times New Roman" w:cs="Times New Roman"/>
                      <w:color w:val="auto"/>
                      <w:highlight w:val="none"/>
                      <w:lang w:val="en-US" w:eastAsia="zh-CN"/>
                    </w:rPr>
                  </w:pPr>
                </w:p>
              </w:tc>
              <w:tc>
                <w:tcPr>
                  <w:tcW w:w="825" w:type="dxa"/>
                  <w:vMerge w:val="continue"/>
                  <w:noWrap w:val="0"/>
                  <w:vAlign w:val="center"/>
                </w:tcPr>
                <w:p w14:paraId="0567D8BC">
                  <w:pPr>
                    <w:jc w:val="center"/>
                    <w:rPr>
                      <w:rFonts w:hint="default" w:ascii="Times New Roman" w:hAnsi="Times New Roman" w:cs="Times New Roman"/>
                      <w:color w:val="auto"/>
                      <w:highlight w:val="none"/>
                      <w:lang w:val="en-US" w:eastAsia="zh-CN"/>
                    </w:rPr>
                  </w:pPr>
                </w:p>
              </w:tc>
              <w:tc>
                <w:tcPr>
                  <w:tcW w:w="675" w:type="dxa"/>
                  <w:vMerge w:val="continue"/>
                  <w:noWrap w:val="0"/>
                  <w:vAlign w:val="center"/>
                </w:tcPr>
                <w:p w14:paraId="4BC2FC5C">
                  <w:pPr>
                    <w:snapToGrid w:val="0"/>
                    <w:jc w:val="center"/>
                    <w:rPr>
                      <w:rFonts w:hint="default" w:ascii="Times New Roman" w:hAnsi="Times New Roman" w:cs="Times New Roman"/>
                      <w:color w:val="auto"/>
                      <w:highlight w:val="none"/>
                      <w:lang w:val="en-US" w:eastAsia="zh-CN"/>
                    </w:rPr>
                  </w:pPr>
                </w:p>
              </w:tc>
              <w:tc>
                <w:tcPr>
                  <w:tcW w:w="813" w:type="dxa"/>
                  <w:vMerge w:val="continue"/>
                  <w:noWrap w:val="0"/>
                  <w:vAlign w:val="center"/>
                </w:tcPr>
                <w:p w14:paraId="3FB8716B">
                  <w:pPr>
                    <w:snapToGrid w:val="0"/>
                    <w:jc w:val="center"/>
                    <w:rPr>
                      <w:rFonts w:hint="default" w:ascii="Times New Roman" w:hAnsi="Times New Roman" w:cs="Times New Roman"/>
                      <w:color w:val="auto"/>
                      <w:highlight w:val="none"/>
                      <w:lang w:val="en-US" w:eastAsia="zh-CN"/>
                    </w:rPr>
                  </w:pPr>
                </w:p>
              </w:tc>
            </w:tr>
            <w:tr w14:paraId="2661D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4B0E288">
                  <w:pPr>
                    <w:snapToGrid w:val="0"/>
                    <w:jc w:val="center"/>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大气</w:t>
                  </w:r>
                </w:p>
              </w:tc>
              <w:tc>
                <w:tcPr>
                  <w:tcW w:w="1524" w:type="dxa"/>
                  <w:noWrap w:val="0"/>
                  <w:vAlign w:val="center"/>
                </w:tcPr>
                <w:p w14:paraId="7281010C">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106°14′47.97″</w:t>
                  </w:r>
                </w:p>
              </w:tc>
              <w:tc>
                <w:tcPr>
                  <w:tcW w:w="1471" w:type="dxa"/>
                  <w:noWrap w:val="0"/>
                  <w:vAlign w:val="center"/>
                </w:tcPr>
                <w:p w14:paraId="2845C98D">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35°39′49.63″</w:t>
                  </w:r>
                </w:p>
              </w:tc>
              <w:tc>
                <w:tcPr>
                  <w:tcW w:w="1196" w:type="dxa"/>
                  <w:noWrap w:val="0"/>
                  <w:vAlign w:val="center"/>
                </w:tcPr>
                <w:p w14:paraId="4F24822B">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庙儿沟村</w:t>
                  </w:r>
                </w:p>
              </w:tc>
              <w:tc>
                <w:tcPr>
                  <w:tcW w:w="1206" w:type="dxa"/>
                  <w:noWrap w:val="0"/>
                  <w:vAlign w:val="center"/>
                </w:tcPr>
                <w:p w14:paraId="4D2EB96C">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居民10户</w:t>
                  </w:r>
                </w:p>
              </w:tc>
              <w:tc>
                <w:tcPr>
                  <w:tcW w:w="825" w:type="dxa"/>
                  <w:noWrap w:val="0"/>
                  <w:vAlign w:val="center"/>
                </w:tcPr>
                <w:p w14:paraId="16A1EC58">
                  <w:pPr>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75" w:type="dxa"/>
                  <w:noWrap w:val="0"/>
                  <w:vAlign w:val="center"/>
                </w:tcPr>
                <w:p w14:paraId="25E5DADD">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E</w:t>
                  </w:r>
                </w:p>
              </w:tc>
              <w:tc>
                <w:tcPr>
                  <w:tcW w:w="813" w:type="dxa"/>
                  <w:noWrap w:val="0"/>
                  <w:vAlign w:val="center"/>
                </w:tcPr>
                <w:p w14:paraId="2DF8EBC5">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75m</w:t>
                  </w:r>
                </w:p>
              </w:tc>
            </w:tr>
            <w:tr w14:paraId="1B58C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4" w:type="dxa"/>
                  <w:gridSpan w:val="8"/>
                  <w:noWrap w:val="0"/>
                  <w:vAlign w:val="center"/>
                </w:tcPr>
                <w:p w14:paraId="333191D8">
                  <w:pPr>
                    <w:adjustRightInd w:val="0"/>
                    <w:snapToGrid w:val="0"/>
                    <w:jc w:val="center"/>
                    <w:rPr>
                      <w:rFonts w:hint="default" w:ascii="Times New Roman" w:hAnsi="Times New Roman" w:cs="Times New Roman"/>
                      <w:b/>
                      <w:color w:val="auto"/>
                      <w:szCs w:val="22"/>
                      <w:highlight w:val="none"/>
                      <w:lang w:val="en-US" w:eastAsia="zh-CN"/>
                    </w:rPr>
                  </w:pPr>
                  <w:r>
                    <w:rPr>
                      <w:rFonts w:hint="eastAsia" w:ascii="Times New Roman" w:hAnsi="Times New Roman" w:cs="Times New Roman"/>
                      <w:b/>
                      <w:color w:val="auto"/>
                      <w:szCs w:val="22"/>
                      <w:highlight w:val="none"/>
                      <w:lang w:val="en-US" w:eastAsia="zh-CN"/>
                    </w:rPr>
                    <w:t>武坪村</w:t>
                  </w:r>
                </w:p>
              </w:tc>
            </w:tr>
            <w:tr w14:paraId="3E029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14" w:type="dxa"/>
                  <w:vMerge w:val="restart"/>
                  <w:noWrap w:val="0"/>
                  <w:vAlign w:val="center"/>
                </w:tcPr>
                <w:p w14:paraId="12F81960">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环境要素</w:t>
                  </w:r>
                </w:p>
              </w:tc>
              <w:tc>
                <w:tcPr>
                  <w:tcW w:w="2995" w:type="dxa"/>
                  <w:gridSpan w:val="2"/>
                  <w:noWrap w:val="0"/>
                  <w:vAlign w:val="center"/>
                </w:tcPr>
                <w:p w14:paraId="57FE3DFC">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坐标</w:t>
                  </w:r>
                </w:p>
              </w:tc>
              <w:tc>
                <w:tcPr>
                  <w:tcW w:w="1196" w:type="dxa"/>
                  <w:vMerge w:val="restart"/>
                  <w:noWrap w:val="0"/>
                  <w:vAlign w:val="center"/>
                </w:tcPr>
                <w:p w14:paraId="35A57E17">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保护对象</w:t>
                  </w:r>
                </w:p>
              </w:tc>
              <w:tc>
                <w:tcPr>
                  <w:tcW w:w="1206" w:type="dxa"/>
                  <w:vMerge w:val="restart"/>
                  <w:noWrap w:val="0"/>
                  <w:vAlign w:val="center"/>
                </w:tcPr>
                <w:p w14:paraId="68B54B9F">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保护内容</w:t>
                  </w:r>
                </w:p>
              </w:tc>
              <w:tc>
                <w:tcPr>
                  <w:tcW w:w="825" w:type="dxa"/>
                  <w:vMerge w:val="restart"/>
                  <w:noWrap w:val="0"/>
                  <w:vAlign w:val="center"/>
                </w:tcPr>
                <w:p w14:paraId="0F5644C4">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环境功能区</w:t>
                  </w:r>
                </w:p>
              </w:tc>
              <w:tc>
                <w:tcPr>
                  <w:tcW w:w="675" w:type="dxa"/>
                  <w:vMerge w:val="restart"/>
                  <w:noWrap w:val="0"/>
                  <w:vAlign w:val="center"/>
                </w:tcPr>
                <w:p w14:paraId="17E7F0B0">
                  <w:pPr>
                    <w:adjustRightInd w:val="0"/>
                    <w:snapToGrid w:val="0"/>
                    <w:jc w:val="center"/>
                    <w:rPr>
                      <w:rFonts w:hint="default" w:ascii="Times New Roman" w:hAnsi="Times New Roman" w:eastAsia="仿宋" w:cs="Times New Roman"/>
                      <w:b/>
                      <w:color w:val="auto"/>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方位</w:t>
                  </w:r>
                </w:p>
              </w:tc>
              <w:tc>
                <w:tcPr>
                  <w:tcW w:w="813" w:type="dxa"/>
                  <w:vMerge w:val="restart"/>
                  <w:noWrap w:val="0"/>
                  <w:vAlign w:val="center"/>
                </w:tcPr>
                <w:p w14:paraId="2B31F17B">
                  <w:pPr>
                    <w:adjustRightInd w:val="0"/>
                    <w:snapToGrid w:val="0"/>
                    <w:jc w:val="center"/>
                    <w:rPr>
                      <w:rFonts w:hint="default" w:ascii="Times New Roman" w:hAnsi="Times New Roman" w:cs="Times New Roman"/>
                      <w:b/>
                      <w:color w:val="auto"/>
                      <w:szCs w:val="22"/>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距离</w:t>
                  </w:r>
                </w:p>
              </w:tc>
            </w:tr>
            <w:tr w14:paraId="55A45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vMerge w:val="continue"/>
                  <w:noWrap w:val="0"/>
                  <w:vAlign w:val="center"/>
                </w:tcPr>
                <w:p w14:paraId="561B8FCD">
                  <w:pPr>
                    <w:snapToGrid w:val="0"/>
                    <w:jc w:val="center"/>
                    <w:rPr>
                      <w:rFonts w:hint="default" w:ascii="Times New Roman" w:hAnsi="Times New Roman" w:eastAsia="宋体" w:cs="Times New Roman"/>
                      <w:color w:val="auto"/>
                      <w:highlight w:val="none"/>
                      <w:lang w:eastAsia="zh-CN"/>
                    </w:rPr>
                  </w:pPr>
                </w:p>
              </w:tc>
              <w:tc>
                <w:tcPr>
                  <w:tcW w:w="1524" w:type="dxa"/>
                  <w:noWrap w:val="0"/>
                  <w:vAlign w:val="center"/>
                </w:tcPr>
                <w:p w14:paraId="4EF7FB74">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经度（E）</w:t>
                  </w:r>
                </w:p>
              </w:tc>
              <w:tc>
                <w:tcPr>
                  <w:tcW w:w="1471" w:type="dxa"/>
                  <w:noWrap w:val="0"/>
                  <w:vAlign w:val="center"/>
                </w:tcPr>
                <w:p w14:paraId="607CB825">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纬度（N）</w:t>
                  </w:r>
                </w:p>
              </w:tc>
              <w:tc>
                <w:tcPr>
                  <w:tcW w:w="1196" w:type="dxa"/>
                  <w:vMerge w:val="continue"/>
                  <w:noWrap w:val="0"/>
                  <w:vAlign w:val="center"/>
                </w:tcPr>
                <w:p w14:paraId="47586A19">
                  <w:pPr>
                    <w:jc w:val="center"/>
                    <w:rPr>
                      <w:rFonts w:hint="default" w:ascii="Times New Roman" w:hAnsi="Times New Roman" w:cs="Times New Roman"/>
                      <w:color w:val="auto"/>
                      <w:highlight w:val="none"/>
                      <w:lang w:eastAsia="zh-CN"/>
                    </w:rPr>
                  </w:pPr>
                </w:p>
              </w:tc>
              <w:tc>
                <w:tcPr>
                  <w:tcW w:w="1206" w:type="dxa"/>
                  <w:vMerge w:val="continue"/>
                  <w:noWrap w:val="0"/>
                  <w:vAlign w:val="center"/>
                </w:tcPr>
                <w:p w14:paraId="77A9BE66">
                  <w:pPr>
                    <w:jc w:val="center"/>
                    <w:rPr>
                      <w:rFonts w:hint="default" w:ascii="Times New Roman" w:hAnsi="Times New Roman" w:cs="Times New Roman"/>
                      <w:color w:val="auto"/>
                      <w:highlight w:val="none"/>
                      <w:lang w:val="en-US" w:eastAsia="zh-CN"/>
                    </w:rPr>
                  </w:pPr>
                </w:p>
              </w:tc>
              <w:tc>
                <w:tcPr>
                  <w:tcW w:w="825" w:type="dxa"/>
                  <w:vMerge w:val="continue"/>
                  <w:noWrap w:val="0"/>
                  <w:vAlign w:val="center"/>
                </w:tcPr>
                <w:p w14:paraId="49BE659A">
                  <w:pPr>
                    <w:jc w:val="center"/>
                    <w:rPr>
                      <w:rFonts w:hint="default" w:ascii="Times New Roman" w:hAnsi="Times New Roman" w:cs="Times New Roman"/>
                      <w:color w:val="auto"/>
                      <w:highlight w:val="none"/>
                      <w:lang w:val="en-US" w:eastAsia="zh-CN"/>
                    </w:rPr>
                  </w:pPr>
                </w:p>
              </w:tc>
              <w:tc>
                <w:tcPr>
                  <w:tcW w:w="675" w:type="dxa"/>
                  <w:vMerge w:val="continue"/>
                  <w:noWrap w:val="0"/>
                  <w:vAlign w:val="center"/>
                </w:tcPr>
                <w:p w14:paraId="3686BF23">
                  <w:pPr>
                    <w:snapToGrid w:val="0"/>
                    <w:jc w:val="center"/>
                    <w:rPr>
                      <w:rFonts w:hint="default" w:ascii="Times New Roman" w:hAnsi="Times New Roman" w:cs="Times New Roman"/>
                      <w:color w:val="auto"/>
                      <w:highlight w:val="none"/>
                      <w:lang w:val="en-US" w:eastAsia="zh-CN"/>
                    </w:rPr>
                  </w:pPr>
                </w:p>
              </w:tc>
              <w:tc>
                <w:tcPr>
                  <w:tcW w:w="813" w:type="dxa"/>
                  <w:vMerge w:val="continue"/>
                  <w:noWrap w:val="0"/>
                  <w:vAlign w:val="center"/>
                </w:tcPr>
                <w:p w14:paraId="27E326D8">
                  <w:pPr>
                    <w:snapToGrid w:val="0"/>
                    <w:jc w:val="center"/>
                    <w:rPr>
                      <w:rFonts w:hint="default" w:ascii="Times New Roman" w:hAnsi="Times New Roman" w:cs="Times New Roman"/>
                      <w:color w:val="auto"/>
                      <w:highlight w:val="none"/>
                      <w:lang w:val="en-US" w:eastAsia="zh-CN"/>
                    </w:rPr>
                  </w:pPr>
                </w:p>
              </w:tc>
            </w:tr>
            <w:tr w14:paraId="2222A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53CB8F87">
                  <w:pPr>
                    <w:snapToGrid w:val="0"/>
                    <w:jc w:val="center"/>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大气</w:t>
                  </w:r>
                </w:p>
              </w:tc>
              <w:tc>
                <w:tcPr>
                  <w:tcW w:w="1524" w:type="dxa"/>
                  <w:shd w:val="clear" w:color="auto" w:fill="auto"/>
                  <w:noWrap w:val="0"/>
                  <w:vAlign w:val="center"/>
                </w:tcPr>
                <w:p w14:paraId="299912B1">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106°1</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53.38</w:t>
                  </w:r>
                  <w:r>
                    <w:rPr>
                      <w:rFonts w:hint="default" w:ascii="Times New Roman" w:hAnsi="Times New Roman" w:eastAsia="宋体" w:cs="Times New Roman"/>
                      <w:color w:val="auto"/>
                      <w:highlight w:val="none"/>
                      <w:lang w:val="en-US" w:eastAsia="zh-CN"/>
                    </w:rPr>
                    <w:t>″</w:t>
                  </w:r>
                </w:p>
              </w:tc>
              <w:tc>
                <w:tcPr>
                  <w:tcW w:w="1471" w:type="dxa"/>
                  <w:shd w:val="clear" w:color="auto" w:fill="auto"/>
                  <w:noWrap w:val="0"/>
                  <w:vAlign w:val="center"/>
                </w:tcPr>
                <w:p w14:paraId="0BDEF6D4">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35°</w:t>
                  </w:r>
                  <w:r>
                    <w:rPr>
                      <w:rFonts w:hint="eastAsia"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52.37</w:t>
                  </w:r>
                  <w:r>
                    <w:rPr>
                      <w:rFonts w:hint="default" w:ascii="Times New Roman" w:hAnsi="Times New Roman" w:eastAsia="宋体" w:cs="Times New Roman"/>
                      <w:color w:val="auto"/>
                      <w:highlight w:val="none"/>
                      <w:lang w:val="en-US" w:eastAsia="zh-CN"/>
                    </w:rPr>
                    <w:t>″</w:t>
                  </w:r>
                </w:p>
              </w:tc>
              <w:tc>
                <w:tcPr>
                  <w:tcW w:w="1196" w:type="dxa"/>
                  <w:noWrap w:val="0"/>
                  <w:vAlign w:val="center"/>
                </w:tcPr>
                <w:p w14:paraId="070B57C2">
                  <w:pPr>
                    <w:jc w:val="center"/>
                    <w:rPr>
                      <w:rFonts w:hint="default" w:ascii="Times New Roman" w:hAnsi="Times New Roman" w:cs="Times New Roman"/>
                      <w:color w:val="auto"/>
                      <w:highlight w:val="none"/>
                      <w:lang w:val="en-US" w:eastAsia="zh-CN"/>
                    </w:rPr>
                  </w:pPr>
                  <w:r>
                    <w:rPr>
                      <w:rFonts w:hint="eastAsia" w:ascii="Times New Roman" w:hAnsi="Times New Roman" w:cs="Times New Roman"/>
                      <w:b w:val="0"/>
                      <w:bCs/>
                      <w:color w:val="auto"/>
                      <w:szCs w:val="22"/>
                      <w:highlight w:val="none"/>
                      <w:lang w:val="en-US" w:eastAsia="zh-CN"/>
                    </w:rPr>
                    <w:t>武坪村</w:t>
                  </w:r>
                </w:p>
              </w:tc>
              <w:tc>
                <w:tcPr>
                  <w:tcW w:w="1206" w:type="dxa"/>
                  <w:noWrap w:val="0"/>
                  <w:vAlign w:val="center"/>
                </w:tcPr>
                <w:p w14:paraId="10D1C4EC">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居民50户</w:t>
                  </w:r>
                </w:p>
              </w:tc>
              <w:tc>
                <w:tcPr>
                  <w:tcW w:w="825" w:type="dxa"/>
                  <w:noWrap w:val="0"/>
                  <w:vAlign w:val="center"/>
                </w:tcPr>
                <w:p w14:paraId="08946332">
                  <w:pPr>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75" w:type="dxa"/>
                  <w:noWrap w:val="0"/>
                  <w:vAlign w:val="center"/>
                </w:tcPr>
                <w:p w14:paraId="3F90E3B0">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w:t>
                  </w:r>
                </w:p>
              </w:tc>
              <w:tc>
                <w:tcPr>
                  <w:tcW w:w="813" w:type="dxa"/>
                  <w:noWrap w:val="0"/>
                  <w:vAlign w:val="center"/>
                </w:tcPr>
                <w:p w14:paraId="5AC2A5C6">
                  <w:pPr>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77m</w:t>
                  </w:r>
                </w:p>
              </w:tc>
            </w:tr>
          </w:tbl>
          <w:p w14:paraId="7B7FEC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eastAsia="仿宋_GB2312" w:cs="Times New Roman"/>
                <w:color w:val="auto"/>
                <w:kern w:val="16"/>
                <w:sz w:val="24"/>
                <w:szCs w:val="24"/>
                <w:highlight w:val="none"/>
                <w:lang w:val="en-US" w:eastAsia="zh-CN" w:bidi="ar-SA"/>
              </w:rPr>
            </w:pPr>
            <w:r>
              <w:rPr>
                <w:rFonts w:hint="eastAsia" w:eastAsia="仿宋_GB2312" w:cs="Times New Roman"/>
                <w:color w:val="auto"/>
                <w:kern w:val="16"/>
                <w:sz w:val="24"/>
                <w:szCs w:val="24"/>
                <w:highlight w:val="none"/>
                <w:lang w:val="en-US" w:eastAsia="zh-CN" w:bidi="ar-SA"/>
              </w:rPr>
              <w:t>本项目敏感目标分布图见图3-4~3-7。</w:t>
            </w:r>
          </w:p>
          <w:p w14:paraId="0F8437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eastAsia="仿宋_GB2312" w:cs="Times New Roman"/>
                <w:b/>
                <w:bCs/>
                <w:color w:val="auto"/>
                <w:sz w:val="24"/>
                <w:szCs w:val="32"/>
                <w:highlight w:val="none"/>
                <w:lang w:val="en-US" w:eastAsia="zh-CN"/>
              </w:rPr>
            </w:pPr>
          </w:p>
          <w:p w14:paraId="260CF3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eastAsia="仿宋_GB2312" w:cs="Times New Roman"/>
                <w:b/>
                <w:bCs/>
                <w:color w:val="auto"/>
                <w:sz w:val="24"/>
                <w:szCs w:val="32"/>
                <w:highlight w:val="none"/>
                <w:lang w:val="en-US" w:eastAsia="zh-CN"/>
              </w:rPr>
            </w:pPr>
            <w:r>
              <w:rPr>
                <w:rFonts w:hint="eastAsia" w:eastAsia="仿宋_GB2312" w:cs="Times New Roman"/>
                <w:b/>
                <w:bCs/>
                <w:color w:val="auto"/>
                <w:sz w:val="24"/>
                <w:szCs w:val="32"/>
                <w:highlight w:val="none"/>
                <w:lang w:val="en-US" w:eastAsia="zh-CN"/>
              </w:rPr>
              <w:drawing>
                <wp:inline distT="0" distB="0" distL="114300" distR="114300">
                  <wp:extent cx="5367655" cy="3571240"/>
                  <wp:effectExtent l="0" t="0" r="0" b="0"/>
                  <wp:docPr id="1" name="图片 1" descr="附图1-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1-5_15"/>
                          <pic:cNvPicPr>
                            <a:picLocks noChangeAspect="1"/>
                          </pic:cNvPicPr>
                        </pic:nvPicPr>
                        <pic:blipFill>
                          <a:blip r:embed="rId12"/>
                          <a:srcRect b="5906"/>
                          <a:stretch>
                            <a:fillRect/>
                          </a:stretch>
                        </pic:blipFill>
                        <pic:spPr>
                          <a:xfrm>
                            <a:off x="0" y="0"/>
                            <a:ext cx="5367655" cy="3571240"/>
                          </a:xfrm>
                          <a:prstGeom prst="rect">
                            <a:avLst/>
                          </a:prstGeom>
                        </pic:spPr>
                      </pic:pic>
                    </a:graphicData>
                  </a:graphic>
                </wp:inline>
              </w:drawing>
            </w:r>
          </w:p>
          <w:p w14:paraId="0AEFAD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eastAsia="仿宋_GB2312" w:cs="Times New Roman"/>
                <w:b/>
                <w:bCs/>
                <w:color w:val="auto"/>
                <w:sz w:val="24"/>
                <w:szCs w:val="32"/>
                <w:highlight w:val="none"/>
                <w:lang w:val="en-US" w:eastAsia="zh-CN"/>
              </w:rPr>
            </w:pPr>
          </w:p>
          <w:p w14:paraId="78BBF4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eastAsia="仿宋_GB2312" w:cs="Times New Roman"/>
                <w:b/>
                <w:bCs/>
                <w:color w:val="auto"/>
                <w:sz w:val="24"/>
                <w:szCs w:val="32"/>
                <w:highlight w:val="none"/>
                <w:lang w:val="en-US" w:eastAsia="zh-CN"/>
              </w:rPr>
            </w:pPr>
            <w:r>
              <w:rPr>
                <w:rFonts w:hint="eastAsia" w:eastAsia="仿宋_GB2312" w:cs="Times New Roman"/>
                <w:b/>
                <w:bCs/>
                <w:color w:val="auto"/>
                <w:sz w:val="24"/>
                <w:szCs w:val="32"/>
                <w:highlight w:val="none"/>
                <w:lang w:val="en-US" w:eastAsia="zh-CN"/>
              </w:rPr>
              <w:drawing>
                <wp:inline distT="0" distB="0" distL="114300" distR="114300">
                  <wp:extent cx="5177155" cy="3562350"/>
                  <wp:effectExtent l="0" t="0" r="0" b="0"/>
                  <wp:docPr id="4" name="图片 4" descr="附图1-5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1-5_14"/>
                          <pic:cNvPicPr>
                            <a:picLocks noChangeAspect="1"/>
                          </pic:cNvPicPr>
                        </pic:nvPicPr>
                        <pic:blipFill>
                          <a:blip r:embed="rId13"/>
                          <a:srcRect l="1609" t="67" r="1940" b="6073"/>
                          <a:stretch>
                            <a:fillRect/>
                          </a:stretch>
                        </pic:blipFill>
                        <pic:spPr>
                          <a:xfrm>
                            <a:off x="0" y="0"/>
                            <a:ext cx="5177155" cy="3562350"/>
                          </a:xfrm>
                          <a:prstGeom prst="rect">
                            <a:avLst/>
                          </a:prstGeom>
                        </pic:spPr>
                      </pic:pic>
                    </a:graphicData>
                  </a:graphic>
                </wp:inline>
              </w:drawing>
            </w:r>
          </w:p>
          <w:p w14:paraId="31FC17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eastAsia="仿宋_GB2312" w:cs="Times New Roman"/>
                <w:b/>
                <w:bCs/>
                <w:color w:val="auto"/>
                <w:sz w:val="24"/>
                <w:szCs w:val="32"/>
                <w:highlight w:val="none"/>
                <w:lang w:val="en-US" w:eastAsia="zh-CN"/>
              </w:rPr>
            </w:pPr>
            <w:r>
              <w:rPr>
                <w:rFonts w:hint="eastAsia" w:eastAsia="仿宋_GB2312" w:cs="Times New Roman"/>
                <w:b/>
                <w:bCs/>
                <w:color w:val="auto"/>
                <w:sz w:val="24"/>
                <w:szCs w:val="32"/>
                <w:highlight w:val="none"/>
                <w:lang w:val="en-US" w:eastAsia="zh-CN"/>
              </w:rPr>
              <w:drawing>
                <wp:inline distT="0" distB="0" distL="114300" distR="114300">
                  <wp:extent cx="5138420" cy="3521710"/>
                  <wp:effectExtent l="0" t="0" r="0" b="0"/>
                  <wp:docPr id="5" name="图片 5" descr="附图1-5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图1-5_13"/>
                          <pic:cNvPicPr>
                            <a:picLocks noChangeAspect="1"/>
                          </pic:cNvPicPr>
                        </pic:nvPicPr>
                        <pic:blipFill>
                          <a:blip r:embed="rId14"/>
                          <a:srcRect l="2177" t="-67" r="2094" b="7278"/>
                          <a:stretch>
                            <a:fillRect/>
                          </a:stretch>
                        </pic:blipFill>
                        <pic:spPr>
                          <a:xfrm>
                            <a:off x="0" y="0"/>
                            <a:ext cx="5138420" cy="3521710"/>
                          </a:xfrm>
                          <a:prstGeom prst="rect">
                            <a:avLst/>
                          </a:prstGeom>
                        </pic:spPr>
                      </pic:pic>
                    </a:graphicData>
                  </a:graphic>
                </wp:inline>
              </w:drawing>
            </w:r>
          </w:p>
          <w:p w14:paraId="4B5EDF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eastAsia="仿宋_GB2312" w:cs="Times New Roman"/>
                <w:b/>
                <w:bCs/>
                <w:color w:val="auto"/>
                <w:sz w:val="24"/>
                <w:szCs w:val="32"/>
                <w:highlight w:val="none"/>
                <w:lang w:val="en-US" w:eastAsia="zh-CN"/>
              </w:rPr>
            </w:pPr>
            <w:r>
              <w:rPr>
                <w:rFonts w:hint="eastAsia" w:eastAsia="仿宋_GB2312" w:cs="Times New Roman"/>
                <w:b/>
                <w:bCs/>
                <w:color w:val="auto"/>
                <w:sz w:val="24"/>
                <w:szCs w:val="32"/>
                <w:highlight w:val="none"/>
                <w:lang w:val="en-US" w:eastAsia="zh-CN"/>
              </w:rPr>
              <w:drawing>
                <wp:inline distT="0" distB="0" distL="114300" distR="114300">
                  <wp:extent cx="5200015" cy="3394075"/>
                  <wp:effectExtent l="0" t="0" r="0" b="0"/>
                  <wp:docPr id="6" name="图片 6" descr="附图1-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1-5_12"/>
                          <pic:cNvPicPr>
                            <a:picLocks noChangeAspect="1"/>
                          </pic:cNvPicPr>
                        </pic:nvPicPr>
                        <pic:blipFill>
                          <a:blip r:embed="rId15"/>
                          <a:srcRect l="1680" t="1991" r="1443" b="8583"/>
                          <a:stretch>
                            <a:fillRect/>
                          </a:stretch>
                        </pic:blipFill>
                        <pic:spPr>
                          <a:xfrm>
                            <a:off x="0" y="0"/>
                            <a:ext cx="5200015" cy="3394075"/>
                          </a:xfrm>
                          <a:prstGeom prst="rect">
                            <a:avLst/>
                          </a:prstGeom>
                        </pic:spPr>
                      </pic:pic>
                    </a:graphicData>
                  </a:graphic>
                </wp:inline>
              </w:drawing>
            </w:r>
          </w:p>
          <w:p w14:paraId="42E3B2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仿宋_GB2312" w:cs="Times New Roman"/>
                <w:b/>
                <w:bCs/>
                <w:color w:val="auto"/>
                <w:sz w:val="24"/>
                <w:szCs w:val="32"/>
                <w:highlight w:val="none"/>
                <w:lang w:val="en-US" w:eastAsia="zh-CN"/>
              </w:rPr>
            </w:pPr>
            <w:r>
              <w:rPr>
                <w:rFonts w:hint="eastAsia" w:eastAsia="仿宋_GB2312" w:cs="Times New Roman"/>
                <w:b/>
                <w:bCs/>
                <w:color w:val="auto"/>
                <w:sz w:val="24"/>
                <w:szCs w:val="32"/>
                <w:highlight w:val="none"/>
                <w:lang w:val="en-US" w:eastAsia="zh-CN"/>
              </w:rPr>
              <w:t>4.</w:t>
            </w:r>
            <w:r>
              <w:rPr>
                <w:rFonts w:hint="default" w:ascii="Times New Roman" w:hAnsi="Times New Roman" w:eastAsia="仿宋_GB2312" w:cs="Times New Roman"/>
                <w:b/>
                <w:bCs/>
                <w:color w:val="auto"/>
                <w:sz w:val="24"/>
                <w:szCs w:val="32"/>
                <w:highlight w:val="none"/>
                <w:lang w:val="en-US" w:eastAsia="zh-CN"/>
              </w:rPr>
              <w:t>地下水环境</w:t>
            </w:r>
          </w:p>
          <w:p w14:paraId="30AE5CB0">
            <w:pPr>
              <w:pStyle w:val="42"/>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本项目</w:t>
            </w:r>
            <w:r>
              <w:rPr>
                <w:rFonts w:hint="eastAsia" w:ascii="Times New Roman" w:hAnsi="Times New Roman" w:eastAsia="仿宋_GB2312" w:cs="Times New Roman"/>
                <w:b w:val="0"/>
                <w:bCs w:val="0"/>
                <w:color w:val="auto"/>
                <w:sz w:val="24"/>
                <w:szCs w:val="24"/>
                <w:lang w:val="en-US" w:eastAsia="zh-CN"/>
              </w:rPr>
              <w:t>周边</w:t>
            </w:r>
            <w:r>
              <w:rPr>
                <w:rFonts w:hint="default" w:ascii="Times New Roman" w:hAnsi="Times New Roman" w:eastAsia="仿宋_GB2312" w:cs="Times New Roman"/>
                <w:b w:val="0"/>
                <w:bCs w:val="0"/>
                <w:color w:val="auto"/>
                <w:sz w:val="24"/>
                <w:szCs w:val="24"/>
                <w:lang w:val="en-US" w:eastAsia="zh-CN"/>
              </w:rPr>
              <w:t>无地下水环境保护目标。</w:t>
            </w:r>
          </w:p>
          <w:p w14:paraId="2EC8E2AF">
            <w:pPr>
              <w:keepNext w:val="0"/>
              <w:keepLines w:val="0"/>
              <w:pageBreakBefore w:val="0"/>
              <w:widowControl w:val="0"/>
              <w:kinsoku/>
              <w:wordWrap/>
              <w:overflowPunct/>
              <w:topLinePunct w:val="0"/>
              <w:autoSpaceDE/>
              <w:autoSpaceDN/>
              <w:bidi w:val="0"/>
              <w:adjustRightInd w:val="0"/>
              <w:snapToGrid/>
              <w:spacing w:line="360" w:lineRule="auto"/>
              <w:ind w:right="0"/>
              <w:jc w:val="left"/>
              <w:textAlignment w:val="auto"/>
              <w:rPr>
                <w:rFonts w:hint="default" w:ascii="Times New Roman" w:hAnsi="Times New Roman" w:eastAsia="仿宋_GB2312" w:cs="Times New Roman"/>
                <w:color w:val="auto"/>
                <w:kern w:val="0"/>
                <w:sz w:val="24"/>
                <w:highlight w:val="none"/>
              </w:rPr>
            </w:pPr>
          </w:p>
        </w:tc>
      </w:tr>
      <w:tr w14:paraId="2560F57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157" w:hRule="atLeast"/>
          <w:jc w:val="center"/>
        </w:trPr>
        <w:tc>
          <w:tcPr>
            <w:tcW w:w="532" w:type="dxa"/>
            <w:tcBorders>
              <w:tl2br w:val="nil"/>
              <w:tr2bl w:val="nil"/>
            </w:tcBorders>
            <w:tcMar>
              <w:left w:w="28" w:type="dxa"/>
              <w:right w:w="28" w:type="dxa"/>
            </w:tcMar>
            <w:vAlign w:val="center"/>
          </w:tcPr>
          <w:p w14:paraId="591A0294">
            <w:pPr>
              <w:adjustRightInd w:val="0"/>
              <w:snapToGrid w:val="0"/>
              <w:jc w:val="center"/>
              <w:rPr>
                <w:rFonts w:hint="default" w:ascii="Times New Roman" w:hAnsi="Times New Roman" w:eastAsia="仿宋_GB2312" w:cs="Times New Roman"/>
                <w:b/>
                <w:bCs/>
                <w:color w:val="auto"/>
                <w:kern w:val="0"/>
                <w:sz w:val="24"/>
                <w:highlight w:val="none"/>
                <w:lang w:eastAsia="zh-CN"/>
              </w:rPr>
            </w:pPr>
          </w:p>
          <w:p w14:paraId="50A0FE04">
            <w:pPr>
              <w:adjustRightInd w:val="0"/>
              <w:snapToGrid w:val="0"/>
              <w:jc w:val="center"/>
              <w:rPr>
                <w:rFonts w:hint="default" w:ascii="Times New Roman" w:hAnsi="Times New Roman" w:eastAsia="仿宋_GB2312" w:cs="Times New Roman"/>
                <w:b/>
                <w:bCs/>
                <w:color w:val="auto"/>
                <w:kern w:val="0"/>
                <w:sz w:val="24"/>
                <w:highlight w:val="none"/>
                <w:lang w:eastAsia="zh-CN"/>
              </w:rPr>
            </w:pPr>
          </w:p>
          <w:p w14:paraId="264EE106">
            <w:pPr>
              <w:adjustRightInd w:val="0"/>
              <w:snapToGrid w:val="0"/>
              <w:jc w:val="center"/>
              <w:rPr>
                <w:rFonts w:hint="default" w:ascii="Times New Roman" w:hAnsi="Times New Roman" w:eastAsia="仿宋_GB2312" w:cs="Times New Roman"/>
                <w:b/>
                <w:bCs/>
                <w:color w:val="auto"/>
                <w:kern w:val="0"/>
                <w:sz w:val="24"/>
                <w:highlight w:val="none"/>
                <w:lang w:eastAsia="zh-CN"/>
              </w:rPr>
            </w:pPr>
          </w:p>
          <w:p w14:paraId="1C14CC6E">
            <w:pPr>
              <w:adjustRightInd w:val="0"/>
              <w:snapToGrid w:val="0"/>
              <w:jc w:val="center"/>
              <w:rPr>
                <w:rFonts w:hint="default" w:ascii="Times New Roman" w:hAnsi="Times New Roman" w:eastAsia="仿宋_GB2312" w:cs="Times New Roman"/>
                <w:b/>
                <w:bCs/>
                <w:color w:val="auto"/>
                <w:kern w:val="0"/>
                <w:sz w:val="24"/>
                <w:highlight w:val="none"/>
                <w:lang w:eastAsia="zh-CN"/>
              </w:rPr>
            </w:pPr>
          </w:p>
          <w:p w14:paraId="0CCC8547">
            <w:pPr>
              <w:adjustRightInd w:val="0"/>
              <w:snapToGrid w:val="0"/>
              <w:jc w:val="center"/>
              <w:rPr>
                <w:rFonts w:hint="default" w:ascii="Times New Roman" w:hAnsi="Times New Roman" w:eastAsia="仿宋_GB2312" w:cs="Times New Roman"/>
                <w:b/>
                <w:bCs/>
                <w:color w:val="auto"/>
                <w:kern w:val="0"/>
                <w:sz w:val="24"/>
                <w:highlight w:val="none"/>
                <w:lang w:eastAsia="zh-CN"/>
              </w:rPr>
            </w:pPr>
          </w:p>
          <w:p w14:paraId="41D16289">
            <w:pPr>
              <w:adjustRightInd w:val="0"/>
              <w:snapToGrid w:val="0"/>
              <w:jc w:val="center"/>
              <w:rPr>
                <w:rFonts w:hint="default" w:ascii="Times New Roman" w:hAnsi="Times New Roman" w:eastAsia="仿宋_GB2312" w:cs="Times New Roman"/>
                <w:b/>
                <w:bCs/>
                <w:color w:val="auto"/>
                <w:kern w:val="0"/>
                <w:sz w:val="24"/>
                <w:highlight w:val="none"/>
                <w:lang w:eastAsia="zh-CN"/>
              </w:rPr>
            </w:pPr>
          </w:p>
          <w:p w14:paraId="518F4575">
            <w:pPr>
              <w:adjustRightInd w:val="0"/>
              <w:snapToGrid w:val="0"/>
              <w:jc w:val="center"/>
              <w:rPr>
                <w:rFonts w:hint="default" w:ascii="Times New Roman" w:hAnsi="Times New Roman" w:eastAsia="仿宋_GB2312" w:cs="Times New Roman"/>
                <w:b/>
                <w:bCs/>
                <w:color w:val="auto"/>
                <w:kern w:val="0"/>
                <w:sz w:val="24"/>
                <w:highlight w:val="none"/>
                <w:lang w:eastAsia="zh-CN"/>
              </w:rPr>
            </w:pPr>
          </w:p>
          <w:p w14:paraId="4AFBFADA">
            <w:pPr>
              <w:adjustRightInd w:val="0"/>
              <w:snapToGrid w:val="0"/>
              <w:jc w:val="center"/>
              <w:rPr>
                <w:rFonts w:hint="default" w:ascii="Times New Roman" w:hAnsi="Times New Roman" w:eastAsia="仿宋_GB2312" w:cs="Times New Roman"/>
                <w:b/>
                <w:bCs/>
                <w:color w:val="auto"/>
                <w:kern w:val="0"/>
                <w:sz w:val="24"/>
                <w:highlight w:val="none"/>
                <w:lang w:eastAsia="zh-CN"/>
              </w:rPr>
            </w:pPr>
          </w:p>
          <w:p w14:paraId="4AAEBA0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1A19F29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6F2DB84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00A9013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6C531C5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42121F0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685F9D0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463F220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62885C8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35A574B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26CDC04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5067FC8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0C79FED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19F19C3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r>
              <w:rPr>
                <w:rFonts w:hint="default" w:ascii="Times New Roman" w:hAnsi="Times New Roman" w:eastAsia="仿宋_GB2312" w:cs="Times New Roman"/>
                <w:b/>
                <w:bCs/>
                <w:color w:val="auto"/>
                <w:kern w:val="0"/>
                <w:sz w:val="24"/>
                <w:highlight w:val="none"/>
                <w:lang w:eastAsia="zh-CN"/>
              </w:rPr>
              <w:t>评价标准</w:t>
            </w:r>
          </w:p>
          <w:p w14:paraId="5B79B1FB">
            <w:pPr>
              <w:pStyle w:val="9"/>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01F52C58">
            <w:pPr>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177B5380">
            <w:pPr>
              <w:pStyle w:val="9"/>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4F72B829">
            <w:pPr>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7A0EA610">
            <w:pPr>
              <w:pStyle w:val="9"/>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1F5588D9">
            <w:pPr>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6BA390D0">
            <w:pPr>
              <w:pStyle w:val="9"/>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64D7B66F">
            <w:pPr>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68A64D92">
            <w:pPr>
              <w:pStyle w:val="9"/>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2451BF6C">
            <w:pPr>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6A6BA516">
            <w:pPr>
              <w:pStyle w:val="9"/>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2529A382">
            <w:pPr>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33F5AC55">
            <w:pPr>
              <w:pStyle w:val="9"/>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3B4FA4FE">
            <w:pPr>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06A91478">
            <w:pPr>
              <w:pStyle w:val="9"/>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4ECAF617">
            <w:pPr>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4B974092">
            <w:pPr>
              <w:pStyle w:val="9"/>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72BE0A7F">
            <w:pPr>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10BE424F">
            <w:pPr>
              <w:pStyle w:val="9"/>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11A9DB59">
            <w:pPr>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0916AF08">
            <w:pPr>
              <w:pStyle w:val="9"/>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11581508">
            <w:pPr>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57704C47">
            <w:pPr>
              <w:pStyle w:val="42"/>
              <w:rPr>
                <w:rFonts w:hint="default" w:ascii="Times New Roman" w:hAnsi="Times New Roman" w:eastAsia="仿宋_GB2312" w:cs="Times New Roman"/>
                <w:b/>
                <w:bCs/>
                <w:color w:val="auto"/>
                <w:kern w:val="0"/>
                <w:sz w:val="24"/>
                <w:highlight w:val="none"/>
                <w:lang w:eastAsia="zh-CN"/>
              </w:rPr>
            </w:pPr>
          </w:p>
          <w:p w14:paraId="081FA09C">
            <w:pPr>
              <w:rPr>
                <w:rFonts w:hint="default" w:ascii="Times New Roman" w:hAnsi="Times New Roman" w:eastAsia="仿宋_GB2312" w:cs="Times New Roman"/>
                <w:b/>
                <w:bCs/>
                <w:color w:val="auto"/>
                <w:kern w:val="0"/>
                <w:sz w:val="24"/>
                <w:highlight w:val="none"/>
                <w:lang w:eastAsia="zh-CN"/>
              </w:rPr>
            </w:pPr>
          </w:p>
          <w:p w14:paraId="0C01004C">
            <w:pPr>
              <w:pStyle w:val="42"/>
              <w:rPr>
                <w:rFonts w:hint="default" w:ascii="Times New Roman" w:hAnsi="Times New Roman" w:eastAsia="仿宋_GB2312" w:cs="Times New Roman"/>
                <w:b/>
                <w:bCs/>
                <w:color w:val="auto"/>
                <w:kern w:val="0"/>
                <w:sz w:val="24"/>
                <w:highlight w:val="none"/>
                <w:lang w:eastAsia="zh-CN"/>
              </w:rPr>
            </w:pPr>
          </w:p>
          <w:p w14:paraId="67A8CBC6">
            <w:pPr>
              <w:rPr>
                <w:rFonts w:hint="default" w:ascii="Times New Roman" w:hAnsi="Times New Roman" w:eastAsia="仿宋_GB2312" w:cs="Times New Roman"/>
                <w:b/>
                <w:bCs/>
                <w:color w:val="auto"/>
                <w:kern w:val="0"/>
                <w:sz w:val="24"/>
                <w:highlight w:val="none"/>
                <w:lang w:eastAsia="zh-CN"/>
              </w:rPr>
            </w:pPr>
          </w:p>
          <w:p w14:paraId="446F7FFA">
            <w:pPr>
              <w:pStyle w:val="42"/>
              <w:rPr>
                <w:rFonts w:hint="default" w:ascii="Times New Roman" w:hAnsi="Times New Roman" w:eastAsia="仿宋_GB2312" w:cs="Times New Roman"/>
                <w:b/>
                <w:bCs/>
                <w:color w:val="auto"/>
                <w:kern w:val="0"/>
                <w:sz w:val="24"/>
                <w:highlight w:val="none"/>
                <w:lang w:eastAsia="zh-CN"/>
              </w:rPr>
            </w:pPr>
          </w:p>
          <w:p w14:paraId="19E75DB7">
            <w:pPr>
              <w:rPr>
                <w:rFonts w:hint="default" w:ascii="Times New Roman" w:hAnsi="Times New Roman" w:eastAsia="仿宋_GB2312" w:cs="Times New Roman"/>
                <w:b/>
                <w:bCs/>
                <w:color w:val="auto"/>
                <w:kern w:val="0"/>
                <w:sz w:val="24"/>
                <w:highlight w:val="none"/>
                <w:lang w:eastAsia="zh-CN"/>
              </w:rPr>
            </w:pPr>
          </w:p>
          <w:p w14:paraId="26984328">
            <w:pPr>
              <w:pStyle w:val="42"/>
              <w:rPr>
                <w:rFonts w:hint="default" w:ascii="Times New Roman" w:hAnsi="Times New Roman" w:eastAsia="仿宋_GB2312" w:cs="Times New Roman"/>
                <w:b/>
                <w:bCs/>
                <w:color w:val="auto"/>
                <w:kern w:val="0"/>
                <w:sz w:val="24"/>
                <w:highlight w:val="none"/>
                <w:lang w:eastAsia="zh-CN"/>
              </w:rPr>
            </w:pPr>
          </w:p>
          <w:p w14:paraId="337DADFA">
            <w:pPr>
              <w:rPr>
                <w:rFonts w:hint="default" w:ascii="Times New Roman" w:hAnsi="Times New Roman" w:eastAsia="仿宋_GB2312" w:cs="Times New Roman"/>
                <w:b/>
                <w:bCs/>
                <w:color w:val="auto"/>
                <w:kern w:val="0"/>
                <w:sz w:val="24"/>
                <w:highlight w:val="none"/>
                <w:lang w:eastAsia="zh-CN"/>
              </w:rPr>
            </w:pPr>
          </w:p>
          <w:p w14:paraId="0E968F73">
            <w:pPr>
              <w:pStyle w:val="42"/>
              <w:rPr>
                <w:rFonts w:hint="default" w:ascii="Times New Roman" w:hAnsi="Times New Roman" w:eastAsia="仿宋_GB2312" w:cs="Times New Roman"/>
                <w:b/>
                <w:bCs/>
                <w:color w:val="auto"/>
                <w:kern w:val="0"/>
                <w:sz w:val="24"/>
                <w:highlight w:val="none"/>
                <w:lang w:eastAsia="zh-CN"/>
              </w:rPr>
            </w:pPr>
          </w:p>
          <w:p w14:paraId="6E6E4794">
            <w:pPr>
              <w:rPr>
                <w:rFonts w:hint="default" w:ascii="Times New Roman" w:hAnsi="Times New Roman" w:eastAsia="仿宋_GB2312" w:cs="Times New Roman"/>
                <w:b/>
                <w:bCs/>
                <w:color w:val="auto"/>
                <w:kern w:val="0"/>
                <w:sz w:val="24"/>
                <w:highlight w:val="none"/>
                <w:lang w:eastAsia="zh-CN"/>
              </w:rPr>
            </w:pPr>
          </w:p>
          <w:p w14:paraId="1464B826">
            <w:pPr>
              <w:pStyle w:val="42"/>
              <w:rPr>
                <w:rFonts w:hint="default" w:ascii="Times New Roman" w:hAnsi="Times New Roman" w:eastAsia="仿宋_GB2312" w:cs="Times New Roman"/>
                <w:b/>
                <w:bCs/>
                <w:color w:val="auto"/>
                <w:kern w:val="0"/>
                <w:sz w:val="24"/>
                <w:highlight w:val="none"/>
                <w:lang w:eastAsia="zh-CN"/>
              </w:rPr>
            </w:pPr>
          </w:p>
          <w:p w14:paraId="609998B9">
            <w:pPr>
              <w:rPr>
                <w:rFonts w:hint="default" w:ascii="Times New Roman" w:hAnsi="Times New Roman" w:eastAsia="仿宋_GB2312" w:cs="Times New Roman"/>
                <w:b/>
                <w:bCs/>
                <w:color w:val="auto"/>
                <w:kern w:val="0"/>
                <w:sz w:val="24"/>
                <w:highlight w:val="none"/>
                <w:lang w:eastAsia="zh-CN"/>
              </w:rPr>
            </w:pPr>
          </w:p>
          <w:p w14:paraId="0A9757D4">
            <w:pPr>
              <w:pStyle w:val="42"/>
              <w:rPr>
                <w:rFonts w:hint="default" w:ascii="Times New Roman" w:hAnsi="Times New Roman" w:eastAsia="仿宋_GB2312" w:cs="Times New Roman"/>
                <w:b/>
                <w:bCs/>
                <w:color w:val="auto"/>
                <w:kern w:val="0"/>
                <w:sz w:val="24"/>
                <w:highlight w:val="none"/>
                <w:lang w:eastAsia="zh-CN"/>
              </w:rPr>
            </w:pPr>
          </w:p>
          <w:p w14:paraId="5A832281">
            <w:pPr>
              <w:rPr>
                <w:rFonts w:hint="default" w:ascii="Times New Roman" w:hAnsi="Times New Roman" w:eastAsia="仿宋_GB2312" w:cs="Times New Roman"/>
                <w:b/>
                <w:bCs/>
                <w:color w:val="auto"/>
                <w:kern w:val="0"/>
                <w:sz w:val="24"/>
                <w:highlight w:val="none"/>
                <w:lang w:eastAsia="zh-CN"/>
              </w:rPr>
            </w:pPr>
          </w:p>
          <w:p w14:paraId="0C738456">
            <w:pPr>
              <w:pStyle w:val="42"/>
              <w:rPr>
                <w:rFonts w:hint="default" w:ascii="Times New Roman" w:hAnsi="Times New Roman" w:eastAsia="仿宋_GB2312" w:cs="Times New Roman"/>
                <w:b/>
                <w:bCs/>
                <w:color w:val="auto"/>
                <w:kern w:val="0"/>
                <w:sz w:val="24"/>
                <w:highlight w:val="none"/>
                <w:lang w:eastAsia="zh-CN"/>
              </w:rPr>
            </w:pPr>
          </w:p>
          <w:p w14:paraId="0320DAA9">
            <w:pPr>
              <w:rPr>
                <w:rFonts w:hint="default" w:ascii="Times New Roman" w:hAnsi="Times New Roman" w:eastAsia="仿宋_GB2312" w:cs="Times New Roman"/>
                <w:b/>
                <w:bCs/>
                <w:color w:val="auto"/>
                <w:kern w:val="0"/>
                <w:sz w:val="24"/>
                <w:highlight w:val="none"/>
                <w:lang w:eastAsia="zh-CN"/>
              </w:rPr>
            </w:pPr>
          </w:p>
          <w:p w14:paraId="31B8D9B8">
            <w:pPr>
              <w:pStyle w:val="42"/>
              <w:rPr>
                <w:rFonts w:hint="default" w:ascii="Times New Roman" w:hAnsi="Times New Roman" w:eastAsia="仿宋_GB2312" w:cs="Times New Roman"/>
                <w:b/>
                <w:bCs/>
                <w:color w:val="auto"/>
                <w:kern w:val="0"/>
                <w:sz w:val="24"/>
                <w:highlight w:val="none"/>
                <w:lang w:eastAsia="zh-CN"/>
              </w:rPr>
            </w:pPr>
          </w:p>
          <w:p w14:paraId="54F5C215">
            <w:pPr>
              <w:rPr>
                <w:rFonts w:hint="default" w:ascii="Times New Roman" w:hAnsi="Times New Roman" w:eastAsia="仿宋_GB2312" w:cs="Times New Roman"/>
                <w:b/>
                <w:bCs/>
                <w:color w:val="auto"/>
                <w:kern w:val="0"/>
                <w:sz w:val="24"/>
                <w:highlight w:val="none"/>
                <w:lang w:eastAsia="zh-CN"/>
              </w:rPr>
            </w:pPr>
          </w:p>
          <w:p w14:paraId="655A6521">
            <w:pPr>
              <w:pStyle w:val="42"/>
              <w:rPr>
                <w:rFonts w:hint="default"/>
                <w:color w:val="auto"/>
                <w:highlight w:val="none"/>
                <w:lang w:eastAsia="zh-CN"/>
              </w:rPr>
            </w:pPr>
          </w:p>
          <w:p w14:paraId="0092FFBE">
            <w:pPr>
              <w:pStyle w:val="9"/>
              <w:keepNext w:val="0"/>
              <w:keepLines w:val="0"/>
              <w:pageBreakBefore w:val="0"/>
              <w:widowControl w:val="0"/>
              <w:kinsoku/>
              <w:wordWrap/>
              <w:overflowPunct/>
              <w:topLinePunct w:val="0"/>
              <w:autoSpaceDE/>
              <w:autoSpaceDN/>
              <w:bidi w:val="0"/>
              <w:spacing w:line="240" w:lineRule="auto"/>
              <w:ind w:left="0"/>
              <w:jc w:val="both"/>
              <w:textAlignment w:val="auto"/>
              <w:rPr>
                <w:rFonts w:hint="default" w:ascii="Times New Roman" w:hAnsi="Times New Roman" w:eastAsia="仿宋_GB2312" w:cs="Times New Roman"/>
                <w:b/>
                <w:bCs/>
                <w:color w:val="auto"/>
                <w:kern w:val="0"/>
                <w:sz w:val="24"/>
                <w:highlight w:val="none"/>
                <w:lang w:eastAsia="zh-CN"/>
              </w:rPr>
            </w:pPr>
          </w:p>
          <w:p w14:paraId="1D5055E7">
            <w:pPr>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eastAsia="仿宋_GB2312" w:cs="Times New Roman"/>
                <w:b/>
                <w:bCs/>
                <w:color w:val="auto"/>
                <w:kern w:val="0"/>
                <w:sz w:val="24"/>
                <w:highlight w:val="none"/>
                <w:lang w:eastAsia="zh-CN"/>
              </w:rPr>
            </w:pPr>
          </w:p>
          <w:p w14:paraId="1F2228B3">
            <w:pPr>
              <w:rPr>
                <w:rFonts w:hint="default"/>
                <w:color w:val="auto"/>
                <w:highlight w:val="none"/>
                <w:lang w:eastAsia="zh-CN"/>
              </w:rPr>
            </w:pPr>
          </w:p>
        </w:tc>
        <w:tc>
          <w:tcPr>
            <w:tcW w:w="8669" w:type="dxa"/>
            <w:tcBorders>
              <w:tl2br w:val="nil"/>
              <w:tr2bl w:val="nil"/>
            </w:tcBorders>
          </w:tcPr>
          <w:p w14:paraId="3F082DB6">
            <w:pPr>
              <w:adjustRightInd w:val="0"/>
              <w:spacing w:line="360" w:lineRule="auto"/>
              <w:rPr>
                <w:rFonts w:hint="default" w:ascii="Times New Roman" w:hAnsi="Times New Roman" w:eastAsia="仿宋_GB2312" w:cs="Times New Roman"/>
                <w:b/>
                <w:bCs/>
                <w:color w:val="auto"/>
                <w:kern w:val="0"/>
                <w:sz w:val="24"/>
                <w:highlight w:val="none"/>
                <w:lang w:val="en-US" w:eastAsia="zh-CN"/>
              </w:rPr>
            </w:pPr>
            <w:r>
              <w:rPr>
                <w:rFonts w:hint="eastAsia" w:eastAsia="仿宋_GB2312" w:cs="Times New Roman"/>
                <w:b/>
                <w:bCs/>
                <w:color w:val="auto"/>
                <w:kern w:val="0"/>
                <w:sz w:val="24"/>
                <w:highlight w:val="none"/>
                <w:lang w:val="en-US" w:eastAsia="zh-CN"/>
              </w:rPr>
              <w:t>1.</w:t>
            </w:r>
            <w:r>
              <w:rPr>
                <w:rFonts w:hint="default" w:ascii="Times New Roman" w:hAnsi="Times New Roman" w:eastAsia="仿宋_GB2312" w:cs="Times New Roman"/>
                <w:b/>
                <w:bCs/>
                <w:color w:val="auto"/>
                <w:kern w:val="0"/>
                <w:sz w:val="24"/>
                <w:highlight w:val="none"/>
                <w:lang w:val="en-US" w:eastAsia="zh-CN"/>
              </w:rPr>
              <w:t>环境质量标准</w:t>
            </w:r>
          </w:p>
          <w:p w14:paraId="44DA2B39">
            <w:pPr>
              <w:adjustRightInd w:val="0"/>
              <w:spacing w:line="360" w:lineRule="auto"/>
              <w:ind w:firstLine="480" w:firstLineChars="200"/>
              <w:jc w:val="left"/>
              <w:rPr>
                <w:rFonts w:hint="default" w:eastAsia="仿宋_GB2312" w:cs="Times New Roman"/>
                <w:color w:val="auto"/>
                <w:sz w:val="24"/>
                <w:szCs w:val="32"/>
                <w:highlight w:val="none"/>
                <w:lang w:val="en-US" w:eastAsia="zh-CN"/>
              </w:rPr>
            </w:pPr>
            <w:r>
              <w:rPr>
                <w:rFonts w:hint="default" w:eastAsia="仿宋_GB2312" w:cs="Times New Roman"/>
                <w:color w:val="auto"/>
                <w:sz w:val="24"/>
                <w:szCs w:val="32"/>
                <w:highlight w:val="none"/>
                <w:lang w:eastAsia="zh-CN"/>
              </w:rPr>
              <w:t>评价区环境空气质量执行《环境空气质量标准》（GB3095-2012</w:t>
            </w:r>
            <w:r>
              <w:rPr>
                <w:rFonts w:hint="default" w:eastAsia="仿宋_GB2312" w:cs="Times New Roman"/>
                <w:color w:val="auto"/>
                <w:sz w:val="24"/>
                <w:szCs w:val="32"/>
                <w:highlight w:val="none"/>
                <w:lang w:val="en-US" w:eastAsia="zh-CN"/>
              </w:rPr>
              <w:t>及2018修改单</w:t>
            </w:r>
            <w:r>
              <w:rPr>
                <w:rFonts w:hint="default" w:eastAsia="仿宋_GB2312" w:cs="Times New Roman"/>
                <w:color w:val="auto"/>
                <w:sz w:val="24"/>
                <w:szCs w:val="32"/>
                <w:highlight w:val="none"/>
                <w:lang w:eastAsia="zh-CN"/>
              </w:rPr>
              <w:t>）中二级标准</w:t>
            </w:r>
            <w:r>
              <w:rPr>
                <w:rFonts w:hint="eastAsia" w:eastAsia="仿宋_GB2312" w:cs="Times New Roman"/>
                <w:color w:val="auto"/>
                <w:sz w:val="24"/>
                <w:szCs w:val="32"/>
                <w:highlight w:val="none"/>
                <w:lang w:eastAsia="zh-CN"/>
              </w:rPr>
              <w:t>，</w:t>
            </w:r>
            <w:r>
              <w:rPr>
                <w:rFonts w:hint="default" w:eastAsia="仿宋_GB2312" w:cs="Times New Roman"/>
                <w:color w:val="auto"/>
                <w:sz w:val="24"/>
                <w:szCs w:val="32"/>
                <w:highlight w:val="none"/>
                <w:lang w:eastAsia="zh-CN"/>
              </w:rPr>
              <w:t>具体标准详见下表</w:t>
            </w:r>
            <w:r>
              <w:rPr>
                <w:rFonts w:hint="eastAsia" w:eastAsia="仿宋_GB2312" w:cs="Times New Roman"/>
                <w:color w:val="auto"/>
                <w:sz w:val="24"/>
                <w:szCs w:val="32"/>
                <w:highlight w:val="none"/>
                <w:lang w:eastAsia="zh-CN"/>
              </w:rPr>
              <w:t>：</w:t>
            </w:r>
          </w:p>
          <w:p w14:paraId="10657FEF">
            <w:pPr>
              <w:pStyle w:val="17"/>
              <w:adjustRightInd w:val="0"/>
              <w:snapToGrid w:val="0"/>
              <w:ind w:firstLine="42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表</w:t>
            </w:r>
            <w:r>
              <w:rPr>
                <w:rFonts w:hint="eastAsia" w:ascii="Times New Roman" w:hAnsi="Times New Roman" w:cs="Times New Roman"/>
                <w:b w:val="0"/>
                <w:bCs w:val="0"/>
                <w:color w:val="auto"/>
                <w:kern w:val="0"/>
                <w:sz w:val="21"/>
                <w:szCs w:val="21"/>
                <w:highlight w:val="none"/>
                <w:lang w:val="en-US" w:eastAsia="zh-CN" w:bidi="ar-SA"/>
              </w:rPr>
              <w:t>18</w:t>
            </w:r>
            <w:r>
              <w:rPr>
                <w:rFonts w:hint="default" w:ascii="Times New Roman" w:hAnsi="Times New Roman" w:eastAsia="宋体" w:cs="Times New Roman"/>
                <w:b w:val="0"/>
                <w:bCs w:val="0"/>
                <w:color w:val="auto"/>
                <w:kern w:val="0"/>
                <w:sz w:val="21"/>
                <w:szCs w:val="21"/>
                <w:highlight w:val="none"/>
                <w:lang w:val="en-US" w:eastAsia="zh-CN" w:bidi="ar-SA"/>
              </w:rPr>
              <w:t xml:space="preserve">  </w:t>
            </w:r>
            <w:r>
              <w:rPr>
                <w:rFonts w:hint="eastAsia" w:ascii="Times New Roman" w:hAnsi="Times New Roman" w:eastAsia="宋体" w:cs="Times New Roman"/>
                <w:b w:val="0"/>
                <w:bCs w:val="0"/>
                <w:color w:val="auto"/>
                <w:kern w:val="0"/>
                <w:sz w:val="21"/>
                <w:szCs w:val="21"/>
                <w:highlight w:val="none"/>
                <w:lang w:val="en-US" w:eastAsia="zh-CN" w:bidi="ar-SA"/>
              </w:rPr>
              <w:t xml:space="preserve">  </w:t>
            </w:r>
            <w:r>
              <w:rPr>
                <w:rFonts w:hint="default" w:ascii="Times New Roman" w:hAnsi="Times New Roman" w:eastAsia="宋体" w:cs="Times New Roman"/>
                <w:b/>
                <w:bCs/>
                <w:color w:val="auto"/>
                <w:kern w:val="0"/>
                <w:sz w:val="24"/>
                <w:szCs w:val="24"/>
                <w:highlight w:val="none"/>
                <w:lang w:val="en-US" w:eastAsia="zh-CN" w:bidi="ar-SA"/>
              </w:rPr>
              <w:t>《环境空气质量标准》及2018年修改单中二级标准</w:t>
            </w:r>
          </w:p>
          <w:tbl>
            <w:tblPr>
              <w:tblStyle w:val="33"/>
              <w:tblpPr w:leftFromText="180" w:rightFromText="180" w:vertAnchor="text" w:tblpXSpec="center"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626"/>
              <w:gridCol w:w="2274"/>
              <w:gridCol w:w="1721"/>
              <w:gridCol w:w="2017"/>
            </w:tblGrid>
            <w:tr w14:paraId="22D05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45" w:type="dxa"/>
                  <w:noWrap w:val="0"/>
                  <w:vAlign w:val="center"/>
                </w:tcPr>
                <w:p w14:paraId="5926F66A">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545" w:type="dxa"/>
                  <w:noWrap w:val="0"/>
                  <w:vAlign w:val="center"/>
                </w:tcPr>
                <w:p w14:paraId="364A2A32">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污染物名称</w:t>
                  </w:r>
                </w:p>
              </w:tc>
              <w:tc>
                <w:tcPr>
                  <w:tcW w:w="2160" w:type="dxa"/>
                  <w:noWrap w:val="0"/>
                  <w:vAlign w:val="center"/>
                </w:tcPr>
                <w:p w14:paraId="11DBADB5">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小时平均（μg/m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1635" w:type="dxa"/>
                  <w:noWrap w:val="0"/>
                  <w:vAlign w:val="center"/>
                </w:tcPr>
                <w:p w14:paraId="3794681D">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24小时平均（μg/m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1916" w:type="dxa"/>
                  <w:noWrap w:val="0"/>
                  <w:vAlign w:val="center"/>
                </w:tcPr>
                <w:p w14:paraId="7796385F">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年均值（μg/m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r>
            <w:tr w14:paraId="0D1C4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noWrap w:val="0"/>
                  <w:vAlign w:val="center"/>
                </w:tcPr>
                <w:p w14:paraId="245D9B30">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1</w:t>
                  </w:r>
                </w:p>
              </w:tc>
              <w:tc>
                <w:tcPr>
                  <w:tcW w:w="1545" w:type="dxa"/>
                  <w:noWrap w:val="0"/>
                  <w:vAlign w:val="center"/>
                </w:tcPr>
                <w:p w14:paraId="60F9330E">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p>
              </w:tc>
              <w:tc>
                <w:tcPr>
                  <w:tcW w:w="2160" w:type="dxa"/>
                  <w:noWrap w:val="0"/>
                  <w:vAlign w:val="center"/>
                </w:tcPr>
                <w:p w14:paraId="4976D87D">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635" w:type="dxa"/>
                  <w:noWrap w:val="0"/>
                  <w:vAlign w:val="center"/>
                </w:tcPr>
                <w:p w14:paraId="28EC6CE2">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916" w:type="dxa"/>
                  <w:noWrap w:val="0"/>
                  <w:vAlign w:val="center"/>
                </w:tcPr>
                <w:p w14:paraId="15516F17">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r>
            <w:tr w14:paraId="3178E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noWrap w:val="0"/>
                  <w:vAlign w:val="center"/>
                </w:tcPr>
                <w:p w14:paraId="27D7B030">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2</w:t>
                  </w:r>
                </w:p>
              </w:tc>
              <w:tc>
                <w:tcPr>
                  <w:tcW w:w="1545" w:type="dxa"/>
                  <w:noWrap w:val="0"/>
                  <w:vAlign w:val="center"/>
                </w:tcPr>
                <w:p w14:paraId="61A636F6">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p>
              </w:tc>
              <w:tc>
                <w:tcPr>
                  <w:tcW w:w="2160" w:type="dxa"/>
                  <w:noWrap w:val="0"/>
                  <w:vAlign w:val="center"/>
                </w:tcPr>
                <w:p w14:paraId="657D3FC6">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w:t>
                  </w:r>
                </w:p>
              </w:tc>
              <w:tc>
                <w:tcPr>
                  <w:tcW w:w="1635" w:type="dxa"/>
                  <w:noWrap w:val="0"/>
                  <w:vAlign w:val="center"/>
                </w:tcPr>
                <w:p w14:paraId="7F56A941">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916" w:type="dxa"/>
                  <w:noWrap w:val="0"/>
                  <w:vAlign w:val="center"/>
                </w:tcPr>
                <w:p w14:paraId="0A15AEAE">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r>
            <w:tr w14:paraId="2EFC1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noWrap w:val="0"/>
                  <w:vAlign w:val="center"/>
                </w:tcPr>
                <w:p w14:paraId="4A3F4F62">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3</w:t>
                  </w:r>
                </w:p>
              </w:tc>
              <w:tc>
                <w:tcPr>
                  <w:tcW w:w="1545" w:type="dxa"/>
                  <w:noWrap w:val="0"/>
                  <w:vAlign w:val="center"/>
                </w:tcPr>
                <w:p w14:paraId="7F5898B9">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2</w:t>
                  </w:r>
                </w:p>
              </w:tc>
              <w:tc>
                <w:tcPr>
                  <w:tcW w:w="2160" w:type="dxa"/>
                  <w:noWrap w:val="0"/>
                  <w:vAlign w:val="center"/>
                </w:tcPr>
                <w:p w14:paraId="7428F0A0">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635" w:type="dxa"/>
                  <w:noWrap w:val="0"/>
                  <w:vAlign w:val="center"/>
                </w:tcPr>
                <w:p w14:paraId="195C9B99">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w:t>
                  </w:r>
                </w:p>
              </w:tc>
              <w:tc>
                <w:tcPr>
                  <w:tcW w:w="1916" w:type="dxa"/>
                  <w:noWrap w:val="0"/>
                  <w:vAlign w:val="center"/>
                </w:tcPr>
                <w:p w14:paraId="34EE7298">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r>
            <w:tr w14:paraId="2031E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noWrap w:val="0"/>
                  <w:vAlign w:val="center"/>
                </w:tcPr>
                <w:p w14:paraId="6C753B65">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4</w:t>
                  </w:r>
                </w:p>
              </w:tc>
              <w:tc>
                <w:tcPr>
                  <w:tcW w:w="1545" w:type="dxa"/>
                  <w:noWrap w:val="0"/>
                  <w:vAlign w:val="center"/>
                </w:tcPr>
                <w:p w14:paraId="2F4DF820">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2.5</w:t>
                  </w:r>
                </w:p>
              </w:tc>
              <w:tc>
                <w:tcPr>
                  <w:tcW w:w="2160" w:type="dxa"/>
                  <w:noWrap w:val="0"/>
                  <w:vAlign w:val="center"/>
                </w:tcPr>
                <w:p w14:paraId="532F800E">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635" w:type="dxa"/>
                  <w:noWrap w:val="0"/>
                  <w:vAlign w:val="center"/>
                </w:tcPr>
                <w:p w14:paraId="1308AB68">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w:t>
                  </w:r>
                </w:p>
              </w:tc>
              <w:tc>
                <w:tcPr>
                  <w:tcW w:w="1916" w:type="dxa"/>
                  <w:noWrap w:val="0"/>
                  <w:vAlign w:val="center"/>
                </w:tcPr>
                <w:p w14:paraId="179EE266">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r>
            <w:tr w14:paraId="078E2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745" w:type="dxa"/>
                  <w:noWrap w:val="0"/>
                  <w:vAlign w:val="center"/>
                </w:tcPr>
                <w:p w14:paraId="67D7AF30">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5</w:t>
                  </w:r>
                </w:p>
              </w:tc>
              <w:tc>
                <w:tcPr>
                  <w:tcW w:w="1545" w:type="dxa"/>
                  <w:noWrap w:val="0"/>
                  <w:vAlign w:val="center"/>
                </w:tcPr>
                <w:p w14:paraId="375286AE">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w:t>
                  </w:r>
                </w:p>
              </w:tc>
              <w:tc>
                <w:tcPr>
                  <w:tcW w:w="2160" w:type="dxa"/>
                  <w:noWrap w:val="0"/>
                  <w:vAlign w:val="center"/>
                </w:tcPr>
                <w:p w14:paraId="30DBF746">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10mg/m</w:t>
                  </w:r>
                  <w:r>
                    <w:rPr>
                      <w:rFonts w:hint="default" w:ascii="Times New Roman" w:hAnsi="Times New Roman" w:cs="Times New Roman"/>
                      <w:color w:val="auto"/>
                      <w:szCs w:val="21"/>
                      <w:highlight w:val="none"/>
                      <w:vertAlign w:val="superscript"/>
                    </w:rPr>
                    <w:t>3</w:t>
                  </w:r>
                </w:p>
              </w:tc>
              <w:tc>
                <w:tcPr>
                  <w:tcW w:w="1635" w:type="dxa"/>
                  <w:noWrap w:val="0"/>
                  <w:vAlign w:val="center"/>
                </w:tcPr>
                <w:p w14:paraId="49B0ED7B">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4mg/m</w:t>
                  </w:r>
                  <w:r>
                    <w:rPr>
                      <w:rFonts w:hint="default" w:ascii="Times New Roman" w:hAnsi="Times New Roman" w:cs="Times New Roman"/>
                      <w:color w:val="auto"/>
                      <w:szCs w:val="21"/>
                      <w:highlight w:val="none"/>
                      <w:vertAlign w:val="superscript"/>
                    </w:rPr>
                    <w:t>3</w:t>
                  </w:r>
                </w:p>
              </w:tc>
              <w:tc>
                <w:tcPr>
                  <w:tcW w:w="1916" w:type="dxa"/>
                  <w:noWrap w:val="0"/>
                  <w:vAlign w:val="center"/>
                </w:tcPr>
                <w:p w14:paraId="6E0765C0">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6F344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5" w:type="dxa"/>
                  <w:noWrap w:val="0"/>
                  <w:vAlign w:val="center"/>
                </w:tcPr>
                <w:p w14:paraId="44971B6B">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6</w:t>
                  </w:r>
                </w:p>
              </w:tc>
              <w:tc>
                <w:tcPr>
                  <w:tcW w:w="1545" w:type="dxa"/>
                  <w:noWrap w:val="0"/>
                  <w:vAlign w:val="center"/>
                </w:tcPr>
                <w:p w14:paraId="6FE05284">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O</w:t>
                  </w:r>
                  <w:r>
                    <w:rPr>
                      <w:rFonts w:hint="default" w:ascii="Times New Roman" w:hAnsi="Times New Roman" w:cs="Times New Roman"/>
                      <w:color w:val="auto"/>
                      <w:szCs w:val="21"/>
                      <w:highlight w:val="none"/>
                      <w:vertAlign w:val="subscript"/>
                    </w:rPr>
                    <w:t>3</w:t>
                  </w:r>
                </w:p>
              </w:tc>
              <w:tc>
                <w:tcPr>
                  <w:tcW w:w="2160" w:type="dxa"/>
                  <w:noWrap w:val="0"/>
                  <w:vAlign w:val="center"/>
                </w:tcPr>
                <w:p w14:paraId="3F0CE76B">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635" w:type="dxa"/>
                  <w:noWrap w:val="0"/>
                  <w:vAlign w:val="center"/>
                </w:tcPr>
                <w:p w14:paraId="441431D3">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160（日最大8小时平均）</w:t>
                  </w:r>
                </w:p>
              </w:tc>
              <w:tc>
                <w:tcPr>
                  <w:tcW w:w="1916" w:type="dxa"/>
                  <w:noWrap w:val="0"/>
                  <w:vAlign w:val="center"/>
                </w:tcPr>
                <w:p w14:paraId="71F40A55">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14:paraId="4792FBD7">
            <w:pPr>
              <w:adjustRightInd w:val="0"/>
              <w:spacing w:line="360" w:lineRule="auto"/>
              <w:rPr>
                <w:rFonts w:hint="default" w:ascii="Times New Roman" w:hAnsi="Times New Roman" w:eastAsia="仿宋_GB2312" w:cs="Times New Roman"/>
                <w:b/>
                <w:bCs/>
                <w:color w:val="auto"/>
                <w:kern w:val="0"/>
                <w:sz w:val="24"/>
                <w:szCs w:val="24"/>
                <w:highlight w:val="none"/>
                <w:lang w:val="en-US" w:eastAsia="zh-CN"/>
              </w:rPr>
            </w:pPr>
            <w:r>
              <w:rPr>
                <w:rFonts w:hint="eastAsia" w:eastAsia="仿宋_GB2312" w:cs="Times New Roman"/>
                <w:b/>
                <w:bCs/>
                <w:color w:val="auto"/>
                <w:kern w:val="0"/>
                <w:sz w:val="24"/>
                <w:szCs w:val="24"/>
                <w:highlight w:val="none"/>
                <w:lang w:val="en-US" w:eastAsia="zh-CN"/>
              </w:rPr>
              <w:t>2.</w:t>
            </w:r>
            <w:r>
              <w:rPr>
                <w:rFonts w:hint="eastAsia" w:ascii="Times New Roman" w:hAnsi="Times New Roman" w:eastAsia="仿宋_GB2312" w:cs="Times New Roman"/>
                <w:b/>
                <w:bCs/>
                <w:color w:val="auto"/>
                <w:kern w:val="0"/>
                <w:sz w:val="24"/>
                <w:szCs w:val="24"/>
                <w:highlight w:val="none"/>
                <w:lang w:val="en-US" w:eastAsia="zh-CN"/>
              </w:rPr>
              <w:t>地表水环境</w:t>
            </w:r>
          </w:p>
          <w:p w14:paraId="466AC922">
            <w:pPr>
              <w:keepNext w:val="0"/>
              <w:keepLines w:val="0"/>
              <w:pageBreakBefore w:val="0"/>
              <w:kinsoku/>
              <w:overflowPunct/>
              <w:topLinePunct w:val="0"/>
              <w:autoSpaceDE/>
              <w:autoSpaceDN/>
              <w:bidi w:val="0"/>
              <w:adjustRightInd/>
              <w:snapToGrid/>
              <w:spacing w:line="360" w:lineRule="auto"/>
              <w:ind w:firstLine="480" w:firstLineChars="200"/>
              <w:rPr>
                <w:rFonts w:hint="default"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szCs w:val="24"/>
                <w:highlight w:val="none"/>
                <w:lang w:val="en-US" w:eastAsia="zh-CN" w:bidi="ar-SA"/>
              </w:rPr>
              <w:t>项目所在区域</w:t>
            </w:r>
            <w:r>
              <w:rPr>
                <w:rFonts w:hint="eastAsia" w:eastAsia="仿宋_GB2312" w:cs="Times New Roman"/>
                <w:color w:val="auto"/>
                <w:kern w:val="0"/>
                <w:sz w:val="24"/>
                <w:szCs w:val="24"/>
                <w:highlight w:val="none"/>
                <w:lang w:val="en-US" w:eastAsia="zh-CN" w:bidi="ar-SA"/>
              </w:rPr>
              <w:t>地表水体主要为泾河</w:t>
            </w:r>
            <w:r>
              <w:rPr>
                <w:rFonts w:hint="eastAsia" w:ascii="Times New Roman" w:hAnsi="Times New Roman" w:eastAsia="仿宋_GB2312" w:cs="Times New Roman"/>
                <w:color w:val="auto"/>
                <w:kern w:val="0"/>
                <w:sz w:val="24"/>
                <w:szCs w:val="24"/>
                <w:highlight w:val="none"/>
                <w:lang w:val="en-US" w:eastAsia="zh-CN" w:bidi="ar-SA"/>
              </w:rPr>
              <w:t>。</w:t>
            </w:r>
            <w:r>
              <w:rPr>
                <w:rFonts w:hint="eastAsia" w:eastAsia="仿宋_GB2312" w:cs="Times New Roman"/>
                <w:color w:val="auto"/>
                <w:sz w:val="24"/>
                <w:lang w:val="en-US" w:eastAsia="zh-CN"/>
              </w:rPr>
              <w:t>水质执行《地表水环境质量标准》（GB3838-2002）Ⅱ类标准。</w:t>
            </w:r>
            <w:r>
              <w:rPr>
                <w:rFonts w:hint="default" w:ascii="Times New Roman" w:hAnsi="Times New Roman" w:eastAsia="仿宋_GB2312" w:cs="Times New Roman"/>
                <w:color w:val="auto"/>
                <w:sz w:val="24"/>
              </w:rPr>
              <w:t>项目所在区地表水环境质量执行标准见</w:t>
            </w:r>
            <w:r>
              <w:rPr>
                <w:rFonts w:hint="default" w:ascii="Times New Roman" w:hAnsi="Times New Roman" w:eastAsia="仿宋_GB2312" w:cs="Times New Roman"/>
                <w:color w:val="auto"/>
                <w:sz w:val="24"/>
                <w:lang w:val="en-US" w:eastAsia="zh-CN"/>
              </w:rPr>
              <w:t>下表</w:t>
            </w:r>
            <w:r>
              <w:rPr>
                <w:rFonts w:hint="default" w:ascii="Times New Roman" w:hAnsi="Times New Roman" w:eastAsia="仿宋_GB2312" w:cs="Times New Roman"/>
                <w:color w:val="auto"/>
                <w:sz w:val="24"/>
              </w:rPr>
              <w:t>。</w:t>
            </w:r>
          </w:p>
          <w:p w14:paraId="6B57D53F">
            <w:pPr>
              <w:keepNext w:val="0"/>
              <w:keepLines w:val="0"/>
              <w:pageBreakBefore w:val="0"/>
              <w:kinsoku/>
              <w:overflowPunct/>
              <w:topLinePunct w:val="0"/>
              <w:autoSpaceDE/>
              <w:autoSpaceDN/>
              <w:bidi w:val="0"/>
              <w:adjustRightInd/>
              <w:snapToGrid/>
              <w:spacing w:line="240" w:lineRule="auto"/>
              <w:ind w:firstLine="420" w:firstLineChars="200"/>
              <w:rPr>
                <w:color w:val="auto"/>
                <w:sz w:val="24"/>
              </w:rPr>
            </w:pPr>
            <w:r>
              <w:rPr>
                <w:b w:val="0"/>
                <w:bCs w:val="0"/>
                <w:color w:val="auto"/>
                <w:sz w:val="21"/>
                <w:szCs w:val="21"/>
              </w:rPr>
              <w:t>表</w:t>
            </w:r>
            <w:r>
              <w:rPr>
                <w:rFonts w:hint="eastAsia"/>
                <w:b w:val="0"/>
                <w:bCs w:val="0"/>
                <w:color w:val="auto"/>
                <w:sz w:val="21"/>
                <w:szCs w:val="21"/>
                <w:lang w:val="en-US" w:eastAsia="zh-CN"/>
              </w:rPr>
              <w:t>19</w:t>
            </w:r>
            <w:r>
              <w:rPr>
                <w:b w:val="0"/>
                <w:bCs w:val="0"/>
                <w:color w:val="auto"/>
                <w:sz w:val="24"/>
              </w:rPr>
              <w:t xml:space="preserve">  </w:t>
            </w:r>
            <w:r>
              <w:rPr>
                <w:rFonts w:hint="eastAsia"/>
                <w:b w:val="0"/>
                <w:bCs w:val="0"/>
                <w:color w:val="auto"/>
                <w:sz w:val="24"/>
                <w:lang w:val="en-US" w:eastAsia="zh-CN"/>
              </w:rPr>
              <w:t xml:space="preserve">            </w:t>
            </w:r>
            <w:r>
              <w:rPr>
                <w:rFonts w:hint="eastAsia"/>
                <w:b/>
                <w:bCs/>
                <w:color w:val="auto"/>
                <w:sz w:val="24"/>
                <w:lang w:val="en-US" w:eastAsia="zh-CN"/>
              </w:rPr>
              <w:t>地表水环境质量标准一览表</w:t>
            </w:r>
          </w:p>
          <w:tbl>
            <w:tblPr>
              <w:tblStyle w:val="34"/>
              <w:tblW w:w="81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2512"/>
              <w:gridCol w:w="2072"/>
              <w:gridCol w:w="2328"/>
            </w:tblGrid>
            <w:tr w14:paraId="72634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tblHeader/>
                <w:jc w:val="center"/>
              </w:trPr>
              <w:tc>
                <w:tcPr>
                  <w:tcW w:w="1286" w:type="dxa"/>
                  <w:vMerge w:val="restart"/>
                  <w:noWrap w:val="0"/>
                  <w:vAlign w:val="center"/>
                </w:tcPr>
                <w:p w14:paraId="67D77E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512" w:type="dxa"/>
                  <w:vMerge w:val="restart"/>
                  <w:noWrap w:val="0"/>
                  <w:vAlign w:val="center"/>
                </w:tcPr>
                <w:p w14:paraId="1F1648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4400" w:type="dxa"/>
                  <w:gridSpan w:val="2"/>
                  <w:noWrap w:val="0"/>
                  <w:vAlign w:val="center"/>
                </w:tcPr>
                <w:p w14:paraId="29CC6E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r>
            <w:tr w14:paraId="0AD12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blHeader/>
                <w:jc w:val="center"/>
              </w:trPr>
              <w:tc>
                <w:tcPr>
                  <w:tcW w:w="1286" w:type="dxa"/>
                  <w:vMerge w:val="continue"/>
                  <w:noWrap w:val="0"/>
                  <w:vAlign w:val="center"/>
                </w:tcPr>
                <w:p w14:paraId="56895E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512" w:type="dxa"/>
                  <w:vMerge w:val="continue"/>
                  <w:noWrap w:val="0"/>
                  <w:vAlign w:val="center"/>
                </w:tcPr>
                <w:p w14:paraId="725DCC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072" w:type="dxa"/>
                  <w:noWrap w:val="0"/>
                  <w:vAlign w:val="center"/>
                </w:tcPr>
                <w:p w14:paraId="372B5C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单位</w:t>
                  </w:r>
                </w:p>
              </w:tc>
              <w:tc>
                <w:tcPr>
                  <w:tcW w:w="2328" w:type="dxa"/>
                  <w:noWrap w:val="0"/>
                  <w:vAlign w:val="center"/>
                </w:tcPr>
                <w:p w14:paraId="263FDD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rPr>
                    <w:t>Ⅱ类标准</w:t>
                  </w:r>
                  <w:r>
                    <w:rPr>
                      <w:rFonts w:hint="eastAsia" w:cs="Times New Roman"/>
                      <w:b/>
                      <w:bCs/>
                      <w:color w:val="auto"/>
                      <w:sz w:val="21"/>
                      <w:szCs w:val="21"/>
                      <w:lang w:val="en-US" w:eastAsia="zh-CN"/>
                    </w:rPr>
                    <w:t>限值</w:t>
                  </w:r>
                </w:p>
              </w:tc>
            </w:tr>
            <w:tr w14:paraId="44A2D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65F680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512" w:type="dxa"/>
                  <w:noWrap w:val="0"/>
                  <w:vAlign w:val="center"/>
                </w:tcPr>
                <w:p w14:paraId="7066C1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2072" w:type="dxa"/>
                  <w:tcBorders>
                    <w:right w:val="single" w:color="000000" w:sz="8" w:space="0"/>
                  </w:tcBorders>
                  <w:noWrap w:val="0"/>
                  <w:vAlign w:val="center"/>
                </w:tcPr>
                <w:p w14:paraId="12AABD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无量纲</w:t>
                  </w:r>
                </w:p>
              </w:tc>
              <w:tc>
                <w:tcPr>
                  <w:tcW w:w="2328" w:type="dxa"/>
                  <w:noWrap w:val="0"/>
                  <w:vAlign w:val="center"/>
                </w:tcPr>
                <w:p w14:paraId="1429AA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6~9</w:t>
                  </w:r>
                </w:p>
              </w:tc>
            </w:tr>
            <w:tr w14:paraId="195B5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198A1A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512" w:type="dxa"/>
                  <w:noWrap w:val="0"/>
                  <w:vAlign w:val="center"/>
                </w:tcPr>
                <w:p w14:paraId="68046B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w:t>
                  </w:r>
                </w:p>
              </w:tc>
              <w:tc>
                <w:tcPr>
                  <w:tcW w:w="2072" w:type="dxa"/>
                  <w:noWrap w:val="0"/>
                  <w:vAlign w:val="center"/>
                </w:tcPr>
                <w:p w14:paraId="4D7105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5DDFE0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6</w:t>
                  </w:r>
                </w:p>
              </w:tc>
            </w:tr>
            <w:tr w14:paraId="03A72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644AFB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512" w:type="dxa"/>
                  <w:noWrap w:val="0"/>
                  <w:vAlign w:val="center"/>
                </w:tcPr>
                <w:p w14:paraId="2AC2F9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高锰酸盐指数</w:t>
                  </w:r>
                </w:p>
              </w:tc>
              <w:tc>
                <w:tcPr>
                  <w:tcW w:w="2072" w:type="dxa"/>
                  <w:noWrap w:val="0"/>
                  <w:vAlign w:val="center"/>
                </w:tcPr>
                <w:p w14:paraId="48F6A4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106C4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4</w:t>
                  </w:r>
                </w:p>
              </w:tc>
            </w:tr>
            <w:tr w14:paraId="30D93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08A1A6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512" w:type="dxa"/>
                  <w:noWrap w:val="0"/>
                  <w:vAlign w:val="center"/>
                </w:tcPr>
                <w:p w14:paraId="6A9866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2072" w:type="dxa"/>
                  <w:noWrap w:val="0"/>
                  <w:vAlign w:val="center"/>
                </w:tcPr>
                <w:p w14:paraId="59B543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53612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15</w:t>
                  </w:r>
                </w:p>
              </w:tc>
            </w:tr>
            <w:tr w14:paraId="619A4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152FBF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512" w:type="dxa"/>
                  <w:noWrap w:val="0"/>
                  <w:vAlign w:val="center"/>
                </w:tcPr>
                <w:p w14:paraId="30892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w:t>
                  </w:r>
                </w:p>
              </w:tc>
              <w:tc>
                <w:tcPr>
                  <w:tcW w:w="2072" w:type="dxa"/>
                  <w:noWrap w:val="0"/>
                  <w:vAlign w:val="center"/>
                </w:tcPr>
                <w:p w14:paraId="49B91A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14EC0D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3</w:t>
                  </w:r>
                </w:p>
              </w:tc>
            </w:tr>
            <w:tr w14:paraId="53200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1B6192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2512" w:type="dxa"/>
                  <w:noWrap w:val="0"/>
                  <w:vAlign w:val="center"/>
                </w:tcPr>
                <w:p w14:paraId="3C9275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2072" w:type="dxa"/>
                  <w:noWrap w:val="0"/>
                  <w:vAlign w:val="center"/>
                </w:tcPr>
                <w:p w14:paraId="556D51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75E176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0.5</w:t>
                  </w:r>
                </w:p>
              </w:tc>
            </w:tr>
            <w:tr w14:paraId="699CC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0D2CFA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w:t>
                  </w:r>
                </w:p>
              </w:tc>
              <w:tc>
                <w:tcPr>
                  <w:tcW w:w="2512" w:type="dxa"/>
                  <w:noWrap w:val="0"/>
                  <w:vAlign w:val="center"/>
                </w:tcPr>
                <w:p w14:paraId="4706BA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总磷</w:t>
                  </w:r>
                </w:p>
              </w:tc>
              <w:tc>
                <w:tcPr>
                  <w:tcW w:w="2072" w:type="dxa"/>
                  <w:noWrap w:val="0"/>
                  <w:vAlign w:val="center"/>
                </w:tcPr>
                <w:p w14:paraId="71B8FE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5323D9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0.1</w:t>
                  </w:r>
                </w:p>
              </w:tc>
            </w:tr>
            <w:tr w14:paraId="1CB73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1410E6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w:t>
                  </w:r>
                </w:p>
              </w:tc>
              <w:tc>
                <w:tcPr>
                  <w:tcW w:w="2512" w:type="dxa"/>
                  <w:noWrap w:val="0"/>
                  <w:vAlign w:val="center"/>
                </w:tcPr>
                <w:p w14:paraId="3396C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铜</w:t>
                  </w:r>
                </w:p>
              </w:tc>
              <w:tc>
                <w:tcPr>
                  <w:tcW w:w="2072" w:type="dxa"/>
                  <w:noWrap w:val="0"/>
                  <w:vAlign w:val="center"/>
                </w:tcPr>
                <w:p w14:paraId="0CBA87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66DB2D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p>
              </w:tc>
            </w:tr>
            <w:tr w14:paraId="40968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5356F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w:t>
                  </w:r>
                </w:p>
              </w:tc>
              <w:tc>
                <w:tcPr>
                  <w:tcW w:w="2512" w:type="dxa"/>
                  <w:noWrap w:val="0"/>
                  <w:vAlign w:val="center"/>
                </w:tcPr>
                <w:p w14:paraId="1D2EF3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锌</w:t>
                  </w:r>
                </w:p>
              </w:tc>
              <w:tc>
                <w:tcPr>
                  <w:tcW w:w="2072" w:type="dxa"/>
                  <w:noWrap w:val="0"/>
                  <w:vAlign w:val="center"/>
                </w:tcPr>
                <w:p w14:paraId="55BA9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1DE633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p>
              </w:tc>
            </w:tr>
            <w:tr w14:paraId="48C40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1E1BD5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512" w:type="dxa"/>
                  <w:noWrap w:val="0"/>
                  <w:vAlign w:val="center"/>
                </w:tcPr>
                <w:p w14:paraId="3166A0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氟化物</w:t>
                  </w:r>
                  <w:r>
                    <w:rPr>
                      <w:rFonts w:hint="default" w:ascii="Times New Roman" w:hAnsi="Times New Roman" w:eastAsia="宋体" w:cs="Times New Roman"/>
                      <w:color w:val="auto"/>
                      <w:sz w:val="21"/>
                      <w:szCs w:val="21"/>
                      <w:lang w:eastAsia="zh-CN"/>
                    </w:rPr>
                    <w:t>（以</w:t>
                  </w:r>
                  <w:r>
                    <w:rPr>
                      <w:rFonts w:hint="default" w:ascii="Times New Roman" w:hAnsi="Times New Roman" w:eastAsia="宋体" w:cs="Times New Roman"/>
                      <w:color w:val="auto"/>
                      <w:sz w:val="21"/>
                      <w:szCs w:val="21"/>
                      <w:lang w:val="en-US" w:eastAsia="zh-CN"/>
                    </w:rPr>
                    <w:t>F计</w:t>
                  </w:r>
                  <w:r>
                    <w:rPr>
                      <w:rFonts w:hint="default" w:ascii="Times New Roman" w:hAnsi="Times New Roman" w:eastAsia="宋体" w:cs="Times New Roman"/>
                      <w:color w:val="auto"/>
                      <w:sz w:val="21"/>
                      <w:szCs w:val="21"/>
                      <w:lang w:eastAsia="zh-CN"/>
                    </w:rPr>
                    <w:t>）</w:t>
                  </w:r>
                </w:p>
              </w:tc>
              <w:tc>
                <w:tcPr>
                  <w:tcW w:w="2072" w:type="dxa"/>
                  <w:noWrap w:val="0"/>
                  <w:vAlign w:val="center"/>
                </w:tcPr>
                <w:p w14:paraId="1904AD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7AA6D1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p>
              </w:tc>
            </w:tr>
            <w:tr w14:paraId="1E441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86" w:type="dxa"/>
                  <w:noWrap w:val="0"/>
                  <w:vAlign w:val="center"/>
                </w:tcPr>
                <w:p w14:paraId="11B944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512" w:type="dxa"/>
                  <w:noWrap w:val="0"/>
                  <w:vAlign w:val="center"/>
                </w:tcPr>
                <w:p w14:paraId="4CA226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硒</w:t>
                  </w:r>
                </w:p>
              </w:tc>
              <w:tc>
                <w:tcPr>
                  <w:tcW w:w="2072" w:type="dxa"/>
                  <w:noWrap w:val="0"/>
                  <w:vAlign w:val="center"/>
                </w:tcPr>
                <w:p w14:paraId="4A1B50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22322D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0.01</w:t>
                  </w:r>
                </w:p>
              </w:tc>
            </w:tr>
            <w:tr w14:paraId="02E3F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08A6D5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512" w:type="dxa"/>
                  <w:noWrap w:val="0"/>
                  <w:vAlign w:val="center"/>
                </w:tcPr>
                <w:p w14:paraId="78E7A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砷</w:t>
                  </w:r>
                </w:p>
              </w:tc>
              <w:tc>
                <w:tcPr>
                  <w:tcW w:w="2072" w:type="dxa"/>
                  <w:noWrap w:val="0"/>
                  <w:vAlign w:val="center"/>
                </w:tcPr>
                <w:p w14:paraId="02ECD9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02A6B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0.05</w:t>
                  </w:r>
                </w:p>
              </w:tc>
            </w:tr>
            <w:tr w14:paraId="46032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6241D6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512" w:type="dxa"/>
                  <w:noWrap w:val="0"/>
                  <w:vAlign w:val="center"/>
                </w:tcPr>
                <w:p w14:paraId="36F3DB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汞</w:t>
                  </w:r>
                </w:p>
              </w:tc>
              <w:tc>
                <w:tcPr>
                  <w:tcW w:w="2072" w:type="dxa"/>
                  <w:noWrap w:val="0"/>
                  <w:vAlign w:val="center"/>
                </w:tcPr>
                <w:p w14:paraId="1D3A8A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2DDF6C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0.00005</w:t>
                  </w:r>
                </w:p>
              </w:tc>
            </w:tr>
            <w:tr w14:paraId="41233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286" w:type="dxa"/>
                  <w:noWrap w:val="0"/>
                  <w:vAlign w:val="center"/>
                </w:tcPr>
                <w:p w14:paraId="2BE5C2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2512" w:type="dxa"/>
                  <w:noWrap w:val="0"/>
                  <w:vAlign w:val="center"/>
                </w:tcPr>
                <w:p w14:paraId="3417AE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镉</w:t>
                  </w:r>
                </w:p>
              </w:tc>
              <w:tc>
                <w:tcPr>
                  <w:tcW w:w="2072" w:type="dxa"/>
                  <w:noWrap w:val="0"/>
                  <w:vAlign w:val="center"/>
                </w:tcPr>
                <w:p w14:paraId="443433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53A3DF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0.005</w:t>
                  </w:r>
                </w:p>
              </w:tc>
            </w:tr>
            <w:tr w14:paraId="26F68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69DA29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512" w:type="dxa"/>
                  <w:noWrap w:val="0"/>
                  <w:vAlign w:val="center"/>
                </w:tcPr>
                <w:p w14:paraId="41C86E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铬（六价）</w:t>
                  </w:r>
                </w:p>
              </w:tc>
              <w:tc>
                <w:tcPr>
                  <w:tcW w:w="2072" w:type="dxa"/>
                  <w:noWrap w:val="0"/>
                  <w:vAlign w:val="center"/>
                </w:tcPr>
                <w:p w14:paraId="07661E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15EFA6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0.05</w:t>
                  </w:r>
                </w:p>
              </w:tc>
            </w:tr>
            <w:tr w14:paraId="2F103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3F4497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2512" w:type="dxa"/>
                  <w:noWrap w:val="0"/>
                  <w:vAlign w:val="center"/>
                </w:tcPr>
                <w:p w14:paraId="0C5D43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铅</w:t>
                  </w:r>
                </w:p>
              </w:tc>
              <w:tc>
                <w:tcPr>
                  <w:tcW w:w="2072" w:type="dxa"/>
                  <w:noWrap w:val="0"/>
                  <w:vAlign w:val="center"/>
                </w:tcPr>
                <w:p w14:paraId="78C773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0966D6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0.01</w:t>
                  </w:r>
                </w:p>
              </w:tc>
            </w:tr>
            <w:tr w14:paraId="4E5E8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189053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2512" w:type="dxa"/>
                  <w:noWrap w:val="0"/>
                  <w:vAlign w:val="center"/>
                </w:tcPr>
                <w:p w14:paraId="6E2129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氰化物</w:t>
                  </w:r>
                </w:p>
              </w:tc>
              <w:tc>
                <w:tcPr>
                  <w:tcW w:w="2072" w:type="dxa"/>
                  <w:noWrap w:val="0"/>
                  <w:vAlign w:val="center"/>
                </w:tcPr>
                <w:p w14:paraId="610E1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199584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0.05</w:t>
                  </w:r>
                </w:p>
              </w:tc>
            </w:tr>
            <w:tr w14:paraId="52863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01E560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2512" w:type="dxa"/>
                  <w:noWrap w:val="0"/>
                  <w:vAlign w:val="center"/>
                </w:tcPr>
                <w:p w14:paraId="6C98E3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挥发酚</w:t>
                  </w:r>
                </w:p>
              </w:tc>
              <w:tc>
                <w:tcPr>
                  <w:tcW w:w="2072" w:type="dxa"/>
                  <w:noWrap w:val="0"/>
                  <w:vAlign w:val="center"/>
                </w:tcPr>
                <w:p w14:paraId="491987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1FF085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0.002</w:t>
                  </w:r>
                </w:p>
              </w:tc>
            </w:tr>
            <w:tr w14:paraId="74AE6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483E8F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2512" w:type="dxa"/>
                  <w:noWrap w:val="0"/>
                  <w:vAlign w:val="center"/>
                </w:tcPr>
                <w:p w14:paraId="006C60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石油类</w:t>
                  </w:r>
                </w:p>
              </w:tc>
              <w:tc>
                <w:tcPr>
                  <w:tcW w:w="2072" w:type="dxa"/>
                  <w:noWrap w:val="0"/>
                  <w:vAlign w:val="center"/>
                </w:tcPr>
                <w:p w14:paraId="3742EB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76F141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0.05</w:t>
                  </w:r>
                </w:p>
              </w:tc>
            </w:tr>
            <w:tr w14:paraId="241B2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559151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512" w:type="dxa"/>
                  <w:noWrap w:val="0"/>
                  <w:vAlign w:val="center"/>
                </w:tcPr>
                <w:p w14:paraId="7B21FA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阴离子表面活性剂</w:t>
                  </w:r>
                </w:p>
              </w:tc>
              <w:tc>
                <w:tcPr>
                  <w:tcW w:w="2072" w:type="dxa"/>
                  <w:noWrap w:val="0"/>
                  <w:vAlign w:val="center"/>
                </w:tcPr>
                <w:p w14:paraId="3145D2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179634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0.2</w:t>
                  </w:r>
                </w:p>
              </w:tc>
            </w:tr>
            <w:tr w14:paraId="75658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86" w:type="dxa"/>
                  <w:noWrap w:val="0"/>
                  <w:vAlign w:val="center"/>
                </w:tcPr>
                <w:p w14:paraId="7A4CD6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512" w:type="dxa"/>
                  <w:noWrap w:val="0"/>
                  <w:vAlign w:val="center"/>
                </w:tcPr>
                <w:p w14:paraId="052E6A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硫化物</w:t>
                  </w:r>
                </w:p>
              </w:tc>
              <w:tc>
                <w:tcPr>
                  <w:tcW w:w="2072" w:type="dxa"/>
                  <w:noWrap w:val="0"/>
                  <w:vAlign w:val="center"/>
                </w:tcPr>
                <w:p w14:paraId="44ABFA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2F0E91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0.1</w:t>
                  </w:r>
                </w:p>
              </w:tc>
            </w:tr>
            <w:tr w14:paraId="1B167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286" w:type="dxa"/>
                  <w:noWrap w:val="0"/>
                  <w:vAlign w:val="center"/>
                </w:tcPr>
                <w:p w14:paraId="7A38EC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2512" w:type="dxa"/>
                  <w:noWrap w:val="0"/>
                  <w:vAlign w:val="center"/>
                </w:tcPr>
                <w:p w14:paraId="6207B6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粪大肠菌群</w:t>
                  </w:r>
                </w:p>
              </w:tc>
              <w:tc>
                <w:tcPr>
                  <w:tcW w:w="2072" w:type="dxa"/>
                  <w:noWrap w:val="0"/>
                  <w:vAlign w:val="center"/>
                </w:tcPr>
                <w:p w14:paraId="26D21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个/L</w:t>
                  </w:r>
                </w:p>
              </w:tc>
              <w:tc>
                <w:tcPr>
                  <w:tcW w:w="2328" w:type="dxa"/>
                  <w:noWrap w:val="0"/>
                  <w:vAlign w:val="center"/>
                </w:tcPr>
                <w:p w14:paraId="15623E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2000</w:t>
                  </w:r>
                </w:p>
              </w:tc>
            </w:tr>
            <w:tr w14:paraId="4E962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86" w:type="dxa"/>
                  <w:noWrap w:val="0"/>
                  <w:vAlign w:val="center"/>
                </w:tcPr>
                <w:p w14:paraId="1E5C8A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23</w:t>
                  </w:r>
                </w:p>
              </w:tc>
              <w:tc>
                <w:tcPr>
                  <w:tcW w:w="2512" w:type="dxa"/>
                  <w:noWrap w:val="0"/>
                  <w:vAlign w:val="center"/>
                </w:tcPr>
                <w:p w14:paraId="2DE47D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总氮（湖、库，以N计）</w:t>
                  </w:r>
                </w:p>
              </w:tc>
              <w:tc>
                <w:tcPr>
                  <w:tcW w:w="2072" w:type="dxa"/>
                  <w:noWrap w:val="0"/>
                  <w:vAlign w:val="center"/>
                </w:tcPr>
                <w:p w14:paraId="142F8F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328" w:type="dxa"/>
                  <w:noWrap w:val="0"/>
                  <w:vAlign w:val="center"/>
                </w:tcPr>
                <w:p w14:paraId="263F04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≤0.5</w:t>
                  </w:r>
                </w:p>
              </w:tc>
            </w:tr>
          </w:tbl>
          <w:p w14:paraId="2E90F0E5">
            <w:pPr>
              <w:autoSpaceDE w:val="0"/>
              <w:autoSpaceDN w:val="0"/>
              <w:spacing w:before="120" w:beforeLines="50" w:line="360" w:lineRule="auto"/>
              <w:rPr>
                <w:rFonts w:hint="default" w:ascii="Times New Roman" w:hAnsi="Times New Roman" w:eastAsia="仿宋_GB2312" w:cs="Times New Roman"/>
                <w:b/>
                <w:bCs/>
                <w:color w:val="auto"/>
                <w:sz w:val="24"/>
              </w:rPr>
            </w:pPr>
            <w:r>
              <w:rPr>
                <w:rFonts w:hint="eastAsia" w:eastAsia="仿宋_GB2312" w:cs="Times New Roman"/>
                <w:b/>
                <w:bCs/>
                <w:color w:val="auto"/>
                <w:sz w:val="24"/>
                <w:lang w:val="en-US" w:eastAsia="zh-CN"/>
              </w:rPr>
              <w:t>3.</w:t>
            </w:r>
            <w:r>
              <w:rPr>
                <w:rFonts w:hint="default" w:ascii="Times New Roman" w:hAnsi="Times New Roman" w:eastAsia="仿宋_GB2312" w:cs="Times New Roman"/>
                <w:b/>
                <w:bCs/>
                <w:color w:val="auto"/>
                <w:sz w:val="24"/>
              </w:rPr>
              <w:t>声环境质量标准</w:t>
            </w:r>
          </w:p>
          <w:p w14:paraId="71BCB1D5">
            <w:pPr>
              <w:autoSpaceDE w:val="0"/>
              <w:autoSpaceDN w:val="0"/>
              <w:spacing w:line="360" w:lineRule="auto"/>
              <w:ind w:firstLine="480" w:firstLineChars="200"/>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本</w:t>
            </w:r>
            <w:r>
              <w:rPr>
                <w:rFonts w:hint="default" w:ascii="Times New Roman" w:hAnsi="Times New Roman" w:eastAsia="仿宋_GB2312" w:cs="Times New Roman"/>
                <w:color w:val="auto"/>
                <w:sz w:val="24"/>
                <w:lang w:eastAsia="zh-CN"/>
              </w:rPr>
              <w:t>项目</w:t>
            </w:r>
            <w:r>
              <w:rPr>
                <w:rFonts w:hint="default" w:ascii="Times New Roman" w:hAnsi="Times New Roman" w:eastAsia="仿宋_GB2312" w:cs="Times New Roman"/>
                <w:color w:val="auto"/>
                <w:sz w:val="24"/>
              </w:rPr>
              <w:t>位于</w:t>
            </w:r>
            <w:r>
              <w:rPr>
                <w:rFonts w:hint="default" w:ascii="Times New Roman" w:hAnsi="Times New Roman" w:eastAsia="仿宋_GB2312" w:cs="Times New Roman"/>
                <w:color w:val="auto"/>
                <w:sz w:val="24"/>
                <w:lang w:eastAsia="zh-CN"/>
              </w:rPr>
              <w:t>固原市</w:t>
            </w:r>
            <w:r>
              <w:rPr>
                <w:rFonts w:hint="eastAsia" w:ascii="Times New Roman" w:hAnsi="Times New Roman" w:eastAsia="仿宋_GB2312" w:cs="Times New Roman"/>
                <w:color w:val="auto"/>
                <w:sz w:val="24"/>
                <w:lang w:val="en-US" w:eastAsia="zh-CN"/>
              </w:rPr>
              <w:t>泾源县</w:t>
            </w:r>
            <w:r>
              <w:rPr>
                <w:rFonts w:hint="eastAsia" w:eastAsia="仿宋_GB2312" w:cs="Times New Roman"/>
                <w:color w:val="auto"/>
                <w:sz w:val="24"/>
                <w:lang w:val="en-US" w:eastAsia="zh-CN"/>
              </w:rPr>
              <w:t>六盘山镇</w:t>
            </w:r>
            <w:r>
              <w:rPr>
                <w:rFonts w:hint="default"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声环境质量标准执行《声环境质量标准》（GB3096-2008）中的</w:t>
            </w:r>
            <w:r>
              <w:rPr>
                <w:rFonts w:hint="default" w:ascii="Times New Roman" w:hAnsi="Times New Roman" w:eastAsia="仿宋_GB2312" w:cs="Times New Roman"/>
                <w:color w:val="auto"/>
                <w:sz w:val="24"/>
                <w:lang w:val="en-US" w:eastAsia="zh-CN"/>
              </w:rPr>
              <w:t>1</w:t>
            </w:r>
            <w:r>
              <w:rPr>
                <w:rFonts w:hint="default" w:ascii="Times New Roman" w:hAnsi="Times New Roman" w:eastAsia="仿宋_GB2312" w:cs="Times New Roman"/>
                <w:color w:val="auto"/>
                <w:sz w:val="24"/>
              </w:rPr>
              <w:t>类标准，具体见</w:t>
            </w:r>
            <w:r>
              <w:rPr>
                <w:rFonts w:hint="default" w:ascii="Times New Roman" w:hAnsi="Times New Roman" w:eastAsia="仿宋_GB2312" w:cs="Times New Roman"/>
                <w:color w:val="auto"/>
                <w:sz w:val="24"/>
                <w:lang w:val="en-US" w:eastAsia="zh-CN"/>
              </w:rPr>
              <w:t>下表：</w:t>
            </w:r>
          </w:p>
          <w:p w14:paraId="26754331">
            <w:pPr>
              <w:autoSpaceDE w:val="0"/>
              <w:autoSpaceDN w:val="0"/>
              <w:ind w:firstLine="420" w:firstLineChars="200"/>
              <w:jc w:val="both"/>
              <w:rPr>
                <w:rFonts w:hint="default" w:ascii="Times New Roman" w:hAnsi="Times New Roman" w:cs="Times New Roman"/>
                <w:b/>
                <w:bCs/>
                <w:color w:val="auto"/>
                <w:sz w:val="22"/>
                <w:szCs w:val="22"/>
              </w:rPr>
            </w:pPr>
            <w:r>
              <w:rPr>
                <w:rFonts w:hint="default" w:ascii="Times New Roman" w:hAnsi="Times New Roman" w:eastAsia="宋体" w:cs="Times New Roman"/>
                <w:b w:val="0"/>
                <w:bCs w:val="0"/>
                <w:color w:val="auto"/>
                <w:sz w:val="21"/>
                <w:szCs w:val="21"/>
              </w:rPr>
              <w:t>表</w:t>
            </w:r>
            <w:r>
              <w:rPr>
                <w:rFonts w:hint="eastAsia" w:cs="Times New Roman"/>
                <w:b w:val="0"/>
                <w:bCs w:val="0"/>
                <w:color w:val="auto"/>
                <w:sz w:val="21"/>
                <w:szCs w:val="21"/>
                <w:lang w:val="en-US" w:eastAsia="zh-CN"/>
              </w:rPr>
              <w:t>19</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声环境质量标准值单位：dB（A）</w:t>
            </w:r>
          </w:p>
          <w:tbl>
            <w:tblPr>
              <w:tblStyle w:val="33"/>
              <w:tblW w:w="841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913"/>
              <w:gridCol w:w="2652"/>
              <w:gridCol w:w="2854"/>
            </w:tblGrid>
            <w:tr w14:paraId="3D409F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2913" w:type="dxa"/>
                  <w:tcBorders>
                    <w:tl2br w:val="nil"/>
                    <w:tr2bl w:val="nil"/>
                  </w:tcBorders>
                  <w:noWrap w:val="0"/>
                  <w:vAlign w:val="top"/>
                </w:tcPr>
                <w:p w14:paraId="3BEE7591">
                  <w:pPr>
                    <w:autoSpaceDE w:val="0"/>
                    <w:autoSpaceDN w:val="0"/>
                    <w:jc w:val="center"/>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2652" w:type="dxa"/>
                  <w:tcBorders>
                    <w:tl2br w:val="nil"/>
                    <w:tr2bl w:val="nil"/>
                  </w:tcBorders>
                  <w:noWrap w:val="0"/>
                  <w:vAlign w:val="top"/>
                </w:tcPr>
                <w:p w14:paraId="1E458BC0">
                  <w:pPr>
                    <w:autoSpaceDE w:val="0"/>
                    <w:autoSpaceDN w:val="0"/>
                    <w:jc w:val="center"/>
                    <w:rPr>
                      <w:rFonts w:hint="default" w:ascii="Times New Roman" w:hAnsi="Times New Roman" w:cs="Times New Roman"/>
                      <w:b/>
                      <w:bCs/>
                      <w:color w:val="auto"/>
                    </w:rPr>
                  </w:pPr>
                  <w:r>
                    <w:rPr>
                      <w:rFonts w:hint="default" w:ascii="Times New Roman" w:hAnsi="Times New Roman" w:cs="Times New Roman"/>
                      <w:b/>
                      <w:bCs/>
                      <w:color w:val="auto"/>
                    </w:rPr>
                    <w:t>昼间</w:t>
                  </w:r>
                </w:p>
              </w:tc>
              <w:tc>
                <w:tcPr>
                  <w:tcW w:w="2854" w:type="dxa"/>
                  <w:tcBorders>
                    <w:tl2br w:val="nil"/>
                    <w:tr2bl w:val="nil"/>
                  </w:tcBorders>
                  <w:noWrap w:val="0"/>
                  <w:vAlign w:val="top"/>
                </w:tcPr>
                <w:p w14:paraId="68A18BEB">
                  <w:pPr>
                    <w:autoSpaceDE w:val="0"/>
                    <w:autoSpaceDN w:val="0"/>
                    <w:jc w:val="center"/>
                    <w:rPr>
                      <w:rFonts w:hint="default" w:ascii="Times New Roman" w:hAnsi="Times New Roman" w:cs="Times New Roman"/>
                      <w:b/>
                      <w:bCs/>
                      <w:color w:val="auto"/>
                    </w:rPr>
                  </w:pPr>
                  <w:r>
                    <w:rPr>
                      <w:rFonts w:hint="default" w:ascii="Times New Roman" w:hAnsi="Times New Roman" w:cs="Times New Roman"/>
                      <w:b/>
                      <w:bCs/>
                      <w:color w:val="auto"/>
                    </w:rPr>
                    <w:t>夜间</w:t>
                  </w:r>
                </w:p>
              </w:tc>
            </w:tr>
            <w:tr w14:paraId="6853D0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8" w:hRule="atLeast"/>
                <w:jc w:val="center"/>
              </w:trPr>
              <w:tc>
                <w:tcPr>
                  <w:tcW w:w="2913" w:type="dxa"/>
                  <w:tcBorders>
                    <w:tl2br w:val="nil"/>
                    <w:tr2bl w:val="nil"/>
                  </w:tcBorders>
                  <w:noWrap w:val="0"/>
                  <w:vAlign w:val="top"/>
                </w:tcPr>
                <w:p w14:paraId="7D5A38F9">
                  <w:pPr>
                    <w:autoSpaceDE w:val="0"/>
                    <w:autoSpaceDN w:val="0"/>
                    <w:jc w:val="center"/>
                    <w:rPr>
                      <w:rFonts w:hint="default" w:ascii="Times New Roman" w:hAnsi="Times New Roman" w:cs="Times New Roman"/>
                      <w:color w:val="auto"/>
                    </w:rPr>
                  </w:pPr>
                  <w:r>
                    <w:rPr>
                      <w:rFonts w:hint="eastAsia" w:ascii="Times New Roman" w:hAnsi="Times New Roman" w:cs="Times New Roman"/>
                      <w:color w:val="auto"/>
                      <w:lang w:val="en-US" w:eastAsia="zh-CN"/>
                    </w:rPr>
                    <w:t>1</w:t>
                  </w:r>
                  <w:r>
                    <w:rPr>
                      <w:rFonts w:hint="default" w:ascii="Times New Roman" w:hAnsi="Times New Roman" w:cs="Times New Roman"/>
                      <w:color w:val="auto"/>
                    </w:rPr>
                    <w:t>类</w:t>
                  </w:r>
                </w:p>
              </w:tc>
              <w:tc>
                <w:tcPr>
                  <w:tcW w:w="2652" w:type="dxa"/>
                  <w:tcBorders>
                    <w:tl2br w:val="nil"/>
                    <w:tr2bl w:val="nil"/>
                  </w:tcBorders>
                  <w:noWrap w:val="0"/>
                  <w:vAlign w:val="top"/>
                </w:tcPr>
                <w:p w14:paraId="213889A4">
                  <w:pPr>
                    <w:autoSpaceDE w:val="0"/>
                    <w:autoSpaceDN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55</w:t>
                  </w:r>
                </w:p>
              </w:tc>
              <w:tc>
                <w:tcPr>
                  <w:tcW w:w="2854" w:type="dxa"/>
                  <w:tcBorders>
                    <w:tl2br w:val="nil"/>
                    <w:tr2bl w:val="nil"/>
                  </w:tcBorders>
                  <w:noWrap w:val="0"/>
                  <w:vAlign w:val="top"/>
                </w:tcPr>
                <w:p w14:paraId="7D48AEB7">
                  <w:pPr>
                    <w:autoSpaceDE w:val="0"/>
                    <w:autoSpaceDN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45</w:t>
                  </w:r>
                </w:p>
              </w:tc>
            </w:tr>
          </w:tbl>
          <w:p w14:paraId="3E910149">
            <w:pPr>
              <w:adjustRightInd w:val="0"/>
              <w:spacing w:line="360" w:lineRule="auto"/>
              <w:rPr>
                <w:rFonts w:hint="default" w:ascii="Times New Roman" w:hAnsi="Times New Roman" w:eastAsia="仿宋_GB2312" w:cs="Times New Roman"/>
                <w:b/>
                <w:bCs/>
                <w:color w:val="auto"/>
                <w:kern w:val="0"/>
                <w:sz w:val="24"/>
                <w:szCs w:val="24"/>
                <w:highlight w:val="none"/>
                <w:lang w:val="en-US" w:eastAsia="zh-CN"/>
              </w:rPr>
            </w:pPr>
            <w:r>
              <w:rPr>
                <w:rFonts w:hint="eastAsia" w:eastAsia="仿宋_GB2312" w:cs="Times New Roman"/>
                <w:b/>
                <w:bCs/>
                <w:color w:val="auto"/>
                <w:kern w:val="0"/>
                <w:sz w:val="24"/>
                <w:szCs w:val="24"/>
                <w:highlight w:val="none"/>
                <w:lang w:val="en-US" w:eastAsia="zh-CN"/>
              </w:rPr>
              <w:t>4.</w:t>
            </w:r>
            <w:r>
              <w:rPr>
                <w:rFonts w:hint="default" w:ascii="Times New Roman" w:hAnsi="Times New Roman" w:eastAsia="仿宋_GB2312" w:cs="Times New Roman"/>
                <w:b/>
                <w:bCs/>
                <w:color w:val="auto"/>
                <w:kern w:val="0"/>
                <w:sz w:val="24"/>
                <w:szCs w:val="24"/>
                <w:highlight w:val="none"/>
                <w:lang w:val="en-US" w:eastAsia="zh-CN"/>
              </w:rPr>
              <w:t>污染物排放标准</w:t>
            </w:r>
          </w:p>
          <w:p w14:paraId="4C1AAE64">
            <w:pPr>
              <w:adjustRightInd w:val="0"/>
              <w:spacing w:line="360" w:lineRule="auto"/>
              <w:ind w:firstLine="480" w:firstLineChars="200"/>
              <w:rPr>
                <w:rFonts w:hint="default" w:ascii="Times New Roman" w:hAnsi="Times New Roman" w:eastAsia="仿宋_GB2312" w:cs="Times New Roman"/>
                <w:color w:val="auto"/>
                <w:kern w:val="0"/>
                <w:sz w:val="24"/>
                <w:szCs w:val="24"/>
                <w:highlight w:val="none"/>
                <w:lang w:eastAsia="zh-CN"/>
              </w:rPr>
            </w:pPr>
            <w:r>
              <w:rPr>
                <w:rFonts w:hint="default" w:ascii="Times New Roman" w:hAnsi="Times New Roman" w:eastAsia="仿宋_GB2312" w:cs="Times New Roman"/>
                <w:color w:val="auto"/>
                <w:kern w:val="0"/>
                <w:sz w:val="24"/>
                <w:szCs w:val="24"/>
                <w:highlight w:val="none"/>
                <w:lang w:eastAsia="zh-CN"/>
              </w:rPr>
              <w:fldChar w:fldCharType="begin"/>
            </w:r>
            <w:r>
              <w:rPr>
                <w:rFonts w:hint="default" w:ascii="Times New Roman" w:hAnsi="Times New Roman" w:eastAsia="仿宋_GB2312" w:cs="Times New Roman"/>
                <w:color w:val="auto"/>
                <w:kern w:val="0"/>
                <w:sz w:val="24"/>
                <w:szCs w:val="24"/>
                <w:highlight w:val="none"/>
                <w:lang w:eastAsia="zh-CN"/>
              </w:rPr>
              <w:instrText xml:space="preserve"> = 1 \* GB2 \* MERGEFORMAT </w:instrText>
            </w:r>
            <w:r>
              <w:rPr>
                <w:rFonts w:hint="default" w:ascii="Times New Roman" w:hAnsi="Times New Roman" w:eastAsia="仿宋_GB2312" w:cs="Times New Roman"/>
                <w:color w:val="auto"/>
                <w:kern w:val="0"/>
                <w:sz w:val="24"/>
                <w:szCs w:val="24"/>
                <w:highlight w:val="none"/>
                <w:lang w:eastAsia="zh-CN"/>
              </w:rPr>
              <w:fldChar w:fldCharType="separate"/>
            </w:r>
            <w:r>
              <w:rPr>
                <w:rFonts w:hint="default" w:ascii="Times New Roman" w:hAnsi="Times New Roman" w:eastAsia="仿宋_GB2312" w:cs="Times New Roman"/>
                <w:color w:val="auto"/>
                <w:sz w:val="24"/>
                <w:szCs w:val="24"/>
                <w:highlight w:val="none"/>
              </w:rPr>
              <w:t>⑴</w:t>
            </w:r>
            <w:r>
              <w:rPr>
                <w:rFonts w:hint="default" w:ascii="Times New Roman" w:hAnsi="Times New Roman" w:eastAsia="仿宋_GB2312" w:cs="Times New Roman"/>
                <w:color w:val="auto"/>
                <w:kern w:val="0"/>
                <w:sz w:val="24"/>
                <w:szCs w:val="24"/>
                <w:highlight w:val="none"/>
                <w:lang w:eastAsia="zh-CN"/>
              </w:rPr>
              <w:fldChar w:fldCharType="end"/>
            </w:r>
            <w:r>
              <w:rPr>
                <w:rFonts w:hint="default" w:ascii="Times New Roman" w:hAnsi="Times New Roman" w:eastAsia="仿宋_GB2312" w:cs="Times New Roman"/>
                <w:color w:val="auto"/>
                <w:kern w:val="0"/>
                <w:sz w:val="24"/>
                <w:szCs w:val="24"/>
                <w:highlight w:val="none"/>
                <w:lang w:val="en-US" w:eastAsia="zh-CN"/>
              </w:rPr>
              <w:t>废气</w:t>
            </w:r>
          </w:p>
          <w:p w14:paraId="38E749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仿宋_GB2312" w:cs="Times New Roman"/>
                <w:color w:val="auto"/>
                <w:sz w:val="24"/>
                <w:lang w:val="en-US" w:eastAsia="zh-CN"/>
              </w:rPr>
              <w:t>本项目大气污染物主要为实验过程中产生的酸性废气，酸性废气主要为氯化氢、硫酸雾、NOx，有机废气以非甲烷总烃计，排放执行《大气污染物综合排放标准》（GB16297-1996）无组织排放监控浓度限值，见下表</w:t>
            </w:r>
            <w:r>
              <w:rPr>
                <w:rFonts w:hint="eastAsia" w:eastAsia="仿宋_GB2312" w:cs="Times New Roman"/>
                <w:color w:val="auto"/>
                <w:sz w:val="24"/>
                <w:lang w:val="en-US" w:eastAsia="zh-CN"/>
              </w:rPr>
              <w:t>21</w:t>
            </w:r>
            <w:r>
              <w:rPr>
                <w:rFonts w:hint="eastAsia" w:ascii="Times New Roman" w:hAnsi="Times New Roman" w:eastAsia="仿宋_GB2312" w:cs="Times New Roman"/>
                <w:color w:val="auto"/>
                <w:sz w:val="24"/>
                <w:lang w:val="en-US" w:eastAsia="zh-CN"/>
              </w:rPr>
              <w:t>。</w:t>
            </w:r>
          </w:p>
          <w:p w14:paraId="6BDD538B">
            <w:pPr>
              <w:ind w:left="0" w:leftChars="0" w:firstLine="422" w:firstLineChars="200"/>
              <w:jc w:val="both"/>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rPr>
              <w:t>表</w:t>
            </w:r>
            <w:r>
              <w:rPr>
                <w:rFonts w:hint="eastAsia" w:cs="Times New Roman"/>
                <w:b/>
                <w:bCs/>
                <w:color w:val="auto"/>
                <w:lang w:val="en-US" w:eastAsia="zh-CN"/>
              </w:rPr>
              <w:t>21</w:t>
            </w:r>
            <w:r>
              <w:rPr>
                <w:rFonts w:hint="eastAsia" w:ascii="Times New Roman" w:hAnsi="Times New Roman" w:eastAsia="宋体" w:cs="Times New Roman"/>
                <w:b/>
                <w:bCs/>
                <w:color w:val="auto"/>
              </w:rPr>
              <w:t xml:space="preserve">  </w:t>
            </w:r>
            <w:r>
              <w:rPr>
                <w:rFonts w:hint="eastAsia" w:cs="Times New Roman"/>
                <w:b/>
                <w:bCs/>
                <w:color w:val="auto"/>
                <w:lang w:val="en-US" w:eastAsia="zh-CN"/>
              </w:rPr>
              <w:t xml:space="preserve">     </w:t>
            </w:r>
            <w:r>
              <w:rPr>
                <w:rFonts w:hint="eastAsia"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大气污染物综合排放标准</w:t>
            </w:r>
            <w:r>
              <w:rPr>
                <w:rFonts w:hint="eastAsia" w:ascii="Times New Roman" w:hAnsi="Times New Roman" w:eastAsia="宋体" w:cs="Times New Roman"/>
                <w:b/>
                <w:bCs/>
                <w:color w:val="auto"/>
              </w:rPr>
              <w:t>》（GB</w:t>
            </w:r>
            <w:r>
              <w:rPr>
                <w:rFonts w:hint="eastAsia" w:ascii="Times New Roman" w:hAnsi="Times New Roman" w:eastAsia="宋体" w:cs="Times New Roman"/>
                <w:b/>
                <w:bCs/>
                <w:color w:val="auto"/>
                <w:lang w:val="en-US" w:eastAsia="zh-CN"/>
              </w:rPr>
              <w:t>16297-1996</w:t>
            </w:r>
            <w:r>
              <w:rPr>
                <w:rFonts w:hint="eastAsia" w:ascii="Times New Roman" w:hAnsi="Times New Roman" w:eastAsia="宋体" w:cs="Times New Roman"/>
                <w:b/>
                <w:bCs/>
                <w:color w:val="auto"/>
              </w:rPr>
              <w:t>）</w:t>
            </w:r>
          </w:p>
          <w:tbl>
            <w:tblPr>
              <w:tblStyle w:val="33"/>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527"/>
              <w:gridCol w:w="2194"/>
              <w:gridCol w:w="2310"/>
            </w:tblGrid>
            <w:tr w14:paraId="680F0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22" w:type="dxa"/>
                  <w:vMerge w:val="restart"/>
                  <w:noWrap w:val="0"/>
                  <w:vAlign w:val="center"/>
                </w:tcPr>
                <w:p w14:paraId="1B94B90B">
                  <w:pPr>
                    <w:pStyle w:val="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2414" w:type="dxa"/>
                  <w:vMerge w:val="restart"/>
                  <w:noWrap w:val="0"/>
                  <w:vAlign w:val="center"/>
                </w:tcPr>
                <w:p w14:paraId="3401EF6D">
                  <w:pPr>
                    <w:pStyle w:val="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污染物项目</w:t>
                  </w:r>
                </w:p>
              </w:tc>
              <w:tc>
                <w:tcPr>
                  <w:tcW w:w="4303" w:type="dxa"/>
                  <w:gridSpan w:val="2"/>
                  <w:noWrap w:val="0"/>
                  <w:vAlign w:val="center"/>
                </w:tcPr>
                <w:p w14:paraId="265FA8DA">
                  <w:pPr>
                    <w:pStyle w:val="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无组织排放监控浓度限值</w:t>
                  </w:r>
                </w:p>
              </w:tc>
            </w:tr>
            <w:tr w14:paraId="52378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322" w:type="dxa"/>
                  <w:vMerge w:val="continue"/>
                  <w:noWrap w:val="0"/>
                  <w:vAlign w:val="center"/>
                </w:tcPr>
                <w:p w14:paraId="45AF9445">
                  <w:pPr>
                    <w:pStyle w:val="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c>
                <w:tcPr>
                  <w:tcW w:w="2414" w:type="dxa"/>
                  <w:vMerge w:val="continue"/>
                  <w:noWrap w:val="0"/>
                  <w:vAlign w:val="center"/>
                </w:tcPr>
                <w:p w14:paraId="6A36B8C4">
                  <w:pPr>
                    <w:pStyle w:val="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c>
                <w:tcPr>
                  <w:tcW w:w="2096" w:type="dxa"/>
                  <w:noWrap w:val="0"/>
                  <w:vAlign w:val="center"/>
                </w:tcPr>
                <w:p w14:paraId="4D6AF763">
                  <w:pPr>
                    <w:pStyle w:val="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监控点</w:t>
                  </w:r>
                </w:p>
              </w:tc>
              <w:tc>
                <w:tcPr>
                  <w:tcW w:w="2207" w:type="dxa"/>
                  <w:noWrap w:val="0"/>
                  <w:vAlign w:val="center"/>
                </w:tcPr>
                <w:p w14:paraId="37BE528C">
                  <w:pPr>
                    <w:pStyle w:val="4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浓度</w:t>
                  </w:r>
                  <w:r>
                    <w:rPr>
                      <w:rFonts w:hint="eastAsia" w:ascii="Times New Roman" w:hAnsi="Times New Roman" w:cs="Times New Roman"/>
                      <w:b/>
                      <w:bCs/>
                      <w:color w:val="auto"/>
                      <w:sz w:val="21"/>
                      <w:szCs w:val="21"/>
                      <w:vertAlign w:val="baseline"/>
                      <w:lang w:val="en-US" w:eastAsia="zh-CN"/>
                    </w:rPr>
                    <w:t>（mg/m</w:t>
                  </w:r>
                  <w:r>
                    <w:rPr>
                      <w:rFonts w:hint="eastAsia" w:ascii="Times New Roman" w:hAnsi="Times New Roman" w:cs="Times New Roman"/>
                      <w:b/>
                      <w:bCs/>
                      <w:color w:val="auto"/>
                      <w:sz w:val="21"/>
                      <w:szCs w:val="21"/>
                      <w:vertAlign w:val="superscript"/>
                      <w:lang w:val="en-US" w:eastAsia="zh-CN"/>
                    </w:rPr>
                    <w:t>3</w:t>
                  </w:r>
                  <w:r>
                    <w:rPr>
                      <w:rFonts w:hint="eastAsia" w:ascii="Times New Roman" w:hAnsi="Times New Roman" w:cs="Times New Roman"/>
                      <w:b/>
                      <w:bCs/>
                      <w:color w:val="auto"/>
                      <w:sz w:val="21"/>
                      <w:szCs w:val="21"/>
                      <w:vertAlign w:val="baseline"/>
                      <w:lang w:val="en-US" w:eastAsia="zh-CN"/>
                    </w:rPr>
                    <w:t>）</w:t>
                  </w:r>
                </w:p>
              </w:tc>
            </w:tr>
            <w:tr w14:paraId="3E3BC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322" w:type="dxa"/>
                  <w:noWrap w:val="0"/>
                  <w:vAlign w:val="center"/>
                </w:tcPr>
                <w:p w14:paraId="70D3EE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2414" w:type="dxa"/>
                  <w:noWrap w:val="0"/>
                  <w:vAlign w:val="center"/>
                </w:tcPr>
                <w:p w14:paraId="6270FC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硫酸雾</w:t>
                  </w:r>
                </w:p>
              </w:tc>
              <w:tc>
                <w:tcPr>
                  <w:tcW w:w="2096" w:type="dxa"/>
                  <w:vMerge w:val="restart"/>
                  <w:noWrap w:val="0"/>
                  <w:vAlign w:val="center"/>
                </w:tcPr>
                <w:p w14:paraId="3C517E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周界外浓度最高点</w:t>
                  </w:r>
                </w:p>
              </w:tc>
              <w:tc>
                <w:tcPr>
                  <w:tcW w:w="2207" w:type="dxa"/>
                  <w:noWrap w:val="0"/>
                  <w:vAlign w:val="center"/>
                </w:tcPr>
                <w:p w14:paraId="23783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r>
            <w:tr w14:paraId="1C469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322" w:type="dxa"/>
                  <w:noWrap w:val="0"/>
                  <w:vAlign w:val="center"/>
                </w:tcPr>
                <w:p w14:paraId="13DB08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p>
              </w:tc>
              <w:tc>
                <w:tcPr>
                  <w:tcW w:w="2414" w:type="dxa"/>
                  <w:noWrap w:val="0"/>
                  <w:vAlign w:val="center"/>
                </w:tcPr>
                <w:p w14:paraId="67808C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非甲烷总烃</w:t>
                  </w:r>
                </w:p>
              </w:tc>
              <w:tc>
                <w:tcPr>
                  <w:tcW w:w="2096" w:type="dxa"/>
                  <w:vMerge w:val="continue"/>
                  <w:noWrap w:val="0"/>
                  <w:vAlign w:val="center"/>
                </w:tcPr>
                <w:p w14:paraId="445EEE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p>
              </w:tc>
              <w:tc>
                <w:tcPr>
                  <w:tcW w:w="2207" w:type="dxa"/>
                  <w:noWrap w:val="0"/>
                  <w:vAlign w:val="center"/>
                </w:tcPr>
                <w:p w14:paraId="5BD005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r>
            <w:tr w14:paraId="26767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322" w:type="dxa"/>
                  <w:noWrap w:val="0"/>
                  <w:vAlign w:val="center"/>
                </w:tcPr>
                <w:p w14:paraId="69A63E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2414" w:type="dxa"/>
                  <w:noWrap w:val="0"/>
                  <w:vAlign w:val="center"/>
                </w:tcPr>
                <w:p w14:paraId="7F08E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氯化氢</w:t>
                  </w:r>
                </w:p>
              </w:tc>
              <w:tc>
                <w:tcPr>
                  <w:tcW w:w="2096" w:type="dxa"/>
                  <w:vMerge w:val="continue"/>
                  <w:noWrap w:val="0"/>
                  <w:vAlign w:val="center"/>
                </w:tcPr>
                <w:p w14:paraId="6F27C3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07" w:type="dxa"/>
                  <w:noWrap w:val="0"/>
                  <w:vAlign w:val="center"/>
                </w:tcPr>
                <w:p w14:paraId="0E5AAD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w:t>
                  </w:r>
                </w:p>
              </w:tc>
            </w:tr>
            <w:tr w14:paraId="45081D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322" w:type="dxa"/>
                  <w:noWrap w:val="0"/>
                  <w:vAlign w:val="center"/>
                </w:tcPr>
                <w:p w14:paraId="51286D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2414" w:type="dxa"/>
                  <w:noWrap w:val="0"/>
                  <w:vAlign w:val="center"/>
                </w:tcPr>
                <w:p w14:paraId="4747D8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氮氧化物</w:t>
                  </w:r>
                </w:p>
              </w:tc>
              <w:tc>
                <w:tcPr>
                  <w:tcW w:w="2096" w:type="dxa"/>
                  <w:vMerge w:val="continue"/>
                  <w:noWrap w:val="0"/>
                  <w:vAlign w:val="center"/>
                </w:tcPr>
                <w:p w14:paraId="1E9D3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07" w:type="dxa"/>
                  <w:noWrap w:val="0"/>
                  <w:vAlign w:val="center"/>
                </w:tcPr>
                <w:p w14:paraId="18D1CE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w:t>
                  </w:r>
                </w:p>
              </w:tc>
            </w:tr>
          </w:tbl>
          <w:p w14:paraId="63F6C479">
            <w:pPr>
              <w:adjustRightInd w:val="0"/>
              <w:spacing w:line="360" w:lineRule="auto"/>
              <w:ind w:firstLine="480" w:firstLineChars="200"/>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eastAsia="zh-CN"/>
              </w:rPr>
              <w:fldChar w:fldCharType="begin"/>
            </w:r>
            <w:r>
              <w:rPr>
                <w:rFonts w:hint="default" w:ascii="Times New Roman" w:hAnsi="Times New Roman" w:eastAsia="仿宋_GB2312" w:cs="Times New Roman"/>
                <w:color w:val="auto"/>
                <w:kern w:val="0"/>
                <w:sz w:val="24"/>
                <w:szCs w:val="24"/>
                <w:highlight w:val="none"/>
                <w:lang w:eastAsia="zh-CN"/>
              </w:rPr>
              <w:instrText xml:space="preserve"> = 2 \* GB2 \* MERGEFORMAT </w:instrText>
            </w:r>
            <w:r>
              <w:rPr>
                <w:rFonts w:hint="default" w:ascii="Times New Roman" w:hAnsi="Times New Roman" w:eastAsia="仿宋_GB2312" w:cs="Times New Roman"/>
                <w:color w:val="auto"/>
                <w:kern w:val="0"/>
                <w:sz w:val="24"/>
                <w:szCs w:val="24"/>
                <w:highlight w:val="none"/>
                <w:lang w:eastAsia="zh-CN"/>
              </w:rPr>
              <w:fldChar w:fldCharType="separate"/>
            </w:r>
            <w:r>
              <w:rPr>
                <w:rFonts w:hint="default" w:ascii="Times New Roman" w:hAnsi="Times New Roman" w:eastAsia="仿宋_GB2312" w:cs="Times New Roman"/>
                <w:color w:val="auto"/>
                <w:kern w:val="0"/>
                <w:sz w:val="24"/>
                <w:szCs w:val="24"/>
                <w:highlight w:val="none"/>
                <w:lang w:eastAsia="zh-CN"/>
              </w:rPr>
              <w:t>⑵</w:t>
            </w:r>
            <w:r>
              <w:rPr>
                <w:rFonts w:hint="default" w:ascii="Times New Roman" w:hAnsi="Times New Roman" w:eastAsia="仿宋_GB2312" w:cs="Times New Roman"/>
                <w:color w:val="auto"/>
                <w:kern w:val="0"/>
                <w:sz w:val="24"/>
                <w:szCs w:val="24"/>
                <w:highlight w:val="none"/>
                <w:lang w:eastAsia="zh-CN"/>
              </w:rPr>
              <w:fldChar w:fldCharType="end"/>
            </w:r>
            <w:r>
              <w:rPr>
                <w:rFonts w:hint="eastAsia" w:ascii="Times New Roman" w:hAnsi="Times New Roman" w:eastAsia="仿宋_GB2312" w:cs="Times New Roman"/>
                <w:color w:val="auto"/>
                <w:kern w:val="0"/>
                <w:sz w:val="24"/>
                <w:szCs w:val="24"/>
                <w:highlight w:val="none"/>
                <w:lang w:val="en-US" w:eastAsia="zh-CN"/>
              </w:rPr>
              <w:t>噪声</w:t>
            </w:r>
          </w:p>
          <w:p w14:paraId="7EC03201">
            <w:pPr>
              <w:adjustRightInd w:val="0"/>
              <w:spacing w:line="360" w:lineRule="auto"/>
              <w:ind w:firstLine="480" w:firstLineChars="200"/>
              <w:rPr>
                <w:rFonts w:hint="default" w:ascii="Times New Roman" w:hAnsi="Times New Roman" w:eastAsia="仿宋_GB2312" w:cs="Times New Roman"/>
                <w:color w:val="auto"/>
                <w:kern w:val="0"/>
                <w:sz w:val="24"/>
                <w:szCs w:val="24"/>
                <w:highlight w:val="none"/>
                <w:lang w:eastAsia="zh-CN"/>
              </w:rPr>
            </w:pPr>
            <w:r>
              <w:rPr>
                <w:rFonts w:hint="default" w:ascii="Times New Roman" w:hAnsi="Times New Roman" w:eastAsia="仿宋_GB2312" w:cs="Times New Roman"/>
                <w:color w:val="auto"/>
                <w:kern w:val="0"/>
                <w:sz w:val="24"/>
                <w:szCs w:val="24"/>
                <w:highlight w:val="none"/>
              </w:rPr>
              <w:t>本项目施工期噪声执行《建筑施工噪声排放标准》（GB12523-20</w:t>
            </w:r>
            <w:r>
              <w:rPr>
                <w:rFonts w:hint="eastAsia" w:eastAsia="仿宋_GB2312" w:cs="Times New Roman"/>
                <w:color w:val="auto"/>
                <w:kern w:val="0"/>
                <w:sz w:val="24"/>
                <w:szCs w:val="24"/>
                <w:highlight w:val="none"/>
                <w:lang w:val="en-US" w:eastAsia="zh-CN"/>
              </w:rPr>
              <w:t>25</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eastAsia="zh-CN"/>
              </w:rPr>
              <w:t>。</w:t>
            </w:r>
          </w:p>
          <w:p w14:paraId="6AAB113B">
            <w:pPr>
              <w:adjustRightInd w:val="0"/>
              <w:ind w:firstLine="420" w:firstLineChars="200"/>
              <w:jc w:val="both"/>
              <w:rPr>
                <w:rFonts w:hint="default" w:ascii="Times New Roman" w:hAnsi="Times New Roman" w:eastAsia="仿宋_GB2312" w:cs="Times New Roman"/>
                <w:b/>
                <w:bCs/>
                <w:color w:val="auto"/>
                <w:kern w:val="0"/>
                <w:sz w:val="24"/>
                <w:highlight w:val="none"/>
              </w:rPr>
            </w:pPr>
            <w:r>
              <w:rPr>
                <w:rFonts w:hint="default" w:ascii="Times New Roman" w:hAnsi="Times New Roman" w:eastAsia="仿宋_GB2312" w:cs="Times New Roman"/>
                <w:b w:val="0"/>
                <w:bCs w:val="0"/>
                <w:color w:val="auto"/>
                <w:kern w:val="0"/>
                <w:sz w:val="21"/>
                <w:szCs w:val="21"/>
                <w:highlight w:val="none"/>
              </w:rPr>
              <w:t>表</w:t>
            </w:r>
            <w:r>
              <w:rPr>
                <w:rFonts w:hint="eastAsia" w:eastAsia="仿宋_GB2312" w:cs="Times New Roman"/>
                <w:b w:val="0"/>
                <w:bCs w:val="0"/>
                <w:color w:val="auto"/>
                <w:kern w:val="0"/>
                <w:sz w:val="21"/>
                <w:szCs w:val="21"/>
                <w:highlight w:val="none"/>
                <w:lang w:val="en-US" w:eastAsia="zh-CN"/>
              </w:rPr>
              <w:t>22</w:t>
            </w:r>
            <w:r>
              <w:rPr>
                <w:rFonts w:hint="default" w:ascii="Times New Roman" w:hAnsi="Times New Roman" w:eastAsia="仿宋_GB2312" w:cs="Times New Roman"/>
                <w:b w:val="0"/>
                <w:bCs w:val="0"/>
                <w:color w:val="auto"/>
                <w:kern w:val="0"/>
                <w:sz w:val="21"/>
                <w:szCs w:val="21"/>
                <w:highlight w:val="none"/>
              </w:rPr>
              <w:t xml:space="preserve">  </w:t>
            </w:r>
            <w:r>
              <w:rPr>
                <w:rFonts w:hint="eastAsia" w:eastAsia="仿宋_GB2312" w:cs="Times New Roman"/>
                <w:b w:val="0"/>
                <w:bCs w:val="0"/>
                <w:color w:val="auto"/>
                <w:kern w:val="0"/>
                <w:sz w:val="21"/>
                <w:szCs w:val="21"/>
                <w:highlight w:val="none"/>
                <w:lang w:val="en-US" w:eastAsia="zh-CN"/>
              </w:rPr>
              <w:t xml:space="preserve">            </w:t>
            </w:r>
            <w:r>
              <w:rPr>
                <w:rFonts w:hint="eastAsia" w:ascii="宋体" w:hAnsi="宋体" w:eastAsia="宋体" w:cs="宋体"/>
                <w:b/>
                <w:bCs/>
                <w:color w:val="auto"/>
                <w:kern w:val="0"/>
                <w:sz w:val="24"/>
                <w:highlight w:val="none"/>
              </w:rPr>
              <w:t>本项目施工期噪声排放标准</w:t>
            </w:r>
          </w:p>
          <w:tbl>
            <w:tblPr>
              <w:tblStyle w:val="33"/>
              <w:tblpPr w:leftFromText="180" w:rightFromText="180" w:vertAnchor="text" w:tblpXSpec="center" w:tblpY="1"/>
              <w:tblOverlap w:val="never"/>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9"/>
              <w:gridCol w:w="4301"/>
            </w:tblGrid>
            <w:tr w14:paraId="711D6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0" w:type="dxa"/>
                  <w:tcBorders>
                    <w:tl2br w:val="nil"/>
                    <w:tr2bl w:val="nil"/>
                  </w:tcBorders>
                  <w:vAlign w:val="center"/>
                </w:tcPr>
                <w:p w14:paraId="4A76FF88">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昼间/dB(A)</w:t>
                  </w:r>
                </w:p>
              </w:tc>
              <w:tc>
                <w:tcPr>
                  <w:tcW w:w="4081" w:type="dxa"/>
                  <w:tcBorders>
                    <w:tl2br w:val="nil"/>
                    <w:tr2bl w:val="nil"/>
                  </w:tcBorders>
                  <w:vAlign w:val="center"/>
                </w:tcPr>
                <w:p w14:paraId="6D56E42A">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夜间/dB(A)</w:t>
                  </w:r>
                </w:p>
              </w:tc>
            </w:tr>
            <w:tr w14:paraId="3F148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0" w:type="dxa"/>
                  <w:tcBorders>
                    <w:tl2br w:val="nil"/>
                    <w:tr2bl w:val="nil"/>
                  </w:tcBorders>
                  <w:vAlign w:val="center"/>
                </w:tcPr>
                <w:p w14:paraId="28E26653">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c>
                <w:tcPr>
                  <w:tcW w:w="4081" w:type="dxa"/>
                  <w:tcBorders>
                    <w:tl2br w:val="nil"/>
                    <w:tr2bl w:val="nil"/>
                  </w:tcBorders>
                  <w:vAlign w:val="center"/>
                </w:tcPr>
                <w:p w14:paraId="110C19DE">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55</w:t>
                  </w:r>
                </w:p>
              </w:tc>
            </w:tr>
          </w:tbl>
          <w:p w14:paraId="5654E5A1">
            <w:pPr>
              <w:adjustRightInd w:val="0"/>
              <w:spacing w:line="360" w:lineRule="auto"/>
              <w:ind w:firstLine="480" w:firstLineChars="200"/>
              <w:rPr>
                <w:rFonts w:hint="default" w:ascii="Times New Roman" w:hAnsi="Times New Roman" w:eastAsia="仿宋_GB2312" w:cs="Times New Roman"/>
                <w:color w:val="auto"/>
                <w:kern w:val="0"/>
                <w:sz w:val="24"/>
                <w:highlight w:val="none"/>
                <w:lang w:eastAsia="zh-CN"/>
              </w:rPr>
            </w:pPr>
            <w:r>
              <w:rPr>
                <w:rFonts w:hint="default" w:ascii="Times New Roman" w:hAnsi="Times New Roman" w:eastAsia="仿宋_GB2312" w:cs="Times New Roman"/>
                <w:color w:val="auto"/>
                <w:kern w:val="0"/>
                <w:sz w:val="24"/>
                <w:highlight w:val="none"/>
              </w:rPr>
              <w:t>项目运营期噪声排放执行《工业企业厂界环境噪声排放标准》（GB 12348-2008）中</w:t>
            </w:r>
            <w:r>
              <w:rPr>
                <w:rFonts w:hint="eastAsia" w:ascii="Times New Roman" w:hAnsi="Times New Roman" w:eastAsia="仿宋_GB2312" w:cs="Times New Roman"/>
                <w:color w:val="auto"/>
                <w:kern w:val="0"/>
                <w:sz w:val="24"/>
                <w:highlight w:val="none"/>
                <w:lang w:val="en-US" w:eastAsia="zh-CN"/>
              </w:rPr>
              <w:t>1</w:t>
            </w:r>
            <w:r>
              <w:rPr>
                <w:rFonts w:hint="default" w:ascii="Times New Roman" w:hAnsi="Times New Roman" w:eastAsia="仿宋_GB2312" w:cs="Times New Roman"/>
                <w:color w:val="auto"/>
                <w:kern w:val="0"/>
                <w:sz w:val="24"/>
                <w:highlight w:val="none"/>
              </w:rPr>
              <w:t>类标准，具体标准详见下表</w:t>
            </w:r>
            <w:r>
              <w:rPr>
                <w:rFonts w:hint="default" w:ascii="Times New Roman" w:hAnsi="Times New Roman" w:eastAsia="仿宋_GB2312" w:cs="Times New Roman"/>
                <w:color w:val="auto"/>
                <w:kern w:val="0"/>
                <w:sz w:val="24"/>
                <w:highlight w:val="none"/>
                <w:lang w:eastAsia="zh-CN"/>
              </w:rPr>
              <w:t>。</w:t>
            </w:r>
          </w:p>
          <w:p w14:paraId="1E02D88B">
            <w:pPr>
              <w:pStyle w:val="42"/>
              <w:spacing w:line="240" w:lineRule="auto"/>
              <w:jc w:val="both"/>
              <w:rPr>
                <w:rFonts w:hint="default" w:ascii="宋体" w:hAnsi="宋体" w:eastAsia="宋体" w:cs="宋体"/>
                <w:b/>
                <w:bCs/>
                <w:color w:val="auto"/>
                <w:kern w:val="0"/>
                <w:sz w:val="24"/>
                <w:szCs w:val="24"/>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表</w:t>
            </w:r>
            <w:r>
              <w:rPr>
                <w:rFonts w:hint="eastAsia" w:ascii="Times New Roman" w:hAnsi="Times New Roman" w:cs="Times New Roman"/>
                <w:b w:val="0"/>
                <w:bCs w:val="0"/>
                <w:color w:val="auto"/>
                <w:sz w:val="21"/>
                <w:szCs w:val="21"/>
                <w:highlight w:val="none"/>
                <w:lang w:val="en-US" w:eastAsia="zh-CN"/>
              </w:rPr>
              <w:t>23</w:t>
            </w:r>
            <w:r>
              <w:rPr>
                <w:rFonts w:hint="eastAsia" w:ascii="Times New Roman" w:hAnsi="Times New Roman" w:eastAsia="宋体"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lang w:val="en-US" w:eastAsia="zh-CN"/>
              </w:rPr>
              <w:t xml:space="preserve"> </w:t>
            </w:r>
            <w:r>
              <w:rPr>
                <w:rFonts w:hint="default" w:ascii="宋体" w:hAnsi="宋体" w:eastAsia="宋体" w:cs="宋体"/>
                <w:b/>
                <w:bCs/>
                <w:color w:val="auto"/>
                <w:kern w:val="0"/>
                <w:sz w:val="24"/>
                <w:szCs w:val="24"/>
                <w:highlight w:val="none"/>
                <w:lang w:val="en-US" w:eastAsia="zh-CN" w:bidi="ar-SA"/>
              </w:rPr>
              <w:t>《工业企业厂界环境噪声排放标准》（GB 12348-2008）</w:t>
            </w:r>
          </w:p>
          <w:tbl>
            <w:tblPr>
              <w:tblStyle w:val="33"/>
              <w:tblW w:w="83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94"/>
              <w:gridCol w:w="3032"/>
              <w:gridCol w:w="3064"/>
            </w:tblGrid>
            <w:tr w14:paraId="044134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70" w:type="dxa"/>
                  <w:noWrap w:val="0"/>
                  <w:vAlign w:val="center"/>
                </w:tcPr>
                <w:p w14:paraId="5CD82A67">
                  <w:pPr>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类别</w:t>
                  </w:r>
                </w:p>
              </w:tc>
              <w:tc>
                <w:tcPr>
                  <w:tcW w:w="2868" w:type="dxa"/>
                  <w:noWrap w:val="0"/>
                  <w:vAlign w:val="center"/>
                </w:tcPr>
                <w:p w14:paraId="0ACE136C">
                  <w:pPr>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昼间</w:t>
                  </w:r>
                  <w:r>
                    <w:rPr>
                      <w:rFonts w:hint="default" w:ascii="Times New Roman" w:hAnsi="Times New Roman" w:eastAsia="宋体" w:cs="Times New Roman"/>
                      <w:snapToGrid w:val="0"/>
                      <w:color w:val="auto"/>
                      <w:kern w:val="0"/>
                      <w:sz w:val="21"/>
                      <w:szCs w:val="21"/>
                      <w:highlight w:val="none"/>
                    </w:rPr>
                    <w:t>dB(A)</w:t>
                  </w:r>
                </w:p>
              </w:tc>
              <w:tc>
                <w:tcPr>
                  <w:tcW w:w="2899" w:type="dxa"/>
                  <w:noWrap w:val="0"/>
                  <w:vAlign w:val="center"/>
                </w:tcPr>
                <w:p w14:paraId="55AE592D">
                  <w:pPr>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夜间</w:t>
                  </w:r>
                  <w:r>
                    <w:rPr>
                      <w:rFonts w:hint="default" w:ascii="Times New Roman" w:hAnsi="Times New Roman" w:eastAsia="宋体" w:cs="Times New Roman"/>
                      <w:snapToGrid w:val="0"/>
                      <w:color w:val="auto"/>
                      <w:kern w:val="0"/>
                      <w:sz w:val="21"/>
                      <w:szCs w:val="21"/>
                      <w:highlight w:val="none"/>
                    </w:rPr>
                    <w:t>dB(A)</w:t>
                  </w:r>
                </w:p>
              </w:tc>
            </w:tr>
            <w:tr w14:paraId="4F7873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70" w:type="dxa"/>
                  <w:noWrap w:val="0"/>
                  <w:vAlign w:val="center"/>
                </w:tcPr>
                <w:p w14:paraId="71F63788">
                  <w:pPr>
                    <w:jc w:val="center"/>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lang w:val="en-US" w:eastAsia="zh-CN"/>
                    </w:rPr>
                    <w:t>1</w:t>
                  </w:r>
                  <w:r>
                    <w:rPr>
                      <w:rFonts w:hint="default" w:ascii="Times New Roman" w:hAnsi="Times New Roman" w:eastAsia="宋体" w:cs="Times New Roman"/>
                      <w:snapToGrid w:val="0"/>
                      <w:color w:val="auto"/>
                      <w:kern w:val="0"/>
                      <w:sz w:val="21"/>
                      <w:szCs w:val="21"/>
                      <w:highlight w:val="none"/>
                    </w:rPr>
                    <w:t>类</w:t>
                  </w:r>
                </w:p>
              </w:tc>
              <w:tc>
                <w:tcPr>
                  <w:tcW w:w="2868" w:type="dxa"/>
                  <w:noWrap w:val="0"/>
                  <w:vAlign w:val="center"/>
                </w:tcPr>
                <w:p w14:paraId="0836BABD">
                  <w:pPr>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55</w:t>
                  </w:r>
                </w:p>
              </w:tc>
              <w:tc>
                <w:tcPr>
                  <w:tcW w:w="2899" w:type="dxa"/>
                  <w:noWrap w:val="0"/>
                  <w:vAlign w:val="center"/>
                </w:tcPr>
                <w:p w14:paraId="2EFB6F42">
                  <w:pPr>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45</w:t>
                  </w:r>
                </w:p>
              </w:tc>
            </w:tr>
          </w:tbl>
          <w:p w14:paraId="5A8B8D9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fldChar w:fldCharType="begin"/>
            </w:r>
            <w:r>
              <w:rPr>
                <w:rFonts w:hint="default" w:ascii="Times New Roman" w:hAnsi="Times New Roman" w:eastAsia="仿宋_GB2312" w:cs="Times New Roman"/>
                <w:color w:val="auto"/>
                <w:kern w:val="0"/>
                <w:sz w:val="24"/>
                <w:szCs w:val="24"/>
                <w:highlight w:val="none"/>
                <w:lang w:val="en-US" w:eastAsia="zh-CN"/>
              </w:rPr>
              <w:instrText xml:space="preserve"> = 3 \* GB2 \* MERGEFORMAT </w:instrText>
            </w:r>
            <w:r>
              <w:rPr>
                <w:rFonts w:hint="default" w:ascii="Times New Roman" w:hAnsi="Times New Roman" w:eastAsia="仿宋_GB2312" w:cs="Times New Roman"/>
                <w:color w:val="auto"/>
                <w:kern w:val="0"/>
                <w:sz w:val="24"/>
                <w:szCs w:val="24"/>
                <w:highlight w:val="none"/>
                <w:lang w:val="en-US" w:eastAsia="zh-CN"/>
              </w:rPr>
              <w:fldChar w:fldCharType="separate"/>
            </w:r>
            <w:r>
              <w:rPr>
                <w:rFonts w:hint="default" w:ascii="Times New Roman" w:hAnsi="Times New Roman" w:eastAsia="仿宋_GB2312" w:cs="Times New Roman"/>
                <w:color w:val="auto"/>
                <w:kern w:val="0"/>
                <w:sz w:val="24"/>
                <w:szCs w:val="24"/>
                <w:highlight w:val="none"/>
                <w:lang w:eastAsia="zh-CN"/>
              </w:rPr>
              <w:t>⑶</w:t>
            </w:r>
            <w:r>
              <w:rPr>
                <w:rFonts w:hint="default" w:ascii="Times New Roman" w:hAnsi="Times New Roman" w:eastAsia="仿宋_GB2312" w:cs="Times New Roman"/>
                <w:color w:val="auto"/>
                <w:kern w:val="0"/>
                <w:sz w:val="24"/>
                <w:szCs w:val="24"/>
                <w:highlight w:val="none"/>
                <w:lang w:val="en-US" w:eastAsia="zh-CN"/>
              </w:rPr>
              <w:fldChar w:fldCharType="end"/>
            </w:r>
            <w:r>
              <w:rPr>
                <w:rFonts w:hint="eastAsia" w:ascii="Times New Roman" w:hAnsi="Times New Roman" w:eastAsia="仿宋_GB2312" w:cs="Times New Roman"/>
                <w:color w:val="auto"/>
                <w:kern w:val="0"/>
                <w:sz w:val="24"/>
                <w:szCs w:val="24"/>
                <w:highlight w:val="none"/>
                <w:lang w:val="en-US" w:eastAsia="zh-CN"/>
              </w:rPr>
              <w:t>废水</w:t>
            </w:r>
          </w:p>
          <w:p w14:paraId="1A8862BF">
            <w:pPr>
              <w:numPr>
                <w:ilvl w:val="0"/>
                <w:numId w:val="0"/>
              </w:numPr>
              <w:adjustRightInd w:val="0"/>
              <w:snapToGrid w:val="0"/>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仿宋_GB2312" w:cs="Times New Roman"/>
                <w:color w:val="auto"/>
                <w:kern w:val="0"/>
                <w:sz w:val="24"/>
                <w:szCs w:val="24"/>
                <w:highlight w:val="none"/>
                <w:lang w:val="en-US" w:eastAsia="zh-CN"/>
              </w:rPr>
              <w:t>运</w:t>
            </w:r>
            <w:r>
              <w:rPr>
                <w:rFonts w:hint="default" w:ascii="Times New Roman" w:hAnsi="Times New Roman" w:eastAsia="仿宋_GB2312" w:cs="Times New Roman"/>
                <w:color w:val="auto"/>
                <w:kern w:val="0"/>
                <w:sz w:val="24"/>
                <w:highlight w:val="none"/>
                <w:lang w:val="en-US" w:eastAsia="zh-CN"/>
              </w:rPr>
              <w:t>营期</w:t>
            </w:r>
            <w:r>
              <w:rPr>
                <w:rFonts w:hint="eastAsia" w:ascii="Times New Roman" w:hAnsi="Times New Roman" w:eastAsia="仿宋_GB2312" w:cs="Times New Roman"/>
                <w:color w:val="auto"/>
                <w:kern w:val="0"/>
                <w:sz w:val="24"/>
                <w:highlight w:val="none"/>
                <w:lang w:val="en-US" w:eastAsia="zh-CN"/>
              </w:rPr>
              <w:t>废水满足</w:t>
            </w:r>
            <w:r>
              <w:rPr>
                <w:rFonts w:hint="default" w:ascii="Times New Roman" w:hAnsi="Times New Roman" w:eastAsia="仿宋_GB2312" w:cs="Times New Roman"/>
                <w:color w:val="auto"/>
                <w:kern w:val="24"/>
                <w:sz w:val="24"/>
                <w:szCs w:val="24"/>
                <w:lang w:val="en-US" w:eastAsia="zh-CN" w:bidi="ar-SA"/>
              </w:rPr>
              <w:t>《污水综合排放标准》(GB8978-1996)三级标准限值要求。</w:t>
            </w:r>
            <w:r>
              <w:rPr>
                <w:rFonts w:hint="eastAsia" w:ascii="Times New Roman" w:hAnsi="Times New Roman" w:eastAsia="仿宋_GB2312" w:cs="Times New Roman"/>
                <w:color w:val="auto"/>
                <w:kern w:val="24"/>
                <w:sz w:val="24"/>
                <w:szCs w:val="24"/>
                <w:lang w:val="en-US" w:eastAsia="zh-CN" w:bidi="ar-SA"/>
              </w:rPr>
              <w:t>同时满足</w:t>
            </w:r>
            <w:r>
              <w:rPr>
                <w:rFonts w:hint="eastAsia" w:ascii="Times New Roman" w:hAnsi="Times New Roman" w:eastAsia="仿宋_GB2312" w:cs="Times New Roman"/>
                <w:color w:val="auto"/>
                <w:kern w:val="0"/>
                <w:sz w:val="24"/>
                <w:highlight w:val="none"/>
                <w:lang w:eastAsia="zh-CN"/>
              </w:rPr>
              <w:t>《污水排入城镇下水道水质标准》（</w:t>
            </w:r>
            <w:r>
              <w:rPr>
                <w:rFonts w:hint="eastAsia" w:ascii="Times New Roman" w:hAnsi="Times New Roman" w:eastAsia="仿宋_GB2312" w:cs="Times New Roman"/>
                <w:color w:val="auto"/>
                <w:kern w:val="0"/>
                <w:sz w:val="24"/>
                <w:highlight w:val="none"/>
                <w:lang w:val="en-US" w:eastAsia="zh-CN"/>
              </w:rPr>
              <w:t>GB/T31962-2015</w:t>
            </w:r>
            <w:r>
              <w:rPr>
                <w:rFonts w:hint="eastAsia" w:ascii="Times New Roman" w:hAnsi="Times New Roman" w:eastAsia="仿宋_GB2312" w:cs="Times New Roman"/>
                <w:color w:val="auto"/>
                <w:kern w:val="0"/>
                <w:sz w:val="24"/>
                <w:highlight w:val="none"/>
                <w:lang w:eastAsia="zh-CN"/>
              </w:rPr>
              <w:t>）</w:t>
            </w:r>
            <w:r>
              <w:rPr>
                <w:rFonts w:hint="eastAsia" w:ascii="Times New Roman" w:hAnsi="Times New Roman" w:eastAsia="仿宋_GB2312" w:cs="Times New Roman"/>
                <w:color w:val="auto"/>
                <w:kern w:val="0"/>
                <w:sz w:val="24"/>
                <w:highlight w:val="none"/>
                <w:lang w:val="en-US" w:eastAsia="zh-CN"/>
              </w:rPr>
              <w:t>中A级标准后排入市政管网。</w:t>
            </w:r>
          </w:p>
          <w:p w14:paraId="19BC0E52">
            <w:pPr>
              <w:keepNext w:val="0"/>
              <w:keepLines w:val="0"/>
              <w:pageBreakBefore w:val="0"/>
              <w:widowControl w:val="0"/>
              <w:kinsoku w:val="0"/>
              <w:wordWrap/>
              <w:overflowPunct/>
              <w:topLinePunct w:val="0"/>
              <w:autoSpaceDE/>
              <w:autoSpaceDN/>
              <w:bidi w:val="0"/>
              <w:adjustRightInd w:val="0"/>
              <w:snapToGrid w:val="0"/>
              <w:ind w:firstLine="420" w:firstLineChars="200"/>
              <w:jc w:val="left"/>
              <w:textAlignment w:val="auto"/>
              <w:rPr>
                <w:rFonts w:hint="default" w:ascii="Times New Roman" w:hAnsi="Times New Roman" w:eastAsia="宋体" w:cs="Times New Roman"/>
                <w:b w:val="0"/>
                <w:bCs/>
                <w:color w:val="auto"/>
                <w:sz w:val="21"/>
                <w:szCs w:val="21"/>
                <w:lang w:val="en-US" w:eastAsia="zh-CN"/>
              </w:rPr>
            </w:pPr>
          </w:p>
          <w:p w14:paraId="033DC73C">
            <w:pPr>
              <w:keepNext w:val="0"/>
              <w:keepLines w:val="0"/>
              <w:pageBreakBefore w:val="0"/>
              <w:widowControl w:val="0"/>
              <w:kinsoku w:val="0"/>
              <w:wordWrap/>
              <w:overflowPunct/>
              <w:topLinePunct w:val="0"/>
              <w:autoSpaceDE/>
              <w:autoSpaceDN/>
              <w:bidi w:val="0"/>
              <w:adjustRightInd w:val="0"/>
              <w:snapToGrid w:val="0"/>
              <w:ind w:firstLine="420" w:firstLineChars="200"/>
              <w:jc w:val="left"/>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val="0"/>
                <w:bCs/>
                <w:color w:val="auto"/>
                <w:sz w:val="21"/>
                <w:szCs w:val="21"/>
                <w:lang w:val="en-US" w:eastAsia="zh-CN"/>
              </w:rPr>
              <w:t>表</w:t>
            </w:r>
            <w:r>
              <w:rPr>
                <w:rFonts w:hint="eastAsia" w:cs="Times New Roman"/>
                <w:b w:val="0"/>
                <w:bCs/>
                <w:color w:val="auto"/>
                <w:sz w:val="21"/>
                <w:szCs w:val="21"/>
                <w:lang w:val="en-US" w:eastAsia="zh-CN"/>
              </w:rPr>
              <w:t>24</w:t>
            </w:r>
            <w:r>
              <w:rPr>
                <w:rFonts w:hint="default" w:ascii="Times New Roman" w:hAnsi="Times New Roman" w:eastAsia="宋体" w:cs="Times New Roman"/>
                <w:b w:val="0"/>
                <w:bCs/>
                <w:color w:val="auto"/>
                <w:sz w:val="21"/>
                <w:szCs w:val="21"/>
                <w:lang w:val="en-US" w:eastAsia="zh-CN"/>
              </w:rPr>
              <w:t xml:space="preserve">       </w:t>
            </w:r>
            <w:r>
              <w:rPr>
                <w:rFonts w:hint="eastAsia" w:cs="Times New Roman"/>
                <w:b w:val="0"/>
                <w:bCs/>
                <w:color w:val="auto"/>
                <w:sz w:val="21"/>
                <w:szCs w:val="21"/>
                <w:lang w:val="en-US" w:eastAsia="zh-CN"/>
              </w:rPr>
              <w:t xml:space="preserve">           </w:t>
            </w:r>
            <w:r>
              <w:rPr>
                <w:rFonts w:hint="eastAsia" w:cs="Times New Roman"/>
                <w:b/>
                <w:bCs w:val="0"/>
                <w:color w:val="auto"/>
                <w:sz w:val="21"/>
                <w:szCs w:val="21"/>
                <w:lang w:val="en-US" w:eastAsia="zh-CN"/>
              </w:rPr>
              <w:t>污水综合排放标准</w:t>
            </w:r>
          </w:p>
          <w:tbl>
            <w:tblPr>
              <w:tblStyle w:val="76"/>
              <w:tblW w:w="499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80"/>
              <w:gridCol w:w="2556"/>
              <w:gridCol w:w="4679"/>
            </w:tblGrid>
            <w:tr w14:paraId="59ABBD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35" w:type="dxa"/>
                  <w:tcBorders>
                    <w:tl2br w:val="nil"/>
                    <w:tr2bl w:val="nil"/>
                  </w:tcBorders>
                  <w:noWrap w:val="0"/>
                  <w:vAlign w:val="center"/>
                </w:tcPr>
                <w:p w14:paraId="312D34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2241" w:type="dxa"/>
                  <w:tcBorders>
                    <w:tl2br w:val="nil"/>
                    <w:tr2bl w:val="nil"/>
                  </w:tcBorders>
                  <w:noWrap w:val="0"/>
                  <w:vAlign w:val="center"/>
                </w:tcPr>
                <w:p w14:paraId="626EF0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w:t>
                  </w:r>
                </w:p>
              </w:tc>
              <w:tc>
                <w:tcPr>
                  <w:tcW w:w="4102" w:type="dxa"/>
                  <w:tcBorders>
                    <w:tl2br w:val="nil"/>
                    <w:tr2bl w:val="nil"/>
                  </w:tcBorders>
                  <w:noWrap w:val="0"/>
                  <w:vAlign w:val="center"/>
                </w:tcPr>
                <w:p w14:paraId="0A0EDB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《污水综合排放标准》(GB8978-1996)三级标准限值</w:t>
                  </w:r>
                </w:p>
              </w:tc>
            </w:tr>
            <w:tr w14:paraId="5D4895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35" w:type="dxa"/>
                  <w:tcBorders>
                    <w:tl2br w:val="nil"/>
                    <w:tr2bl w:val="nil"/>
                  </w:tcBorders>
                  <w:noWrap w:val="0"/>
                  <w:vAlign w:val="top"/>
                </w:tcPr>
                <w:p w14:paraId="4021B6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2241" w:type="dxa"/>
                  <w:tcBorders>
                    <w:tl2br w:val="nil"/>
                    <w:tr2bl w:val="nil"/>
                  </w:tcBorders>
                  <w:noWrap w:val="0"/>
                  <w:vAlign w:val="center"/>
                </w:tcPr>
                <w:p w14:paraId="625FED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pH（无量纲）</w:t>
                  </w:r>
                </w:p>
              </w:tc>
              <w:tc>
                <w:tcPr>
                  <w:tcW w:w="4102" w:type="dxa"/>
                  <w:tcBorders>
                    <w:tl2br w:val="nil"/>
                    <w:tr2bl w:val="nil"/>
                  </w:tcBorders>
                  <w:noWrap w:val="0"/>
                  <w:vAlign w:val="center"/>
                </w:tcPr>
                <w:p w14:paraId="521325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w:t>
                  </w:r>
                </w:p>
              </w:tc>
            </w:tr>
            <w:tr w14:paraId="48DF08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35" w:type="dxa"/>
                  <w:tcBorders>
                    <w:tl2br w:val="nil"/>
                    <w:tr2bl w:val="nil"/>
                  </w:tcBorders>
                  <w:noWrap w:val="0"/>
                  <w:vAlign w:val="top"/>
                </w:tcPr>
                <w:p w14:paraId="4B362B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2241" w:type="dxa"/>
                  <w:tcBorders>
                    <w:tl2br w:val="nil"/>
                    <w:tr2bl w:val="nil"/>
                  </w:tcBorders>
                  <w:noWrap w:val="0"/>
                  <w:vAlign w:val="center"/>
                </w:tcPr>
                <w:p w14:paraId="7FAC2E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COD</w:t>
                  </w:r>
                  <w:r>
                    <w:rPr>
                      <w:rFonts w:hint="eastAsia" w:ascii="Times New Roman" w:hAnsi="Times New Roman" w:eastAsia="宋体" w:cs="Times New Roman"/>
                      <w:color w:val="auto"/>
                      <w:sz w:val="21"/>
                      <w:szCs w:val="21"/>
                      <w:vertAlign w:val="subscript"/>
                      <w:lang w:val="en-US" w:eastAsia="zh-CN"/>
                    </w:rPr>
                    <w:t>cr</w:t>
                  </w:r>
                </w:p>
              </w:tc>
              <w:tc>
                <w:tcPr>
                  <w:tcW w:w="4102" w:type="dxa"/>
                  <w:tcBorders>
                    <w:tl2br w:val="nil"/>
                    <w:tr2bl w:val="nil"/>
                  </w:tcBorders>
                  <w:noWrap w:val="0"/>
                  <w:vAlign w:val="center"/>
                </w:tcPr>
                <w:p w14:paraId="5C427A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500</w:t>
                  </w:r>
                </w:p>
              </w:tc>
            </w:tr>
            <w:tr w14:paraId="0C969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35" w:type="dxa"/>
                  <w:tcBorders>
                    <w:tl2br w:val="nil"/>
                    <w:tr2bl w:val="nil"/>
                  </w:tcBorders>
                  <w:noWrap w:val="0"/>
                  <w:vAlign w:val="top"/>
                </w:tcPr>
                <w:p w14:paraId="1C86F2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2241" w:type="dxa"/>
                  <w:tcBorders>
                    <w:tl2br w:val="nil"/>
                    <w:tr2bl w:val="nil"/>
                  </w:tcBorders>
                  <w:noWrap w:val="0"/>
                  <w:vAlign w:val="center"/>
                </w:tcPr>
                <w:p w14:paraId="36FEC4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BOD</w:t>
                  </w:r>
                  <w:r>
                    <w:rPr>
                      <w:rFonts w:hint="eastAsia" w:ascii="Times New Roman" w:hAnsi="Times New Roman" w:eastAsia="宋体" w:cs="Times New Roman"/>
                      <w:color w:val="auto"/>
                      <w:sz w:val="21"/>
                      <w:szCs w:val="21"/>
                      <w:vertAlign w:val="subscript"/>
                      <w:lang w:val="en-US" w:eastAsia="zh-CN"/>
                    </w:rPr>
                    <w:t>5</w:t>
                  </w:r>
                </w:p>
              </w:tc>
              <w:tc>
                <w:tcPr>
                  <w:tcW w:w="4102" w:type="dxa"/>
                  <w:tcBorders>
                    <w:tl2br w:val="nil"/>
                    <w:tr2bl w:val="nil"/>
                  </w:tcBorders>
                  <w:noWrap w:val="0"/>
                  <w:vAlign w:val="center"/>
                </w:tcPr>
                <w:p w14:paraId="051CB6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300</w:t>
                  </w:r>
                </w:p>
              </w:tc>
            </w:tr>
            <w:tr w14:paraId="728049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35" w:type="dxa"/>
                  <w:tcBorders>
                    <w:tl2br w:val="nil"/>
                    <w:tr2bl w:val="nil"/>
                  </w:tcBorders>
                  <w:noWrap w:val="0"/>
                  <w:vAlign w:val="top"/>
                </w:tcPr>
                <w:p w14:paraId="29F5BE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2241" w:type="dxa"/>
                  <w:tcBorders>
                    <w:tl2br w:val="nil"/>
                    <w:tr2bl w:val="nil"/>
                  </w:tcBorders>
                  <w:noWrap w:val="0"/>
                  <w:vAlign w:val="center"/>
                </w:tcPr>
                <w:p w14:paraId="6ABBFB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SS</w:t>
                  </w:r>
                </w:p>
              </w:tc>
              <w:tc>
                <w:tcPr>
                  <w:tcW w:w="4102" w:type="dxa"/>
                  <w:tcBorders>
                    <w:tl2br w:val="nil"/>
                    <w:tr2bl w:val="nil"/>
                  </w:tcBorders>
                  <w:noWrap w:val="0"/>
                  <w:vAlign w:val="center"/>
                </w:tcPr>
                <w:p w14:paraId="7836F1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400</w:t>
                  </w:r>
                </w:p>
              </w:tc>
            </w:tr>
            <w:tr w14:paraId="768B1E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35" w:type="dxa"/>
                  <w:tcBorders>
                    <w:tl2br w:val="nil"/>
                    <w:tr2bl w:val="nil"/>
                  </w:tcBorders>
                  <w:noWrap w:val="0"/>
                  <w:vAlign w:val="top"/>
                </w:tcPr>
                <w:p w14:paraId="353F23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2241" w:type="dxa"/>
                  <w:tcBorders>
                    <w:tl2br w:val="nil"/>
                    <w:tr2bl w:val="nil"/>
                  </w:tcBorders>
                  <w:noWrap w:val="0"/>
                  <w:vAlign w:val="center"/>
                </w:tcPr>
                <w:p w14:paraId="0C3EB1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氨氮</w:t>
                  </w:r>
                </w:p>
              </w:tc>
              <w:tc>
                <w:tcPr>
                  <w:tcW w:w="4102" w:type="dxa"/>
                  <w:tcBorders>
                    <w:tl2br w:val="nil"/>
                    <w:tr2bl w:val="nil"/>
                  </w:tcBorders>
                  <w:noWrap w:val="0"/>
                  <w:vAlign w:val="center"/>
                </w:tcPr>
                <w:p w14:paraId="0ED4BB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bl>
          <w:p w14:paraId="7169E13C">
            <w:pPr>
              <w:ind w:left="0" w:leftChars="0" w:firstLine="0" w:firstLineChars="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rPr>
              <w:t>表</w:t>
            </w:r>
            <w:r>
              <w:rPr>
                <w:rFonts w:hint="eastAsia" w:ascii="Times New Roman" w:hAnsi="Times New Roman" w:eastAsia="宋体" w:cs="Times New Roman"/>
                <w:b/>
                <w:bCs/>
                <w:lang w:val="en-US" w:eastAsia="zh-CN"/>
              </w:rPr>
              <w:t xml:space="preserve">25     </w:t>
            </w:r>
            <w:r>
              <w:rPr>
                <w:rFonts w:hint="eastAsia" w:ascii="Times New Roman" w:hAnsi="Times New Roman" w:eastAsia="宋体" w:cs="Times New Roman"/>
                <w:b/>
                <w:bCs/>
              </w:rPr>
              <w:t>《</w:t>
            </w:r>
            <w:r>
              <w:rPr>
                <w:rFonts w:hint="eastAsia" w:ascii="Times New Roman" w:hAnsi="Times New Roman" w:eastAsia="宋体" w:cs="Times New Roman"/>
                <w:b/>
                <w:bCs/>
                <w:lang w:val="en-US" w:eastAsia="zh-CN"/>
              </w:rPr>
              <w:t>污水排入城镇下水道水质标准</w:t>
            </w:r>
            <w:r>
              <w:rPr>
                <w:rFonts w:hint="eastAsia" w:ascii="Times New Roman" w:hAnsi="Times New Roman" w:eastAsia="宋体" w:cs="Times New Roman"/>
                <w:b/>
                <w:bCs/>
              </w:rPr>
              <w:t>》（</w:t>
            </w:r>
            <w:r>
              <w:rPr>
                <w:rFonts w:hint="eastAsia" w:ascii="Times New Roman" w:hAnsi="Times New Roman" w:eastAsia="宋体" w:cs="Times New Roman"/>
                <w:b/>
                <w:bCs/>
                <w:lang w:val="en-US" w:eastAsia="zh-CN"/>
              </w:rPr>
              <w:t>GB/T31962-2015</w:t>
            </w:r>
            <w:r>
              <w:rPr>
                <w:rFonts w:hint="eastAsia" w:ascii="Times New Roman" w:hAnsi="Times New Roman" w:eastAsia="宋体" w:cs="Times New Roman"/>
                <w:b/>
                <w:bCs/>
              </w:rPr>
              <w:t>）</w:t>
            </w:r>
            <w:r>
              <w:rPr>
                <w:rFonts w:hint="default" w:ascii="Times New Roman" w:hAnsi="Times New Roman" w:eastAsia="宋体" w:cs="Times New Roman"/>
                <w:b/>
                <w:bCs/>
                <w:lang w:val="en-US" w:eastAsia="zh-CN"/>
              </w:rPr>
              <w:t>单位：mg/L</w:t>
            </w:r>
          </w:p>
          <w:tbl>
            <w:tblPr>
              <w:tblStyle w:val="34"/>
              <w:tblW w:w="83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973"/>
              <w:gridCol w:w="1633"/>
              <w:gridCol w:w="882"/>
              <w:gridCol w:w="1596"/>
              <w:gridCol w:w="1504"/>
            </w:tblGrid>
            <w:tr w14:paraId="3679F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tcBorders>
                    <w:tl2br w:val="nil"/>
                    <w:tr2bl w:val="nil"/>
                  </w:tcBorders>
                  <w:noWrap w:val="0"/>
                  <w:vAlign w:val="center"/>
                </w:tcPr>
                <w:p w14:paraId="189AEC9D">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1973" w:type="dxa"/>
                  <w:tcBorders>
                    <w:tl2br w:val="nil"/>
                    <w:tr2bl w:val="nil"/>
                  </w:tcBorders>
                  <w:noWrap w:val="0"/>
                  <w:vAlign w:val="center"/>
                </w:tcPr>
                <w:p w14:paraId="4A1CBADF">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控制项目</w:t>
                  </w:r>
                </w:p>
              </w:tc>
              <w:tc>
                <w:tcPr>
                  <w:tcW w:w="1633" w:type="dxa"/>
                  <w:tcBorders>
                    <w:tl2br w:val="nil"/>
                    <w:tr2bl w:val="nil"/>
                  </w:tcBorders>
                  <w:noWrap w:val="0"/>
                  <w:vAlign w:val="center"/>
                </w:tcPr>
                <w:p w14:paraId="3E316D41">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A级标准</w:t>
                  </w:r>
                </w:p>
              </w:tc>
              <w:tc>
                <w:tcPr>
                  <w:tcW w:w="882" w:type="dxa"/>
                  <w:tcBorders>
                    <w:tl2br w:val="nil"/>
                    <w:tr2bl w:val="nil"/>
                  </w:tcBorders>
                  <w:noWrap w:val="0"/>
                  <w:vAlign w:val="center"/>
                </w:tcPr>
                <w:p w14:paraId="20B70E90">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1596" w:type="dxa"/>
                  <w:tcBorders>
                    <w:tl2br w:val="nil"/>
                    <w:tr2bl w:val="nil"/>
                  </w:tcBorders>
                  <w:noWrap w:val="0"/>
                  <w:vAlign w:val="center"/>
                </w:tcPr>
                <w:p w14:paraId="4B263752">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控制项目</w:t>
                  </w:r>
                </w:p>
              </w:tc>
              <w:tc>
                <w:tcPr>
                  <w:tcW w:w="1504" w:type="dxa"/>
                  <w:tcBorders>
                    <w:tl2br w:val="nil"/>
                    <w:tr2bl w:val="nil"/>
                  </w:tcBorders>
                  <w:noWrap w:val="0"/>
                  <w:vAlign w:val="center"/>
                </w:tcPr>
                <w:p w14:paraId="1BED8ADB">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A级标准</w:t>
                  </w:r>
                </w:p>
              </w:tc>
            </w:tr>
            <w:tr w14:paraId="658BB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746" w:type="dxa"/>
                  <w:tcBorders>
                    <w:tl2br w:val="nil"/>
                    <w:tr2bl w:val="nil"/>
                  </w:tcBorders>
                  <w:noWrap w:val="0"/>
                  <w:vAlign w:val="center"/>
                </w:tcPr>
                <w:p w14:paraId="2F776CA4">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1</w:t>
                  </w:r>
                </w:p>
              </w:tc>
              <w:tc>
                <w:tcPr>
                  <w:tcW w:w="1973" w:type="dxa"/>
                  <w:tcBorders>
                    <w:tl2br w:val="nil"/>
                    <w:tr2bl w:val="nil"/>
                  </w:tcBorders>
                  <w:noWrap w:val="0"/>
                  <w:vAlign w:val="center"/>
                </w:tcPr>
                <w:p w14:paraId="10B87EA9">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色度</w:t>
                  </w:r>
                </w:p>
              </w:tc>
              <w:tc>
                <w:tcPr>
                  <w:tcW w:w="1633" w:type="dxa"/>
                  <w:tcBorders>
                    <w:tl2br w:val="nil"/>
                    <w:tr2bl w:val="nil"/>
                  </w:tcBorders>
                  <w:noWrap w:val="0"/>
                  <w:vAlign w:val="center"/>
                </w:tcPr>
                <w:p w14:paraId="3CA6184B">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64倍</w:t>
                  </w:r>
                </w:p>
              </w:tc>
              <w:tc>
                <w:tcPr>
                  <w:tcW w:w="882" w:type="dxa"/>
                  <w:tcBorders>
                    <w:tl2br w:val="nil"/>
                    <w:tr2bl w:val="nil"/>
                  </w:tcBorders>
                  <w:noWrap w:val="0"/>
                  <w:vAlign w:val="center"/>
                </w:tcPr>
                <w:p w14:paraId="31043502">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w:t>
                  </w:r>
                  <w:r>
                    <w:rPr>
                      <w:rFonts w:hint="eastAsia" w:ascii="Times New Roman" w:hAnsi="Times New Roman" w:eastAsia="宋体" w:cs="Times New Roman"/>
                      <w:b/>
                      <w:bCs/>
                      <w:color w:val="auto"/>
                      <w:sz w:val="21"/>
                      <w:szCs w:val="21"/>
                      <w:vertAlign w:val="baseline"/>
                      <w:lang w:val="en-US" w:eastAsia="zh-CN"/>
                    </w:rPr>
                    <w:t>0</w:t>
                  </w:r>
                </w:p>
              </w:tc>
              <w:tc>
                <w:tcPr>
                  <w:tcW w:w="1596" w:type="dxa"/>
                  <w:tcBorders>
                    <w:tl2br w:val="nil"/>
                    <w:tr2bl w:val="nil"/>
                  </w:tcBorders>
                  <w:noWrap w:val="0"/>
                  <w:vAlign w:val="center"/>
                </w:tcPr>
                <w:p w14:paraId="00D48340">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总铅</w:t>
                  </w:r>
                </w:p>
              </w:tc>
              <w:tc>
                <w:tcPr>
                  <w:tcW w:w="1504" w:type="dxa"/>
                  <w:tcBorders>
                    <w:tl2br w:val="nil"/>
                    <w:tr2bl w:val="nil"/>
                  </w:tcBorders>
                  <w:noWrap w:val="0"/>
                  <w:vAlign w:val="center"/>
                </w:tcPr>
                <w:p w14:paraId="619CBD4A">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w:t>
                  </w:r>
                </w:p>
              </w:tc>
            </w:tr>
            <w:tr w14:paraId="02ED1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46" w:type="dxa"/>
                  <w:tcBorders>
                    <w:tl2br w:val="nil"/>
                    <w:tr2bl w:val="nil"/>
                  </w:tcBorders>
                  <w:noWrap w:val="0"/>
                  <w:vAlign w:val="center"/>
                </w:tcPr>
                <w:p w14:paraId="08776D32">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2</w:t>
                  </w:r>
                </w:p>
              </w:tc>
              <w:tc>
                <w:tcPr>
                  <w:tcW w:w="1973" w:type="dxa"/>
                  <w:tcBorders>
                    <w:tl2br w:val="nil"/>
                    <w:tr2bl w:val="nil"/>
                  </w:tcBorders>
                  <w:noWrap w:val="0"/>
                  <w:vAlign w:val="center"/>
                </w:tcPr>
                <w:p w14:paraId="72FBF783">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悬浮物</w:t>
                  </w:r>
                </w:p>
              </w:tc>
              <w:tc>
                <w:tcPr>
                  <w:tcW w:w="1633" w:type="dxa"/>
                  <w:tcBorders>
                    <w:tl2br w:val="nil"/>
                    <w:tr2bl w:val="nil"/>
                  </w:tcBorders>
                  <w:noWrap w:val="0"/>
                  <w:vAlign w:val="center"/>
                </w:tcPr>
                <w:p w14:paraId="2183A41D">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400</w:t>
                  </w:r>
                </w:p>
              </w:tc>
              <w:tc>
                <w:tcPr>
                  <w:tcW w:w="882" w:type="dxa"/>
                  <w:tcBorders>
                    <w:tl2br w:val="nil"/>
                    <w:tr2bl w:val="nil"/>
                  </w:tcBorders>
                  <w:noWrap w:val="0"/>
                  <w:vAlign w:val="center"/>
                </w:tcPr>
                <w:p w14:paraId="6FE113CD">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w:t>
                  </w:r>
                  <w:r>
                    <w:rPr>
                      <w:rFonts w:hint="eastAsia" w:ascii="Times New Roman" w:hAnsi="Times New Roman" w:eastAsia="宋体" w:cs="Times New Roman"/>
                      <w:b/>
                      <w:bCs/>
                      <w:color w:val="auto"/>
                      <w:sz w:val="21"/>
                      <w:szCs w:val="21"/>
                      <w:vertAlign w:val="baseline"/>
                      <w:lang w:val="en-US" w:eastAsia="zh-CN"/>
                    </w:rPr>
                    <w:t>1</w:t>
                  </w:r>
                </w:p>
              </w:tc>
              <w:tc>
                <w:tcPr>
                  <w:tcW w:w="1596" w:type="dxa"/>
                  <w:tcBorders>
                    <w:tl2br w:val="nil"/>
                    <w:tr2bl w:val="nil"/>
                  </w:tcBorders>
                  <w:noWrap w:val="0"/>
                  <w:vAlign w:val="center"/>
                </w:tcPr>
                <w:p w14:paraId="45E591DE">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总镍</w:t>
                  </w:r>
                </w:p>
              </w:tc>
              <w:tc>
                <w:tcPr>
                  <w:tcW w:w="1504" w:type="dxa"/>
                  <w:tcBorders>
                    <w:tl2br w:val="nil"/>
                    <w:tr2bl w:val="nil"/>
                  </w:tcBorders>
                  <w:noWrap w:val="0"/>
                  <w:vAlign w:val="center"/>
                </w:tcPr>
                <w:p w14:paraId="1DB89458">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r>
            <w:tr w14:paraId="048BF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46" w:type="dxa"/>
                  <w:tcBorders>
                    <w:tl2br w:val="nil"/>
                    <w:tr2bl w:val="nil"/>
                  </w:tcBorders>
                  <w:noWrap w:val="0"/>
                  <w:vAlign w:val="center"/>
                </w:tcPr>
                <w:p w14:paraId="25D9F73C">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3</w:t>
                  </w:r>
                </w:p>
              </w:tc>
              <w:tc>
                <w:tcPr>
                  <w:tcW w:w="1973" w:type="dxa"/>
                  <w:tcBorders>
                    <w:tl2br w:val="nil"/>
                    <w:tr2bl w:val="nil"/>
                  </w:tcBorders>
                  <w:noWrap w:val="0"/>
                  <w:vAlign w:val="center"/>
                </w:tcPr>
                <w:p w14:paraId="4F8DB07B">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溶解性总固体</w:t>
                  </w:r>
                </w:p>
              </w:tc>
              <w:tc>
                <w:tcPr>
                  <w:tcW w:w="1633" w:type="dxa"/>
                  <w:tcBorders>
                    <w:tl2br w:val="nil"/>
                    <w:tr2bl w:val="nil"/>
                  </w:tcBorders>
                  <w:noWrap w:val="0"/>
                  <w:vAlign w:val="center"/>
                </w:tcPr>
                <w:p w14:paraId="4BC32F59">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1500</w:t>
                  </w:r>
                </w:p>
              </w:tc>
              <w:tc>
                <w:tcPr>
                  <w:tcW w:w="882" w:type="dxa"/>
                  <w:tcBorders>
                    <w:tl2br w:val="nil"/>
                    <w:tr2bl w:val="nil"/>
                  </w:tcBorders>
                  <w:noWrap w:val="0"/>
                  <w:vAlign w:val="center"/>
                </w:tcPr>
                <w:p w14:paraId="6DA69AD5">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w:t>
                  </w:r>
                  <w:r>
                    <w:rPr>
                      <w:rFonts w:hint="eastAsia" w:ascii="Times New Roman" w:hAnsi="Times New Roman" w:eastAsia="宋体" w:cs="Times New Roman"/>
                      <w:b/>
                      <w:bCs/>
                      <w:color w:val="auto"/>
                      <w:sz w:val="21"/>
                      <w:szCs w:val="21"/>
                      <w:vertAlign w:val="baseline"/>
                      <w:lang w:val="en-US" w:eastAsia="zh-CN"/>
                    </w:rPr>
                    <w:t>2</w:t>
                  </w:r>
                </w:p>
              </w:tc>
              <w:tc>
                <w:tcPr>
                  <w:tcW w:w="1596" w:type="dxa"/>
                  <w:tcBorders>
                    <w:tl2br w:val="nil"/>
                    <w:tr2bl w:val="nil"/>
                  </w:tcBorders>
                  <w:noWrap w:val="0"/>
                  <w:vAlign w:val="center"/>
                </w:tcPr>
                <w:p w14:paraId="393FB56C">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总铍</w:t>
                  </w:r>
                </w:p>
              </w:tc>
              <w:tc>
                <w:tcPr>
                  <w:tcW w:w="1504" w:type="dxa"/>
                  <w:tcBorders>
                    <w:tl2br w:val="nil"/>
                    <w:tr2bl w:val="nil"/>
                  </w:tcBorders>
                  <w:noWrap w:val="0"/>
                  <w:vAlign w:val="center"/>
                </w:tcPr>
                <w:p w14:paraId="41C07E55">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0.005</w:t>
                  </w:r>
                </w:p>
              </w:tc>
            </w:tr>
            <w:tr w14:paraId="2CF13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46" w:type="dxa"/>
                  <w:tcBorders>
                    <w:tl2br w:val="nil"/>
                    <w:tr2bl w:val="nil"/>
                  </w:tcBorders>
                  <w:noWrap w:val="0"/>
                  <w:vAlign w:val="center"/>
                </w:tcPr>
                <w:p w14:paraId="09409289">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4</w:t>
                  </w:r>
                </w:p>
              </w:tc>
              <w:tc>
                <w:tcPr>
                  <w:tcW w:w="1973" w:type="dxa"/>
                  <w:tcBorders>
                    <w:tl2br w:val="nil"/>
                    <w:tr2bl w:val="nil"/>
                  </w:tcBorders>
                  <w:noWrap w:val="0"/>
                  <w:vAlign w:val="center"/>
                </w:tcPr>
                <w:p w14:paraId="16E3A946">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动植物油</w:t>
                  </w:r>
                </w:p>
              </w:tc>
              <w:tc>
                <w:tcPr>
                  <w:tcW w:w="1633" w:type="dxa"/>
                  <w:tcBorders>
                    <w:tl2br w:val="nil"/>
                    <w:tr2bl w:val="nil"/>
                  </w:tcBorders>
                  <w:noWrap w:val="0"/>
                  <w:vAlign w:val="center"/>
                </w:tcPr>
                <w:p w14:paraId="5039EAD5">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100</w:t>
                  </w:r>
                </w:p>
              </w:tc>
              <w:tc>
                <w:tcPr>
                  <w:tcW w:w="882" w:type="dxa"/>
                  <w:tcBorders>
                    <w:tl2br w:val="nil"/>
                    <w:tr2bl w:val="nil"/>
                  </w:tcBorders>
                  <w:noWrap w:val="0"/>
                  <w:vAlign w:val="center"/>
                </w:tcPr>
                <w:p w14:paraId="42ACBCF6">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w:t>
                  </w:r>
                  <w:r>
                    <w:rPr>
                      <w:rFonts w:hint="eastAsia" w:ascii="Times New Roman" w:hAnsi="Times New Roman" w:eastAsia="宋体" w:cs="Times New Roman"/>
                      <w:b/>
                      <w:bCs/>
                      <w:color w:val="auto"/>
                      <w:sz w:val="21"/>
                      <w:szCs w:val="21"/>
                      <w:vertAlign w:val="baseline"/>
                      <w:lang w:val="en-US" w:eastAsia="zh-CN"/>
                    </w:rPr>
                    <w:t>3</w:t>
                  </w:r>
                </w:p>
              </w:tc>
              <w:tc>
                <w:tcPr>
                  <w:tcW w:w="1596" w:type="dxa"/>
                  <w:tcBorders>
                    <w:tl2br w:val="nil"/>
                    <w:tr2bl w:val="nil"/>
                  </w:tcBorders>
                  <w:noWrap w:val="0"/>
                  <w:vAlign w:val="center"/>
                </w:tcPr>
                <w:p w14:paraId="4A2F2579">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总银</w:t>
                  </w:r>
                </w:p>
              </w:tc>
              <w:tc>
                <w:tcPr>
                  <w:tcW w:w="1504" w:type="dxa"/>
                  <w:tcBorders>
                    <w:tl2br w:val="nil"/>
                    <w:tr2bl w:val="nil"/>
                  </w:tcBorders>
                  <w:noWrap w:val="0"/>
                  <w:vAlign w:val="center"/>
                </w:tcPr>
                <w:p w14:paraId="0E1EC738">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w:t>
                  </w:r>
                </w:p>
              </w:tc>
            </w:tr>
            <w:tr w14:paraId="7E47E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tcBorders>
                    <w:tl2br w:val="nil"/>
                    <w:tr2bl w:val="nil"/>
                  </w:tcBorders>
                  <w:noWrap w:val="0"/>
                  <w:vAlign w:val="center"/>
                </w:tcPr>
                <w:p w14:paraId="0BFEBBAE">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5</w:t>
                  </w:r>
                </w:p>
              </w:tc>
              <w:tc>
                <w:tcPr>
                  <w:tcW w:w="1973" w:type="dxa"/>
                  <w:tcBorders>
                    <w:tl2br w:val="nil"/>
                    <w:tr2bl w:val="nil"/>
                  </w:tcBorders>
                  <w:noWrap w:val="0"/>
                  <w:vAlign w:val="center"/>
                </w:tcPr>
                <w:p w14:paraId="612F2882">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石油类</w:t>
                  </w:r>
                </w:p>
              </w:tc>
              <w:tc>
                <w:tcPr>
                  <w:tcW w:w="1633" w:type="dxa"/>
                  <w:tcBorders>
                    <w:tl2br w:val="nil"/>
                    <w:tr2bl w:val="nil"/>
                  </w:tcBorders>
                  <w:noWrap w:val="0"/>
                  <w:vAlign w:val="center"/>
                </w:tcPr>
                <w:p w14:paraId="3F8DF8FB">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w:t>
                  </w:r>
                </w:p>
              </w:tc>
              <w:tc>
                <w:tcPr>
                  <w:tcW w:w="882" w:type="dxa"/>
                  <w:tcBorders>
                    <w:tl2br w:val="nil"/>
                    <w:tr2bl w:val="nil"/>
                  </w:tcBorders>
                  <w:noWrap w:val="0"/>
                  <w:vAlign w:val="center"/>
                </w:tcPr>
                <w:p w14:paraId="17C4F562">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w:t>
                  </w:r>
                  <w:r>
                    <w:rPr>
                      <w:rFonts w:hint="eastAsia" w:ascii="Times New Roman" w:hAnsi="Times New Roman" w:eastAsia="宋体" w:cs="Times New Roman"/>
                      <w:b/>
                      <w:bCs/>
                      <w:color w:val="auto"/>
                      <w:sz w:val="21"/>
                      <w:szCs w:val="21"/>
                      <w:vertAlign w:val="baseline"/>
                      <w:lang w:val="en-US" w:eastAsia="zh-CN"/>
                    </w:rPr>
                    <w:t>4</w:t>
                  </w:r>
                </w:p>
              </w:tc>
              <w:tc>
                <w:tcPr>
                  <w:tcW w:w="1596" w:type="dxa"/>
                  <w:tcBorders>
                    <w:tl2br w:val="nil"/>
                    <w:tr2bl w:val="nil"/>
                  </w:tcBorders>
                  <w:noWrap w:val="0"/>
                  <w:vAlign w:val="center"/>
                </w:tcPr>
                <w:p w14:paraId="6B051E6F">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总硒</w:t>
                  </w:r>
                </w:p>
              </w:tc>
              <w:tc>
                <w:tcPr>
                  <w:tcW w:w="1504" w:type="dxa"/>
                  <w:tcBorders>
                    <w:tl2br w:val="nil"/>
                    <w:tr2bl w:val="nil"/>
                  </w:tcBorders>
                  <w:noWrap w:val="0"/>
                  <w:vAlign w:val="center"/>
                </w:tcPr>
                <w:p w14:paraId="064F2A80">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w:t>
                  </w:r>
                </w:p>
              </w:tc>
            </w:tr>
            <w:tr w14:paraId="57972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746" w:type="dxa"/>
                  <w:tcBorders>
                    <w:tl2br w:val="nil"/>
                    <w:tr2bl w:val="nil"/>
                  </w:tcBorders>
                  <w:noWrap w:val="0"/>
                  <w:vAlign w:val="center"/>
                </w:tcPr>
                <w:p w14:paraId="38B5A4CD">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6</w:t>
                  </w:r>
                </w:p>
              </w:tc>
              <w:tc>
                <w:tcPr>
                  <w:tcW w:w="1973" w:type="dxa"/>
                  <w:tcBorders>
                    <w:tl2br w:val="nil"/>
                    <w:tr2bl w:val="nil"/>
                  </w:tcBorders>
                  <w:noWrap w:val="0"/>
                  <w:vAlign w:val="center"/>
                </w:tcPr>
                <w:p w14:paraId="1443AFC8">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pH</w:t>
                  </w:r>
                </w:p>
              </w:tc>
              <w:tc>
                <w:tcPr>
                  <w:tcW w:w="1633" w:type="dxa"/>
                  <w:tcBorders>
                    <w:tl2br w:val="nil"/>
                    <w:tr2bl w:val="nil"/>
                  </w:tcBorders>
                  <w:noWrap w:val="0"/>
                  <w:vAlign w:val="center"/>
                </w:tcPr>
                <w:p w14:paraId="566176C9">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6.5-9.5</w:t>
                  </w:r>
                </w:p>
              </w:tc>
              <w:tc>
                <w:tcPr>
                  <w:tcW w:w="882" w:type="dxa"/>
                  <w:tcBorders>
                    <w:tl2br w:val="nil"/>
                    <w:tr2bl w:val="nil"/>
                  </w:tcBorders>
                  <w:noWrap w:val="0"/>
                  <w:vAlign w:val="center"/>
                </w:tcPr>
                <w:p w14:paraId="526E2B76">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w:t>
                  </w:r>
                  <w:r>
                    <w:rPr>
                      <w:rFonts w:hint="eastAsia" w:ascii="Times New Roman" w:hAnsi="Times New Roman" w:eastAsia="宋体" w:cs="Times New Roman"/>
                      <w:b/>
                      <w:bCs/>
                      <w:color w:val="auto"/>
                      <w:sz w:val="21"/>
                      <w:szCs w:val="21"/>
                      <w:vertAlign w:val="baseline"/>
                      <w:lang w:val="en-US" w:eastAsia="zh-CN"/>
                    </w:rPr>
                    <w:t>5</w:t>
                  </w:r>
                </w:p>
              </w:tc>
              <w:tc>
                <w:tcPr>
                  <w:tcW w:w="1596" w:type="dxa"/>
                  <w:tcBorders>
                    <w:tl2br w:val="nil"/>
                    <w:tr2bl w:val="nil"/>
                  </w:tcBorders>
                  <w:noWrap w:val="0"/>
                  <w:vAlign w:val="center"/>
                </w:tcPr>
                <w:p w14:paraId="383634CC">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总铜</w:t>
                  </w:r>
                </w:p>
              </w:tc>
              <w:tc>
                <w:tcPr>
                  <w:tcW w:w="1504" w:type="dxa"/>
                  <w:tcBorders>
                    <w:tl2br w:val="nil"/>
                    <w:tr2bl w:val="nil"/>
                  </w:tcBorders>
                  <w:noWrap w:val="0"/>
                  <w:vAlign w:val="center"/>
                </w:tcPr>
                <w:p w14:paraId="1502CDF5">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r>
            <w:tr w14:paraId="047F2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tcBorders>
                    <w:tl2br w:val="nil"/>
                    <w:tr2bl w:val="nil"/>
                  </w:tcBorders>
                  <w:noWrap w:val="0"/>
                  <w:vAlign w:val="center"/>
                </w:tcPr>
                <w:p w14:paraId="6871D3D4">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7</w:t>
                  </w:r>
                </w:p>
              </w:tc>
              <w:tc>
                <w:tcPr>
                  <w:tcW w:w="1973" w:type="dxa"/>
                  <w:tcBorders>
                    <w:tl2br w:val="nil"/>
                    <w:tr2bl w:val="nil"/>
                  </w:tcBorders>
                  <w:noWrap w:val="0"/>
                  <w:vAlign w:val="center"/>
                </w:tcPr>
                <w:p w14:paraId="0F1FA781">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五日生化需氧量(BOD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vertAlign w:val="baseline"/>
                      <w:lang w:val="en-US" w:eastAsia="zh-CN"/>
                    </w:rPr>
                    <w:t>)</w:t>
                  </w:r>
                </w:p>
              </w:tc>
              <w:tc>
                <w:tcPr>
                  <w:tcW w:w="1633" w:type="dxa"/>
                  <w:tcBorders>
                    <w:tl2br w:val="nil"/>
                    <w:tr2bl w:val="nil"/>
                  </w:tcBorders>
                  <w:noWrap w:val="0"/>
                  <w:vAlign w:val="center"/>
                </w:tcPr>
                <w:p w14:paraId="038A47F5">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350</w:t>
                  </w:r>
                </w:p>
              </w:tc>
              <w:tc>
                <w:tcPr>
                  <w:tcW w:w="882" w:type="dxa"/>
                  <w:tcBorders>
                    <w:tl2br w:val="nil"/>
                    <w:tr2bl w:val="nil"/>
                  </w:tcBorders>
                  <w:noWrap w:val="0"/>
                  <w:vAlign w:val="center"/>
                </w:tcPr>
                <w:p w14:paraId="69C67508">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w:t>
                  </w:r>
                  <w:r>
                    <w:rPr>
                      <w:rFonts w:hint="eastAsia" w:ascii="Times New Roman" w:hAnsi="Times New Roman" w:eastAsia="宋体" w:cs="Times New Roman"/>
                      <w:b/>
                      <w:bCs/>
                      <w:color w:val="auto"/>
                      <w:sz w:val="21"/>
                      <w:szCs w:val="21"/>
                      <w:vertAlign w:val="baseline"/>
                      <w:lang w:val="en-US" w:eastAsia="zh-CN"/>
                    </w:rPr>
                    <w:t>6</w:t>
                  </w:r>
                </w:p>
              </w:tc>
              <w:tc>
                <w:tcPr>
                  <w:tcW w:w="1596" w:type="dxa"/>
                  <w:tcBorders>
                    <w:tl2br w:val="nil"/>
                    <w:tr2bl w:val="nil"/>
                  </w:tcBorders>
                  <w:noWrap w:val="0"/>
                  <w:vAlign w:val="center"/>
                </w:tcPr>
                <w:p w14:paraId="2266089C">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总锌</w:t>
                  </w:r>
                </w:p>
              </w:tc>
              <w:tc>
                <w:tcPr>
                  <w:tcW w:w="1504" w:type="dxa"/>
                  <w:tcBorders>
                    <w:tl2br w:val="nil"/>
                    <w:tr2bl w:val="nil"/>
                  </w:tcBorders>
                  <w:noWrap w:val="0"/>
                  <w:vAlign w:val="center"/>
                </w:tcPr>
                <w:p w14:paraId="47571BA2">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w:t>
                  </w:r>
                </w:p>
              </w:tc>
            </w:tr>
            <w:tr w14:paraId="76280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46" w:type="dxa"/>
                  <w:tcBorders>
                    <w:tl2br w:val="nil"/>
                    <w:tr2bl w:val="nil"/>
                  </w:tcBorders>
                  <w:noWrap w:val="0"/>
                  <w:vAlign w:val="center"/>
                </w:tcPr>
                <w:p w14:paraId="3AF76BF7">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8</w:t>
                  </w:r>
                </w:p>
              </w:tc>
              <w:tc>
                <w:tcPr>
                  <w:tcW w:w="1973" w:type="dxa"/>
                  <w:tcBorders>
                    <w:tl2br w:val="nil"/>
                    <w:tr2bl w:val="nil"/>
                  </w:tcBorders>
                  <w:noWrap w:val="0"/>
                  <w:vAlign w:val="center"/>
                </w:tcPr>
                <w:p w14:paraId="2D8A9E9C">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化学需氧量(COD)</w:t>
                  </w:r>
                </w:p>
              </w:tc>
              <w:tc>
                <w:tcPr>
                  <w:tcW w:w="1633" w:type="dxa"/>
                  <w:tcBorders>
                    <w:tl2br w:val="nil"/>
                    <w:tr2bl w:val="nil"/>
                  </w:tcBorders>
                  <w:noWrap w:val="0"/>
                  <w:vAlign w:val="center"/>
                </w:tcPr>
                <w:p w14:paraId="64DF9EB4">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500</w:t>
                  </w:r>
                </w:p>
              </w:tc>
              <w:tc>
                <w:tcPr>
                  <w:tcW w:w="882" w:type="dxa"/>
                  <w:tcBorders>
                    <w:tl2br w:val="nil"/>
                    <w:tr2bl w:val="nil"/>
                  </w:tcBorders>
                  <w:noWrap w:val="0"/>
                  <w:vAlign w:val="center"/>
                </w:tcPr>
                <w:p w14:paraId="53215264">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w:t>
                  </w:r>
                  <w:r>
                    <w:rPr>
                      <w:rFonts w:hint="eastAsia" w:ascii="Times New Roman" w:hAnsi="Times New Roman" w:eastAsia="宋体" w:cs="Times New Roman"/>
                      <w:b/>
                      <w:bCs/>
                      <w:color w:val="auto"/>
                      <w:sz w:val="21"/>
                      <w:szCs w:val="21"/>
                      <w:vertAlign w:val="baseline"/>
                      <w:lang w:val="en-US" w:eastAsia="zh-CN"/>
                    </w:rPr>
                    <w:t>7</w:t>
                  </w:r>
                </w:p>
              </w:tc>
              <w:tc>
                <w:tcPr>
                  <w:tcW w:w="1596" w:type="dxa"/>
                  <w:tcBorders>
                    <w:tl2br w:val="nil"/>
                    <w:tr2bl w:val="nil"/>
                  </w:tcBorders>
                  <w:noWrap w:val="0"/>
                  <w:vAlign w:val="center"/>
                </w:tcPr>
                <w:p w14:paraId="6893D2D8">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总锰</w:t>
                  </w:r>
                </w:p>
              </w:tc>
              <w:tc>
                <w:tcPr>
                  <w:tcW w:w="1504" w:type="dxa"/>
                  <w:tcBorders>
                    <w:tl2br w:val="nil"/>
                    <w:tr2bl w:val="nil"/>
                  </w:tcBorders>
                  <w:noWrap w:val="0"/>
                  <w:vAlign w:val="center"/>
                </w:tcPr>
                <w:p w14:paraId="62616666">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r>
            <w:tr w14:paraId="46C2C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tcBorders>
                    <w:tl2br w:val="nil"/>
                    <w:tr2bl w:val="nil"/>
                  </w:tcBorders>
                  <w:noWrap w:val="0"/>
                  <w:vAlign w:val="center"/>
                </w:tcPr>
                <w:p w14:paraId="1735D341">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9</w:t>
                  </w:r>
                </w:p>
              </w:tc>
              <w:tc>
                <w:tcPr>
                  <w:tcW w:w="1973" w:type="dxa"/>
                  <w:tcBorders>
                    <w:tl2br w:val="nil"/>
                    <w:tr2bl w:val="nil"/>
                  </w:tcBorders>
                  <w:noWrap w:val="0"/>
                  <w:vAlign w:val="center"/>
                </w:tcPr>
                <w:p w14:paraId="09F082A7">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氨氮(以N计)</w:t>
                  </w:r>
                </w:p>
              </w:tc>
              <w:tc>
                <w:tcPr>
                  <w:tcW w:w="1633" w:type="dxa"/>
                  <w:tcBorders>
                    <w:tl2br w:val="nil"/>
                    <w:tr2bl w:val="nil"/>
                  </w:tcBorders>
                  <w:noWrap w:val="0"/>
                  <w:vAlign w:val="center"/>
                </w:tcPr>
                <w:p w14:paraId="4418C770">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45</w:t>
                  </w:r>
                </w:p>
              </w:tc>
              <w:tc>
                <w:tcPr>
                  <w:tcW w:w="882" w:type="dxa"/>
                  <w:tcBorders>
                    <w:tl2br w:val="nil"/>
                    <w:tr2bl w:val="nil"/>
                  </w:tcBorders>
                  <w:noWrap w:val="0"/>
                  <w:vAlign w:val="center"/>
                </w:tcPr>
                <w:p w14:paraId="4B3A92FA">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w:t>
                  </w:r>
                  <w:r>
                    <w:rPr>
                      <w:rFonts w:hint="eastAsia" w:ascii="Times New Roman" w:hAnsi="Times New Roman" w:eastAsia="宋体" w:cs="Times New Roman"/>
                      <w:b/>
                      <w:bCs/>
                      <w:color w:val="auto"/>
                      <w:sz w:val="21"/>
                      <w:szCs w:val="21"/>
                      <w:vertAlign w:val="baseline"/>
                      <w:lang w:val="en-US" w:eastAsia="zh-CN"/>
                    </w:rPr>
                    <w:t>8</w:t>
                  </w:r>
                </w:p>
              </w:tc>
              <w:tc>
                <w:tcPr>
                  <w:tcW w:w="1596" w:type="dxa"/>
                  <w:tcBorders>
                    <w:tl2br w:val="nil"/>
                    <w:tr2bl w:val="nil"/>
                  </w:tcBorders>
                  <w:noWrap w:val="0"/>
                  <w:vAlign w:val="center"/>
                </w:tcPr>
                <w:p w14:paraId="20107A4B">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总铁</w:t>
                  </w:r>
                </w:p>
              </w:tc>
              <w:tc>
                <w:tcPr>
                  <w:tcW w:w="1504" w:type="dxa"/>
                  <w:tcBorders>
                    <w:tl2br w:val="nil"/>
                    <w:tr2bl w:val="nil"/>
                  </w:tcBorders>
                  <w:noWrap w:val="0"/>
                  <w:vAlign w:val="center"/>
                </w:tcPr>
                <w:p w14:paraId="6F0D9292">
                  <w:pPr>
                    <w:pStyle w:val="2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w:t>
                  </w:r>
                </w:p>
              </w:tc>
            </w:tr>
          </w:tbl>
          <w:p w14:paraId="7F5E99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fldChar w:fldCharType="begin"/>
            </w:r>
            <w:r>
              <w:rPr>
                <w:rFonts w:hint="default" w:ascii="Times New Roman" w:hAnsi="Times New Roman" w:eastAsia="仿宋_GB2312" w:cs="Times New Roman"/>
                <w:color w:val="auto"/>
                <w:kern w:val="0"/>
                <w:sz w:val="24"/>
                <w:highlight w:val="none"/>
                <w:lang w:val="en-US" w:eastAsia="zh-CN"/>
              </w:rPr>
              <w:instrText xml:space="preserve"> = 4 \* GB2 \* MERGEFORMAT </w:instrText>
            </w:r>
            <w:r>
              <w:rPr>
                <w:rFonts w:hint="default" w:ascii="Times New Roman" w:hAnsi="Times New Roman" w:eastAsia="仿宋_GB2312" w:cs="Times New Roman"/>
                <w:color w:val="auto"/>
                <w:kern w:val="0"/>
                <w:sz w:val="24"/>
                <w:highlight w:val="none"/>
                <w:lang w:val="en-US" w:eastAsia="zh-CN"/>
              </w:rPr>
              <w:fldChar w:fldCharType="separate"/>
            </w:r>
            <w:r>
              <w:rPr>
                <w:rFonts w:hint="default" w:ascii="Times New Roman" w:hAnsi="Times New Roman" w:eastAsia="仿宋_GB2312" w:cs="Times New Roman"/>
                <w:color w:val="auto"/>
                <w:kern w:val="0"/>
                <w:sz w:val="24"/>
                <w:highlight w:val="none"/>
                <w:lang w:val="en-US" w:eastAsia="zh-CN"/>
              </w:rPr>
              <w:t>⑷</w:t>
            </w:r>
            <w:r>
              <w:rPr>
                <w:rFonts w:hint="default" w:ascii="Times New Roman" w:hAnsi="Times New Roman" w:eastAsia="仿宋_GB2312" w:cs="Times New Roman"/>
                <w:color w:val="auto"/>
                <w:kern w:val="0"/>
                <w:sz w:val="24"/>
                <w:highlight w:val="none"/>
                <w:lang w:val="en-US" w:eastAsia="zh-CN"/>
              </w:rPr>
              <w:fldChar w:fldCharType="end"/>
            </w:r>
            <w:r>
              <w:rPr>
                <w:rFonts w:hint="default" w:ascii="Times New Roman" w:hAnsi="Times New Roman" w:eastAsia="仿宋_GB2312" w:cs="Times New Roman"/>
                <w:color w:val="auto"/>
                <w:kern w:val="0"/>
                <w:sz w:val="24"/>
                <w:highlight w:val="none"/>
                <w:lang w:val="en-US" w:eastAsia="zh-CN"/>
              </w:rPr>
              <w:t>固体废物</w:t>
            </w:r>
          </w:p>
          <w:p w14:paraId="735B60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24"/>
                <w:sz w:val="24"/>
                <w:szCs w:val="24"/>
                <w:lang w:val="en-US" w:eastAsia="zh-CN" w:bidi="ar-SA"/>
              </w:rPr>
              <w:t>项目产生的一般固废贮存过程应满足相应防渗漏、防雨淋、防扬尘等环境保护要求。危险废物收集、贮存等过程执行《危险废物贮存污染控制标准》（GB 18597-2023）要求</w:t>
            </w:r>
            <w:r>
              <w:rPr>
                <w:rFonts w:hint="eastAsia" w:ascii="Times New Roman" w:hAnsi="Times New Roman" w:eastAsia="仿宋_GB2312" w:cs="Times New Roman"/>
                <w:color w:val="auto"/>
                <w:kern w:val="24"/>
                <w:sz w:val="24"/>
                <w:szCs w:val="24"/>
                <w:lang w:val="en-US" w:eastAsia="zh-CN" w:bidi="ar-SA"/>
              </w:rPr>
              <w:t>。</w:t>
            </w:r>
          </w:p>
        </w:tc>
      </w:tr>
      <w:tr w14:paraId="232DDF9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476" w:hRule="atLeast"/>
          <w:jc w:val="center"/>
        </w:trPr>
        <w:tc>
          <w:tcPr>
            <w:tcW w:w="532" w:type="dxa"/>
            <w:tcBorders>
              <w:tl2br w:val="nil"/>
              <w:tr2bl w:val="nil"/>
            </w:tcBorders>
            <w:vAlign w:val="center"/>
          </w:tcPr>
          <w:p w14:paraId="68F7EAC0">
            <w:pPr>
              <w:adjustRightInd w:val="0"/>
              <w:snapToGrid w:val="0"/>
              <w:jc w:val="both"/>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b/>
                <w:bCs/>
                <w:color w:val="auto"/>
                <w:kern w:val="0"/>
                <w:sz w:val="24"/>
                <w:highlight w:val="none"/>
                <w:lang w:eastAsia="zh-CN"/>
              </w:rPr>
              <w:t>其他</w:t>
            </w:r>
          </w:p>
        </w:tc>
        <w:tc>
          <w:tcPr>
            <w:tcW w:w="8669" w:type="dxa"/>
            <w:tcBorders>
              <w:tl2br w:val="nil"/>
              <w:tr2bl w:val="nil"/>
            </w:tcBorders>
            <w:vAlign w:val="center"/>
          </w:tcPr>
          <w:p w14:paraId="0CCC393F">
            <w:pPr>
              <w:adjustRightInd w:val="0"/>
              <w:snapToGrid w:val="0"/>
              <w:spacing w:before="120" w:beforeLines="50" w:line="360" w:lineRule="auto"/>
              <w:jc w:val="center"/>
              <w:rPr>
                <w:rFonts w:hint="default"/>
                <w:color w:val="auto"/>
                <w:highlight w:val="none"/>
                <w:lang w:val="en-US" w:eastAsia="zh-CN"/>
              </w:rPr>
            </w:pPr>
            <w:r>
              <w:rPr>
                <w:rFonts w:hint="eastAsia" w:eastAsia="仿宋_GB2312" w:cs="Times New Roman"/>
                <w:color w:val="auto"/>
                <w:kern w:val="0"/>
                <w:sz w:val="24"/>
                <w:highlight w:val="none"/>
                <w:lang w:eastAsia="zh-CN"/>
              </w:rPr>
              <w:t>无</w:t>
            </w:r>
          </w:p>
        </w:tc>
      </w:tr>
    </w:tbl>
    <w:p w14:paraId="1663BB19">
      <w:pPr>
        <w:pStyle w:val="28"/>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eastAsia" w:ascii="黑体" w:hAnsi="黑体" w:eastAsia="黑体"/>
          <w:snapToGrid w:val="0"/>
          <w:color w:val="auto"/>
          <w:sz w:val="30"/>
          <w:szCs w:val="30"/>
          <w:highlight w:val="none"/>
          <w:lang w:eastAsia="zh-CN"/>
        </w:rPr>
      </w:pPr>
      <w:r>
        <w:rPr>
          <w:rFonts w:hint="default" w:ascii="Times New Roman" w:hAnsi="Times New Roman" w:eastAsia="宋体" w:cs="Times New Roman"/>
          <w:snapToGrid w:val="0"/>
          <w:color w:val="auto"/>
          <w:sz w:val="36"/>
          <w:szCs w:val="36"/>
          <w:highlight w:val="none"/>
        </w:rPr>
        <w:br w:type="page"/>
      </w:r>
      <w:r>
        <w:rPr>
          <w:rFonts w:hint="eastAsia" w:ascii="黑体" w:hAnsi="黑体" w:eastAsia="黑体"/>
          <w:snapToGrid w:val="0"/>
          <w:color w:val="auto"/>
          <w:sz w:val="30"/>
          <w:szCs w:val="30"/>
          <w:highlight w:val="none"/>
        </w:rPr>
        <w:t>四、</w:t>
      </w:r>
      <w:r>
        <w:rPr>
          <w:rFonts w:hint="eastAsia" w:ascii="黑体" w:hAnsi="黑体" w:eastAsia="黑体"/>
          <w:snapToGrid w:val="0"/>
          <w:color w:val="auto"/>
          <w:sz w:val="30"/>
          <w:szCs w:val="30"/>
          <w:highlight w:val="none"/>
          <w:lang w:eastAsia="zh-CN"/>
        </w:rPr>
        <w:t>生态环境影响分析</w:t>
      </w:r>
    </w:p>
    <w:tbl>
      <w:tblPr>
        <w:tblStyle w:val="33"/>
        <w:tblW w:w="920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679"/>
        <w:gridCol w:w="8522"/>
      </w:tblGrid>
      <w:tr w14:paraId="05B1D55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12" w:hRule="atLeast"/>
          <w:jc w:val="center"/>
        </w:trPr>
        <w:tc>
          <w:tcPr>
            <w:tcW w:w="679" w:type="dxa"/>
            <w:tcBorders>
              <w:tl2br w:val="nil"/>
              <w:tr2bl w:val="nil"/>
            </w:tcBorders>
            <w:shd w:val="clear" w:color="auto" w:fill="auto"/>
            <w:tcMar>
              <w:left w:w="28" w:type="dxa"/>
              <w:right w:w="28" w:type="dxa"/>
            </w:tcMar>
            <w:vAlign w:val="center"/>
          </w:tcPr>
          <w:p w14:paraId="7FBD8AD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59E2B6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CD743C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361FB8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B6C285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06E705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660E9E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52EDA3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934CA7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CD2944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059A05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208787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87F599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F06A6B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329B59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4FE764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908F36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12030A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5906F9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施工期生态环境影响分析</w:t>
            </w:r>
          </w:p>
          <w:p w14:paraId="3A4FCB8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D77AA2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0C49B9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016562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837935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53719C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EFA26E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D92E0C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12BCCE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B273DB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8FDE41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9B189B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CE84F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7EBD79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DA5F4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833502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57AE8E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1BBB15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9A1E7D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6D9412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B02435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3FB7C6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FEC01A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EF8B85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D94734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6EB0B1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203E7DD">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A4EBB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E00B0A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46EFFA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7F32B3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2CA3F4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FAC896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787C6C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DB449F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98C089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E2464F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E29385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2629B0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D44733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E3CC073">
            <w:pPr>
              <w:pStyle w:val="28"/>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3F46994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施工期生态环境影响分析</w:t>
            </w:r>
          </w:p>
          <w:p w14:paraId="5EB0566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528DF7D">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12A945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33D3E9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0420A2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7A7F99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0B4D6C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4FFE07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E69F27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033B08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B82B2F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55AE8C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0A6133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2A3E02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D83095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0C8A43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283DC3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3146E0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9CD452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8A716A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5C69B7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12CF14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B18AF4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0982CD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C63CE2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56D801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5B2E06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4DAD57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265B17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650202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486159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9D12DD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DDF1F0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7754FB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B875A2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EF0D97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1E55CE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5B327A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0E889A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7BE469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B5EFE3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D1F585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EAF8C1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C81764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施工期生态环境影响分析</w:t>
            </w:r>
          </w:p>
          <w:p w14:paraId="7234865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269A44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9A9576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6C527E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E1B83C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87C8A7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439DFE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F1B9E8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D912E8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CAD7F9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1153E0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F855B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5EC74B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40619B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2EC1B6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FAA2C4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9BBA71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6B6C2C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89D0AD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4ADC63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13BFB0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0FDE55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E3F946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5AB00F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C4D4B0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C70FB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0065C7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ED4509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594E35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257479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D3706C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6D1CCE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016180D">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1E3245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ED9C9A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701922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764337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140589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A5AE50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6F1CF5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AE87E8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9D4CCD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20473B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303E85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A04480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3A32A2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7B3748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1B4AC0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C9FDB2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019452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C05676D">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20C38B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345651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E31591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8967B6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B4A0FF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8EDEDF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0CD3BB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51C5B2D">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E04478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E4C60F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808442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1CD951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44A438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3280B1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666946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98BDDD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31B16D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F05872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DECA3D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62D35B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12C2CF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C5E03E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87D74C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CE83A1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C66B39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48C15E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F4C0C8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EDFD5C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1378B5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C64262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88B24E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85A47E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82A42A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171A0D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4218DD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994C69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28A75C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DEA2FF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06005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6205AB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5CD8E6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0C5C5A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5E2219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E96094D">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3A1553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A19287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79D37C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565253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180AEE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F9F87E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AC0863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C91911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95D3D5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998CDBD">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DAFE46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49044B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1CCE59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2FFA0B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6FD1D7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D605FC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7E755B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ADA314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3AE219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9ECF71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334C2E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99CF49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D1A7F3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D00101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FAB272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F14C04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8CC0D7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41CC49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4C1D14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618D28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509ECF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A10133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892C2F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5F3A7A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D7D44E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9F0949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43813F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0A0C1B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959E61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9081E0D">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6D218F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7FCAA4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D11D35D">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CFA3D2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3E1D53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BE28AF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4B50E6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B5F95F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E1BB39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8C5FB5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9DB6C1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DB3780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37EA04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7A1ED0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31CC93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1A9109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729003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915C68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0D729D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C7FFCA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059FB2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C1930E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D7F7FF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273B79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74C186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C03FDE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478796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val="en-US" w:eastAsia="zh-CN"/>
              </w:rPr>
            </w:pPr>
            <w:r>
              <w:rPr>
                <w:rFonts w:hint="eastAsia" w:ascii="Times New Roman" w:hAnsi="Times New Roman" w:eastAsia="仿宋_GB2312" w:cs="Times New Roman"/>
                <w:b/>
                <w:bCs/>
                <w:color w:val="auto"/>
                <w:kern w:val="2"/>
                <w:szCs w:val="24"/>
                <w:highlight w:val="none"/>
                <w:lang w:val="en-US" w:eastAsia="zh-CN"/>
              </w:rPr>
              <w:t xml:space="preserve"> </w:t>
            </w:r>
          </w:p>
          <w:p w14:paraId="18C6F7A4">
            <w:pPr>
              <w:pStyle w:val="28"/>
              <w:adjustRightInd w:val="0"/>
              <w:snapToGrid w:val="0"/>
              <w:spacing w:before="0" w:beforeAutospacing="0" w:after="0" w:afterAutospacing="0"/>
              <w:jc w:val="both"/>
              <w:rPr>
                <w:rFonts w:hint="default" w:ascii="Times New Roman" w:hAnsi="Times New Roman" w:eastAsia="仿宋_GB2312" w:cs="Times New Roman"/>
                <w:b/>
                <w:bCs/>
                <w:color w:val="auto"/>
                <w:kern w:val="2"/>
                <w:sz w:val="24"/>
                <w:szCs w:val="24"/>
                <w:highlight w:val="none"/>
                <w:lang w:val="en-US" w:eastAsia="zh-CN" w:bidi="ar-SA"/>
              </w:rPr>
            </w:pPr>
          </w:p>
        </w:tc>
        <w:tc>
          <w:tcPr>
            <w:tcW w:w="8522" w:type="dxa"/>
            <w:tcBorders>
              <w:tl2br w:val="nil"/>
              <w:tr2bl w:val="nil"/>
            </w:tcBorders>
            <w:shd w:val="clear" w:color="auto" w:fill="auto"/>
            <w:vAlign w:val="center"/>
          </w:tcPr>
          <w:p w14:paraId="5426AEC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b/>
                <w:bCs w:val="0"/>
                <w:color w:val="auto"/>
                <w:sz w:val="24"/>
                <w:szCs w:val="24"/>
                <w:highlight w:val="none"/>
                <w:lang w:val="en-US" w:eastAsia="zh-CN"/>
              </w:rPr>
            </w:pPr>
            <w:r>
              <w:rPr>
                <w:rFonts w:hint="default" w:ascii="Times New Roman" w:hAnsi="Times New Roman" w:eastAsia="仿宋_GB2312" w:cs="Times New Roman"/>
                <w:b/>
                <w:bCs w:val="0"/>
                <w:color w:val="auto"/>
                <w:sz w:val="24"/>
                <w:szCs w:val="24"/>
                <w:highlight w:val="none"/>
                <w:lang w:val="en-US" w:eastAsia="zh-CN"/>
              </w:rPr>
              <w:t>1.施工期工艺流程</w:t>
            </w:r>
          </w:p>
          <w:p w14:paraId="032B86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 w:val="0"/>
                <w:bCs/>
                <w:color w:val="auto"/>
                <w:sz w:val="24"/>
                <w:szCs w:val="24"/>
                <w:highlight w:val="none"/>
                <w:lang w:val="en-US" w:eastAsia="zh-CN"/>
              </w:rPr>
            </w:pPr>
            <w:r>
              <w:rPr>
                <w:rFonts w:hint="default" w:ascii="Times New Roman" w:hAnsi="Times New Roman" w:eastAsia="仿宋_GB2312" w:cs="Times New Roman"/>
                <w:b w:val="0"/>
                <w:bCs/>
                <w:color w:val="auto"/>
                <w:sz w:val="24"/>
                <w:szCs w:val="24"/>
                <w:highlight w:val="none"/>
                <w:lang w:val="en-US" w:eastAsia="zh-CN"/>
              </w:rPr>
              <w:t>本项目施工期工程建设内容主要包括中药材的种植，灌溉工程滴灌管网铺设、蓄水池及泵站的建设，土方工程场地的平整和土方的运输等。项目施工期工艺流程及产污环节如下：</w:t>
            </w:r>
          </w:p>
          <w:p w14:paraId="5440AA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仿宋_GB2312" w:cs="Times New Roman"/>
                <w:b w:val="0"/>
                <w:bCs/>
                <w:color w:val="auto"/>
                <w:sz w:val="24"/>
                <w:szCs w:val="24"/>
                <w:highlight w:val="none"/>
                <w:lang w:val="en-US" w:eastAsia="zh-CN"/>
              </w:rPr>
            </w:pPr>
            <w:r>
              <w:rPr>
                <w:rFonts w:hint="default" w:ascii="Times New Roman" w:hAnsi="Times New Roman" w:eastAsia="仿宋_GB2312" w:cs="Times New Roman"/>
                <w:b w:val="0"/>
                <w:bCs/>
                <w:color w:val="auto"/>
                <w:sz w:val="24"/>
                <w:szCs w:val="24"/>
                <w:highlight w:val="none"/>
                <w:lang w:val="en-US" w:eastAsia="zh-CN"/>
              </w:rPr>
              <w:object>
                <v:shape id="_x0000_i1025" o:spt="75" type="#_x0000_t75" style="height:330.7pt;width:237.9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p>
          <w:p w14:paraId="4998D24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color w:val="auto"/>
                <w:spacing w:val="-4"/>
              </w:rPr>
            </w:pPr>
            <w:r>
              <w:rPr>
                <w:rFonts w:ascii="Times New Roman" w:hAnsi="Times New Roman" w:eastAsia="宋体" w:cs="Times New Roman"/>
                <w:b/>
                <w:bCs/>
                <w:color w:val="auto"/>
                <w:spacing w:val="-4"/>
              </w:rPr>
              <w:t>图</w:t>
            </w:r>
            <w:r>
              <w:rPr>
                <w:rFonts w:hint="eastAsia" w:cs="Times New Roman"/>
                <w:b/>
                <w:bCs/>
                <w:color w:val="auto"/>
                <w:spacing w:val="-4"/>
                <w:lang w:val="en-US" w:eastAsia="zh-CN"/>
              </w:rPr>
              <w:t>4-1</w:t>
            </w:r>
            <w:r>
              <w:rPr>
                <w:rFonts w:ascii="Times New Roman" w:hAnsi="Times New Roman" w:eastAsia="宋体" w:cs="Times New Roman"/>
                <w:b/>
                <w:bCs/>
                <w:color w:val="auto"/>
                <w:spacing w:val="-4"/>
              </w:rPr>
              <w:t xml:space="preserve"> </w:t>
            </w:r>
            <w:r>
              <w:rPr>
                <w:rFonts w:ascii="Times New Roman" w:hAnsi="Times New Roman" w:eastAsia="Times New Roman" w:cs="Times New Roman"/>
                <w:b/>
                <w:bCs/>
                <w:color w:val="auto"/>
                <w:spacing w:val="-4"/>
              </w:rPr>
              <w:t xml:space="preserve">  </w:t>
            </w:r>
            <w:r>
              <w:rPr>
                <w:b/>
                <w:bCs/>
                <w:color w:val="auto"/>
                <w:spacing w:val="-4"/>
              </w:rPr>
              <w:t>项目树苗栽种工艺流程及产污环节图</w:t>
            </w:r>
          </w:p>
          <w:p w14:paraId="40072D14">
            <w:pPr>
              <w:spacing w:before="25" w:line="2599" w:lineRule="exact"/>
              <w:ind w:firstLine="92"/>
              <w:jc w:val="center"/>
              <w:rPr>
                <w:color w:val="auto"/>
              </w:rPr>
            </w:pPr>
            <w:r>
              <w:rPr>
                <w:color w:val="auto"/>
              </w:rPr>
              <w:object>
                <v:shape id="_x0000_i1026" o:spt="75" type="#_x0000_t75" style="height:127.5pt;width:360pt;" o:ole="t" filled="f" o:preferrelative="t" stroked="f" coordsize="21600,21600">
                  <v:path/>
                  <v:fill on="f" focussize="0,0"/>
                  <v:stroke on="f"/>
                  <v:imagedata r:id="rId19" o:title=""/>
                  <o:lock v:ext="edit" aspectratio="f"/>
                  <w10:wrap type="none"/>
                  <w10:anchorlock/>
                </v:shape>
                <o:OLEObject Type="Embed" ProgID="Visio.Drawing.15" ShapeID="_x0000_i1026" DrawAspect="Content" ObjectID="_1468075726" r:id="rId18">
                  <o:LockedField>false</o:LockedField>
                </o:OLEObject>
              </w:object>
            </w:r>
          </w:p>
          <w:p w14:paraId="1498472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b/>
                <w:bCs/>
                <w:color w:val="auto"/>
                <w:spacing w:val="-4"/>
              </w:rPr>
            </w:pPr>
            <w:r>
              <w:rPr>
                <w:rFonts w:ascii="Times New Roman" w:hAnsi="Times New Roman" w:eastAsia="宋体" w:cs="Times New Roman"/>
                <w:b/>
                <w:bCs/>
                <w:color w:val="auto"/>
                <w:spacing w:val="-4"/>
              </w:rPr>
              <w:t>图</w:t>
            </w:r>
            <w:r>
              <w:rPr>
                <w:rFonts w:hint="eastAsia" w:cs="Times New Roman"/>
                <w:b/>
                <w:bCs/>
                <w:color w:val="auto"/>
                <w:spacing w:val="-4"/>
                <w:lang w:val="en-US" w:eastAsia="zh-CN"/>
              </w:rPr>
              <w:t>4-2</w:t>
            </w:r>
            <w:r>
              <w:rPr>
                <w:rFonts w:ascii="Times New Roman" w:hAnsi="Times New Roman" w:eastAsia="宋体" w:cs="Times New Roman"/>
                <w:b/>
                <w:bCs/>
                <w:color w:val="auto"/>
                <w:spacing w:val="-4"/>
              </w:rPr>
              <w:t xml:space="preserve">    项目附属工程工艺流程及产污环节图</w:t>
            </w:r>
          </w:p>
          <w:p w14:paraId="3364E39A">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right="0" w:rightChars="0"/>
              <w:textAlignment w:val="auto"/>
              <w:rPr>
                <w:rFonts w:hint="default" w:ascii="Times New Roman" w:hAnsi="Times New Roman" w:eastAsia="仿宋_GB2312" w:cs="Times New Roman"/>
                <w:b/>
                <w:bCs/>
                <w:color w:val="auto"/>
                <w:spacing w:val="-10"/>
                <w:sz w:val="24"/>
                <w:highlight w:val="none"/>
                <w:lang w:eastAsia="zh-CN"/>
              </w:rPr>
            </w:pPr>
            <w:r>
              <w:rPr>
                <w:rFonts w:hint="eastAsia" w:eastAsia="仿宋_GB2312" w:cs="Times New Roman"/>
                <w:b/>
                <w:bCs/>
                <w:color w:val="auto"/>
                <w:spacing w:val="-10"/>
                <w:sz w:val="24"/>
                <w:highlight w:val="none"/>
                <w:lang w:val="en-US" w:eastAsia="zh-CN"/>
              </w:rPr>
              <w:t>2.</w:t>
            </w:r>
            <w:r>
              <w:rPr>
                <w:rFonts w:hint="default" w:ascii="Times New Roman" w:hAnsi="Times New Roman" w:eastAsia="仿宋_GB2312" w:cs="Times New Roman"/>
                <w:b/>
                <w:bCs/>
                <w:color w:val="auto"/>
                <w:spacing w:val="-10"/>
                <w:sz w:val="24"/>
                <w:highlight w:val="none"/>
                <w:lang w:eastAsia="zh-CN"/>
              </w:rPr>
              <w:t>大气环境影响分析</w:t>
            </w:r>
          </w:p>
          <w:p w14:paraId="3B758B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施工时对周围大气环境造成影响的大气污染源主要来自挖方、填方和建筑材料运输过程中产生的扬尘，以及施工机械尾气。</w:t>
            </w:r>
          </w:p>
          <w:p w14:paraId="5691DF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highlight w:val="none"/>
                <w:lang w:val="en-US" w:eastAsia="zh-CN"/>
              </w:rPr>
            </w:pPr>
            <w:r>
              <w:rPr>
                <w:rFonts w:hint="eastAsia" w:eastAsia="仿宋_GB2312" w:cs="Times New Roman"/>
                <w:color w:val="auto"/>
                <w:sz w:val="24"/>
                <w:highlight w:val="none"/>
                <w:lang w:val="en-US" w:eastAsia="zh-CN"/>
              </w:rPr>
              <w:t>(</w:t>
            </w:r>
            <w:r>
              <w:rPr>
                <w:rFonts w:hint="eastAsia" w:ascii="Times New Roman" w:hAnsi="Times New Roman" w:eastAsia="仿宋_GB2312" w:cs="Times New Roman"/>
                <w:color w:val="auto"/>
                <w:sz w:val="24"/>
                <w:highlight w:val="none"/>
                <w:lang w:val="en-US" w:eastAsia="zh-CN"/>
              </w:rPr>
              <w:t>1</w:t>
            </w:r>
            <w:r>
              <w:rPr>
                <w:rFonts w:hint="eastAsia" w:eastAsia="仿宋_GB2312" w:cs="Times New Roman"/>
                <w:color w:val="auto"/>
                <w:sz w:val="24"/>
                <w:highlight w:val="none"/>
                <w:lang w:val="en-US" w:eastAsia="zh-CN"/>
              </w:rPr>
              <w:t>)</w:t>
            </w:r>
            <w:r>
              <w:rPr>
                <w:rFonts w:hint="eastAsia" w:ascii="Times New Roman" w:hAnsi="Times New Roman" w:eastAsia="仿宋_GB2312" w:cs="Times New Roman"/>
                <w:color w:val="auto"/>
                <w:sz w:val="24"/>
                <w:highlight w:val="none"/>
                <w:lang w:val="en-US" w:eastAsia="zh-CN"/>
              </w:rPr>
              <w:t>施工扬尘</w:t>
            </w:r>
          </w:p>
          <w:p w14:paraId="5F73A3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施工期场地清理和平整，建筑材料砂石装卸、转运、运输、贮存均会造成地面扬尘污染环境，其扬尘量大小与施工现场条件、施工管理水平、机械化程度高低及施工季节、时间长短，以及土质结构、天气条件等诸多因素关系密切。</w:t>
            </w:r>
          </w:p>
          <w:p w14:paraId="554FE3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本项目施工过程中滴灌铺设、苗木种植过程主要为绿化过程施工，产生的扬尘比一般大型开挖施工工地要小。研究表明若在施工时采取控制措施，包括对开挖裸露处洒水等，可明显减少扬尘量。实验表明，在采取对施工面进行不定时洒水等措施后，工地扬尘量可减少70%~80%。据此估计，本项目施工场界外30mTSP的浓度可达标。</w:t>
            </w:r>
          </w:p>
          <w:p w14:paraId="0D757A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highlight w:val="none"/>
                <w:lang w:val="en-US" w:eastAsia="zh-CN"/>
              </w:rPr>
            </w:pPr>
            <w:r>
              <w:rPr>
                <w:rFonts w:hint="eastAsia" w:eastAsia="仿宋_GB2312" w:cs="Times New Roman"/>
                <w:color w:val="auto"/>
                <w:sz w:val="24"/>
                <w:highlight w:val="none"/>
                <w:lang w:val="en-US" w:eastAsia="zh-CN"/>
              </w:rPr>
              <w:t>(</w:t>
            </w:r>
            <w:r>
              <w:rPr>
                <w:rFonts w:hint="eastAsia" w:ascii="Times New Roman" w:hAnsi="Times New Roman" w:eastAsia="仿宋_GB2312" w:cs="Times New Roman"/>
                <w:color w:val="auto"/>
                <w:sz w:val="24"/>
                <w:highlight w:val="none"/>
                <w:lang w:val="en-US" w:eastAsia="zh-CN"/>
              </w:rPr>
              <w:t>2</w:t>
            </w:r>
            <w:r>
              <w:rPr>
                <w:rFonts w:hint="eastAsia" w:eastAsia="仿宋_GB2312" w:cs="Times New Roman"/>
                <w:color w:val="auto"/>
                <w:sz w:val="24"/>
                <w:highlight w:val="none"/>
                <w:lang w:val="en-US" w:eastAsia="zh-CN"/>
              </w:rPr>
              <w:t>)</w:t>
            </w:r>
            <w:r>
              <w:rPr>
                <w:rFonts w:hint="eastAsia" w:ascii="Times New Roman" w:hAnsi="Times New Roman" w:eastAsia="仿宋_GB2312" w:cs="Times New Roman"/>
                <w:color w:val="auto"/>
                <w:sz w:val="24"/>
                <w:highlight w:val="none"/>
                <w:lang w:val="en-US" w:eastAsia="zh-CN"/>
              </w:rPr>
              <w:t>车辆运输扬尘影响分析</w:t>
            </w:r>
          </w:p>
          <w:p w14:paraId="5F99E7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施工过程中对装载容易散落、飞扬、流漏物料的运输车辆管理不当，将导致施工场地周围和施工运输沿线装载物泄漏、遗撒，运输车辆在离开施工场地后因颠簸或风的作用洒落尘土，对沿途周围环境会产生一次和二次扬尘污染，影响较大的是土石方运输车辆；运输车辆在进出施工工地时，车体不清洁，车轮挂带泥沙，产生扬尘也会影响施工场地周围环境空气质量。</w:t>
            </w:r>
          </w:p>
          <w:p w14:paraId="0A27AF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⑵运输车辆及作业机械尾气</w:t>
            </w:r>
          </w:p>
          <w:p w14:paraId="11FF9A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道路施工时一般采用挖掘机、推土机等设备，运输车辆主要有装载车、自卸汽车等。施工机械和运输车辆的动力源为柴油，所产生的尾气污染物主要为CO、THC、NOx、SO</w:t>
            </w:r>
            <w:r>
              <w:rPr>
                <w:rFonts w:hint="default" w:ascii="Times New Roman" w:hAnsi="Times New Roman" w:eastAsia="仿宋_GB2312" w:cs="Times New Roman"/>
                <w:color w:val="auto"/>
                <w:sz w:val="24"/>
                <w:highlight w:val="none"/>
                <w:vertAlign w:val="subscript"/>
                <w:lang w:val="en-US" w:eastAsia="zh-CN"/>
              </w:rPr>
              <w:t>2</w:t>
            </w:r>
            <w:r>
              <w:rPr>
                <w:rFonts w:hint="default" w:ascii="Times New Roman" w:hAnsi="Times New Roman" w:eastAsia="仿宋_GB2312" w:cs="Times New Roman"/>
                <w:color w:val="auto"/>
                <w:sz w:val="24"/>
                <w:highlight w:val="none"/>
                <w:lang w:val="en-US" w:eastAsia="zh-CN"/>
              </w:rPr>
              <w:t>，会对施工道路两侧和运输路线两侧局部范围产生一定不良影响。根据《环境保护实用数据手册》，载重汽车尾气主要污染物排放浓度约为CO＜105g/m</w:t>
            </w:r>
            <w:r>
              <w:rPr>
                <w:rFonts w:hint="default" w:ascii="Times New Roman" w:hAnsi="Times New Roman" w:eastAsia="仿宋_GB2312" w:cs="Times New Roman"/>
                <w:color w:val="auto"/>
                <w:sz w:val="24"/>
                <w:highlight w:val="none"/>
                <w:vertAlign w:val="superscript"/>
                <w:lang w:val="en-US" w:eastAsia="zh-CN"/>
              </w:rPr>
              <w:t>3</w:t>
            </w:r>
            <w:r>
              <w:rPr>
                <w:rFonts w:hint="default" w:ascii="Times New Roman" w:hAnsi="Times New Roman" w:eastAsia="仿宋_GB2312" w:cs="Times New Roman"/>
                <w:color w:val="auto"/>
                <w:sz w:val="24"/>
                <w:highlight w:val="none"/>
                <w:lang w:val="en-US" w:eastAsia="zh-CN"/>
              </w:rPr>
              <w:t>、NO</w:t>
            </w:r>
            <w:r>
              <w:rPr>
                <w:rFonts w:hint="default" w:ascii="Times New Roman" w:hAnsi="Times New Roman" w:eastAsia="仿宋_GB2312" w:cs="Times New Roman"/>
                <w:color w:val="auto"/>
                <w:sz w:val="24"/>
                <w:highlight w:val="none"/>
                <w:vertAlign w:val="subscript"/>
                <w:lang w:val="en-US" w:eastAsia="zh-CN"/>
              </w:rPr>
              <w:t>x</w:t>
            </w:r>
            <w:r>
              <w:rPr>
                <w:rFonts w:hint="default" w:ascii="Times New Roman" w:hAnsi="Times New Roman" w:eastAsia="仿宋_GB2312" w:cs="Times New Roman"/>
                <w:color w:val="auto"/>
                <w:sz w:val="24"/>
                <w:highlight w:val="none"/>
                <w:lang w:val="en-US" w:eastAsia="zh-CN"/>
              </w:rPr>
              <w:t>＜1.65g/m</w:t>
            </w:r>
            <w:r>
              <w:rPr>
                <w:rFonts w:hint="default" w:ascii="Times New Roman" w:hAnsi="Times New Roman" w:eastAsia="仿宋_GB2312" w:cs="Times New Roman"/>
                <w:color w:val="auto"/>
                <w:sz w:val="24"/>
                <w:highlight w:val="none"/>
                <w:vertAlign w:val="superscript"/>
                <w:lang w:val="en-US" w:eastAsia="zh-CN"/>
              </w:rPr>
              <w:t>3</w:t>
            </w:r>
            <w:r>
              <w:rPr>
                <w:rFonts w:hint="default" w:ascii="Times New Roman" w:hAnsi="Times New Roman" w:eastAsia="仿宋_GB2312" w:cs="Times New Roman"/>
                <w:color w:val="auto"/>
                <w:sz w:val="24"/>
                <w:highlight w:val="none"/>
                <w:lang w:val="en-US" w:eastAsia="zh-CN"/>
              </w:rPr>
              <w:t>。由于施工机械多为大型机械，但施工机械同时施工数量少且较分散，其污染程度相对较轻。</w:t>
            </w:r>
          </w:p>
          <w:p w14:paraId="224DC8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仿宋_GB2312" w:cs="Times New Roman"/>
                <w:color w:val="auto"/>
                <w:sz w:val="24"/>
                <w:highlight w:val="none"/>
                <w:lang w:val="en-US" w:eastAsia="zh-CN"/>
              </w:rPr>
            </w:pPr>
            <w:r>
              <w:rPr>
                <w:rFonts w:hint="eastAsia" w:eastAsia="仿宋_GB2312" w:cs="Times New Roman"/>
                <w:color w:val="auto"/>
                <w:sz w:val="24"/>
                <w:highlight w:val="none"/>
                <w:lang w:val="en-US" w:eastAsia="zh-CN"/>
              </w:rPr>
              <w:t>(3)道路扬尘</w:t>
            </w:r>
          </w:p>
          <w:p w14:paraId="51ED9B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仿宋_GB2312" w:cs="Times New Roman"/>
                <w:color w:val="auto"/>
                <w:sz w:val="24"/>
                <w:highlight w:val="none"/>
                <w:lang w:val="en-US" w:eastAsia="zh-CN"/>
              </w:rPr>
            </w:pPr>
            <w:r>
              <w:rPr>
                <w:rFonts w:hint="default" w:eastAsia="仿宋_GB2312" w:cs="Times New Roman"/>
                <w:color w:val="auto"/>
                <w:sz w:val="24"/>
                <w:highlight w:val="none"/>
                <w:lang w:val="en-US" w:eastAsia="zh-CN"/>
              </w:rPr>
              <w:t>工程施工运输中的扬尘主要来自两方面：一是汽车行驶产生的路面二次扬尘；二是装载和运输物料数量较大的砂石土料等产尘物料时，若汽车防护不当，易造成物料失落和飘散。道路运输扬尘将对运输路线两侧一定区域的环境空气造成一定的污染，可能造成局部环境空气超过环境空气质量标准。在完全干燥的情况下，这部分扬尘可按下列经验公式计算：</w:t>
            </w:r>
          </w:p>
          <w:p w14:paraId="1543AD6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color w:val="auto"/>
                <w:highlight w:val="none"/>
              </w:rPr>
            </w:pPr>
            <w:r>
              <w:rPr>
                <w:rFonts w:hint="default"/>
                <w:color w:val="auto"/>
                <w:highlight w:val="none"/>
              </w:rPr>
              <w:object>
                <v:shape id="_x0000_i1027" o:spt="75" type="#_x0000_t75" style="height:31pt;width:145pt;" o:ole="t" filled="f" stroked="f" coordsize="21600,21600">
                  <v:path/>
                  <v:fill on="f" focussize="0,0"/>
                  <v:stroke on="f"/>
                  <v:imagedata r:id="rId21" o:title=""/>
                  <o:lock v:ext="edit" aspectratio="t"/>
                  <w10:wrap type="none"/>
                  <w10:anchorlock/>
                </v:shape>
                <o:OLEObject Type="Embed" ProgID="Equation.DSMT4" ShapeID="_x0000_i1027" DrawAspect="Content" ObjectID="_1468075727" r:id="rId20">
                  <o:LockedField>false</o:LockedField>
                </o:OLEObject>
              </w:object>
            </w:r>
          </w:p>
          <w:p w14:paraId="410575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式中：</w:t>
            </w:r>
          </w:p>
          <w:p w14:paraId="08DD8D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Q：汽车行驶的扬尘，kg/km辆；</w:t>
            </w:r>
          </w:p>
          <w:p w14:paraId="1AE303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V：汽车速度，km/h；</w:t>
            </w:r>
          </w:p>
          <w:p w14:paraId="23336F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w：汽车载重量，吨；</w:t>
            </w:r>
          </w:p>
          <w:p w14:paraId="5FB11A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P：道路表面粉尘量，kg/m</w:t>
            </w:r>
            <w:r>
              <w:rPr>
                <w:rFonts w:hint="default" w:ascii="Times New Roman" w:hAnsi="Times New Roman" w:eastAsia="仿宋_GB2312" w:cs="Times New Roman"/>
                <w:color w:val="auto"/>
                <w:sz w:val="24"/>
                <w:highlight w:val="none"/>
                <w:vertAlign w:val="superscript"/>
                <w:lang w:val="en-US" w:eastAsia="zh-CN"/>
              </w:rPr>
              <w:t>2</w:t>
            </w:r>
            <w:r>
              <w:rPr>
                <w:rFonts w:hint="default" w:ascii="Times New Roman" w:hAnsi="Times New Roman" w:eastAsia="仿宋_GB2312" w:cs="Times New Roman"/>
                <w:color w:val="auto"/>
                <w:sz w:val="24"/>
                <w:highlight w:val="none"/>
                <w:lang w:val="en-US" w:eastAsia="zh-CN"/>
              </w:rPr>
              <w:t>。</w:t>
            </w:r>
          </w:p>
          <w:p w14:paraId="7C1302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通过上式计算，一辆载重量为10t的卡车，通过一段长度为lkm的路面时，不同路面清洁程度、不同行驶情况下的扬尘量。</w:t>
            </w:r>
          </w:p>
          <w:p w14:paraId="657BE6C8">
            <w:pPr>
              <w:pStyle w:val="72"/>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right="0" w:rightChars="0" w:firstLine="420" w:firstLineChars="200"/>
              <w:jc w:val="both"/>
              <w:textAlignment w:val="auto"/>
              <w:rPr>
                <w:rFonts w:hint="default" w:ascii="Times New Roman" w:hAnsi="Times New Roman" w:eastAsia="宋体" w:cs="Times New Roman"/>
                <w:b/>
                <w:bCs/>
                <w:color w:val="auto"/>
                <w:spacing w:val="0"/>
                <w:kern w:val="2"/>
                <w:sz w:val="24"/>
                <w:szCs w:val="24"/>
                <w:highlight w:val="none"/>
                <w:u w:val="none"/>
                <w:lang w:val="en-US" w:eastAsia="zh-CN" w:bidi="ar-SA"/>
              </w:rPr>
            </w:pPr>
            <w:r>
              <w:rPr>
                <w:rFonts w:hint="default" w:ascii="Times New Roman" w:hAnsi="Times New Roman" w:eastAsia="宋体" w:cs="Times New Roman"/>
                <w:b w:val="0"/>
                <w:bCs w:val="0"/>
                <w:color w:val="auto"/>
                <w:spacing w:val="0"/>
                <w:kern w:val="2"/>
                <w:sz w:val="21"/>
                <w:szCs w:val="21"/>
                <w:highlight w:val="none"/>
                <w:u w:val="none"/>
                <w:lang w:val="en-US" w:eastAsia="zh-CN" w:bidi="ar-SA"/>
              </w:rPr>
              <w:t>表</w:t>
            </w:r>
            <w:r>
              <w:rPr>
                <w:rFonts w:hint="eastAsia" w:ascii="Times New Roman" w:hAnsi="Times New Roman" w:eastAsia="宋体" w:cs="Times New Roman"/>
                <w:b w:val="0"/>
                <w:bCs w:val="0"/>
                <w:color w:val="auto"/>
                <w:spacing w:val="0"/>
                <w:kern w:val="2"/>
                <w:sz w:val="21"/>
                <w:szCs w:val="21"/>
                <w:highlight w:val="none"/>
                <w:u w:val="none"/>
                <w:lang w:val="en-US" w:eastAsia="zh-CN" w:bidi="ar-SA"/>
              </w:rPr>
              <w:t xml:space="preserve">25              </w:t>
            </w:r>
            <w:r>
              <w:rPr>
                <w:rFonts w:hint="default" w:ascii="Times New Roman" w:hAnsi="Times New Roman" w:eastAsia="宋体" w:cs="Times New Roman"/>
                <w:b w:val="0"/>
                <w:bCs w:val="0"/>
                <w:color w:val="auto"/>
                <w:spacing w:val="0"/>
                <w:kern w:val="2"/>
                <w:sz w:val="21"/>
                <w:szCs w:val="21"/>
                <w:highlight w:val="none"/>
                <w:u w:val="none"/>
                <w:lang w:val="en-US" w:eastAsia="zh-CN" w:bidi="ar-SA"/>
              </w:rPr>
              <w:t xml:space="preserve">  </w:t>
            </w:r>
            <w:r>
              <w:rPr>
                <w:rFonts w:hint="eastAsia" w:ascii="Times New Roman" w:hAnsi="Times New Roman" w:eastAsia="宋体" w:cs="Times New Roman"/>
                <w:b/>
                <w:bCs/>
                <w:color w:val="auto"/>
                <w:spacing w:val="0"/>
                <w:kern w:val="2"/>
                <w:sz w:val="21"/>
                <w:szCs w:val="21"/>
                <w:highlight w:val="none"/>
                <w:u w:val="none"/>
                <w:lang w:val="en-US" w:eastAsia="zh-CN" w:bidi="ar-SA"/>
              </w:rPr>
              <w:t>不同车速和地面清洁程度的汽车扬尘量</w:t>
            </w:r>
          </w:p>
          <w:tbl>
            <w:tblPr>
              <w:tblStyle w:val="76"/>
              <w:tblW w:w="831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03"/>
              <w:gridCol w:w="1004"/>
              <w:gridCol w:w="1004"/>
              <w:gridCol w:w="1004"/>
              <w:gridCol w:w="1004"/>
              <w:gridCol w:w="1005"/>
              <w:gridCol w:w="1393"/>
            </w:tblGrid>
            <w:tr w14:paraId="1CD065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4" w:hRule="atLeast"/>
                <w:jc w:val="center"/>
              </w:trPr>
              <w:tc>
                <w:tcPr>
                  <w:tcW w:w="1903" w:type="dxa"/>
                  <w:tcBorders>
                    <w:tl2br w:val="nil"/>
                    <w:tr2bl w:val="nil"/>
                  </w:tcBorders>
                  <w:vAlign w:val="top"/>
                </w:tcPr>
                <w:p w14:paraId="7939D2C4">
                  <w:pPr>
                    <w:pStyle w:val="7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mc:AlternateContent>
                      <mc:Choice Requires="wps">
                        <w:drawing>
                          <wp:anchor distT="0" distB="0" distL="114300" distR="114300" simplePos="0" relativeHeight="251659264" behindDoc="0" locked="0" layoutInCell="1" allowOverlap="1">
                            <wp:simplePos x="0" y="0"/>
                            <wp:positionH relativeFrom="column">
                              <wp:posOffset>-6350</wp:posOffset>
                            </wp:positionH>
                            <wp:positionV relativeFrom="paragraph">
                              <wp:posOffset>-3810</wp:posOffset>
                            </wp:positionV>
                            <wp:extent cx="1202055" cy="504825"/>
                            <wp:effectExtent l="1905" t="4445" r="15240" b="5080"/>
                            <wp:wrapNone/>
                            <wp:docPr id="7" name="直接连接符 7"/>
                            <wp:cNvGraphicFramePr/>
                            <a:graphic xmlns:a="http://schemas.openxmlformats.org/drawingml/2006/main">
                              <a:graphicData uri="http://schemas.microsoft.com/office/word/2010/wordprocessingShape">
                                <wps:wsp>
                                  <wps:cNvCnPr/>
                                  <wps:spPr>
                                    <a:xfrm>
                                      <a:off x="1374140" y="1287145"/>
                                      <a:ext cx="1202055" cy="5048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5pt;margin-top:-0.3pt;height:39.75pt;width:94.65pt;z-index:251659264;mso-width-relative:page;mso-height-relative:page;" filled="f" stroked="t" coordsize="21600,21600" o:gfxdata="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mFf1DV&#10;AAAABwEAAA8AAAAAAAAAAQAgAAAAIgAAAGRycy9kb3ducmV2LnhtbFBLAQIUABQAAAAIAIdO4kAX&#10;MGGT6gEAAKsDAAAOAAAAAAAAAAEAIAAAACQBAABkcnMvZTJvRG9jLnhtbFBLBQYAAAAABgAGAFkB&#10;AACABQAAAAA=&#10;">
                            <v:fill on="f" focussize="0,0"/>
                            <v:stroke weight="0.5pt" color="#000000 [3213]" joinstyle="round"/>
                            <v:imagedata o:title=""/>
                            <o:lock v:ext="edit" aspectratio="f"/>
                          </v:line>
                        </w:pict>
                      </mc:Fallback>
                    </mc:AlternateConten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P（kg/m</w:t>
                  </w:r>
                  <w:r>
                    <w:rPr>
                      <w:rFonts w:hint="default" w:ascii="Times New Roman" w:hAnsi="Times New Roman" w:eastAsia="宋体" w:cs="Times New Roman"/>
                      <w:b/>
                      <w:bCs/>
                      <w:color w:val="auto"/>
                      <w:sz w:val="21"/>
                      <w:szCs w:val="21"/>
                      <w:highlight w:val="none"/>
                      <w:vertAlign w:val="superscript"/>
                    </w:rPr>
                    <w:t>2</w:t>
                  </w:r>
                  <w:r>
                    <w:rPr>
                      <w:rFonts w:hint="default" w:ascii="Times New Roman" w:hAnsi="Times New Roman" w:eastAsia="宋体" w:cs="Times New Roman"/>
                      <w:b/>
                      <w:bCs/>
                      <w:color w:val="auto"/>
                      <w:sz w:val="21"/>
                      <w:szCs w:val="21"/>
                      <w:highlight w:val="none"/>
                    </w:rPr>
                    <w:t xml:space="preserve">） </w:t>
                  </w:r>
                </w:p>
                <w:p w14:paraId="310AD672">
                  <w:pPr>
                    <w:pStyle w:val="7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1"/>
                      <w:szCs w:val="21"/>
                      <w:highlight w:val="none"/>
                    </w:rPr>
                  </w:pPr>
                </w:p>
                <w:p w14:paraId="11761C35">
                  <w:pPr>
                    <w:pStyle w:val="7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车辆（km/h）</w:t>
                  </w:r>
                </w:p>
              </w:tc>
              <w:tc>
                <w:tcPr>
                  <w:tcW w:w="1004" w:type="dxa"/>
                  <w:tcBorders>
                    <w:tl2br w:val="nil"/>
                    <w:tr2bl w:val="nil"/>
                  </w:tcBorders>
                  <w:vAlign w:val="center"/>
                </w:tcPr>
                <w:p w14:paraId="4867B243">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0.1</w:t>
                  </w:r>
                </w:p>
              </w:tc>
              <w:tc>
                <w:tcPr>
                  <w:tcW w:w="1004" w:type="dxa"/>
                  <w:tcBorders>
                    <w:tl2br w:val="nil"/>
                    <w:tr2bl w:val="nil"/>
                  </w:tcBorders>
                  <w:vAlign w:val="center"/>
                </w:tcPr>
                <w:p w14:paraId="0D61783D">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0.2</w:t>
                  </w:r>
                </w:p>
              </w:tc>
              <w:tc>
                <w:tcPr>
                  <w:tcW w:w="1004" w:type="dxa"/>
                  <w:tcBorders>
                    <w:tl2br w:val="nil"/>
                    <w:tr2bl w:val="nil"/>
                  </w:tcBorders>
                  <w:vAlign w:val="center"/>
                </w:tcPr>
                <w:p w14:paraId="685C5AD1">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0.3</w:t>
                  </w:r>
                </w:p>
              </w:tc>
              <w:tc>
                <w:tcPr>
                  <w:tcW w:w="1004" w:type="dxa"/>
                  <w:tcBorders>
                    <w:tl2br w:val="nil"/>
                    <w:tr2bl w:val="nil"/>
                  </w:tcBorders>
                  <w:vAlign w:val="center"/>
                </w:tcPr>
                <w:p w14:paraId="26E484D7">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0.4</w:t>
                  </w:r>
                </w:p>
              </w:tc>
              <w:tc>
                <w:tcPr>
                  <w:tcW w:w="1005" w:type="dxa"/>
                  <w:tcBorders>
                    <w:tl2br w:val="nil"/>
                    <w:tr2bl w:val="nil"/>
                  </w:tcBorders>
                  <w:vAlign w:val="center"/>
                </w:tcPr>
                <w:p w14:paraId="5D17A91A">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0.5</w:t>
                  </w:r>
                </w:p>
              </w:tc>
              <w:tc>
                <w:tcPr>
                  <w:tcW w:w="1393" w:type="dxa"/>
                  <w:tcBorders>
                    <w:tl2br w:val="nil"/>
                    <w:tr2bl w:val="nil"/>
                  </w:tcBorders>
                  <w:vAlign w:val="center"/>
                </w:tcPr>
                <w:p w14:paraId="423F36BD">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1.0</w:t>
                  </w:r>
                </w:p>
              </w:tc>
            </w:tr>
            <w:tr w14:paraId="25CD25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1903" w:type="dxa"/>
                  <w:tcBorders>
                    <w:tl2br w:val="nil"/>
                    <w:tr2bl w:val="nil"/>
                  </w:tcBorders>
                  <w:vAlign w:val="center"/>
                </w:tcPr>
                <w:p w14:paraId="6C6CD72C">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004" w:type="dxa"/>
                  <w:tcBorders>
                    <w:tl2br w:val="nil"/>
                    <w:tr2bl w:val="nil"/>
                  </w:tcBorders>
                  <w:vAlign w:val="center"/>
                </w:tcPr>
                <w:p w14:paraId="75AA8AB2">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0.051</w:t>
                  </w:r>
                </w:p>
              </w:tc>
              <w:tc>
                <w:tcPr>
                  <w:tcW w:w="1004" w:type="dxa"/>
                  <w:tcBorders>
                    <w:tl2br w:val="nil"/>
                    <w:tr2bl w:val="nil"/>
                  </w:tcBorders>
                  <w:vAlign w:val="center"/>
                </w:tcPr>
                <w:p w14:paraId="4B2F5564">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0.086</w:t>
                  </w:r>
                </w:p>
              </w:tc>
              <w:tc>
                <w:tcPr>
                  <w:tcW w:w="1004" w:type="dxa"/>
                  <w:tcBorders>
                    <w:tl2br w:val="nil"/>
                    <w:tr2bl w:val="nil"/>
                  </w:tcBorders>
                  <w:vAlign w:val="center"/>
                </w:tcPr>
                <w:p w14:paraId="2F6C74AE">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0.116</w:t>
                  </w:r>
                </w:p>
              </w:tc>
              <w:tc>
                <w:tcPr>
                  <w:tcW w:w="1004" w:type="dxa"/>
                  <w:tcBorders>
                    <w:tl2br w:val="nil"/>
                    <w:tr2bl w:val="nil"/>
                  </w:tcBorders>
                  <w:vAlign w:val="center"/>
                </w:tcPr>
                <w:p w14:paraId="731BF9A1">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0.144</w:t>
                  </w:r>
                </w:p>
              </w:tc>
              <w:tc>
                <w:tcPr>
                  <w:tcW w:w="1005" w:type="dxa"/>
                  <w:tcBorders>
                    <w:tl2br w:val="nil"/>
                    <w:tr2bl w:val="nil"/>
                  </w:tcBorders>
                  <w:vAlign w:val="center"/>
                </w:tcPr>
                <w:p w14:paraId="27B4E43E">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0.151</w:t>
                  </w:r>
                </w:p>
              </w:tc>
              <w:tc>
                <w:tcPr>
                  <w:tcW w:w="1393" w:type="dxa"/>
                  <w:tcBorders>
                    <w:tl2br w:val="nil"/>
                    <w:tr2bl w:val="nil"/>
                  </w:tcBorders>
                  <w:vAlign w:val="center"/>
                </w:tcPr>
                <w:p w14:paraId="4F2E9FF6">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0.287</w:t>
                  </w:r>
                </w:p>
              </w:tc>
            </w:tr>
            <w:tr w14:paraId="339AB3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1903" w:type="dxa"/>
                  <w:tcBorders>
                    <w:tl2br w:val="nil"/>
                    <w:tr2bl w:val="nil"/>
                  </w:tcBorders>
                  <w:vAlign w:val="center"/>
                </w:tcPr>
                <w:p w14:paraId="65417740">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004" w:type="dxa"/>
                  <w:tcBorders>
                    <w:tl2br w:val="nil"/>
                    <w:tr2bl w:val="nil"/>
                  </w:tcBorders>
                  <w:vAlign w:val="center"/>
                </w:tcPr>
                <w:p w14:paraId="2E0ACBB8">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0.102</w:t>
                  </w:r>
                </w:p>
              </w:tc>
              <w:tc>
                <w:tcPr>
                  <w:tcW w:w="1004" w:type="dxa"/>
                  <w:tcBorders>
                    <w:tl2br w:val="nil"/>
                    <w:tr2bl w:val="nil"/>
                  </w:tcBorders>
                  <w:vAlign w:val="center"/>
                </w:tcPr>
                <w:p w14:paraId="1F8BA6AD">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0.171</w:t>
                  </w:r>
                </w:p>
              </w:tc>
              <w:tc>
                <w:tcPr>
                  <w:tcW w:w="1004" w:type="dxa"/>
                  <w:tcBorders>
                    <w:tl2br w:val="nil"/>
                    <w:tr2bl w:val="nil"/>
                  </w:tcBorders>
                  <w:vAlign w:val="center"/>
                </w:tcPr>
                <w:p w14:paraId="52AD76EB">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0.232</w:t>
                  </w:r>
                </w:p>
              </w:tc>
              <w:tc>
                <w:tcPr>
                  <w:tcW w:w="1004" w:type="dxa"/>
                  <w:tcBorders>
                    <w:tl2br w:val="nil"/>
                    <w:tr2bl w:val="nil"/>
                  </w:tcBorders>
                  <w:vAlign w:val="center"/>
                </w:tcPr>
                <w:p w14:paraId="788AB7D3">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0.2889</w:t>
                  </w:r>
                </w:p>
              </w:tc>
              <w:tc>
                <w:tcPr>
                  <w:tcW w:w="1005" w:type="dxa"/>
                  <w:tcBorders>
                    <w:tl2br w:val="nil"/>
                    <w:tr2bl w:val="nil"/>
                  </w:tcBorders>
                  <w:vAlign w:val="center"/>
                </w:tcPr>
                <w:p w14:paraId="5DCBE994">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0.341</w:t>
                  </w:r>
                </w:p>
              </w:tc>
              <w:tc>
                <w:tcPr>
                  <w:tcW w:w="1393" w:type="dxa"/>
                  <w:tcBorders>
                    <w:tl2br w:val="nil"/>
                    <w:tr2bl w:val="nil"/>
                  </w:tcBorders>
                  <w:vAlign w:val="center"/>
                </w:tcPr>
                <w:p w14:paraId="15B83093">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0.574</w:t>
                  </w:r>
                </w:p>
              </w:tc>
            </w:tr>
            <w:tr w14:paraId="242E83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1903" w:type="dxa"/>
                  <w:tcBorders>
                    <w:tl2br w:val="nil"/>
                    <w:tr2bl w:val="nil"/>
                  </w:tcBorders>
                  <w:vAlign w:val="center"/>
                </w:tcPr>
                <w:p w14:paraId="749E1951">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004" w:type="dxa"/>
                  <w:tcBorders>
                    <w:tl2br w:val="nil"/>
                    <w:tr2bl w:val="nil"/>
                  </w:tcBorders>
                  <w:vAlign w:val="center"/>
                </w:tcPr>
                <w:p w14:paraId="3EE4F385">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0.153</w:t>
                  </w:r>
                </w:p>
              </w:tc>
              <w:tc>
                <w:tcPr>
                  <w:tcW w:w="1004" w:type="dxa"/>
                  <w:tcBorders>
                    <w:tl2br w:val="nil"/>
                    <w:tr2bl w:val="nil"/>
                  </w:tcBorders>
                  <w:vAlign w:val="center"/>
                </w:tcPr>
                <w:p w14:paraId="42DD1063">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0.257</w:t>
                  </w:r>
                </w:p>
              </w:tc>
              <w:tc>
                <w:tcPr>
                  <w:tcW w:w="1004" w:type="dxa"/>
                  <w:tcBorders>
                    <w:tl2br w:val="nil"/>
                    <w:tr2bl w:val="nil"/>
                  </w:tcBorders>
                  <w:vAlign w:val="center"/>
                </w:tcPr>
                <w:p w14:paraId="150ABF6C">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0.349</w:t>
                  </w:r>
                </w:p>
              </w:tc>
              <w:tc>
                <w:tcPr>
                  <w:tcW w:w="1004" w:type="dxa"/>
                  <w:tcBorders>
                    <w:tl2br w:val="nil"/>
                    <w:tr2bl w:val="nil"/>
                  </w:tcBorders>
                  <w:vAlign w:val="center"/>
                </w:tcPr>
                <w:p w14:paraId="2E60CBC4">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0.433</w:t>
                  </w:r>
                </w:p>
              </w:tc>
              <w:tc>
                <w:tcPr>
                  <w:tcW w:w="1005" w:type="dxa"/>
                  <w:tcBorders>
                    <w:tl2br w:val="nil"/>
                    <w:tr2bl w:val="nil"/>
                  </w:tcBorders>
                  <w:vAlign w:val="center"/>
                </w:tcPr>
                <w:p w14:paraId="5DB714F5">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0.512</w:t>
                  </w:r>
                </w:p>
              </w:tc>
              <w:tc>
                <w:tcPr>
                  <w:tcW w:w="1393" w:type="dxa"/>
                  <w:tcBorders>
                    <w:tl2br w:val="nil"/>
                    <w:tr2bl w:val="nil"/>
                  </w:tcBorders>
                  <w:vAlign w:val="center"/>
                </w:tcPr>
                <w:p w14:paraId="1F7A08BC">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0.861</w:t>
                  </w:r>
                </w:p>
              </w:tc>
            </w:tr>
            <w:tr w14:paraId="54F6D1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903" w:type="dxa"/>
                  <w:tcBorders>
                    <w:tl2br w:val="nil"/>
                    <w:tr2bl w:val="nil"/>
                  </w:tcBorders>
                  <w:vAlign w:val="center"/>
                </w:tcPr>
                <w:p w14:paraId="4D8F2618">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004" w:type="dxa"/>
                  <w:tcBorders>
                    <w:tl2br w:val="nil"/>
                    <w:tr2bl w:val="nil"/>
                  </w:tcBorders>
                  <w:vAlign w:val="center"/>
                </w:tcPr>
                <w:p w14:paraId="5984BE4A">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0.55</w:t>
                  </w:r>
                </w:p>
              </w:tc>
              <w:tc>
                <w:tcPr>
                  <w:tcW w:w="1004" w:type="dxa"/>
                  <w:tcBorders>
                    <w:tl2br w:val="nil"/>
                    <w:tr2bl w:val="nil"/>
                  </w:tcBorders>
                  <w:vAlign w:val="center"/>
                </w:tcPr>
                <w:p w14:paraId="0A1F738C">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0.29</w:t>
                  </w:r>
                </w:p>
              </w:tc>
              <w:tc>
                <w:tcPr>
                  <w:tcW w:w="1004" w:type="dxa"/>
                  <w:tcBorders>
                    <w:tl2br w:val="nil"/>
                    <w:tr2bl w:val="nil"/>
                  </w:tcBorders>
                  <w:vAlign w:val="center"/>
                </w:tcPr>
                <w:p w14:paraId="2DE12964">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0.582</w:t>
                  </w:r>
                </w:p>
              </w:tc>
              <w:tc>
                <w:tcPr>
                  <w:tcW w:w="1004" w:type="dxa"/>
                  <w:tcBorders>
                    <w:tl2br w:val="nil"/>
                    <w:tr2bl w:val="nil"/>
                  </w:tcBorders>
                  <w:vAlign w:val="center"/>
                </w:tcPr>
                <w:p w14:paraId="2B6E7FC0">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0.722</w:t>
                  </w:r>
                </w:p>
              </w:tc>
              <w:tc>
                <w:tcPr>
                  <w:tcW w:w="1005" w:type="dxa"/>
                  <w:tcBorders>
                    <w:tl2br w:val="nil"/>
                    <w:tr2bl w:val="nil"/>
                  </w:tcBorders>
                  <w:vAlign w:val="center"/>
                </w:tcPr>
                <w:p w14:paraId="793585B5">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0.853</w:t>
                  </w:r>
                </w:p>
              </w:tc>
              <w:tc>
                <w:tcPr>
                  <w:tcW w:w="1393" w:type="dxa"/>
                  <w:tcBorders>
                    <w:tl2br w:val="nil"/>
                    <w:tr2bl w:val="nil"/>
                  </w:tcBorders>
                  <w:vAlign w:val="center"/>
                </w:tcPr>
                <w:p w14:paraId="45122CF9">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1.435</w:t>
                  </w:r>
                </w:p>
              </w:tc>
            </w:tr>
          </w:tbl>
          <w:p w14:paraId="7663DFC8">
            <w:pPr>
              <w:pStyle w:val="89"/>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在施工期间对车辆行驶路面实施洒水抑尘，每天洒水1～2次，可使空气中的粉尘量减少70%左右，扬尘造成的TSP污染距离可缩小到20～50m范围，降尘效果显著。洒水降尘试验资料见</w:t>
            </w:r>
            <w:r>
              <w:rPr>
                <w:rFonts w:hint="eastAsia" w:ascii="Times New Roman" w:hAnsi="Times New Roman" w:eastAsia="仿宋_GB2312" w:cs="Times New Roman"/>
                <w:color w:val="auto"/>
                <w:kern w:val="2"/>
                <w:sz w:val="24"/>
                <w:szCs w:val="24"/>
                <w:highlight w:val="none"/>
                <w:lang w:val="en-US" w:eastAsia="zh-CN" w:bidi="ar-SA"/>
              </w:rPr>
              <w:t>下表。</w:t>
            </w:r>
          </w:p>
          <w:p w14:paraId="0C6EDE87">
            <w:pPr>
              <w:pStyle w:val="72"/>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right="0" w:rightChars="0" w:firstLine="420" w:firstLineChars="200"/>
              <w:jc w:val="both"/>
              <w:textAlignment w:val="auto"/>
              <w:rPr>
                <w:rFonts w:hint="default" w:ascii="Times New Roman" w:hAnsi="Times New Roman" w:eastAsia="宋体" w:cs="Times New Roman"/>
                <w:b/>
                <w:bCs/>
                <w:color w:val="auto"/>
                <w:spacing w:val="0"/>
                <w:kern w:val="2"/>
                <w:sz w:val="24"/>
                <w:szCs w:val="24"/>
                <w:highlight w:val="none"/>
                <w:u w:val="none"/>
                <w:lang w:val="en-US" w:eastAsia="zh-CN" w:bidi="ar-SA"/>
              </w:rPr>
            </w:pPr>
            <w:r>
              <w:rPr>
                <w:rFonts w:hint="default" w:ascii="Times New Roman" w:hAnsi="Times New Roman" w:eastAsia="宋体" w:cs="Times New Roman"/>
                <w:b w:val="0"/>
                <w:bCs w:val="0"/>
                <w:color w:val="auto"/>
                <w:spacing w:val="0"/>
                <w:kern w:val="2"/>
                <w:sz w:val="21"/>
                <w:szCs w:val="21"/>
                <w:highlight w:val="none"/>
                <w:u w:val="none"/>
                <w:lang w:val="en-US" w:eastAsia="zh-CN" w:bidi="ar-SA"/>
              </w:rPr>
              <w:t>表</w:t>
            </w:r>
            <w:r>
              <w:rPr>
                <w:rFonts w:hint="eastAsia" w:ascii="Times New Roman" w:hAnsi="Times New Roman" w:eastAsia="宋体" w:cs="Times New Roman"/>
                <w:b w:val="0"/>
                <w:bCs w:val="0"/>
                <w:color w:val="auto"/>
                <w:spacing w:val="0"/>
                <w:kern w:val="2"/>
                <w:sz w:val="21"/>
                <w:szCs w:val="21"/>
                <w:highlight w:val="none"/>
                <w:u w:val="none"/>
                <w:lang w:val="en-US" w:eastAsia="zh-CN" w:bidi="ar-SA"/>
              </w:rPr>
              <w:t xml:space="preserve">26              </w:t>
            </w:r>
            <w:r>
              <w:rPr>
                <w:rFonts w:hint="default" w:ascii="Times New Roman" w:hAnsi="Times New Roman" w:eastAsia="宋体" w:cs="Times New Roman"/>
                <w:b w:val="0"/>
                <w:bCs w:val="0"/>
                <w:color w:val="auto"/>
                <w:spacing w:val="0"/>
                <w:kern w:val="2"/>
                <w:sz w:val="21"/>
                <w:szCs w:val="21"/>
                <w:highlight w:val="none"/>
                <w:u w:val="none"/>
                <w:lang w:val="en-US" w:eastAsia="zh-CN" w:bidi="ar-SA"/>
              </w:rPr>
              <w:t xml:space="preserve">  </w:t>
            </w:r>
            <w:r>
              <w:rPr>
                <w:rFonts w:hint="eastAsia" w:ascii="Times New Roman" w:hAnsi="Times New Roman" w:eastAsia="宋体" w:cs="Times New Roman"/>
                <w:b/>
                <w:bCs/>
                <w:color w:val="auto"/>
                <w:spacing w:val="0"/>
                <w:kern w:val="2"/>
                <w:sz w:val="21"/>
                <w:szCs w:val="21"/>
                <w:highlight w:val="none"/>
                <w:u w:val="none"/>
                <w:lang w:val="en-US" w:eastAsia="zh-CN" w:bidi="ar-SA"/>
              </w:rPr>
              <w:t>施工场地洒水抑尘实验效果表</w:t>
            </w:r>
          </w:p>
          <w:tbl>
            <w:tblPr>
              <w:tblStyle w:val="76"/>
              <w:tblW w:w="829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83"/>
              <w:gridCol w:w="1030"/>
              <w:gridCol w:w="1060"/>
              <w:gridCol w:w="1070"/>
              <w:gridCol w:w="1018"/>
              <w:gridCol w:w="994"/>
              <w:gridCol w:w="1138"/>
            </w:tblGrid>
            <w:tr w14:paraId="7F0524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3" w:hRule="atLeast"/>
                <w:jc w:val="center"/>
              </w:trPr>
              <w:tc>
                <w:tcPr>
                  <w:tcW w:w="3013" w:type="dxa"/>
                  <w:gridSpan w:val="2"/>
                  <w:tcBorders>
                    <w:tl2br w:val="nil"/>
                    <w:tr2bl w:val="nil"/>
                  </w:tcBorders>
                  <w:vAlign w:val="center"/>
                </w:tcPr>
                <w:p w14:paraId="718F9880">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距路边距离</w:t>
                  </w:r>
                </w:p>
              </w:tc>
              <w:tc>
                <w:tcPr>
                  <w:tcW w:w="1060" w:type="dxa"/>
                  <w:tcBorders>
                    <w:tl2br w:val="nil"/>
                    <w:tr2bl w:val="nil"/>
                  </w:tcBorders>
                  <w:vAlign w:val="center"/>
                </w:tcPr>
                <w:p w14:paraId="7FD75447">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5m</w:t>
                  </w:r>
                </w:p>
              </w:tc>
              <w:tc>
                <w:tcPr>
                  <w:tcW w:w="1070" w:type="dxa"/>
                  <w:tcBorders>
                    <w:tl2br w:val="nil"/>
                    <w:tr2bl w:val="nil"/>
                  </w:tcBorders>
                  <w:vAlign w:val="center"/>
                </w:tcPr>
                <w:p w14:paraId="5538F186">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20m</w:t>
                  </w:r>
                </w:p>
              </w:tc>
              <w:tc>
                <w:tcPr>
                  <w:tcW w:w="1018" w:type="dxa"/>
                  <w:tcBorders>
                    <w:tl2br w:val="nil"/>
                    <w:tr2bl w:val="nil"/>
                  </w:tcBorders>
                  <w:vAlign w:val="center"/>
                </w:tcPr>
                <w:p w14:paraId="6C180F71">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50m</w:t>
                  </w:r>
                </w:p>
              </w:tc>
              <w:tc>
                <w:tcPr>
                  <w:tcW w:w="994" w:type="dxa"/>
                  <w:tcBorders>
                    <w:tl2br w:val="nil"/>
                    <w:tr2bl w:val="nil"/>
                  </w:tcBorders>
                  <w:vAlign w:val="center"/>
                </w:tcPr>
                <w:p w14:paraId="575F5906">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100m</w:t>
                  </w:r>
                </w:p>
              </w:tc>
              <w:tc>
                <w:tcPr>
                  <w:tcW w:w="1138" w:type="dxa"/>
                  <w:tcBorders>
                    <w:tl2br w:val="nil"/>
                    <w:tr2bl w:val="nil"/>
                  </w:tcBorders>
                  <w:vAlign w:val="center"/>
                </w:tcPr>
                <w:p w14:paraId="1AB065EA">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200m</w:t>
                  </w:r>
                </w:p>
              </w:tc>
            </w:tr>
            <w:tr w14:paraId="6AF83B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983" w:type="dxa"/>
                  <w:vMerge w:val="restart"/>
                  <w:tcBorders>
                    <w:tl2br w:val="nil"/>
                    <w:tr2bl w:val="nil"/>
                  </w:tcBorders>
                  <w:vAlign w:val="center"/>
                </w:tcPr>
                <w:p w14:paraId="70167C44">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TSP（mg/m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030" w:type="dxa"/>
                  <w:tcBorders>
                    <w:tl2br w:val="nil"/>
                    <w:tr2bl w:val="nil"/>
                  </w:tcBorders>
                  <w:vAlign w:val="center"/>
                </w:tcPr>
                <w:p w14:paraId="7E679968">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不洒水</w:t>
                  </w:r>
                </w:p>
              </w:tc>
              <w:tc>
                <w:tcPr>
                  <w:tcW w:w="1060" w:type="dxa"/>
                  <w:tcBorders>
                    <w:tl2br w:val="nil"/>
                    <w:tr2bl w:val="nil"/>
                  </w:tcBorders>
                  <w:vAlign w:val="center"/>
                </w:tcPr>
                <w:p w14:paraId="03856BB9">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10.14</w:t>
                  </w:r>
                </w:p>
              </w:tc>
              <w:tc>
                <w:tcPr>
                  <w:tcW w:w="1070" w:type="dxa"/>
                  <w:tcBorders>
                    <w:tl2br w:val="nil"/>
                    <w:tr2bl w:val="nil"/>
                  </w:tcBorders>
                  <w:vAlign w:val="center"/>
                </w:tcPr>
                <w:p w14:paraId="7D7AFAF5">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1.89</w:t>
                  </w:r>
                </w:p>
              </w:tc>
              <w:tc>
                <w:tcPr>
                  <w:tcW w:w="1018" w:type="dxa"/>
                  <w:tcBorders>
                    <w:tl2br w:val="nil"/>
                    <w:tr2bl w:val="nil"/>
                  </w:tcBorders>
                  <w:vAlign w:val="center"/>
                </w:tcPr>
                <w:p w14:paraId="6457C966">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1.15</w:t>
                  </w:r>
                </w:p>
              </w:tc>
              <w:tc>
                <w:tcPr>
                  <w:tcW w:w="994" w:type="dxa"/>
                  <w:tcBorders>
                    <w:tl2br w:val="nil"/>
                    <w:tr2bl w:val="nil"/>
                  </w:tcBorders>
                  <w:vAlign w:val="center"/>
                </w:tcPr>
                <w:p w14:paraId="00BD831A">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0.86</w:t>
                  </w:r>
                </w:p>
              </w:tc>
              <w:tc>
                <w:tcPr>
                  <w:tcW w:w="1138" w:type="dxa"/>
                  <w:tcBorders>
                    <w:tl2br w:val="nil"/>
                    <w:tr2bl w:val="nil"/>
                  </w:tcBorders>
                  <w:vAlign w:val="center"/>
                </w:tcPr>
                <w:p w14:paraId="0237B57B">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0.56</w:t>
                  </w:r>
                </w:p>
              </w:tc>
            </w:tr>
            <w:tr w14:paraId="2F41C4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983" w:type="dxa"/>
                  <w:vMerge w:val="continue"/>
                  <w:tcBorders>
                    <w:tl2br w:val="nil"/>
                    <w:tr2bl w:val="nil"/>
                  </w:tcBorders>
                  <w:vAlign w:val="center"/>
                </w:tcPr>
                <w:p w14:paraId="2F6CA568">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1030" w:type="dxa"/>
                  <w:tcBorders>
                    <w:tl2br w:val="nil"/>
                    <w:tr2bl w:val="nil"/>
                  </w:tcBorders>
                  <w:vAlign w:val="center"/>
                </w:tcPr>
                <w:p w14:paraId="630A098D">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洒水</w:t>
                  </w:r>
                </w:p>
              </w:tc>
              <w:tc>
                <w:tcPr>
                  <w:tcW w:w="1060" w:type="dxa"/>
                  <w:tcBorders>
                    <w:tl2br w:val="nil"/>
                    <w:tr2bl w:val="nil"/>
                  </w:tcBorders>
                  <w:vAlign w:val="center"/>
                </w:tcPr>
                <w:p w14:paraId="30F15599">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2.01</w:t>
                  </w:r>
                </w:p>
              </w:tc>
              <w:tc>
                <w:tcPr>
                  <w:tcW w:w="1070" w:type="dxa"/>
                  <w:tcBorders>
                    <w:tl2br w:val="nil"/>
                    <w:tr2bl w:val="nil"/>
                  </w:tcBorders>
                  <w:vAlign w:val="center"/>
                </w:tcPr>
                <w:p w14:paraId="0141883B">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1.40</w:t>
                  </w:r>
                </w:p>
              </w:tc>
              <w:tc>
                <w:tcPr>
                  <w:tcW w:w="1018" w:type="dxa"/>
                  <w:tcBorders>
                    <w:tl2br w:val="nil"/>
                    <w:tr2bl w:val="nil"/>
                  </w:tcBorders>
                  <w:vAlign w:val="center"/>
                </w:tcPr>
                <w:p w14:paraId="6A97A8F0">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0.68</w:t>
                  </w:r>
                </w:p>
              </w:tc>
              <w:tc>
                <w:tcPr>
                  <w:tcW w:w="994" w:type="dxa"/>
                  <w:tcBorders>
                    <w:tl2br w:val="nil"/>
                    <w:tr2bl w:val="nil"/>
                  </w:tcBorders>
                  <w:vAlign w:val="center"/>
                </w:tcPr>
                <w:p w14:paraId="1C58CC71">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0.60</w:t>
                  </w:r>
                </w:p>
              </w:tc>
              <w:tc>
                <w:tcPr>
                  <w:tcW w:w="1138" w:type="dxa"/>
                  <w:tcBorders>
                    <w:tl2br w:val="nil"/>
                    <w:tr2bl w:val="nil"/>
                  </w:tcBorders>
                  <w:vAlign w:val="center"/>
                </w:tcPr>
                <w:p w14:paraId="1B85DD2C">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0.29</w:t>
                  </w:r>
                </w:p>
              </w:tc>
            </w:tr>
            <w:tr w14:paraId="29A6D5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983" w:type="dxa"/>
                  <w:tcBorders>
                    <w:tl2br w:val="nil"/>
                    <w:tr2bl w:val="nil"/>
                  </w:tcBorders>
                  <w:vAlign w:val="center"/>
                </w:tcPr>
                <w:p w14:paraId="37518411">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降尘率（%）</w:t>
                  </w:r>
                </w:p>
              </w:tc>
              <w:tc>
                <w:tcPr>
                  <w:tcW w:w="1030" w:type="dxa"/>
                  <w:tcBorders>
                    <w:tl2br w:val="nil"/>
                    <w:tr2bl w:val="nil"/>
                  </w:tcBorders>
                  <w:vAlign w:val="center"/>
                </w:tcPr>
                <w:p w14:paraId="5DDB3FAB">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p>
              </w:tc>
              <w:tc>
                <w:tcPr>
                  <w:tcW w:w="1060" w:type="dxa"/>
                  <w:tcBorders>
                    <w:tl2br w:val="nil"/>
                    <w:tr2bl w:val="nil"/>
                  </w:tcBorders>
                  <w:vAlign w:val="center"/>
                </w:tcPr>
                <w:p w14:paraId="561077FB">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80</w:t>
                  </w:r>
                </w:p>
              </w:tc>
              <w:tc>
                <w:tcPr>
                  <w:tcW w:w="1070" w:type="dxa"/>
                  <w:tcBorders>
                    <w:tl2br w:val="nil"/>
                    <w:tr2bl w:val="nil"/>
                  </w:tcBorders>
                  <w:vAlign w:val="center"/>
                </w:tcPr>
                <w:p w14:paraId="1102B51B">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51</w:t>
                  </w:r>
                </w:p>
              </w:tc>
              <w:tc>
                <w:tcPr>
                  <w:tcW w:w="1018" w:type="dxa"/>
                  <w:tcBorders>
                    <w:tl2br w:val="nil"/>
                    <w:tr2bl w:val="nil"/>
                  </w:tcBorders>
                  <w:vAlign w:val="center"/>
                </w:tcPr>
                <w:p w14:paraId="3EEA7C2B">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41</w:t>
                  </w:r>
                </w:p>
              </w:tc>
              <w:tc>
                <w:tcPr>
                  <w:tcW w:w="994" w:type="dxa"/>
                  <w:tcBorders>
                    <w:tl2br w:val="nil"/>
                    <w:tr2bl w:val="nil"/>
                  </w:tcBorders>
                  <w:vAlign w:val="center"/>
                </w:tcPr>
                <w:p w14:paraId="7BDC35A1">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30</w:t>
                  </w:r>
                </w:p>
              </w:tc>
              <w:tc>
                <w:tcPr>
                  <w:tcW w:w="1138" w:type="dxa"/>
                  <w:tcBorders>
                    <w:tl2br w:val="nil"/>
                    <w:tr2bl w:val="nil"/>
                  </w:tcBorders>
                  <w:vAlign w:val="center"/>
                </w:tcPr>
                <w:p w14:paraId="7C389C7D">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48</w:t>
                  </w:r>
                </w:p>
              </w:tc>
            </w:tr>
          </w:tbl>
          <w:p w14:paraId="595D9B53">
            <w:pPr>
              <w:pStyle w:val="89"/>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汽车运输过程中的扬尘影响程度与路面种类、天气状况以及汽车运行速度、载重量等因素有关。施工期要充分利用已有公路运输，运输道路尽量避开村庄等敏感点，对临时施工道路要加以修整，限制行车速度和车流量并洒水降尘。为降低运输扬尘对运输路线两侧的居民及植物的影响，各施工单位应以主要物料运输路线为主要降尘区域，采取定期洒水、密封运输或加盖篷布、限制车速、及时维护车辆、加强管理等措施，降低道路扬尘对周围环境的影响。</w:t>
            </w:r>
          </w:p>
          <w:p w14:paraId="7F956324">
            <w:pPr>
              <w:pStyle w:val="89"/>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综上，因施工区域分散，且位于农村，环境背景较好，施工规划中，同一施工区域中不同工程施工时间不同，排放源密度小，且随之施工的结束，其环境影响随之消失。因此，工程施工道路扬尘对大气环境的影响较小。</w:t>
            </w:r>
          </w:p>
          <w:p w14:paraId="2D0BA894">
            <w:pPr>
              <w:adjustRightInd w:val="0"/>
              <w:spacing w:line="360" w:lineRule="auto"/>
              <w:rPr>
                <w:rFonts w:hint="default" w:ascii="Times New Roman" w:hAnsi="Times New Roman" w:eastAsia="仿宋_GB2312" w:cs="Times New Roman"/>
                <w:b/>
                <w:bCs/>
                <w:color w:val="auto"/>
                <w:spacing w:val="-10"/>
                <w:sz w:val="24"/>
                <w:highlight w:val="none"/>
                <w:lang w:eastAsia="zh-CN"/>
              </w:rPr>
            </w:pPr>
            <w:r>
              <w:rPr>
                <w:rFonts w:hint="eastAsia" w:eastAsia="仿宋_GB2312" w:cs="Times New Roman"/>
                <w:b/>
                <w:bCs/>
                <w:color w:val="auto"/>
                <w:spacing w:val="-10"/>
                <w:sz w:val="24"/>
                <w:highlight w:val="none"/>
                <w:lang w:eastAsia="zh-CN"/>
              </w:rPr>
              <w:t>3.</w:t>
            </w:r>
            <w:r>
              <w:rPr>
                <w:rFonts w:hint="default" w:ascii="Times New Roman" w:hAnsi="Times New Roman" w:eastAsia="仿宋_GB2312" w:cs="Times New Roman"/>
                <w:b/>
                <w:bCs/>
                <w:color w:val="auto"/>
                <w:spacing w:val="-10"/>
                <w:sz w:val="24"/>
                <w:highlight w:val="none"/>
                <w:lang w:eastAsia="zh-CN"/>
              </w:rPr>
              <w:t>水</w:t>
            </w:r>
            <w:r>
              <w:rPr>
                <w:rFonts w:hint="default" w:ascii="Times New Roman" w:hAnsi="Times New Roman" w:eastAsia="仿宋_GB2312" w:cs="Times New Roman"/>
                <w:b/>
                <w:bCs/>
                <w:color w:val="auto"/>
                <w:spacing w:val="-10"/>
                <w:sz w:val="24"/>
                <w:highlight w:val="none"/>
              </w:rPr>
              <w:t>环境</w:t>
            </w:r>
            <w:r>
              <w:rPr>
                <w:rFonts w:hint="default" w:ascii="Times New Roman" w:hAnsi="Times New Roman" w:eastAsia="仿宋_GB2312" w:cs="Times New Roman"/>
                <w:b/>
                <w:bCs/>
                <w:color w:val="auto"/>
                <w:spacing w:val="-10"/>
                <w:sz w:val="24"/>
                <w:highlight w:val="none"/>
                <w:lang w:eastAsia="zh-CN"/>
              </w:rPr>
              <w:t>影响分析</w:t>
            </w:r>
          </w:p>
          <w:p w14:paraId="7675CE05">
            <w:pPr>
              <w:pStyle w:val="2"/>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eastAsia="仿宋_GB2312"/>
                <w:bCs/>
                <w:color w:val="auto"/>
                <w:spacing w:val="0"/>
                <w:sz w:val="24"/>
                <w:highlight w:val="none"/>
                <w:lang w:eastAsia="zh-CN"/>
              </w:rPr>
            </w:pPr>
            <w:r>
              <w:rPr>
                <w:rFonts w:hint="default" w:ascii="Times New Roman" w:hAnsi="Times New Roman" w:eastAsia="仿宋_GB2312" w:cs="Times New Roman"/>
                <w:color w:val="auto"/>
                <w:kern w:val="2"/>
                <w:sz w:val="24"/>
                <w:szCs w:val="24"/>
                <w:highlight w:val="none"/>
                <w:lang w:val="en-US" w:eastAsia="zh-CN" w:bidi="ar-SA"/>
              </w:rPr>
              <w:t>本项目施工期废水主要为施工废水</w:t>
            </w:r>
            <w:r>
              <w:rPr>
                <w:rFonts w:hint="eastAsia" w:eastAsia="仿宋_GB2312" w:cs="Times New Roman"/>
                <w:color w:val="auto"/>
                <w:kern w:val="2"/>
                <w:sz w:val="24"/>
                <w:szCs w:val="24"/>
                <w:highlight w:val="none"/>
                <w:lang w:val="en-US" w:eastAsia="zh-CN" w:bidi="ar-SA"/>
              </w:rPr>
              <w:t>、</w:t>
            </w:r>
            <w:r>
              <w:rPr>
                <w:rFonts w:hint="default" w:ascii="Times New Roman" w:hAnsi="Times New Roman" w:eastAsia="仿宋_GB2312" w:cs="Times New Roman"/>
                <w:color w:val="auto"/>
                <w:kern w:val="2"/>
                <w:sz w:val="24"/>
                <w:szCs w:val="24"/>
                <w:highlight w:val="none"/>
                <w:lang w:val="en-US" w:eastAsia="zh-CN" w:bidi="ar-SA"/>
              </w:rPr>
              <w:t>施工人员生活污水。施工废水（主要为车辆、设备冲洗废水</w:t>
            </w:r>
            <w:r>
              <w:rPr>
                <w:rFonts w:hint="eastAsia" w:ascii="Times New Roman" w:hAnsi="Times New Roman" w:eastAsia="仿宋_GB2312" w:cs="Times New Roman"/>
                <w:color w:val="auto"/>
                <w:kern w:val="2"/>
                <w:sz w:val="24"/>
                <w:szCs w:val="24"/>
                <w:highlight w:val="none"/>
                <w:lang w:val="en-US" w:eastAsia="zh-CN" w:bidi="ar-SA"/>
              </w:rPr>
              <w:t>、混凝土养护废水</w:t>
            </w:r>
            <w:r>
              <w:rPr>
                <w:rFonts w:hint="default" w:ascii="Times New Roman" w:hAnsi="Times New Roman" w:eastAsia="仿宋_GB2312" w:cs="Times New Roman"/>
                <w:color w:val="auto"/>
                <w:kern w:val="2"/>
                <w:sz w:val="24"/>
                <w:szCs w:val="24"/>
                <w:highlight w:val="none"/>
                <w:lang w:val="en-US" w:eastAsia="zh-CN" w:bidi="ar-SA"/>
              </w:rPr>
              <w:t>等）。</w:t>
            </w:r>
            <w:r>
              <w:rPr>
                <w:rFonts w:hint="default" w:ascii="Times New Roman" w:hAnsi="Times New Roman" w:eastAsia="仿宋_GB2312" w:cs="Times New Roman"/>
                <w:color w:val="auto"/>
                <w:kern w:val="0"/>
                <w:sz w:val="24"/>
                <w:highlight w:val="none"/>
                <w:lang w:val="en-US" w:eastAsia="zh-CN"/>
              </w:rPr>
              <w:t>施工废水（主要为车辆及设备冲洗水）配套沉淀池，沉淀后回用于场地泼洒抑尘，不外排。本工程施工采用商品混凝土，少量现浇混凝土养护产生少量废水。经沉淀池沉淀后回用于混凝土养护用水，确保无废水排放。生活污水利用周边居民旱厕，定期清掏，用于周边农田施肥。少量盥洗废水用于泼洒抑尘。</w:t>
            </w:r>
            <w:r>
              <w:rPr>
                <w:rFonts w:hint="eastAsia" w:ascii="Times New Roman" w:hAnsi="Times New Roman" w:eastAsia="仿宋_GB2312" w:cs="Times New Roman"/>
                <w:color w:val="auto"/>
                <w:spacing w:val="0"/>
                <w:kern w:val="2"/>
                <w:sz w:val="24"/>
                <w:szCs w:val="24"/>
                <w:highlight w:val="none"/>
                <w:u w:val="none"/>
                <w:lang w:val="en-US" w:eastAsia="zh-CN" w:bidi="ar-SA"/>
              </w:rPr>
              <w:t>综上所述，本项目对水环境影响较小</w:t>
            </w:r>
            <w:r>
              <w:rPr>
                <w:rFonts w:hint="eastAsia" w:ascii="Times New Roman" w:hAnsi="Times New Roman" w:eastAsia="仿宋_GB2312" w:cs="Times New Roman"/>
                <w:color w:val="auto"/>
                <w:spacing w:val="0"/>
                <w:sz w:val="24"/>
                <w:szCs w:val="24"/>
                <w:highlight w:val="none"/>
                <w:lang w:val="en-US" w:eastAsia="zh-CN"/>
              </w:rPr>
              <w:t>。</w:t>
            </w:r>
          </w:p>
          <w:p w14:paraId="700F6DF0">
            <w:pPr>
              <w:adjustRightInd w:val="0"/>
              <w:spacing w:line="360" w:lineRule="auto"/>
              <w:rPr>
                <w:rFonts w:hint="default" w:ascii="Times New Roman" w:hAnsi="Times New Roman" w:eastAsia="仿宋_GB2312" w:cs="Times New Roman"/>
                <w:color w:val="auto"/>
                <w:sz w:val="24"/>
                <w:szCs w:val="24"/>
                <w:highlight w:val="none"/>
                <w:lang w:eastAsia="zh-CN"/>
              </w:rPr>
            </w:pPr>
            <w:r>
              <w:rPr>
                <w:rFonts w:hint="eastAsia" w:eastAsia="仿宋_GB2312" w:cs="Times New Roman"/>
                <w:b/>
                <w:bCs/>
                <w:color w:val="auto"/>
                <w:spacing w:val="-10"/>
                <w:sz w:val="24"/>
                <w:highlight w:val="none"/>
                <w:lang w:val="en-US" w:eastAsia="zh-CN"/>
              </w:rPr>
              <w:t>4.</w:t>
            </w:r>
            <w:r>
              <w:rPr>
                <w:rFonts w:hint="default" w:ascii="Times New Roman" w:hAnsi="Times New Roman" w:eastAsia="仿宋_GB2312" w:cs="Times New Roman"/>
                <w:b/>
                <w:bCs/>
                <w:color w:val="auto"/>
                <w:spacing w:val="-10"/>
                <w:sz w:val="24"/>
                <w:highlight w:val="none"/>
                <w:lang w:val="en-US" w:eastAsia="zh-CN"/>
              </w:rPr>
              <w:t>声环境影响分析</w:t>
            </w:r>
          </w:p>
          <w:p w14:paraId="700F53B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仿宋_GB2312" w:cs="Times New Roman"/>
                <w:color w:val="auto"/>
                <w:kern w:val="24"/>
                <w:sz w:val="24"/>
                <w:szCs w:val="24"/>
                <w:lang w:val="en-US" w:eastAsia="zh-CN" w:bidi="ar-SA"/>
              </w:rPr>
            </w:pPr>
            <w:r>
              <w:rPr>
                <w:rFonts w:hint="default" w:ascii="Times New Roman" w:hAnsi="Times New Roman" w:eastAsia="仿宋_GB2312" w:cs="Times New Roman"/>
                <w:color w:val="auto"/>
                <w:kern w:val="24"/>
                <w:sz w:val="24"/>
                <w:szCs w:val="24"/>
                <w:lang w:val="en-US" w:eastAsia="zh-CN" w:bidi="ar-SA"/>
              </w:rPr>
              <w:t>①</w:t>
            </w:r>
            <w:r>
              <w:rPr>
                <w:rFonts w:hint="eastAsia" w:ascii="Times New Roman" w:hAnsi="Times New Roman" w:eastAsia="仿宋_GB2312" w:cs="Times New Roman"/>
                <w:color w:val="auto"/>
                <w:kern w:val="24"/>
                <w:sz w:val="24"/>
                <w:szCs w:val="24"/>
                <w:lang w:val="en-US" w:eastAsia="zh-CN" w:bidi="ar-SA"/>
              </w:rPr>
              <w:t>噪声源</w:t>
            </w:r>
          </w:p>
          <w:p w14:paraId="05570E6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rPr>
            </w:pPr>
            <w:r>
              <w:rPr>
                <w:rFonts w:hint="default" w:ascii="Times New Roman" w:hAnsi="Times New Roman" w:eastAsia="仿宋_GB2312" w:cs="Times New Roman"/>
                <w:color w:val="auto"/>
                <w:kern w:val="24"/>
                <w:sz w:val="24"/>
                <w:szCs w:val="24"/>
                <w:lang w:val="en-US" w:eastAsia="zh-CN" w:bidi="ar-SA"/>
              </w:rPr>
              <w:t>施工期噪声包括施工现场的各类机械设备和物料运输的交通噪声，其中对声环境影响最大的是机械噪声。</w:t>
            </w:r>
            <w:r>
              <w:rPr>
                <w:rFonts w:hint="eastAsia" w:ascii="Times New Roman" w:hAnsi="Times New Roman" w:eastAsia="仿宋_GB2312" w:cs="Times New Roman"/>
                <w:color w:val="auto"/>
                <w:kern w:val="24"/>
                <w:sz w:val="24"/>
                <w:szCs w:val="24"/>
                <w:lang w:val="en-US" w:eastAsia="zh-CN" w:bidi="ar-SA"/>
              </w:rPr>
              <w:t>参照《环境噪声与振动控制工程技术导则》（HJ2034-2013）可知，挖掘机等施工设备距离噪声源5m处的噪声值在82~90dB(A</w:t>
            </w:r>
            <w:r>
              <w:rPr>
                <w:rFonts w:hint="eastAsia" w:eastAsia="仿宋_GB2312" w:cs="Times New Roman"/>
                <w:color w:val="auto"/>
                <w:kern w:val="24"/>
                <w:sz w:val="24"/>
                <w:szCs w:val="24"/>
                <w:lang w:val="en-US" w:eastAsia="zh-CN" w:bidi="ar-SA"/>
              </w:rPr>
              <w:t>）</w:t>
            </w:r>
            <w:r>
              <w:rPr>
                <w:rFonts w:hint="eastAsia" w:ascii="Times New Roman" w:hAnsi="Times New Roman" w:eastAsia="仿宋_GB2312" w:cs="Times New Roman"/>
                <w:color w:val="auto"/>
                <w:kern w:val="24"/>
                <w:sz w:val="24"/>
                <w:szCs w:val="24"/>
                <w:lang w:val="en-US" w:eastAsia="zh-CN" w:bidi="ar-SA"/>
              </w:rPr>
              <w:t>之间，施工所采用设备一般为中等规模，选择适中的噪声源源强值；本项目取均值，本项目施工期设置隔声围挡，对噪声降低10dB(A</w:t>
            </w:r>
            <w:r>
              <w:rPr>
                <w:rFonts w:hint="eastAsia" w:eastAsia="仿宋_GB2312" w:cs="Times New Roman"/>
                <w:color w:val="auto"/>
                <w:kern w:val="24"/>
                <w:sz w:val="24"/>
                <w:szCs w:val="24"/>
                <w:lang w:val="en-US" w:eastAsia="zh-CN" w:bidi="ar-SA"/>
              </w:rPr>
              <w:t>）</w:t>
            </w:r>
            <w:r>
              <w:rPr>
                <w:rFonts w:hint="eastAsia" w:ascii="Times New Roman" w:hAnsi="Times New Roman" w:eastAsia="仿宋_GB2312" w:cs="Times New Roman"/>
                <w:color w:val="auto"/>
                <w:kern w:val="24"/>
                <w:sz w:val="24"/>
                <w:szCs w:val="24"/>
                <w:lang w:val="en-US" w:eastAsia="zh-CN" w:bidi="ar-SA"/>
              </w:rPr>
              <w:t>，这些施工机械产生的施工噪声属非稳态噪声源，仅在昼间进行施工</w:t>
            </w:r>
            <w:r>
              <w:rPr>
                <w:rFonts w:hint="eastAsia" w:ascii="Times New Roman" w:hAnsi="Times New Roman" w:eastAsia="宋体" w:cs="Times New Roman"/>
                <w:color w:val="auto"/>
                <w:kern w:val="0"/>
                <w:sz w:val="24"/>
              </w:rPr>
              <w:t>。</w:t>
            </w:r>
          </w:p>
          <w:p w14:paraId="2EC1C429">
            <w:pPr>
              <w:ind w:firstLine="420" w:firstLineChars="200"/>
              <w:rPr>
                <w:rFonts w:hint="default" w:ascii="Times New Roman" w:hAnsi="Times New Roman" w:eastAsia="宋体" w:cs="Times New Roman"/>
                <w:b/>
                <w:bCs/>
                <w:color w:val="auto"/>
                <w:kern w:val="0"/>
                <w:sz w:val="21"/>
                <w:szCs w:val="18"/>
                <w:lang w:val="en-US" w:eastAsia="zh-CN"/>
              </w:rPr>
            </w:pPr>
            <w:r>
              <w:rPr>
                <w:rFonts w:hint="default" w:ascii="Times New Roman" w:hAnsi="Times New Roman" w:eastAsia="宋体" w:cs="Times New Roman"/>
                <w:b w:val="0"/>
                <w:bCs w:val="0"/>
                <w:color w:val="auto"/>
                <w:kern w:val="0"/>
                <w:sz w:val="21"/>
                <w:szCs w:val="18"/>
                <w:lang w:val="en-US" w:eastAsia="zh-CN"/>
              </w:rPr>
              <w:t>表</w:t>
            </w:r>
            <w:r>
              <w:rPr>
                <w:rFonts w:hint="eastAsia" w:cs="Times New Roman"/>
                <w:b w:val="0"/>
                <w:bCs w:val="0"/>
                <w:color w:val="auto"/>
                <w:kern w:val="0"/>
                <w:sz w:val="21"/>
                <w:szCs w:val="18"/>
                <w:lang w:val="en-US" w:eastAsia="zh-CN"/>
              </w:rPr>
              <w:t>27</w:t>
            </w:r>
            <w:r>
              <w:rPr>
                <w:rFonts w:hint="default" w:ascii="Times New Roman" w:hAnsi="Times New Roman" w:eastAsia="宋体" w:cs="Times New Roman"/>
                <w:b w:val="0"/>
                <w:bCs w:val="0"/>
                <w:color w:val="auto"/>
                <w:kern w:val="0"/>
                <w:sz w:val="21"/>
                <w:szCs w:val="18"/>
                <w:lang w:val="en-US" w:eastAsia="zh-CN"/>
              </w:rPr>
              <w:t xml:space="preserve"> </w:t>
            </w:r>
            <w:r>
              <w:rPr>
                <w:rFonts w:hint="eastAsia" w:cs="Times New Roman"/>
                <w:b w:val="0"/>
                <w:bCs w:val="0"/>
                <w:color w:val="auto"/>
                <w:kern w:val="0"/>
                <w:sz w:val="21"/>
                <w:szCs w:val="18"/>
                <w:lang w:val="en-US" w:eastAsia="zh-CN"/>
              </w:rPr>
              <w:t xml:space="preserve">           </w:t>
            </w:r>
            <w:r>
              <w:rPr>
                <w:rFonts w:hint="default" w:ascii="Times New Roman" w:hAnsi="Times New Roman" w:eastAsia="宋体" w:cs="Times New Roman"/>
                <w:b w:val="0"/>
                <w:bCs w:val="0"/>
                <w:color w:val="auto"/>
                <w:kern w:val="0"/>
                <w:sz w:val="21"/>
                <w:szCs w:val="18"/>
                <w:lang w:val="en-US" w:eastAsia="zh-CN"/>
              </w:rPr>
              <w:t xml:space="preserve"> </w:t>
            </w:r>
            <w:r>
              <w:rPr>
                <w:rFonts w:hint="default" w:ascii="Times New Roman" w:hAnsi="Times New Roman" w:eastAsia="宋体" w:cs="Times New Roman"/>
                <w:b/>
                <w:bCs/>
                <w:color w:val="auto"/>
                <w:kern w:val="0"/>
                <w:sz w:val="24"/>
                <w:szCs w:val="24"/>
                <w:lang w:val="en-US" w:eastAsia="zh-CN"/>
              </w:rPr>
              <w:t>常见施工设备噪声源强声压级   单位：dB</w:t>
            </w:r>
            <w:r>
              <w:rPr>
                <w:rFonts w:hint="eastAsia" w:ascii="Times New Roman" w:hAnsi="Times New Roman" w:eastAsia="宋体" w:cs="Times New Roman"/>
                <w:b/>
                <w:bCs/>
                <w:color w:val="auto"/>
                <w:kern w:val="0"/>
                <w:sz w:val="24"/>
                <w:szCs w:val="24"/>
                <w:lang w:val="en-US" w:eastAsia="zh-CN"/>
              </w:rPr>
              <w:t>(</w:t>
            </w:r>
            <w:r>
              <w:rPr>
                <w:rFonts w:hint="default" w:ascii="Times New Roman" w:hAnsi="Times New Roman" w:eastAsia="宋体" w:cs="Times New Roman"/>
                <w:b/>
                <w:bCs/>
                <w:color w:val="auto"/>
                <w:kern w:val="0"/>
                <w:sz w:val="24"/>
                <w:szCs w:val="24"/>
                <w:lang w:val="en-US" w:eastAsia="zh-CN"/>
              </w:rPr>
              <w:t>A</w:t>
            </w:r>
            <w:r>
              <w:rPr>
                <w:rFonts w:hint="eastAsia" w:ascii="Times New Roman" w:hAnsi="Times New Roman" w:eastAsia="宋体" w:cs="Times New Roman"/>
                <w:b/>
                <w:bCs/>
                <w:color w:val="auto"/>
                <w:kern w:val="0"/>
                <w:sz w:val="24"/>
                <w:szCs w:val="24"/>
                <w:lang w:val="en-US" w:eastAsia="zh-CN"/>
              </w:rPr>
              <w:t>)</w:t>
            </w:r>
          </w:p>
          <w:tbl>
            <w:tblPr>
              <w:tblStyle w:val="33"/>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57"/>
              <w:gridCol w:w="2759"/>
              <w:gridCol w:w="2759"/>
            </w:tblGrid>
            <w:tr w14:paraId="2C063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4" w:type="dxa"/>
                  <w:tcBorders>
                    <w:tl2br w:val="nil"/>
                    <w:tr2bl w:val="nil"/>
                  </w:tcBorders>
                  <w:noWrap w:val="0"/>
                  <w:vAlign w:val="center"/>
                </w:tcPr>
                <w:p w14:paraId="7F3E801F">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设备名称</w:t>
                  </w:r>
                </w:p>
              </w:tc>
              <w:tc>
                <w:tcPr>
                  <w:tcW w:w="2826" w:type="dxa"/>
                  <w:tcBorders>
                    <w:tl2br w:val="nil"/>
                    <w:tr2bl w:val="nil"/>
                  </w:tcBorders>
                  <w:noWrap w:val="0"/>
                  <w:vAlign w:val="center"/>
                </w:tcPr>
                <w:p w14:paraId="66409EE9">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距设备距离（m）</w:t>
                  </w:r>
                </w:p>
              </w:tc>
              <w:tc>
                <w:tcPr>
                  <w:tcW w:w="2826" w:type="dxa"/>
                  <w:tcBorders>
                    <w:tl2br w:val="nil"/>
                    <w:tr2bl w:val="nil"/>
                  </w:tcBorders>
                  <w:noWrap w:val="0"/>
                  <w:vAlign w:val="center"/>
                </w:tcPr>
                <w:p w14:paraId="3FF50E37">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噪声源</w:t>
                  </w:r>
                </w:p>
              </w:tc>
            </w:tr>
            <w:tr w14:paraId="7D89A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4" w:type="dxa"/>
                  <w:tcBorders>
                    <w:tl2br w:val="nil"/>
                    <w:tr2bl w:val="nil"/>
                  </w:tcBorders>
                  <w:noWrap w:val="0"/>
                  <w:vAlign w:val="center"/>
                </w:tcPr>
                <w:p w14:paraId="6C364AF1">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液压挖掘机</w:t>
                  </w:r>
                </w:p>
              </w:tc>
              <w:tc>
                <w:tcPr>
                  <w:tcW w:w="2826" w:type="dxa"/>
                  <w:tcBorders>
                    <w:tl2br w:val="nil"/>
                    <w:tr2bl w:val="nil"/>
                  </w:tcBorders>
                  <w:noWrap w:val="0"/>
                  <w:vAlign w:val="center"/>
                </w:tcPr>
                <w:p w14:paraId="5BC45D25">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2826" w:type="dxa"/>
                  <w:tcBorders>
                    <w:tl2br w:val="nil"/>
                    <w:tr2bl w:val="nil"/>
                  </w:tcBorders>
                  <w:noWrap w:val="0"/>
                  <w:vAlign w:val="center"/>
                </w:tcPr>
                <w:p w14:paraId="50514235">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82~90</w:t>
                  </w:r>
                </w:p>
              </w:tc>
            </w:tr>
            <w:tr w14:paraId="3FF50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4" w:type="dxa"/>
                  <w:tcBorders>
                    <w:tl2br w:val="nil"/>
                    <w:tr2bl w:val="nil"/>
                  </w:tcBorders>
                  <w:noWrap w:val="0"/>
                  <w:vAlign w:val="center"/>
                </w:tcPr>
                <w:p w14:paraId="5898E560">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商砼搅拌车</w:t>
                  </w:r>
                </w:p>
              </w:tc>
              <w:tc>
                <w:tcPr>
                  <w:tcW w:w="2826" w:type="dxa"/>
                  <w:tcBorders>
                    <w:tl2br w:val="nil"/>
                    <w:tr2bl w:val="nil"/>
                  </w:tcBorders>
                  <w:noWrap w:val="0"/>
                  <w:vAlign w:val="center"/>
                </w:tcPr>
                <w:p w14:paraId="3C3D5CB1">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2826" w:type="dxa"/>
                  <w:tcBorders>
                    <w:tl2br w:val="nil"/>
                    <w:tr2bl w:val="nil"/>
                  </w:tcBorders>
                  <w:noWrap w:val="0"/>
                  <w:vAlign w:val="center"/>
                </w:tcPr>
                <w:p w14:paraId="4B3FDC09">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85~90</w:t>
                  </w:r>
                </w:p>
              </w:tc>
            </w:tr>
            <w:tr w14:paraId="710DA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4" w:type="dxa"/>
                  <w:tcBorders>
                    <w:tl2br w:val="nil"/>
                    <w:tr2bl w:val="nil"/>
                  </w:tcBorders>
                  <w:noWrap w:val="0"/>
                  <w:vAlign w:val="center"/>
                </w:tcPr>
                <w:p w14:paraId="4F11ACCB">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重型运输车</w:t>
                  </w:r>
                </w:p>
              </w:tc>
              <w:tc>
                <w:tcPr>
                  <w:tcW w:w="2826" w:type="dxa"/>
                  <w:tcBorders>
                    <w:tl2br w:val="nil"/>
                    <w:tr2bl w:val="nil"/>
                  </w:tcBorders>
                  <w:noWrap w:val="0"/>
                  <w:vAlign w:val="center"/>
                </w:tcPr>
                <w:p w14:paraId="34D8D3D7">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2826" w:type="dxa"/>
                  <w:tcBorders>
                    <w:tl2br w:val="nil"/>
                    <w:tr2bl w:val="nil"/>
                  </w:tcBorders>
                  <w:noWrap w:val="0"/>
                  <w:vAlign w:val="center"/>
                </w:tcPr>
                <w:p w14:paraId="666ACBF9">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82~90</w:t>
                  </w:r>
                </w:p>
              </w:tc>
            </w:tr>
          </w:tbl>
          <w:p w14:paraId="777CD30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仿宋_GB2312" w:cs="Times New Roman"/>
                <w:color w:val="auto"/>
                <w:kern w:val="24"/>
                <w:sz w:val="24"/>
                <w:szCs w:val="24"/>
                <w:lang w:val="en-US" w:eastAsia="zh-CN" w:bidi="ar-SA"/>
              </w:rPr>
            </w:pPr>
            <w:r>
              <w:rPr>
                <w:rFonts w:hint="eastAsia" w:ascii="Times New Roman" w:hAnsi="Times New Roman" w:eastAsia="仿宋_GB2312" w:cs="Times New Roman"/>
                <w:color w:val="auto"/>
                <w:kern w:val="24"/>
                <w:sz w:val="24"/>
                <w:szCs w:val="24"/>
                <w:lang w:val="en-US" w:eastAsia="zh-CN" w:bidi="ar-SA"/>
              </w:rPr>
              <w:t>②施工期噪声影响预测模式</w:t>
            </w:r>
          </w:p>
          <w:p w14:paraId="1B3025C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rPr>
            </w:pPr>
            <w:r>
              <w:rPr>
                <w:rFonts w:hint="eastAsia" w:ascii="Times New Roman" w:hAnsi="Times New Roman" w:eastAsia="仿宋_GB2312" w:cs="Times New Roman"/>
                <w:color w:val="auto"/>
                <w:kern w:val="24"/>
                <w:sz w:val="24"/>
                <w:szCs w:val="24"/>
                <w:lang w:val="en-US" w:eastAsia="zh-CN" w:bidi="ar-SA"/>
              </w:rPr>
              <w:t>施工机械声源当作点声源，不考虑空气吸收，其噪声影响预测模式为</w:t>
            </w:r>
            <w:r>
              <w:rPr>
                <w:rFonts w:hint="eastAsia" w:ascii="Times New Roman" w:hAnsi="Times New Roman" w:eastAsia="宋体" w:cs="Times New Roman"/>
                <w:color w:val="auto"/>
                <w:kern w:val="0"/>
                <w:sz w:val="24"/>
              </w:rPr>
              <w:t>：</w:t>
            </w:r>
          </w:p>
          <w:p w14:paraId="757D6E90">
            <w:pPr>
              <w:topLinePunct w:val="0"/>
              <w:autoSpaceDE w:val="0"/>
              <w:autoSpaceDN w:val="0"/>
              <w:adjustRightInd w:val="0"/>
              <w:snapToGrid w:val="0"/>
              <w:spacing w:line="360" w:lineRule="auto"/>
              <w:ind w:firstLine="0" w:firstLineChars="0"/>
              <w:jc w:val="center"/>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L</w:t>
            </w:r>
            <w:r>
              <w:rPr>
                <w:rFonts w:hint="eastAsia" w:ascii="Times New Roman" w:hAnsi="Times New Roman" w:eastAsia="宋体" w:cs="Times New Roman"/>
                <w:color w:val="auto"/>
                <w:kern w:val="0"/>
                <w:sz w:val="24"/>
                <w:vertAlign w:val="subscript"/>
              </w:rPr>
              <w:t>p</w:t>
            </w:r>
            <w:r>
              <w:rPr>
                <w:rFonts w:hint="eastAsia" w:ascii="Times New Roman" w:hAnsi="Times New Roman" w:eastAsia="宋体" w:cs="Times New Roman"/>
                <w:color w:val="auto"/>
                <w:kern w:val="0"/>
                <w:sz w:val="24"/>
              </w:rPr>
              <w:t>=L</w:t>
            </w:r>
            <w:r>
              <w:rPr>
                <w:rFonts w:hint="eastAsia" w:ascii="Times New Roman" w:hAnsi="Times New Roman" w:eastAsia="宋体" w:cs="Times New Roman"/>
                <w:color w:val="auto"/>
                <w:kern w:val="0"/>
                <w:sz w:val="24"/>
                <w:vertAlign w:val="subscript"/>
              </w:rPr>
              <w:t>P0</w:t>
            </w:r>
            <w:r>
              <w:rPr>
                <w:rFonts w:hint="eastAsia" w:ascii="Times New Roman" w:hAnsi="Times New Roman" w:eastAsia="宋体" w:cs="Times New Roman"/>
                <w:color w:val="auto"/>
                <w:kern w:val="0"/>
                <w:sz w:val="24"/>
              </w:rPr>
              <w:t>-20Log(</w:t>
            </w:r>
            <w:r>
              <w:rPr>
                <w:rFonts w:hint="eastAsia" w:ascii="Times New Roman" w:hAnsi="Times New Roman" w:eastAsia="宋体" w:cs="Times New Roman"/>
                <w:color w:val="auto"/>
                <w:kern w:val="0"/>
                <w:sz w:val="24"/>
                <w:vertAlign w:val="subscript"/>
              </w:rPr>
              <w:t>r</w:t>
            </w:r>
            <w:r>
              <w:rPr>
                <w:rFonts w:hint="eastAsia"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vertAlign w:val="subscript"/>
              </w:rPr>
              <w:t>r0</w:t>
            </w:r>
            <w:r>
              <w:rPr>
                <w:rFonts w:hint="eastAsia" w:ascii="Times New Roman" w:hAnsi="Times New Roman" w:eastAsia="宋体" w:cs="Times New Roman"/>
                <w:color w:val="auto"/>
                <w:kern w:val="0"/>
                <w:sz w:val="24"/>
              </w:rPr>
              <w:t>)</w:t>
            </w:r>
          </w:p>
          <w:p w14:paraId="5886E55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rPr>
            </w:pPr>
            <w:r>
              <w:rPr>
                <w:rFonts w:hint="eastAsia" w:ascii="Times New Roman" w:hAnsi="Times New Roman" w:eastAsia="仿宋_GB2312" w:cs="Times New Roman"/>
                <w:color w:val="auto"/>
                <w:kern w:val="24"/>
                <w:sz w:val="24"/>
                <w:szCs w:val="24"/>
                <w:lang w:val="en-US" w:eastAsia="zh-CN" w:bidi="ar-SA"/>
              </w:rPr>
              <w:t>式中</w:t>
            </w:r>
            <w:r>
              <w:rPr>
                <w:rFonts w:hint="eastAsia" w:ascii="Times New Roman" w:hAnsi="Times New Roman" w:eastAsia="宋体" w:cs="Times New Roman"/>
                <w:color w:val="auto"/>
                <w:kern w:val="0"/>
                <w:sz w:val="24"/>
              </w:rPr>
              <w:t>：L</w:t>
            </w:r>
            <w:r>
              <w:rPr>
                <w:rFonts w:hint="eastAsia" w:ascii="Times New Roman" w:hAnsi="Times New Roman" w:eastAsia="宋体" w:cs="Times New Roman"/>
                <w:color w:val="auto"/>
                <w:kern w:val="0"/>
                <w:sz w:val="24"/>
                <w:vertAlign w:val="subscript"/>
              </w:rPr>
              <w:t>p</w:t>
            </w:r>
            <w:r>
              <w:rPr>
                <w:rFonts w:hint="eastAsia" w:ascii="Times New Roman" w:hAnsi="Times New Roman" w:eastAsia="宋体" w:cs="Times New Roman"/>
                <w:color w:val="auto"/>
                <w:kern w:val="0"/>
                <w:sz w:val="24"/>
              </w:rPr>
              <w:t>-</w:t>
            </w:r>
            <w:r>
              <w:rPr>
                <w:rFonts w:hint="eastAsia" w:ascii="Times New Roman" w:hAnsi="Times New Roman" w:eastAsia="仿宋_GB2312" w:cs="Times New Roman"/>
                <w:color w:val="auto"/>
                <w:kern w:val="24"/>
                <w:sz w:val="24"/>
                <w:szCs w:val="24"/>
                <w:lang w:val="en-US" w:eastAsia="zh-CN" w:bidi="ar-SA"/>
              </w:rPr>
              <w:t>距声源r米处的施工噪声预测值</w:t>
            </w:r>
            <w:r>
              <w:rPr>
                <w:rFonts w:hint="eastAsia" w:ascii="Times New Roman" w:hAnsi="Times New Roman" w:eastAsia="宋体" w:cs="Times New Roman"/>
                <w:color w:val="auto"/>
                <w:kern w:val="0"/>
                <w:sz w:val="24"/>
              </w:rPr>
              <w:t>，dB(A</w:t>
            </w:r>
            <w:r>
              <w:rPr>
                <w:rFonts w:hint="eastAsia" w:cs="Times New Roman"/>
                <w:color w:val="auto"/>
                <w:kern w:val="0"/>
                <w:sz w:val="24"/>
                <w:lang w:eastAsia="zh-CN"/>
              </w:rPr>
              <w:t>）</w:t>
            </w:r>
            <w:r>
              <w:rPr>
                <w:rFonts w:hint="eastAsia" w:ascii="Times New Roman" w:hAnsi="Times New Roman" w:eastAsia="宋体" w:cs="Times New Roman"/>
                <w:color w:val="auto"/>
                <w:kern w:val="0"/>
                <w:sz w:val="24"/>
              </w:rPr>
              <w:t>；</w:t>
            </w:r>
          </w:p>
          <w:p w14:paraId="40EB2598">
            <w:pPr>
              <w:keepNext w:val="0"/>
              <w:keepLines w:val="0"/>
              <w:pageBreakBefore w:val="0"/>
              <w:widowControl w:val="0"/>
              <w:kinsoku/>
              <w:wordWrap/>
              <w:overflowPunct/>
              <w:topLinePunct w:val="0"/>
              <w:autoSpaceDE w:val="0"/>
              <w:autoSpaceDN w:val="0"/>
              <w:bidi w:val="0"/>
              <w:adjustRightInd w:val="0"/>
              <w:snapToGrid w:val="0"/>
              <w:spacing w:line="360" w:lineRule="auto"/>
              <w:ind w:firstLine="1200" w:firstLineChars="500"/>
              <w:textAlignment w:val="auto"/>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L</w:t>
            </w:r>
            <w:r>
              <w:rPr>
                <w:rFonts w:hint="eastAsia" w:ascii="Times New Roman" w:hAnsi="Times New Roman" w:eastAsia="宋体" w:cs="Times New Roman"/>
                <w:color w:val="auto"/>
                <w:kern w:val="0"/>
                <w:sz w:val="24"/>
                <w:vertAlign w:val="subscript"/>
              </w:rPr>
              <w:t>P0</w:t>
            </w:r>
            <w:r>
              <w:rPr>
                <w:rFonts w:hint="eastAsia" w:cs="Times New Roman"/>
                <w:color w:val="auto"/>
                <w:kern w:val="0"/>
                <w:sz w:val="24"/>
                <w:vertAlign w:val="subscript"/>
                <w:lang w:eastAsia="zh-CN"/>
              </w:rPr>
              <w:t>－</w:t>
            </w:r>
            <w:r>
              <w:rPr>
                <w:rFonts w:hint="eastAsia" w:ascii="Times New Roman" w:hAnsi="Times New Roman" w:eastAsia="仿宋_GB2312" w:cs="Times New Roman"/>
                <w:color w:val="auto"/>
                <w:kern w:val="24"/>
                <w:sz w:val="24"/>
                <w:szCs w:val="24"/>
                <w:lang w:val="en-US" w:eastAsia="zh-CN" w:bidi="ar-SA"/>
              </w:rPr>
              <w:t>距声源r0米处的参考声级</w:t>
            </w:r>
            <w:r>
              <w:rPr>
                <w:rFonts w:hint="eastAsia" w:ascii="Times New Roman" w:hAnsi="Times New Roman" w:eastAsia="宋体" w:cs="Times New Roman"/>
                <w:color w:val="auto"/>
                <w:kern w:val="0"/>
                <w:sz w:val="24"/>
              </w:rPr>
              <w:t>，dB(A</w:t>
            </w:r>
            <w:r>
              <w:rPr>
                <w:rFonts w:hint="eastAsia" w:cs="Times New Roman"/>
                <w:color w:val="auto"/>
                <w:kern w:val="0"/>
                <w:sz w:val="24"/>
                <w:lang w:eastAsia="zh-CN"/>
              </w:rPr>
              <w:t>）</w:t>
            </w:r>
            <w:r>
              <w:rPr>
                <w:rFonts w:hint="eastAsia" w:ascii="Times New Roman" w:hAnsi="Times New Roman" w:eastAsia="宋体" w:cs="Times New Roman"/>
                <w:color w:val="auto"/>
                <w:kern w:val="0"/>
                <w:sz w:val="24"/>
              </w:rPr>
              <w:t>。</w:t>
            </w:r>
          </w:p>
          <w:p w14:paraId="64564C5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仿宋_GB2312" w:cs="Times New Roman"/>
                <w:color w:val="auto"/>
                <w:kern w:val="24"/>
                <w:sz w:val="24"/>
                <w:szCs w:val="24"/>
                <w:lang w:val="en-US" w:eastAsia="zh-CN" w:bidi="ar-SA"/>
              </w:rPr>
            </w:pPr>
            <w:r>
              <w:rPr>
                <w:rFonts w:hint="eastAsia" w:ascii="Times New Roman" w:hAnsi="Times New Roman" w:eastAsia="宋体" w:cs="Times New Roman"/>
                <w:color w:val="auto"/>
                <w:kern w:val="0"/>
                <w:sz w:val="24"/>
              </w:rPr>
              <w:t>③</w:t>
            </w:r>
            <w:r>
              <w:rPr>
                <w:rFonts w:hint="eastAsia" w:ascii="Times New Roman" w:hAnsi="Times New Roman" w:eastAsia="仿宋_GB2312" w:cs="Times New Roman"/>
                <w:color w:val="auto"/>
                <w:kern w:val="24"/>
                <w:sz w:val="24"/>
                <w:szCs w:val="24"/>
                <w:lang w:val="en-US" w:eastAsia="zh-CN" w:bidi="ar-SA"/>
              </w:rPr>
              <w:t>施工期噪声预测结果及影响分析</w:t>
            </w:r>
          </w:p>
          <w:p w14:paraId="4D4B636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仿宋_GB2312" w:cs="Times New Roman"/>
                <w:color w:val="auto"/>
                <w:kern w:val="24"/>
                <w:sz w:val="24"/>
                <w:szCs w:val="24"/>
                <w:lang w:val="en-US" w:eastAsia="zh-CN" w:bidi="ar-SA"/>
              </w:rPr>
            </w:pPr>
            <w:r>
              <w:rPr>
                <w:rFonts w:hint="eastAsia" w:ascii="Times New Roman" w:hAnsi="Times New Roman" w:eastAsia="仿宋_GB2312" w:cs="Times New Roman"/>
                <w:color w:val="auto"/>
                <w:kern w:val="24"/>
                <w:sz w:val="24"/>
                <w:szCs w:val="24"/>
                <w:lang w:val="en-US" w:eastAsia="zh-CN" w:bidi="ar-SA"/>
              </w:rPr>
              <w:t>本项目施工机械产生的噪声随距离衰减情况见表</w:t>
            </w:r>
            <w:r>
              <w:rPr>
                <w:rFonts w:hint="eastAsia" w:eastAsia="仿宋_GB2312" w:cs="Times New Roman"/>
                <w:color w:val="auto"/>
                <w:kern w:val="24"/>
                <w:sz w:val="24"/>
                <w:szCs w:val="24"/>
                <w:lang w:val="en-US" w:eastAsia="zh-CN" w:bidi="ar-SA"/>
              </w:rPr>
              <w:t>29</w:t>
            </w:r>
            <w:r>
              <w:rPr>
                <w:rFonts w:hint="eastAsia" w:ascii="Times New Roman" w:hAnsi="Times New Roman" w:eastAsia="仿宋_GB2312" w:cs="Times New Roman"/>
                <w:color w:val="auto"/>
                <w:kern w:val="24"/>
                <w:sz w:val="24"/>
                <w:szCs w:val="24"/>
                <w:lang w:val="en-US" w:eastAsia="zh-CN" w:bidi="ar-SA"/>
              </w:rPr>
              <w:t>：</w:t>
            </w:r>
          </w:p>
          <w:p w14:paraId="698F6F89">
            <w:pPr>
              <w:ind w:firstLine="420" w:firstLineChars="200"/>
              <w:rPr>
                <w:rFonts w:hint="eastAsia" w:ascii="Times New Roman" w:hAnsi="Times New Roman" w:eastAsia="宋体" w:cs="Times New Roman"/>
                <w:b/>
                <w:bCs/>
                <w:color w:val="auto"/>
                <w:kern w:val="0"/>
                <w:sz w:val="21"/>
                <w:szCs w:val="18"/>
                <w:lang w:eastAsia="zh-CN"/>
              </w:rPr>
            </w:pPr>
            <w:bookmarkStart w:id="3" w:name="_Ref12753"/>
            <w:r>
              <w:rPr>
                <w:rFonts w:hint="default" w:ascii="Times New Roman" w:hAnsi="Times New Roman" w:eastAsia="宋体" w:cs="Times New Roman"/>
                <w:b w:val="0"/>
                <w:bCs w:val="0"/>
                <w:color w:val="auto"/>
                <w:kern w:val="0"/>
                <w:sz w:val="21"/>
                <w:szCs w:val="18"/>
              </w:rPr>
              <w:t>表</w:t>
            </w:r>
            <w:bookmarkEnd w:id="3"/>
            <w:r>
              <w:rPr>
                <w:rFonts w:hint="eastAsia" w:cs="Times New Roman"/>
                <w:b w:val="0"/>
                <w:bCs w:val="0"/>
                <w:color w:val="auto"/>
                <w:kern w:val="0"/>
                <w:sz w:val="21"/>
                <w:szCs w:val="18"/>
                <w:lang w:val="en-US" w:eastAsia="zh-CN"/>
              </w:rPr>
              <w:t xml:space="preserve">28    </w:t>
            </w:r>
            <w:r>
              <w:rPr>
                <w:rFonts w:hint="eastAsia" w:ascii="Times New Roman" w:hAnsi="Times New Roman" w:eastAsia="宋体" w:cs="Times New Roman"/>
                <w:b w:val="0"/>
                <w:bCs w:val="0"/>
                <w:color w:val="auto"/>
                <w:kern w:val="0"/>
                <w:sz w:val="21"/>
                <w:szCs w:val="18"/>
                <w:lang w:val="en-US" w:eastAsia="zh-CN"/>
              </w:rPr>
              <w:t xml:space="preserve">     </w:t>
            </w:r>
            <w:r>
              <w:rPr>
                <w:rFonts w:hint="eastAsia" w:ascii="Times New Roman" w:hAnsi="Times New Roman" w:eastAsia="宋体" w:cs="Times New Roman"/>
                <w:b/>
                <w:bCs/>
                <w:color w:val="auto"/>
                <w:kern w:val="0"/>
                <w:sz w:val="24"/>
                <w:szCs w:val="24"/>
                <w:lang w:eastAsia="zh-CN"/>
              </w:rPr>
              <w:t>主要施工机械不同距离处的噪声级统计表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732"/>
              <w:gridCol w:w="761"/>
              <w:gridCol w:w="689"/>
              <w:gridCol w:w="746"/>
              <w:gridCol w:w="712"/>
              <w:gridCol w:w="789"/>
              <w:gridCol w:w="789"/>
              <w:gridCol w:w="882"/>
              <w:gridCol w:w="803"/>
            </w:tblGrid>
            <w:tr w14:paraId="35AF1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dxa"/>
                  <w:vMerge w:val="restart"/>
                  <w:tcBorders>
                    <w:tl2br w:val="nil"/>
                    <w:tr2bl w:val="nil"/>
                  </w:tcBorders>
                  <w:noWrap w:val="0"/>
                  <w:vAlign w:val="center"/>
                </w:tcPr>
                <w:p w14:paraId="084BF8C8">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机械类型</w:t>
                  </w:r>
                </w:p>
              </w:tc>
              <w:tc>
                <w:tcPr>
                  <w:tcW w:w="7070" w:type="dxa"/>
                  <w:gridSpan w:val="9"/>
                  <w:tcBorders>
                    <w:tl2br w:val="nil"/>
                    <w:tr2bl w:val="nil"/>
                  </w:tcBorders>
                  <w:noWrap w:val="0"/>
                  <w:vAlign w:val="center"/>
                </w:tcPr>
                <w:p w14:paraId="51B4EF84">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噪声</w:t>
                  </w:r>
                  <w:r>
                    <w:rPr>
                      <w:rFonts w:hint="eastAsia" w:ascii="Times New Roman" w:hAnsi="Times New Roman" w:eastAsia="宋体" w:cs="Times New Roman"/>
                      <w:b/>
                      <w:bCs/>
                      <w:color w:val="auto"/>
                      <w:kern w:val="0"/>
                      <w:sz w:val="21"/>
                      <w:szCs w:val="21"/>
                      <w:lang w:val="en-US" w:eastAsia="zh-CN" w:bidi="ar-SA"/>
                    </w:rPr>
                    <w:t>贡献</w:t>
                  </w:r>
                  <w:r>
                    <w:rPr>
                      <w:rFonts w:hint="default" w:ascii="Times New Roman" w:hAnsi="Times New Roman" w:eastAsia="宋体" w:cs="Times New Roman"/>
                      <w:b/>
                      <w:bCs/>
                      <w:color w:val="auto"/>
                      <w:kern w:val="0"/>
                      <w:sz w:val="21"/>
                      <w:szCs w:val="21"/>
                      <w:lang w:val="en-US" w:eastAsia="zh-CN" w:bidi="ar-SA"/>
                    </w:rPr>
                    <w:t>值dB（A）</w:t>
                  </w:r>
                </w:p>
              </w:tc>
            </w:tr>
            <w:tr w14:paraId="75434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dxa"/>
                  <w:vMerge w:val="continue"/>
                  <w:tcBorders>
                    <w:tl2br w:val="nil"/>
                    <w:tr2bl w:val="nil"/>
                  </w:tcBorders>
                  <w:noWrap w:val="0"/>
                  <w:vAlign w:val="center"/>
                </w:tcPr>
                <w:p w14:paraId="527EB231">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p>
              </w:tc>
              <w:tc>
                <w:tcPr>
                  <w:tcW w:w="750" w:type="dxa"/>
                  <w:tcBorders>
                    <w:tl2br w:val="nil"/>
                    <w:tr2bl w:val="nil"/>
                  </w:tcBorders>
                  <w:noWrap w:val="0"/>
                  <w:vAlign w:val="center"/>
                </w:tcPr>
                <w:p w14:paraId="00F38236">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5m</w:t>
                  </w:r>
                </w:p>
              </w:tc>
              <w:tc>
                <w:tcPr>
                  <w:tcW w:w="779" w:type="dxa"/>
                  <w:tcBorders>
                    <w:tl2br w:val="nil"/>
                    <w:tr2bl w:val="nil"/>
                  </w:tcBorders>
                  <w:noWrap w:val="0"/>
                  <w:vAlign w:val="center"/>
                </w:tcPr>
                <w:p w14:paraId="367F0207">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10m</w:t>
                  </w:r>
                </w:p>
              </w:tc>
              <w:tc>
                <w:tcPr>
                  <w:tcW w:w="706" w:type="dxa"/>
                  <w:tcBorders>
                    <w:tl2br w:val="nil"/>
                    <w:tr2bl w:val="nil"/>
                  </w:tcBorders>
                  <w:noWrap w:val="0"/>
                  <w:vAlign w:val="center"/>
                </w:tcPr>
                <w:p w14:paraId="41346E70">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20m</w:t>
                  </w:r>
                </w:p>
              </w:tc>
              <w:tc>
                <w:tcPr>
                  <w:tcW w:w="764" w:type="dxa"/>
                  <w:tcBorders>
                    <w:tl2br w:val="nil"/>
                    <w:tr2bl w:val="nil"/>
                  </w:tcBorders>
                  <w:noWrap w:val="0"/>
                  <w:vAlign w:val="center"/>
                </w:tcPr>
                <w:p w14:paraId="2E428A13">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cr/>
                  </w:r>
                  <w:r>
                    <w:rPr>
                      <w:rFonts w:hint="default" w:ascii="Times New Roman" w:hAnsi="Times New Roman" w:eastAsia="宋体" w:cs="Times New Roman"/>
                      <w:b/>
                      <w:bCs/>
                      <w:color w:val="auto"/>
                      <w:kern w:val="0"/>
                      <w:sz w:val="21"/>
                      <w:szCs w:val="21"/>
                      <w:lang w:val="en-US" w:eastAsia="zh-CN" w:bidi="ar-SA"/>
                    </w:rPr>
                    <w:t>0m</w:t>
                  </w:r>
                </w:p>
              </w:tc>
              <w:tc>
                <w:tcPr>
                  <w:tcW w:w="729" w:type="dxa"/>
                  <w:tcBorders>
                    <w:tl2br w:val="nil"/>
                    <w:tr2bl w:val="nil"/>
                  </w:tcBorders>
                  <w:noWrap w:val="0"/>
                  <w:vAlign w:val="center"/>
                </w:tcPr>
                <w:p w14:paraId="593C9C32">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50m</w:t>
                  </w:r>
                </w:p>
              </w:tc>
              <w:tc>
                <w:tcPr>
                  <w:tcW w:w="808" w:type="dxa"/>
                  <w:tcBorders>
                    <w:tl2br w:val="nil"/>
                    <w:tr2bl w:val="nil"/>
                  </w:tcBorders>
                  <w:noWrap w:val="0"/>
                  <w:vAlign w:val="center"/>
                </w:tcPr>
                <w:p w14:paraId="6BB28FD3">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75</w:t>
                  </w:r>
                  <w:r>
                    <w:rPr>
                      <w:rFonts w:hint="default" w:ascii="Times New Roman" w:hAnsi="Times New Roman" w:eastAsia="宋体" w:cs="Times New Roman"/>
                      <w:b/>
                      <w:bCs/>
                      <w:color w:val="auto"/>
                      <w:kern w:val="0"/>
                      <w:sz w:val="21"/>
                      <w:szCs w:val="21"/>
                      <w:lang w:val="en-US" w:eastAsia="zh-CN" w:bidi="ar-SA"/>
                    </w:rPr>
                    <w:t>m</w:t>
                  </w:r>
                </w:p>
              </w:tc>
              <w:tc>
                <w:tcPr>
                  <w:tcW w:w="808" w:type="dxa"/>
                  <w:tcBorders>
                    <w:tl2br w:val="nil"/>
                    <w:tr2bl w:val="nil"/>
                  </w:tcBorders>
                  <w:noWrap w:val="0"/>
                  <w:vAlign w:val="center"/>
                </w:tcPr>
                <w:p w14:paraId="43618F05">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100m</w:t>
                  </w:r>
                </w:p>
              </w:tc>
              <w:tc>
                <w:tcPr>
                  <w:tcW w:w="903" w:type="dxa"/>
                  <w:tcBorders>
                    <w:tl2br w:val="nil"/>
                    <w:tr2bl w:val="nil"/>
                  </w:tcBorders>
                  <w:noWrap w:val="0"/>
                  <w:vAlign w:val="center"/>
                </w:tcPr>
                <w:p w14:paraId="7066D6DE">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150m</w:t>
                  </w:r>
                </w:p>
              </w:tc>
              <w:tc>
                <w:tcPr>
                  <w:tcW w:w="823" w:type="dxa"/>
                  <w:tcBorders>
                    <w:tl2br w:val="nil"/>
                    <w:tr2bl w:val="nil"/>
                  </w:tcBorders>
                  <w:noWrap w:val="0"/>
                  <w:vAlign w:val="center"/>
                </w:tcPr>
                <w:p w14:paraId="0F1AF84A">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200m</w:t>
                  </w:r>
                </w:p>
              </w:tc>
            </w:tr>
            <w:tr w14:paraId="3C93F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dxa"/>
                  <w:tcBorders>
                    <w:tl2br w:val="nil"/>
                    <w:tr2bl w:val="nil"/>
                  </w:tcBorders>
                  <w:noWrap w:val="0"/>
                  <w:vAlign w:val="center"/>
                </w:tcPr>
                <w:p w14:paraId="12764379">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液压挖掘机</w:t>
                  </w:r>
                </w:p>
              </w:tc>
              <w:tc>
                <w:tcPr>
                  <w:tcW w:w="750" w:type="dxa"/>
                  <w:tcBorders>
                    <w:tl2br w:val="nil"/>
                    <w:tr2bl w:val="nil"/>
                  </w:tcBorders>
                  <w:noWrap w:val="0"/>
                  <w:vAlign w:val="center"/>
                </w:tcPr>
                <w:p w14:paraId="1B8B9D83">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86</w:t>
                  </w:r>
                </w:p>
              </w:tc>
              <w:tc>
                <w:tcPr>
                  <w:tcW w:w="779" w:type="dxa"/>
                  <w:tcBorders>
                    <w:tl2br w:val="nil"/>
                    <w:tr2bl w:val="nil"/>
                  </w:tcBorders>
                  <w:noWrap w:val="0"/>
                  <w:vAlign w:val="center"/>
                </w:tcPr>
                <w:p w14:paraId="767862C3">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79.97</w:t>
                  </w:r>
                </w:p>
              </w:tc>
              <w:tc>
                <w:tcPr>
                  <w:tcW w:w="706" w:type="dxa"/>
                  <w:tcBorders>
                    <w:tl2br w:val="nil"/>
                    <w:tr2bl w:val="nil"/>
                  </w:tcBorders>
                  <w:noWrap w:val="0"/>
                  <w:vAlign w:val="center"/>
                </w:tcPr>
                <w:p w14:paraId="31511A6A">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73.95</w:t>
                  </w:r>
                </w:p>
              </w:tc>
              <w:tc>
                <w:tcPr>
                  <w:tcW w:w="764" w:type="dxa"/>
                  <w:tcBorders>
                    <w:tl2br w:val="nil"/>
                    <w:tr2bl w:val="nil"/>
                  </w:tcBorders>
                  <w:noWrap w:val="0"/>
                  <w:vAlign w:val="center"/>
                </w:tcPr>
                <w:p w14:paraId="206E8420">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60.43</w:t>
                  </w:r>
                </w:p>
              </w:tc>
              <w:tc>
                <w:tcPr>
                  <w:tcW w:w="729" w:type="dxa"/>
                  <w:tcBorders>
                    <w:tl2br w:val="nil"/>
                    <w:tr2bl w:val="nil"/>
                  </w:tcBorders>
                  <w:noWrap w:val="0"/>
                  <w:vAlign w:val="center"/>
                </w:tcPr>
                <w:p w14:paraId="115267B8">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56</w:t>
                  </w:r>
                </w:p>
              </w:tc>
              <w:tc>
                <w:tcPr>
                  <w:tcW w:w="808" w:type="dxa"/>
                  <w:tcBorders>
                    <w:tl2br w:val="nil"/>
                    <w:tr2bl w:val="nil"/>
                  </w:tcBorders>
                  <w:noWrap w:val="0"/>
                  <w:vAlign w:val="center"/>
                </w:tcPr>
                <w:p w14:paraId="279F636F">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52.47</w:t>
                  </w:r>
                </w:p>
              </w:tc>
              <w:tc>
                <w:tcPr>
                  <w:tcW w:w="808" w:type="dxa"/>
                  <w:tcBorders>
                    <w:tl2br w:val="nil"/>
                    <w:tr2bl w:val="nil"/>
                  </w:tcBorders>
                  <w:noWrap w:val="0"/>
                  <w:vAlign w:val="center"/>
                </w:tcPr>
                <w:p w14:paraId="271F8452">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49.98</w:t>
                  </w:r>
                </w:p>
              </w:tc>
              <w:tc>
                <w:tcPr>
                  <w:tcW w:w="903" w:type="dxa"/>
                  <w:tcBorders>
                    <w:tl2br w:val="nil"/>
                    <w:tr2bl w:val="nil"/>
                  </w:tcBorders>
                  <w:noWrap w:val="0"/>
                  <w:vAlign w:val="center"/>
                </w:tcPr>
                <w:p w14:paraId="5CA24263">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46.46</w:t>
                  </w:r>
                </w:p>
              </w:tc>
              <w:tc>
                <w:tcPr>
                  <w:tcW w:w="823" w:type="dxa"/>
                  <w:tcBorders>
                    <w:tl2br w:val="nil"/>
                    <w:tr2bl w:val="nil"/>
                  </w:tcBorders>
                  <w:noWrap w:val="0"/>
                  <w:vAlign w:val="center"/>
                </w:tcPr>
                <w:p w14:paraId="11E51D08">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43.95</w:t>
                  </w:r>
                </w:p>
              </w:tc>
            </w:tr>
            <w:tr w14:paraId="4ADA4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dxa"/>
                  <w:tcBorders>
                    <w:tl2br w:val="nil"/>
                    <w:tr2bl w:val="nil"/>
                  </w:tcBorders>
                  <w:noWrap w:val="0"/>
                  <w:vAlign w:val="center"/>
                </w:tcPr>
                <w:p w14:paraId="417A61B5">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商砼搅拌车</w:t>
                  </w:r>
                </w:p>
              </w:tc>
              <w:tc>
                <w:tcPr>
                  <w:tcW w:w="750" w:type="dxa"/>
                  <w:tcBorders>
                    <w:tl2br w:val="nil"/>
                    <w:tr2bl w:val="nil"/>
                  </w:tcBorders>
                  <w:noWrap w:val="0"/>
                  <w:vAlign w:val="center"/>
                </w:tcPr>
                <w:p w14:paraId="17DF06B3">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86</w:t>
                  </w:r>
                </w:p>
              </w:tc>
              <w:tc>
                <w:tcPr>
                  <w:tcW w:w="779" w:type="dxa"/>
                  <w:tcBorders>
                    <w:tl2br w:val="nil"/>
                    <w:tr2bl w:val="nil"/>
                  </w:tcBorders>
                  <w:noWrap w:val="0"/>
                  <w:vAlign w:val="center"/>
                </w:tcPr>
                <w:p w14:paraId="4FB71075">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79.97</w:t>
                  </w:r>
                </w:p>
              </w:tc>
              <w:tc>
                <w:tcPr>
                  <w:tcW w:w="706" w:type="dxa"/>
                  <w:tcBorders>
                    <w:tl2br w:val="nil"/>
                    <w:tr2bl w:val="nil"/>
                  </w:tcBorders>
                  <w:noWrap w:val="0"/>
                  <w:vAlign w:val="center"/>
                </w:tcPr>
                <w:p w14:paraId="6226FC0A">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73.95</w:t>
                  </w:r>
                </w:p>
              </w:tc>
              <w:tc>
                <w:tcPr>
                  <w:tcW w:w="764" w:type="dxa"/>
                  <w:tcBorders>
                    <w:tl2br w:val="nil"/>
                    <w:tr2bl w:val="nil"/>
                  </w:tcBorders>
                  <w:noWrap w:val="0"/>
                  <w:vAlign w:val="center"/>
                </w:tcPr>
                <w:p w14:paraId="4E379A02">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60.43</w:t>
                  </w:r>
                </w:p>
              </w:tc>
              <w:tc>
                <w:tcPr>
                  <w:tcW w:w="729" w:type="dxa"/>
                  <w:tcBorders>
                    <w:tl2br w:val="nil"/>
                    <w:tr2bl w:val="nil"/>
                  </w:tcBorders>
                  <w:noWrap w:val="0"/>
                  <w:vAlign w:val="center"/>
                </w:tcPr>
                <w:p w14:paraId="74A37D2F">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56</w:t>
                  </w:r>
                </w:p>
              </w:tc>
              <w:tc>
                <w:tcPr>
                  <w:tcW w:w="808" w:type="dxa"/>
                  <w:tcBorders>
                    <w:tl2br w:val="nil"/>
                    <w:tr2bl w:val="nil"/>
                  </w:tcBorders>
                  <w:noWrap w:val="0"/>
                  <w:vAlign w:val="center"/>
                </w:tcPr>
                <w:p w14:paraId="4577F4DF">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52.47</w:t>
                  </w:r>
                </w:p>
              </w:tc>
              <w:tc>
                <w:tcPr>
                  <w:tcW w:w="808" w:type="dxa"/>
                  <w:tcBorders>
                    <w:tl2br w:val="nil"/>
                    <w:tr2bl w:val="nil"/>
                  </w:tcBorders>
                  <w:noWrap w:val="0"/>
                  <w:vAlign w:val="center"/>
                </w:tcPr>
                <w:p w14:paraId="41E52832">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49.98</w:t>
                  </w:r>
                </w:p>
              </w:tc>
              <w:tc>
                <w:tcPr>
                  <w:tcW w:w="903" w:type="dxa"/>
                  <w:tcBorders>
                    <w:tl2br w:val="nil"/>
                    <w:tr2bl w:val="nil"/>
                  </w:tcBorders>
                  <w:noWrap w:val="0"/>
                  <w:vAlign w:val="center"/>
                </w:tcPr>
                <w:p w14:paraId="579A52C6">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46.46</w:t>
                  </w:r>
                </w:p>
              </w:tc>
              <w:tc>
                <w:tcPr>
                  <w:tcW w:w="823" w:type="dxa"/>
                  <w:tcBorders>
                    <w:tl2br w:val="nil"/>
                    <w:tr2bl w:val="nil"/>
                  </w:tcBorders>
                  <w:noWrap w:val="0"/>
                  <w:vAlign w:val="center"/>
                </w:tcPr>
                <w:p w14:paraId="531BB329">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43.95</w:t>
                  </w:r>
                </w:p>
              </w:tc>
            </w:tr>
            <w:tr w14:paraId="4EF47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dxa"/>
                  <w:tcBorders>
                    <w:tl2br w:val="nil"/>
                    <w:tr2bl w:val="nil"/>
                  </w:tcBorders>
                  <w:noWrap w:val="0"/>
                  <w:vAlign w:val="center"/>
                </w:tcPr>
                <w:p w14:paraId="6035EA66">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重型运输车</w:t>
                  </w:r>
                </w:p>
              </w:tc>
              <w:tc>
                <w:tcPr>
                  <w:tcW w:w="750" w:type="dxa"/>
                  <w:tcBorders>
                    <w:tl2br w:val="nil"/>
                    <w:tr2bl w:val="nil"/>
                  </w:tcBorders>
                  <w:noWrap w:val="0"/>
                  <w:vAlign w:val="center"/>
                </w:tcPr>
                <w:p w14:paraId="1EF5E08D">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86</w:t>
                  </w:r>
                </w:p>
              </w:tc>
              <w:tc>
                <w:tcPr>
                  <w:tcW w:w="779" w:type="dxa"/>
                  <w:tcBorders>
                    <w:tl2br w:val="nil"/>
                    <w:tr2bl w:val="nil"/>
                  </w:tcBorders>
                  <w:noWrap w:val="0"/>
                  <w:vAlign w:val="center"/>
                </w:tcPr>
                <w:p w14:paraId="1EE2757C">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79.97</w:t>
                  </w:r>
                </w:p>
              </w:tc>
              <w:tc>
                <w:tcPr>
                  <w:tcW w:w="706" w:type="dxa"/>
                  <w:tcBorders>
                    <w:tl2br w:val="nil"/>
                    <w:tr2bl w:val="nil"/>
                  </w:tcBorders>
                  <w:noWrap w:val="0"/>
                  <w:vAlign w:val="center"/>
                </w:tcPr>
                <w:p w14:paraId="35F3FE07">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73.95</w:t>
                  </w:r>
                </w:p>
              </w:tc>
              <w:tc>
                <w:tcPr>
                  <w:tcW w:w="764" w:type="dxa"/>
                  <w:tcBorders>
                    <w:tl2br w:val="nil"/>
                    <w:tr2bl w:val="nil"/>
                  </w:tcBorders>
                  <w:noWrap w:val="0"/>
                  <w:vAlign w:val="center"/>
                </w:tcPr>
                <w:p w14:paraId="615C5E18">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60.43</w:t>
                  </w:r>
                </w:p>
              </w:tc>
              <w:tc>
                <w:tcPr>
                  <w:tcW w:w="729" w:type="dxa"/>
                  <w:tcBorders>
                    <w:tl2br w:val="nil"/>
                    <w:tr2bl w:val="nil"/>
                  </w:tcBorders>
                  <w:noWrap w:val="0"/>
                  <w:vAlign w:val="center"/>
                </w:tcPr>
                <w:p w14:paraId="118CFA7F">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56</w:t>
                  </w:r>
                </w:p>
              </w:tc>
              <w:tc>
                <w:tcPr>
                  <w:tcW w:w="808" w:type="dxa"/>
                  <w:tcBorders>
                    <w:tl2br w:val="nil"/>
                    <w:tr2bl w:val="nil"/>
                  </w:tcBorders>
                  <w:noWrap w:val="0"/>
                  <w:vAlign w:val="center"/>
                </w:tcPr>
                <w:p w14:paraId="3BBB4EAA">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52.47</w:t>
                  </w:r>
                </w:p>
              </w:tc>
              <w:tc>
                <w:tcPr>
                  <w:tcW w:w="808" w:type="dxa"/>
                  <w:tcBorders>
                    <w:tl2br w:val="nil"/>
                    <w:tr2bl w:val="nil"/>
                  </w:tcBorders>
                  <w:noWrap w:val="0"/>
                  <w:vAlign w:val="center"/>
                </w:tcPr>
                <w:p w14:paraId="5940408B">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49.98</w:t>
                  </w:r>
                </w:p>
              </w:tc>
              <w:tc>
                <w:tcPr>
                  <w:tcW w:w="903" w:type="dxa"/>
                  <w:tcBorders>
                    <w:tl2br w:val="nil"/>
                    <w:tr2bl w:val="nil"/>
                  </w:tcBorders>
                  <w:noWrap w:val="0"/>
                  <w:vAlign w:val="center"/>
                </w:tcPr>
                <w:p w14:paraId="434858FA">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46.46</w:t>
                  </w:r>
                </w:p>
              </w:tc>
              <w:tc>
                <w:tcPr>
                  <w:tcW w:w="823" w:type="dxa"/>
                  <w:tcBorders>
                    <w:tl2br w:val="nil"/>
                    <w:tr2bl w:val="nil"/>
                  </w:tcBorders>
                  <w:noWrap w:val="0"/>
                  <w:vAlign w:val="center"/>
                </w:tcPr>
                <w:p w14:paraId="28D3D302">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43.95</w:t>
                  </w:r>
                </w:p>
              </w:tc>
            </w:tr>
          </w:tbl>
          <w:p w14:paraId="1AB7EC7A">
            <w:pPr>
              <w:adjustRightInd w:val="0"/>
              <w:spacing w:line="360" w:lineRule="auto"/>
              <w:ind w:firstLine="480" w:firstLineChars="200"/>
              <w:rPr>
                <w:rFonts w:hint="eastAsia" w:eastAsia="仿宋_GB2312"/>
                <w:b/>
                <w:bCs/>
                <w:color w:val="auto"/>
                <w:spacing w:val="0"/>
                <w:sz w:val="24"/>
                <w:highlight w:val="yellow"/>
                <w:lang w:val="en-US" w:eastAsia="zh-CN"/>
              </w:rPr>
            </w:pPr>
            <w:r>
              <w:rPr>
                <w:rFonts w:hint="default" w:ascii="Times New Roman" w:hAnsi="Times New Roman" w:eastAsia="仿宋_GB2312" w:cs="Times New Roman"/>
                <w:color w:val="auto"/>
                <w:kern w:val="24"/>
                <w:sz w:val="24"/>
                <w:szCs w:val="24"/>
                <w:lang w:val="en-US" w:eastAsia="zh-CN" w:bidi="ar-SA"/>
              </w:rPr>
              <w:t>根据计算，本项目施工机械距离声源</w:t>
            </w:r>
            <w:r>
              <w:rPr>
                <w:rFonts w:hint="eastAsia" w:eastAsia="仿宋_GB2312" w:cs="Times New Roman"/>
                <w:color w:val="auto"/>
                <w:kern w:val="24"/>
                <w:sz w:val="24"/>
                <w:szCs w:val="24"/>
                <w:lang w:val="en-US" w:eastAsia="zh-CN" w:bidi="ar-SA"/>
              </w:rPr>
              <w:t>3</w:t>
            </w:r>
            <w:r>
              <w:rPr>
                <w:rFonts w:hint="default" w:ascii="Times New Roman" w:hAnsi="Times New Roman" w:eastAsia="仿宋_GB2312" w:cs="Times New Roman"/>
                <w:color w:val="auto"/>
                <w:kern w:val="24"/>
                <w:sz w:val="24"/>
                <w:szCs w:val="24"/>
                <w:lang w:val="en-US" w:eastAsia="zh-CN" w:bidi="ar-SA"/>
              </w:rPr>
              <w:t>0m之外噪声级均可衰减至70dB（A）以下，</w:t>
            </w:r>
            <w:r>
              <w:rPr>
                <w:rFonts w:hint="eastAsia" w:ascii="Times New Roman" w:hAnsi="Times New Roman" w:eastAsia="仿宋_GB2312" w:cs="Times New Roman"/>
                <w:color w:val="auto"/>
                <w:kern w:val="24"/>
                <w:sz w:val="24"/>
                <w:szCs w:val="24"/>
                <w:lang w:val="en-US" w:eastAsia="zh-CN" w:bidi="ar-SA"/>
              </w:rPr>
              <w:t>满足</w:t>
            </w:r>
            <w:r>
              <w:rPr>
                <w:rFonts w:hint="default" w:ascii="Times New Roman" w:hAnsi="Times New Roman" w:eastAsia="仿宋_GB2312" w:cs="Times New Roman"/>
                <w:color w:val="auto"/>
                <w:kern w:val="24"/>
                <w:sz w:val="24"/>
                <w:szCs w:val="24"/>
                <w:lang w:val="en-US" w:eastAsia="zh-CN" w:bidi="ar-SA"/>
              </w:rPr>
              <w:t>《建筑施工场界环境噪声排放标准》（GB12523-2011）标准限值</w:t>
            </w:r>
            <w:r>
              <w:rPr>
                <w:rFonts w:hint="eastAsia" w:ascii="Times New Roman" w:hAnsi="Times New Roman" w:eastAsia="仿宋_GB2312" w:cs="Times New Roman"/>
                <w:color w:val="auto"/>
                <w:kern w:val="24"/>
                <w:sz w:val="24"/>
                <w:szCs w:val="24"/>
                <w:lang w:val="en-US" w:eastAsia="zh-CN" w:bidi="ar-SA"/>
              </w:rPr>
              <w:t>70</w:t>
            </w:r>
            <w:r>
              <w:rPr>
                <w:rFonts w:hint="default" w:ascii="Times New Roman" w:hAnsi="Times New Roman" w:eastAsia="仿宋_GB2312" w:cs="Times New Roman"/>
                <w:color w:val="auto"/>
                <w:kern w:val="24"/>
                <w:sz w:val="24"/>
                <w:szCs w:val="24"/>
                <w:lang w:val="en-US" w:eastAsia="zh-CN" w:bidi="ar-SA"/>
              </w:rPr>
              <w:t>dB（A）</w:t>
            </w:r>
            <w:r>
              <w:rPr>
                <w:rFonts w:hint="eastAsia" w:ascii="Times New Roman" w:hAnsi="Times New Roman" w:eastAsia="仿宋_GB2312" w:cs="Times New Roman"/>
                <w:color w:val="auto"/>
                <w:kern w:val="24"/>
                <w:sz w:val="24"/>
                <w:szCs w:val="24"/>
                <w:lang w:val="en-US" w:eastAsia="zh-CN" w:bidi="ar-SA"/>
              </w:rPr>
              <w:t>；</w:t>
            </w:r>
            <w:r>
              <w:rPr>
                <w:rFonts w:hint="eastAsia" w:eastAsia="仿宋_GB2312" w:cs="Times New Roman"/>
                <w:color w:val="auto"/>
                <w:kern w:val="24"/>
                <w:sz w:val="24"/>
                <w:szCs w:val="24"/>
                <w:lang w:val="en-US" w:eastAsia="zh-CN" w:bidi="ar-SA"/>
              </w:rPr>
              <w:t>本项目周边200m无声环境保护目标</w:t>
            </w:r>
            <w:r>
              <w:rPr>
                <w:rFonts w:hint="eastAsia" w:ascii="Times New Roman" w:hAnsi="Times New Roman" w:eastAsia="仿宋_GB2312" w:cs="Times New Roman"/>
                <w:color w:val="auto"/>
                <w:kern w:val="24"/>
                <w:sz w:val="24"/>
                <w:szCs w:val="24"/>
                <w:lang w:val="en-US" w:eastAsia="zh-CN" w:bidi="ar-SA"/>
              </w:rPr>
              <w:t>；根据企业核实，项目夜间不施工，不存在同时2台及以上设备共同作业情况，</w:t>
            </w:r>
            <w:r>
              <w:rPr>
                <w:rFonts w:hint="default" w:ascii="Times New Roman" w:hAnsi="Times New Roman" w:eastAsia="仿宋_GB2312" w:cs="Times New Roman"/>
                <w:color w:val="auto"/>
                <w:kern w:val="24"/>
                <w:sz w:val="24"/>
                <w:szCs w:val="24"/>
                <w:lang w:val="en-US" w:eastAsia="zh-CN" w:bidi="ar-SA"/>
              </w:rPr>
              <w:t>且本项目各施工点施工量小，施工时间短，在施工过程中严格控制施工作业时间，加强施工机械维护和保养，使其保持良好的状态可有效减缓项目施工对声环境的影响。</w:t>
            </w:r>
          </w:p>
          <w:p w14:paraId="5174BB90">
            <w:pPr>
              <w:adjustRightInd w:val="0"/>
              <w:spacing w:line="360" w:lineRule="auto"/>
              <w:rPr>
                <w:rFonts w:hint="eastAsia" w:ascii="Times New Roman" w:hAnsi="Times New Roman" w:eastAsia="仿宋_GB2312" w:cs="Times New Roman"/>
                <w:b/>
                <w:bCs/>
                <w:color w:val="auto"/>
                <w:spacing w:val="-10"/>
                <w:sz w:val="24"/>
                <w:highlight w:val="none"/>
                <w:lang w:eastAsia="zh-CN"/>
              </w:rPr>
            </w:pPr>
            <w:r>
              <w:rPr>
                <w:rFonts w:hint="eastAsia" w:eastAsia="仿宋_GB2312" w:cs="Times New Roman"/>
                <w:b/>
                <w:bCs/>
                <w:color w:val="auto"/>
                <w:spacing w:val="-10"/>
                <w:sz w:val="24"/>
                <w:highlight w:val="none"/>
                <w:lang w:val="en-US" w:eastAsia="zh-CN"/>
              </w:rPr>
              <w:t>5.</w:t>
            </w:r>
            <w:r>
              <w:rPr>
                <w:rFonts w:hint="default" w:ascii="Times New Roman" w:hAnsi="Times New Roman" w:eastAsia="仿宋_GB2312" w:cs="Times New Roman"/>
                <w:b/>
                <w:bCs/>
                <w:color w:val="auto"/>
                <w:spacing w:val="-10"/>
                <w:sz w:val="24"/>
                <w:highlight w:val="none"/>
              </w:rPr>
              <w:t>固体废物</w:t>
            </w:r>
            <w:r>
              <w:rPr>
                <w:rFonts w:hint="eastAsia" w:eastAsia="仿宋_GB2312" w:cs="Times New Roman"/>
                <w:b/>
                <w:bCs/>
                <w:color w:val="auto"/>
                <w:spacing w:val="-10"/>
                <w:sz w:val="24"/>
                <w:highlight w:val="none"/>
                <w:lang w:eastAsia="zh-CN"/>
              </w:rPr>
              <w:t>环境影响分析</w:t>
            </w:r>
          </w:p>
          <w:p w14:paraId="3AEECCE5">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本项目施工期固体废物主要为废包装材料和施工人员生活垃圾</w:t>
            </w:r>
            <w:r>
              <w:rPr>
                <w:rFonts w:hint="eastAsia" w:ascii="Times New Roman" w:hAnsi="Times New Roman" w:eastAsia="仿宋_GB2312" w:cs="Times New Roman"/>
                <w:color w:val="auto"/>
                <w:spacing w:val="0"/>
                <w:kern w:val="2"/>
                <w:sz w:val="24"/>
                <w:szCs w:val="24"/>
                <w:highlight w:val="none"/>
                <w:lang w:val="en-US" w:eastAsia="zh-CN" w:bidi="ar-SA"/>
              </w:rPr>
              <w:t>。</w:t>
            </w:r>
          </w:p>
          <w:p w14:paraId="7C95C8C0">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生活垃圾集中收集后交由环卫部门处置。项目施工期清理的表土砂石全部运至指定地点堆放；有机肥废包装袋集中交由有机肥供给企业回收利用；废滴灌及喷头集中收集后由更换企业回收利用；蓄水池和泵房清淤污泥集中收集后作为项目种植区种植土；水泵检修废机油产采用废油桶集中收集后由有资质单位的第三方回收处置。</w:t>
            </w:r>
          </w:p>
          <w:p w14:paraId="537A9748">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采取</w:t>
            </w:r>
            <w:r>
              <w:rPr>
                <w:rFonts w:hint="eastAsia" w:ascii="Times New Roman" w:hAnsi="Times New Roman" w:eastAsia="仿宋_GB2312" w:cs="Times New Roman"/>
                <w:color w:val="auto"/>
                <w:kern w:val="2"/>
                <w:sz w:val="24"/>
                <w:szCs w:val="24"/>
                <w:highlight w:val="none"/>
                <w:lang w:val="en-US" w:eastAsia="zh-CN" w:bidi="ar-SA"/>
              </w:rPr>
              <w:t>以上</w:t>
            </w:r>
            <w:r>
              <w:rPr>
                <w:rFonts w:hint="default" w:ascii="Times New Roman" w:hAnsi="Times New Roman" w:eastAsia="仿宋_GB2312" w:cs="Times New Roman"/>
                <w:color w:val="auto"/>
                <w:kern w:val="2"/>
                <w:sz w:val="24"/>
                <w:szCs w:val="24"/>
                <w:highlight w:val="none"/>
                <w:lang w:val="en-US" w:eastAsia="zh-CN" w:bidi="ar-SA"/>
              </w:rPr>
              <w:t>处理措施后，项目施工期产生的固废不会对周边环境产生明显不利影响。</w:t>
            </w:r>
          </w:p>
          <w:p w14:paraId="3F4EE331">
            <w:pPr>
              <w:adjustRightInd w:val="0"/>
              <w:spacing w:line="360" w:lineRule="auto"/>
              <w:rPr>
                <w:rFonts w:hint="default" w:ascii="Times New Roman" w:hAnsi="Times New Roman" w:eastAsia="仿宋_GB2312" w:cs="Times New Roman"/>
                <w:b/>
                <w:bCs/>
                <w:color w:val="auto"/>
                <w:spacing w:val="-10"/>
                <w:sz w:val="24"/>
                <w:highlight w:val="none"/>
                <w:lang w:val="en-US" w:eastAsia="zh-CN"/>
              </w:rPr>
            </w:pPr>
            <w:r>
              <w:rPr>
                <w:rFonts w:hint="default" w:ascii="Times New Roman" w:hAnsi="Times New Roman" w:eastAsia="仿宋_GB2312" w:cs="Times New Roman"/>
                <w:b/>
                <w:bCs/>
                <w:color w:val="auto"/>
                <w:spacing w:val="-10"/>
                <w:sz w:val="24"/>
                <w:highlight w:val="none"/>
                <w:lang w:val="en-US" w:eastAsia="zh-CN"/>
              </w:rPr>
              <w:t>6.施工期生态环境保护影响分析</w:t>
            </w:r>
          </w:p>
          <w:p w14:paraId="3E7018CA">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本项目施工期对生态环境的影响主要是滴灌敷设、蓄水池建设对生态环境的影响。施工区域主要生态保护目标为项目沿线的土壤、自然植被和动植物等。项目施工期生态环境保护影响分析详见生态影响评价专题，此处概要介绍相关内容。</w:t>
            </w:r>
          </w:p>
          <w:p w14:paraId="4305B30F">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施工作业对生态环境的影响</w:t>
            </w:r>
            <w:r>
              <w:rPr>
                <w:rFonts w:hint="eastAsia" w:ascii="Times New Roman" w:hAnsi="Times New Roman" w:eastAsia="仿宋_GB2312" w:cs="Times New Roman"/>
                <w:color w:val="auto"/>
                <w:kern w:val="2"/>
                <w:sz w:val="24"/>
                <w:szCs w:val="24"/>
                <w:highlight w:val="none"/>
                <w:lang w:val="en-US" w:eastAsia="zh-CN" w:bidi="ar-SA"/>
              </w:rPr>
              <w:t>：</w:t>
            </w:r>
          </w:p>
          <w:p w14:paraId="3B111718">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本项目施工过程中将进行土方的填挖，对区域生态环境的影响主要表现为土壤扰动、地表植被破坏，以及可能造成的水土流失；施工噪声对当地野生动物栖息环境的影响等。</w:t>
            </w:r>
          </w:p>
          <w:p w14:paraId="655C34AE">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 xml:space="preserve">（1）对植被的影响分析 </w:t>
            </w:r>
          </w:p>
          <w:p w14:paraId="0BFF99D0">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项目建设期施工过程中机械碾压、施工人员践踏等破坏施工区域内的植被，项目区域无保护植物，分布的植被为广布种。此外，本项目实施过程即为树苗种植、灌木种植、道地药材种植，能够通过采取有效的植被种植抚育措施，恢复项目区域地表植被。项目建设不会对物种多样性构成影响。</w:t>
            </w:r>
          </w:p>
          <w:p w14:paraId="2E03DD56">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 xml:space="preserve">（2）对野生动物的影响分析 </w:t>
            </w:r>
          </w:p>
          <w:p w14:paraId="2FDCFD12">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项目施工</w:t>
            </w:r>
            <w:r>
              <w:rPr>
                <w:rFonts w:hint="eastAsia" w:ascii="Times New Roman" w:hAnsi="Times New Roman" w:eastAsia="仿宋_GB2312" w:cs="Times New Roman"/>
                <w:color w:val="auto"/>
                <w:kern w:val="2"/>
                <w:sz w:val="24"/>
                <w:szCs w:val="24"/>
                <w:highlight w:val="none"/>
                <w:lang w:val="en-US" w:eastAsia="zh-CN" w:bidi="ar-SA"/>
              </w:rPr>
              <w:t>期间</w:t>
            </w:r>
            <w:r>
              <w:rPr>
                <w:rFonts w:hint="default" w:ascii="Times New Roman" w:hAnsi="Times New Roman" w:eastAsia="仿宋_GB2312" w:cs="Times New Roman"/>
                <w:color w:val="auto"/>
                <w:kern w:val="2"/>
                <w:sz w:val="24"/>
                <w:szCs w:val="24"/>
                <w:highlight w:val="none"/>
                <w:lang w:val="en-US" w:eastAsia="zh-CN" w:bidi="ar-SA"/>
              </w:rPr>
              <w:t>施工人员的活动和机械噪声等将会对施工区及周围一定范围内野生动物的活动产生一定影响，施工过程中采取合理安排工期，严禁夜间施工，加强对施工人员的环保教育，宣传生物多样性与人类生存和发展关系的重要性，提高施工人员的环保意识，以减少对动物的负面影响。</w:t>
            </w:r>
          </w:p>
          <w:p w14:paraId="5BE72AE7">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 xml:space="preserve">（3）对水土流失的影响分析 </w:t>
            </w:r>
          </w:p>
          <w:p w14:paraId="0FD4691B">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本项目建设过程水土流失主要表现在前期的场地平整、土地整治、种植土层回填及树苗种植过程造成的土壤扰动所产生的水土流失。为了减少水土流失，项目实施过程，应采取严格、有效的水土保持措施。为有效防止水土流失，建议采取以下防治措施：加强施工管理，做到随挖、随整、随填、及时压实，文明施工，并及时实施相应水土保持措施，尽量减少施工过程中人为因素造成的水土流失。严格控制施工作业时间，避免在雨季开展大规模土石方开挖工作，减缓施工场地水土流失；施工期产生的土石方及时转运至</w:t>
            </w:r>
            <w:r>
              <w:rPr>
                <w:rFonts w:hint="eastAsia" w:ascii="Times New Roman" w:hAnsi="Times New Roman" w:eastAsia="仿宋_GB2312" w:cs="Times New Roman"/>
                <w:color w:val="auto"/>
                <w:kern w:val="2"/>
                <w:sz w:val="24"/>
                <w:szCs w:val="24"/>
                <w:highlight w:val="none"/>
                <w:lang w:val="en-US" w:eastAsia="zh-CN" w:bidi="ar-SA"/>
              </w:rPr>
              <w:t>指定</w:t>
            </w:r>
            <w:r>
              <w:rPr>
                <w:rFonts w:hint="default" w:ascii="Times New Roman" w:hAnsi="Times New Roman" w:eastAsia="仿宋_GB2312" w:cs="Times New Roman"/>
                <w:color w:val="auto"/>
                <w:kern w:val="2"/>
                <w:sz w:val="24"/>
                <w:szCs w:val="24"/>
                <w:highlight w:val="none"/>
                <w:lang w:val="en-US" w:eastAsia="zh-CN" w:bidi="ar-SA"/>
              </w:rPr>
              <w:t>地点堆放；土方施工结束后及时开展苗木种植和绿化，做好植被恢复。</w:t>
            </w:r>
          </w:p>
          <w:p w14:paraId="7555B87B">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 xml:space="preserve">（4）对土地利用性质的影响分析 </w:t>
            </w:r>
          </w:p>
          <w:p w14:paraId="79EF542B">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本项目建设将征占当地一定数量的土地，场址占地类型为绿化用地，未侵占耕地等农业用地，本项目施工临时占地主要用于挖掘土的堆积等，施工临时占地控制在场区范围内。施工结束后，对临时占用的土地，进行树苗种植、灌木种植、道地药材种植，施工期对区域土地利用性质的影响较小。</w:t>
            </w:r>
          </w:p>
          <w:p w14:paraId="537CFD44">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 xml:space="preserve">（5）对土壤的影响分析 </w:t>
            </w:r>
          </w:p>
          <w:p w14:paraId="035E217F">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施工过程中的机械碾压、人员践踏等活动也会对土壤结构产生不良影响，主要表现为影响土壤紧实度和土壤理化性质。</w:t>
            </w:r>
          </w:p>
        </w:tc>
      </w:tr>
      <w:tr w14:paraId="23623D1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583" w:hRule="atLeast"/>
          <w:jc w:val="center"/>
        </w:trPr>
        <w:tc>
          <w:tcPr>
            <w:tcW w:w="679" w:type="dxa"/>
            <w:tcBorders>
              <w:tl2br w:val="nil"/>
              <w:tr2bl w:val="nil"/>
            </w:tcBorders>
            <w:tcMar>
              <w:left w:w="28" w:type="dxa"/>
              <w:right w:w="28" w:type="dxa"/>
            </w:tcMar>
            <w:vAlign w:val="center"/>
          </w:tcPr>
          <w:p w14:paraId="34DC9C4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58C7408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248BB52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737A48E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7DB3452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08A57F9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291FE27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220735A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7AD9BC3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2B78D1B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30A9757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7FB4BC4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53FD60A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326DE8D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392BB2D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518B365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4C106E5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7014638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03C49C3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51D8072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6C49A00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default" w:ascii="Times New Roman" w:hAnsi="Times New Roman" w:eastAsia="仿宋_GB2312" w:cs="Times New Roman"/>
                <w:b/>
                <w:bCs/>
                <w:color w:val="auto"/>
                <w:kern w:val="2"/>
                <w:sz w:val="24"/>
                <w:szCs w:val="24"/>
                <w:highlight w:val="none"/>
                <w:lang w:val="en-US" w:eastAsia="zh-CN" w:bidi="ar-SA"/>
              </w:rPr>
              <w:t>运营期生态环境影响分析</w:t>
            </w:r>
          </w:p>
          <w:p w14:paraId="760EE955">
            <w:pPr>
              <w:pStyle w:val="42"/>
              <w:rPr>
                <w:rFonts w:hint="default" w:ascii="Times New Roman" w:hAnsi="Times New Roman" w:eastAsia="仿宋_GB2312" w:cs="Times New Roman"/>
                <w:b/>
                <w:bCs/>
                <w:color w:val="auto"/>
                <w:kern w:val="2"/>
                <w:sz w:val="24"/>
                <w:szCs w:val="24"/>
                <w:highlight w:val="none"/>
                <w:lang w:val="en-US" w:eastAsia="zh-CN" w:bidi="ar-SA"/>
              </w:rPr>
            </w:pPr>
          </w:p>
          <w:p w14:paraId="1E8A7C1B">
            <w:pPr>
              <w:rPr>
                <w:rFonts w:hint="default" w:ascii="Times New Roman" w:hAnsi="Times New Roman" w:eastAsia="仿宋_GB2312" w:cs="Times New Roman"/>
                <w:b/>
                <w:bCs/>
                <w:color w:val="auto"/>
                <w:kern w:val="2"/>
                <w:sz w:val="24"/>
                <w:szCs w:val="24"/>
                <w:highlight w:val="none"/>
                <w:lang w:val="en-US" w:eastAsia="zh-CN" w:bidi="ar-SA"/>
              </w:rPr>
            </w:pPr>
          </w:p>
          <w:p w14:paraId="63653731">
            <w:pPr>
              <w:rPr>
                <w:rFonts w:hint="default" w:ascii="Times New Roman" w:hAnsi="Times New Roman" w:eastAsia="仿宋_GB2312" w:cs="Times New Roman"/>
                <w:b/>
                <w:bCs/>
                <w:color w:val="auto"/>
                <w:kern w:val="2"/>
                <w:sz w:val="24"/>
                <w:szCs w:val="24"/>
                <w:highlight w:val="none"/>
                <w:lang w:val="en-US" w:eastAsia="zh-CN" w:bidi="ar-SA"/>
              </w:rPr>
            </w:pPr>
          </w:p>
          <w:p w14:paraId="328AC96C">
            <w:pPr>
              <w:rPr>
                <w:rFonts w:hint="default" w:ascii="Times New Roman" w:hAnsi="Times New Roman" w:eastAsia="仿宋_GB2312" w:cs="Times New Roman"/>
                <w:b/>
                <w:bCs/>
                <w:color w:val="auto"/>
                <w:kern w:val="2"/>
                <w:sz w:val="24"/>
                <w:szCs w:val="24"/>
                <w:highlight w:val="none"/>
                <w:lang w:val="en-US" w:eastAsia="zh-CN" w:bidi="ar-SA"/>
              </w:rPr>
            </w:pPr>
          </w:p>
          <w:p w14:paraId="39EC1454">
            <w:pPr>
              <w:rPr>
                <w:rFonts w:hint="default" w:ascii="Times New Roman" w:hAnsi="Times New Roman" w:eastAsia="仿宋_GB2312" w:cs="Times New Roman"/>
                <w:b/>
                <w:bCs/>
                <w:color w:val="auto"/>
                <w:kern w:val="2"/>
                <w:sz w:val="24"/>
                <w:szCs w:val="24"/>
                <w:highlight w:val="none"/>
                <w:lang w:val="en-US" w:eastAsia="zh-CN" w:bidi="ar-SA"/>
              </w:rPr>
            </w:pPr>
          </w:p>
          <w:p w14:paraId="58438467">
            <w:pPr>
              <w:rPr>
                <w:rFonts w:hint="default" w:ascii="Times New Roman" w:hAnsi="Times New Roman" w:eastAsia="仿宋_GB2312" w:cs="Times New Roman"/>
                <w:b/>
                <w:bCs/>
                <w:color w:val="auto"/>
                <w:kern w:val="2"/>
                <w:sz w:val="24"/>
                <w:szCs w:val="24"/>
                <w:highlight w:val="none"/>
                <w:lang w:val="en-US" w:eastAsia="zh-CN" w:bidi="ar-SA"/>
              </w:rPr>
            </w:pPr>
          </w:p>
          <w:p w14:paraId="3349C841">
            <w:pPr>
              <w:rPr>
                <w:rFonts w:hint="default" w:ascii="Times New Roman" w:hAnsi="Times New Roman" w:eastAsia="仿宋_GB2312" w:cs="Times New Roman"/>
                <w:b/>
                <w:bCs/>
                <w:color w:val="auto"/>
                <w:kern w:val="2"/>
                <w:sz w:val="24"/>
                <w:szCs w:val="24"/>
                <w:highlight w:val="none"/>
                <w:lang w:val="en-US" w:eastAsia="zh-CN" w:bidi="ar-SA"/>
              </w:rPr>
            </w:pPr>
          </w:p>
          <w:p w14:paraId="77505818">
            <w:pPr>
              <w:rPr>
                <w:rFonts w:hint="default" w:ascii="Times New Roman" w:hAnsi="Times New Roman" w:eastAsia="仿宋_GB2312" w:cs="Times New Roman"/>
                <w:b/>
                <w:bCs/>
                <w:color w:val="auto"/>
                <w:kern w:val="2"/>
                <w:sz w:val="24"/>
                <w:szCs w:val="24"/>
                <w:highlight w:val="none"/>
                <w:lang w:val="en-US" w:eastAsia="zh-CN" w:bidi="ar-SA"/>
              </w:rPr>
            </w:pPr>
          </w:p>
          <w:p w14:paraId="37E72F69">
            <w:pPr>
              <w:rPr>
                <w:rFonts w:hint="default" w:ascii="Times New Roman" w:hAnsi="Times New Roman" w:eastAsia="仿宋_GB2312" w:cs="Times New Roman"/>
                <w:b/>
                <w:bCs/>
                <w:color w:val="auto"/>
                <w:kern w:val="2"/>
                <w:sz w:val="24"/>
                <w:szCs w:val="24"/>
                <w:highlight w:val="none"/>
                <w:lang w:val="en-US" w:eastAsia="zh-CN" w:bidi="ar-SA"/>
              </w:rPr>
            </w:pPr>
          </w:p>
          <w:p w14:paraId="4C858A75">
            <w:pPr>
              <w:rPr>
                <w:rFonts w:hint="default" w:ascii="Times New Roman" w:hAnsi="Times New Roman" w:eastAsia="仿宋_GB2312" w:cs="Times New Roman"/>
                <w:b/>
                <w:bCs/>
                <w:color w:val="auto"/>
                <w:kern w:val="2"/>
                <w:sz w:val="24"/>
                <w:szCs w:val="24"/>
                <w:highlight w:val="none"/>
                <w:lang w:val="en-US" w:eastAsia="zh-CN" w:bidi="ar-SA"/>
              </w:rPr>
            </w:pPr>
          </w:p>
          <w:p w14:paraId="0D8E9E08">
            <w:pPr>
              <w:rPr>
                <w:rFonts w:hint="default"/>
                <w:color w:val="auto"/>
                <w:highlight w:val="none"/>
                <w:lang w:eastAsia="zh-CN"/>
              </w:rPr>
            </w:pPr>
          </w:p>
        </w:tc>
        <w:tc>
          <w:tcPr>
            <w:tcW w:w="8522" w:type="dxa"/>
            <w:tcBorders>
              <w:tl2br w:val="nil"/>
              <w:tr2bl w:val="nil"/>
            </w:tcBorders>
            <w:vAlign w:val="top"/>
          </w:tcPr>
          <w:p w14:paraId="075C1977">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本项目对中药材进行检测，运营期主要工艺流程及产污环节如下：</w:t>
            </w:r>
          </w:p>
          <w:p w14:paraId="044CB0A9">
            <w:pPr>
              <w:keepNext w:val="0"/>
              <w:keepLines w:val="0"/>
              <w:widowControl/>
              <w:suppressLineNumbers w:val="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object>
                <v:shape id="_x0000_i1028" o:spt="75" type="#_x0000_t75" style="height:495.05pt;width:342.25pt;" o:ole="t" filled="f" o:preferrelative="t" stroked="f" coordsize="21600,21600">
                  <v:path/>
                  <v:fill on="f" focussize="0,0"/>
                  <v:stroke on="f"/>
                  <v:imagedata r:id="rId23" o:title=""/>
                  <o:lock v:ext="edit" aspectratio="f"/>
                  <w10:wrap type="none"/>
                  <w10:anchorlock/>
                </v:shape>
                <o:OLEObject Type="Embed" ProgID="Visio.Drawing.15" ShapeID="_x0000_i1028" DrawAspect="Content" ObjectID="_1468075728" r:id="rId22">
                  <o:LockedField>false</o:LockedField>
                </o:OLEObject>
              </w:object>
            </w:r>
          </w:p>
          <w:p w14:paraId="7F5B5A42">
            <w:pPr>
              <w:keepNext w:val="0"/>
              <w:keepLines w:val="0"/>
              <w:widowControl/>
              <w:suppressLineNumbers w:val="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cs="Times New Roman"/>
                <w:b/>
                <w:bCs/>
                <w:color w:val="auto"/>
                <w:szCs w:val="21"/>
              </w:rPr>
              <w:t>图</w:t>
            </w:r>
            <w:r>
              <w:rPr>
                <w:rFonts w:hint="eastAsia" w:cs="Times New Roman"/>
                <w:b/>
                <w:bCs/>
                <w:color w:val="auto"/>
                <w:szCs w:val="21"/>
                <w:lang w:val="en-US" w:eastAsia="zh-CN"/>
              </w:rPr>
              <w:t xml:space="preserve">4.3  </w:t>
            </w:r>
            <w:r>
              <w:rPr>
                <w:rFonts w:hint="default" w:ascii="Times New Roman" w:hAnsi="Times New Roman" w:cs="Times New Roman"/>
                <w:b/>
                <w:bCs/>
                <w:color w:val="auto"/>
                <w:szCs w:val="21"/>
              </w:rPr>
              <w:t>项目</w:t>
            </w:r>
            <w:r>
              <w:rPr>
                <w:rFonts w:hint="eastAsia" w:cs="Times New Roman"/>
                <w:b/>
                <w:bCs/>
                <w:color w:val="auto"/>
                <w:szCs w:val="21"/>
                <w:lang w:val="en-US" w:eastAsia="zh-CN"/>
              </w:rPr>
              <w:t>工艺流程及产污环节</w:t>
            </w:r>
            <w:r>
              <w:rPr>
                <w:rFonts w:hint="default" w:ascii="Times New Roman" w:hAnsi="Times New Roman" w:cs="Times New Roman"/>
                <w:b/>
                <w:bCs/>
                <w:color w:val="auto"/>
                <w:szCs w:val="21"/>
              </w:rPr>
              <w:t>图</w:t>
            </w:r>
          </w:p>
          <w:p w14:paraId="6DAB4C3B">
            <w:pPr>
              <w:spacing w:line="360" w:lineRule="auto"/>
              <w:ind w:firstLine="480" w:firstLineChars="200"/>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工艺流程简述：</w:t>
            </w:r>
          </w:p>
          <w:p w14:paraId="2908B90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①炮制</w:t>
            </w:r>
            <w:r>
              <w:rPr>
                <w:rFonts w:hint="eastAsia"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本项目试验所用中药药材均为</w:t>
            </w:r>
            <w:r>
              <w:rPr>
                <w:rFonts w:hint="default" w:ascii="Times New Roman" w:hAnsi="Times New Roman" w:eastAsia="仿宋_GB2312" w:cs="Times New Roman"/>
                <w:color w:val="auto"/>
                <w:kern w:val="2"/>
                <w:sz w:val="24"/>
                <w:szCs w:val="24"/>
                <w:highlight w:val="none"/>
                <w:lang w:val="en-US" w:eastAsia="zh-CN" w:bidi="ar-SA"/>
              </w:rPr>
              <w:t>净选</w:t>
            </w:r>
            <w:r>
              <w:rPr>
                <w:rFonts w:hint="eastAsia" w:ascii="Times New Roman" w:hAnsi="Times New Roman" w:eastAsia="仿宋_GB2312" w:cs="Times New Roman"/>
                <w:color w:val="auto"/>
                <w:kern w:val="2"/>
                <w:sz w:val="24"/>
                <w:szCs w:val="24"/>
                <w:highlight w:val="none"/>
                <w:lang w:val="en-US" w:eastAsia="zh-CN" w:bidi="ar-SA"/>
              </w:rPr>
              <w:t>后的药材，不再进一步进行挑选，不同药材选择性</w:t>
            </w:r>
            <w:r>
              <w:rPr>
                <w:rFonts w:hint="default" w:ascii="Times New Roman" w:hAnsi="Times New Roman" w:eastAsia="仿宋_GB2312" w:cs="Times New Roman"/>
                <w:color w:val="auto"/>
                <w:kern w:val="2"/>
                <w:sz w:val="24"/>
                <w:szCs w:val="24"/>
                <w:highlight w:val="none"/>
                <w:lang w:val="en-US" w:eastAsia="zh-CN" w:bidi="ar-SA"/>
              </w:rPr>
              <w:t>进行洗、润</w:t>
            </w:r>
            <w:r>
              <w:rPr>
                <w:rFonts w:hint="eastAsia" w:ascii="Times New Roman" w:hAnsi="Times New Roman" w:eastAsia="仿宋_GB2312" w:cs="Times New Roman"/>
                <w:color w:val="auto"/>
                <w:kern w:val="2"/>
                <w:sz w:val="24"/>
                <w:szCs w:val="24"/>
                <w:highlight w:val="none"/>
                <w:lang w:val="en-US" w:eastAsia="zh-CN" w:bidi="ar-SA"/>
              </w:rPr>
              <w:t>、切、粉碎</w:t>
            </w:r>
            <w:r>
              <w:rPr>
                <w:rFonts w:hint="default" w:ascii="Times New Roman" w:hAnsi="Times New Roman" w:eastAsia="仿宋_GB2312" w:cs="Times New Roman"/>
                <w:color w:val="auto"/>
                <w:kern w:val="2"/>
                <w:sz w:val="24"/>
                <w:szCs w:val="24"/>
                <w:highlight w:val="none"/>
                <w:lang w:val="en-US" w:eastAsia="zh-CN" w:bidi="ar-SA"/>
              </w:rPr>
              <w:t>等</w:t>
            </w:r>
            <w:r>
              <w:rPr>
                <w:rFonts w:hint="eastAsia" w:ascii="Times New Roman" w:hAnsi="Times New Roman" w:eastAsia="仿宋_GB2312" w:cs="Times New Roman"/>
                <w:color w:val="auto"/>
                <w:kern w:val="2"/>
                <w:sz w:val="24"/>
                <w:szCs w:val="24"/>
                <w:highlight w:val="none"/>
                <w:lang w:val="en-US" w:eastAsia="zh-CN" w:bidi="ar-SA"/>
              </w:rPr>
              <w:t>前</w:t>
            </w:r>
            <w:r>
              <w:rPr>
                <w:rFonts w:hint="default" w:ascii="Times New Roman" w:hAnsi="Times New Roman" w:eastAsia="仿宋_GB2312" w:cs="Times New Roman"/>
                <w:color w:val="auto"/>
                <w:kern w:val="2"/>
                <w:sz w:val="24"/>
                <w:szCs w:val="24"/>
                <w:highlight w:val="none"/>
                <w:lang w:val="en-US" w:eastAsia="zh-CN" w:bidi="ar-SA"/>
              </w:rPr>
              <w:t>处理过程，以适于下道工序的要求。</w:t>
            </w:r>
            <w:r>
              <w:rPr>
                <w:rFonts w:hint="eastAsia" w:ascii="Times New Roman" w:hAnsi="Times New Roman" w:eastAsia="仿宋_GB2312" w:cs="Times New Roman"/>
                <w:color w:val="auto"/>
                <w:kern w:val="2"/>
                <w:sz w:val="24"/>
                <w:szCs w:val="24"/>
                <w:highlight w:val="none"/>
                <w:lang w:val="en-US" w:eastAsia="zh-CN" w:bidi="ar-SA"/>
              </w:rPr>
              <w:t>此</w:t>
            </w:r>
            <w:r>
              <w:rPr>
                <w:rFonts w:hint="default" w:ascii="Times New Roman" w:hAnsi="Times New Roman" w:eastAsia="仿宋_GB2312" w:cs="Times New Roman"/>
                <w:color w:val="auto"/>
                <w:kern w:val="2"/>
                <w:sz w:val="24"/>
                <w:szCs w:val="24"/>
                <w:highlight w:val="none"/>
                <w:lang w:val="en-US" w:eastAsia="zh-CN" w:bidi="ar-SA"/>
              </w:rPr>
              <w:t>过程会产生</w:t>
            </w:r>
            <w:r>
              <w:rPr>
                <w:rFonts w:hint="eastAsia" w:ascii="Times New Roman" w:hAnsi="Times New Roman" w:eastAsia="仿宋_GB2312" w:cs="Times New Roman"/>
                <w:color w:val="auto"/>
                <w:kern w:val="2"/>
                <w:sz w:val="24"/>
                <w:szCs w:val="24"/>
                <w:highlight w:val="none"/>
                <w:lang w:val="en-US" w:eastAsia="zh-CN" w:bidi="ar-SA"/>
              </w:rPr>
              <w:t>药材洗润、浸泡用水，噪声</w:t>
            </w:r>
            <w:r>
              <w:rPr>
                <w:rFonts w:hint="default" w:ascii="Times New Roman" w:hAnsi="Times New Roman" w:eastAsia="仿宋_GB2312" w:cs="Times New Roman"/>
                <w:color w:val="auto"/>
                <w:kern w:val="2"/>
                <w:sz w:val="24"/>
                <w:szCs w:val="24"/>
                <w:highlight w:val="none"/>
                <w:lang w:val="en-US" w:eastAsia="zh-CN" w:bidi="ar-SA"/>
              </w:rPr>
              <w:t>。</w:t>
            </w:r>
            <w:r>
              <w:rPr>
                <w:rFonts w:hint="eastAsia" w:eastAsia="仿宋_GB2312" w:cs="Times New Roman"/>
                <w:color w:val="auto"/>
                <w:kern w:val="2"/>
                <w:sz w:val="24"/>
                <w:szCs w:val="24"/>
                <w:highlight w:val="none"/>
                <w:lang w:val="en-US" w:eastAsia="zh-CN" w:bidi="ar-SA"/>
              </w:rPr>
              <w:t>由于</w:t>
            </w:r>
            <w:r>
              <w:rPr>
                <w:rFonts w:hint="eastAsia" w:ascii="Times New Roman" w:hAnsi="Times New Roman" w:eastAsia="仿宋_GB2312" w:cs="Times New Roman"/>
                <w:color w:val="auto"/>
                <w:kern w:val="2"/>
                <w:sz w:val="24"/>
                <w:szCs w:val="24"/>
                <w:highlight w:val="none"/>
                <w:lang w:val="en-US" w:eastAsia="zh-CN" w:bidi="ar-SA"/>
              </w:rPr>
              <w:t>原料粉碎量较少，粉尘不予定量分析。</w:t>
            </w:r>
          </w:p>
          <w:p w14:paraId="0523AB4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②蒸煮过滤：将处理好的不同种类的中药材料加入水进行加热蒸煮，蒸煮温度约</w:t>
            </w:r>
            <w:r>
              <w:rPr>
                <w:rFonts w:hint="default" w:ascii="Times New Roman" w:hAnsi="Times New Roman" w:eastAsia="仿宋_GB2312" w:cs="Times New Roman"/>
                <w:color w:val="auto"/>
                <w:kern w:val="2"/>
                <w:sz w:val="24"/>
                <w:szCs w:val="24"/>
                <w:highlight w:val="none"/>
                <w:lang w:val="en-US" w:eastAsia="zh-CN" w:bidi="ar-SA"/>
              </w:rPr>
              <w:t>100</w:t>
            </w:r>
            <w:r>
              <w:rPr>
                <w:rFonts w:hint="eastAsia" w:ascii="Times New Roman" w:hAnsi="Times New Roman" w:eastAsia="仿宋_GB2312" w:cs="Times New Roman"/>
                <w:color w:val="auto"/>
                <w:kern w:val="2"/>
                <w:sz w:val="24"/>
                <w:szCs w:val="24"/>
                <w:highlight w:val="none"/>
                <w:lang w:val="en-US" w:eastAsia="zh-CN" w:bidi="ar-SA"/>
              </w:rPr>
              <w:t>℃，蒸煮后煮液进行过滤，过滤后药渣进行二次蒸煮过滤。将一次蒸煮过滤和二次蒸煮过滤的药液收集备用。此过程会产生二次蒸煮过滤后的药渣，异味以及废水。</w:t>
            </w:r>
          </w:p>
          <w:p w14:paraId="354514B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③浓缩：将药液放入旋转蒸发仪内对药液进行浓缩，浓缩为稠膏，浓缩温度约</w:t>
            </w:r>
            <w:r>
              <w:rPr>
                <w:rFonts w:hint="default" w:ascii="Times New Roman" w:hAnsi="Times New Roman" w:eastAsia="仿宋_GB2312" w:cs="Times New Roman"/>
                <w:color w:val="auto"/>
                <w:kern w:val="2"/>
                <w:sz w:val="24"/>
                <w:szCs w:val="24"/>
                <w:highlight w:val="none"/>
                <w:lang w:val="en-US" w:eastAsia="zh-CN" w:bidi="ar-SA"/>
              </w:rPr>
              <w:t>100</w:t>
            </w:r>
            <w:r>
              <w:rPr>
                <w:rFonts w:hint="eastAsia" w:ascii="Times New Roman" w:hAnsi="Times New Roman" w:eastAsia="仿宋_GB2312" w:cs="Times New Roman"/>
                <w:color w:val="auto"/>
                <w:kern w:val="2"/>
                <w:sz w:val="24"/>
                <w:szCs w:val="24"/>
                <w:highlight w:val="none"/>
                <w:lang w:val="en-US" w:eastAsia="zh-CN" w:bidi="ar-SA"/>
              </w:rPr>
              <w:t>℃。此过程会产生异味气体。</w:t>
            </w:r>
          </w:p>
          <w:p w14:paraId="04D948D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④干燥：将浓缩稠膏放入喷雾干燥机干燥，干燥温度约</w:t>
            </w:r>
            <w:r>
              <w:rPr>
                <w:rFonts w:hint="default" w:ascii="Times New Roman" w:hAnsi="Times New Roman" w:eastAsia="仿宋_GB2312" w:cs="Times New Roman"/>
                <w:color w:val="auto"/>
                <w:kern w:val="2"/>
                <w:sz w:val="24"/>
                <w:szCs w:val="24"/>
                <w:highlight w:val="none"/>
                <w:lang w:val="en-US" w:eastAsia="zh-CN" w:bidi="ar-SA"/>
              </w:rPr>
              <w:t>105</w:t>
            </w:r>
            <w:r>
              <w:rPr>
                <w:rFonts w:hint="eastAsia" w:ascii="Times New Roman" w:hAnsi="Times New Roman" w:eastAsia="仿宋_GB2312" w:cs="Times New Roman"/>
                <w:color w:val="auto"/>
                <w:kern w:val="2"/>
                <w:sz w:val="24"/>
                <w:szCs w:val="24"/>
                <w:highlight w:val="none"/>
                <w:lang w:val="en-US" w:eastAsia="zh-CN" w:bidi="ar-SA"/>
              </w:rPr>
              <w:t>℃，湿度范围为</w:t>
            </w:r>
            <w:r>
              <w:rPr>
                <w:rFonts w:hint="default" w:ascii="Times New Roman" w:hAnsi="Times New Roman" w:eastAsia="仿宋_GB2312" w:cs="Times New Roman"/>
                <w:color w:val="auto"/>
                <w:kern w:val="2"/>
                <w:sz w:val="24"/>
                <w:szCs w:val="24"/>
                <w:highlight w:val="none"/>
                <w:lang w:val="en-US" w:eastAsia="zh-CN" w:bidi="ar-SA"/>
              </w:rPr>
              <w:t>40</w:t>
            </w:r>
            <w:r>
              <w:rPr>
                <w:rFonts w:hint="eastAsia" w:ascii="Times New Roman" w:hAnsi="Times New Roman" w:eastAsia="仿宋_GB2312" w:cs="Times New Roman"/>
                <w:color w:val="auto"/>
                <w:kern w:val="2"/>
                <w:sz w:val="24"/>
                <w:szCs w:val="24"/>
                <w:highlight w:val="none"/>
                <w:lang w:val="en-US" w:eastAsia="zh-CN" w:bidi="ar-SA"/>
              </w:rPr>
              <w:t>%～</w:t>
            </w:r>
            <w:r>
              <w:rPr>
                <w:rFonts w:hint="default" w:ascii="Times New Roman" w:hAnsi="Times New Roman" w:eastAsia="仿宋_GB2312" w:cs="Times New Roman"/>
                <w:color w:val="auto"/>
                <w:kern w:val="2"/>
                <w:sz w:val="24"/>
                <w:szCs w:val="24"/>
                <w:highlight w:val="none"/>
                <w:lang w:val="en-US" w:eastAsia="zh-CN" w:bidi="ar-SA"/>
              </w:rPr>
              <w:t>60</w:t>
            </w:r>
            <w:r>
              <w:rPr>
                <w:rFonts w:hint="eastAsia" w:ascii="Times New Roman" w:hAnsi="Times New Roman" w:eastAsia="仿宋_GB2312" w:cs="Times New Roman"/>
                <w:color w:val="auto"/>
                <w:kern w:val="2"/>
                <w:sz w:val="24"/>
                <w:szCs w:val="24"/>
                <w:highlight w:val="none"/>
                <w:lang w:val="en-US" w:eastAsia="zh-CN" w:bidi="ar-SA"/>
              </w:rPr>
              <w:t>%，此过程会产生噪声。</w:t>
            </w:r>
          </w:p>
          <w:p w14:paraId="11566AA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⑤压干：干燥后的药品放入压片机进行压干，用于后续进一步检测，此过程会产生噪声。</w:t>
            </w:r>
          </w:p>
          <w:p w14:paraId="6A553CC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⑥称量：将待检样品用分析天平称取所需量，此工序无污染物产生。</w:t>
            </w:r>
          </w:p>
          <w:p w14:paraId="7068A30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⑦样品处理：在通风橱内操作，对称量好的样品根据检验方法的不同加入不同种类的试剂，主要污染物为溶剂挥发产生的挥发性有机物、氨气，器皿清洗废水、废液、废试剂瓶等。</w:t>
            </w:r>
          </w:p>
          <w:p w14:paraId="7BC0552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⑧仪器检测：用不同的检测仪器对处理后的样品进行分析。</w:t>
            </w:r>
          </w:p>
          <w:p w14:paraId="6CC82F6C">
            <w:pPr>
              <w:keepNext w:val="0"/>
              <w:keepLines w:val="0"/>
              <w:pageBreakBefore/>
              <w:widowControl w:val="0"/>
              <w:kinsoku/>
              <w:wordWrap/>
              <w:overflowPunct/>
              <w:topLinePunct w:val="0"/>
              <w:autoSpaceDE/>
              <w:autoSpaceDN/>
              <w:bidi w:val="0"/>
              <w:adjustRightInd/>
              <w:snapToGrid/>
              <w:ind w:firstLine="422" w:firstLineChars="200"/>
              <w:jc w:val="center"/>
              <w:textAlignment w:val="auto"/>
              <w:rPr>
                <w:rFonts w:hint="default" w:ascii="Times New Roman" w:hAnsi="Times New Roman" w:cs="Times New Roman"/>
                <w:b/>
                <w:color w:val="auto"/>
                <w:szCs w:val="21"/>
                <w:lang w:val="zh-CN"/>
              </w:rPr>
            </w:pPr>
            <w:r>
              <w:rPr>
                <w:rFonts w:hint="default" w:ascii="Times New Roman" w:hAnsi="Times New Roman" w:cs="Times New Roman"/>
                <w:b/>
                <w:color w:val="auto"/>
                <w:szCs w:val="21"/>
                <w:lang w:val="zh-CN"/>
              </w:rPr>
              <w:t>表</w:t>
            </w:r>
            <w:r>
              <w:rPr>
                <w:rFonts w:hint="eastAsia" w:cs="Times New Roman"/>
                <w:b/>
                <w:color w:val="auto"/>
                <w:szCs w:val="21"/>
                <w:lang w:val="en-US" w:eastAsia="zh-CN"/>
              </w:rPr>
              <w:t xml:space="preserve">29  </w:t>
            </w:r>
            <w:r>
              <w:rPr>
                <w:rFonts w:hint="default" w:ascii="Times New Roman" w:hAnsi="Times New Roman" w:cs="Times New Roman"/>
                <w:b/>
                <w:color w:val="auto"/>
                <w:szCs w:val="21"/>
                <w:lang w:val="zh-CN"/>
              </w:rPr>
              <w:t>项目产污环节汇总一览表</w:t>
            </w:r>
          </w:p>
          <w:tbl>
            <w:tblPr>
              <w:tblStyle w:val="33"/>
              <w:tblW w:w="8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42"/>
              <w:gridCol w:w="1672"/>
              <w:gridCol w:w="1743"/>
              <w:gridCol w:w="988"/>
              <w:gridCol w:w="2278"/>
            </w:tblGrid>
            <w:tr w14:paraId="003CA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tcBorders>
                    <w:tl2br w:val="nil"/>
                    <w:tr2bl w:val="nil"/>
                  </w:tcBorders>
                  <w:tcMar>
                    <w:left w:w="28" w:type="dxa"/>
                    <w:right w:w="28" w:type="dxa"/>
                  </w:tcMar>
                  <w:vAlign w:val="center"/>
                </w:tcPr>
                <w:p w14:paraId="0C8C9413">
                  <w:pPr>
                    <w:tabs>
                      <w:tab w:val="left" w:pos="945"/>
                    </w:tabs>
                    <w:spacing w:line="32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w:t>
                  </w:r>
                </w:p>
                <w:p w14:paraId="4CFA5427">
                  <w:pPr>
                    <w:tabs>
                      <w:tab w:val="left" w:pos="945"/>
                    </w:tabs>
                    <w:spacing w:line="32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742" w:type="dxa"/>
                  <w:tcBorders>
                    <w:tl2br w:val="nil"/>
                    <w:tr2bl w:val="nil"/>
                  </w:tcBorders>
                  <w:tcMar>
                    <w:left w:w="28" w:type="dxa"/>
                    <w:right w:w="28" w:type="dxa"/>
                  </w:tcMar>
                  <w:vAlign w:val="center"/>
                </w:tcPr>
                <w:p w14:paraId="53C32748">
                  <w:pPr>
                    <w:tabs>
                      <w:tab w:val="left" w:pos="945"/>
                    </w:tabs>
                    <w:snapToGrid w:val="0"/>
                    <w:jc w:val="center"/>
                    <w:rPr>
                      <w:rFonts w:hint="eastAsia" w:ascii="Times New Roman" w:hAnsi="Times New Roman" w:eastAsia="宋体" w:cs="Times New Roman"/>
                      <w:b/>
                      <w:color w:val="auto"/>
                      <w:sz w:val="21"/>
                      <w:szCs w:val="21"/>
                      <w:lang w:eastAsia="zh-CN"/>
                    </w:rPr>
                  </w:pPr>
                  <w:r>
                    <w:rPr>
                      <w:rFonts w:hint="eastAsia" w:cs="Times New Roman"/>
                      <w:b/>
                      <w:color w:val="auto"/>
                      <w:sz w:val="21"/>
                      <w:szCs w:val="21"/>
                      <w:lang w:val="en-US" w:eastAsia="zh-CN"/>
                    </w:rPr>
                    <w:t>编号</w:t>
                  </w:r>
                </w:p>
              </w:tc>
              <w:tc>
                <w:tcPr>
                  <w:tcW w:w="1672" w:type="dxa"/>
                  <w:tcBorders>
                    <w:tl2br w:val="nil"/>
                    <w:tr2bl w:val="nil"/>
                  </w:tcBorders>
                  <w:tcMar>
                    <w:left w:w="28" w:type="dxa"/>
                    <w:right w:w="28" w:type="dxa"/>
                  </w:tcMar>
                  <w:vAlign w:val="center"/>
                </w:tcPr>
                <w:p w14:paraId="4D7B583C">
                  <w:pPr>
                    <w:tabs>
                      <w:tab w:val="left" w:pos="945"/>
                    </w:tabs>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产生工序</w:t>
                  </w:r>
                </w:p>
              </w:tc>
              <w:tc>
                <w:tcPr>
                  <w:tcW w:w="1743" w:type="dxa"/>
                  <w:tcBorders>
                    <w:tl2br w:val="nil"/>
                    <w:tr2bl w:val="nil"/>
                  </w:tcBorders>
                  <w:tcMar>
                    <w:left w:w="28" w:type="dxa"/>
                    <w:right w:w="28" w:type="dxa"/>
                  </w:tcMar>
                  <w:vAlign w:val="center"/>
                </w:tcPr>
                <w:p w14:paraId="435DF6EF">
                  <w:pPr>
                    <w:tabs>
                      <w:tab w:val="left" w:pos="945"/>
                    </w:tabs>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主要污染因子</w:t>
                  </w:r>
                </w:p>
              </w:tc>
              <w:tc>
                <w:tcPr>
                  <w:tcW w:w="988" w:type="dxa"/>
                  <w:tcBorders>
                    <w:tl2br w:val="nil"/>
                    <w:tr2bl w:val="nil"/>
                  </w:tcBorders>
                  <w:tcMar>
                    <w:left w:w="28" w:type="dxa"/>
                    <w:right w:w="28" w:type="dxa"/>
                  </w:tcMar>
                  <w:vAlign w:val="center"/>
                </w:tcPr>
                <w:p w14:paraId="59A7B20B">
                  <w:pPr>
                    <w:tabs>
                      <w:tab w:val="left" w:pos="945"/>
                    </w:tabs>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产生特征</w:t>
                  </w:r>
                </w:p>
              </w:tc>
              <w:tc>
                <w:tcPr>
                  <w:tcW w:w="2278" w:type="dxa"/>
                  <w:tcBorders>
                    <w:tl2br w:val="nil"/>
                    <w:tr2bl w:val="nil"/>
                  </w:tcBorders>
                  <w:tcMar>
                    <w:left w:w="28" w:type="dxa"/>
                    <w:right w:w="28" w:type="dxa"/>
                  </w:tcMar>
                  <w:vAlign w:val="center"/>
                </w:tcPr>
                <w:p w14:paraId="2034D4F5">
                  <w:pPr>
                    <w:tabs>
                      <w:tab w:val="left" w:pos="945"/>
                    </w:tabs>
                    <w:adjustRightIn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去向</w:t>
                  </w:r>
                </w:p>
              </w:tc>
            </w:tr>
            <w:tr w14:paraId="7CC75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vMerge w:val="restart"/>
                  <w:tcBorders>
                    <w:tl2br w:val="nil"/>
                    <w:tr2bl w:val="nil"/>
                  </w:tcBorders>
                  <w:tcMar>
                    <w:left w:w="28" w:type="dxa"/>
                    <w:right w:w="28" w:type="dxa"/>
                  </w:tcMar>
                  <w:vAlign w:val="center"/>
                </w:tcPr>
                <w:p w14:paraId="05696B55">
                  <w:pPr>
                    <w:tabs>
                      <w:tab w:val="left" w:pos="945"/>
                    </w:tabs>
                    <w:spacing w:line="32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废气</w:t>
                  </w:r>
                </w:p>
              </w:tc>
              <w:tc>
                <w:tcPr>
                  <w:tcW w:w="742" w:type="dxa"/>
                  <w:tcBorders>
                    <w:tl2br w:val="nil"/>
                    <w:tr2bl w:val="nil"/>
                  </w:tcBorders>
                  <w:tcMar>
                    <w:left w:w="28" w:type="dxa"/>
                    <w:right w:w="28" w:type="dxa"/>
                  </w:tcMar>
                  <w:vAlign w:val="center"/>
                </w:tcPr>
                <w:p w14:paraId="521A51BD">
                  <w:pPr>
                    <w:tabs>
                      <w:tab w:val="left" w:pos="945"/>
                    </w:tabs>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G1</w:t>
                  </w:r>
                </w:p>
              </w:tc>
              <w:tc>
                <w:tcPr>
                  <w:tcW w:w="1672" w:type="dxa"/>
                  <w:tcBorders>
                    <w:tl2br w:val="nil"/>
                    <w:tr2bl w:val="nil"/>
                  </w:tcBorders>
                  <w:shd w:val="clear" w:color="auto" w:fill="auto"/>
                  <w:tcMar>
                    <w:left w:w="28" w:type="dxa"/>
                    <w:right w:w="28" w:type="dxa"/>
                  </w:tcMar>
                  <w:vAlign w:val="center"/>
                </w:tcPr>
                <w:p w14:paraId="4CA6E2D2">
                  <w:pPr>
                    <w:pStyle w:val="42"/>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olor w:val="auto"/>
                      <w:sz w:val="21"/>
                      <w:szCs w:val="21"/>
                      <w:lang w:val="en-US" w:eastAsia="zh-CN"/>
                    </w:rPr>
                    <w:t>酸性废气</w:t>
                  </w:r>
                </w:p>
              </w:tc>
              <w:tc>
                <w:tcPr>
                  <w:tcW w:w="1743" w:type="dxa"/>
                  <w:tcBorders>
                    <w:tl2br w:val="nil"/>
                    <w:tr2bl w:val="nil"/>
                  </w:tcBorders>
                  <w:shd w:val="clear" w:color="auto" w:fill="auto"/>
                  <w:tcMar>
                    <w:left w:w="28" w:type="dxa"/>
                    <w:right w:w="28" w:type="dxa"/>
                  </w:tcMar>
                  <w:vAlign w:val="center"/>
                </w:tcPr>
                <w:p w14:paraId="28F729D5">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color w:val="auto"/>
                      <w:sz w:val="21"/>
                      <w:szCs w:val="21"/>
                    </w:rPr>
                    <w:t>G1</w:t>
                  </w:r>
                </w:p>
              </w:tc>
              <w:tc>
                <w:tcPr>
                  <w:tcW w:w="988" w:type="dxa"/>
                  <w:vMerge w:val="restart"/>
                  <w:tcBorders>
                    <w:tl2br w:val="nil"/>
                    <w:tr2bl w:val="nil"/>
                  </w:tcBorders>
                  <w:shd w:val="clear" w:color="auto" w:fill="auto"/>
                  <w:tcMar>
                    <w:left w:w="28" w:type="dxa"/>
                    <w:right w:w="28" w:type="dxa"/>
                  </w:tcMar>
                  <w:vAlign w:val="center"/>
                </w:tcPr>
                <w:p w14:paraId="4A2C9BE0">
                  <w:pPr>
                    <w:pStyle w:val="42"/>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olor w:val="auto"/>
                      <w:sz w:val="21"/>
                      <w:szCs w:val="21"/>
                    </w:rPr>
                    <w:t>检测</w:t>
                  </w:r>
                </w:p>
              </w:tc>
              <w:tc>
                <w:tcPr>
                  <w:tcW w:w="2278" w:type="dxa"/>
                  <w:tcBorders>
                    <w:tl2br w:val="nil"/>
                    <w:tr2bl w:val="nil"/>
                  </w:tcBorders>
                  <w:shd w:val="clear" w:color="auto" w:fill="auto"/>
                  <w:tcMar>
                    <w:left w:w="28" w:type="dxa"/>
                    <w:right w:w="28" w:type="dxa"/>
                  </w:tcMar>
                  <w:vAlign w:val="center"/>
                </w:tcPr>
                <w:p w14:paraId="015B6164">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HC</w:t>
                  </w:r>
                  <w:r>
                    <w:rPr>
                      <w:rFonts w:hint="eastAsia" w:ascii="Times New Roman" w:hAnsi="Times New Roman"/>
                      <w:color w:val="auto"/>
                      <w:sz w:val="21"/>
                      <w:szCs w:val="21"/>
                      <w:lang w:val="en-US" w:eastAsia="zh-CN"/>
                    </w:rPr>
                    <w:t>l</w:t>
                  </w:r>
                  <w:r>
                    <w:rPr>
                      <w:rFonts w:hint="eastAsia" w:ascii="Times New Roman" w:hAnsi="Times New Roman"/>
                      <w:color w:val="auto"/>
                      <w:sz w:val="21"/>
                      <w:szCs w:val="21"/>
                    </w:rPr>
                    <w:t>、硫酸雾、NO</w:t>
                  </w:r>
                  <w:r>
                    <w:rPr>
                      <w:rFonts w:hint="eastAsia" w:ascii="Times New Roman" w:hAnsi="Times New Roman"/>
                      <w:color w:val="auto"/>
                      <w:sz w:val="21"/>
                      <w:szCs w:val="21"/>
                      <w:vertAlign w:val="subscript"/>
                      <w:lang w:val="en-US" w:eastAsia="zh-CN"/>
                    </w:rPr>
                    <w:t>X</w:t>
                  </w:r>
                </w:p>
              </w:tc>
            </w:tr>
            <w:tr w14:paraId="7D6D5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vMerge w:val="continue"/>
                  <w:tcBorders>
                    <w:tl2br w:val="nil"/>
                    <w:tr2bl w:val="nil"/>
                  </w:tcBorders>
                  <w:tcMar>
                    <w:left w:w="28" w:type="dxa"/>
                    <w:right w:w="28" w:type="dxa"/>
                  </w:tcMar>
                  <w:vAlign w:val="center"/>
                </w:tcPr>
                <w:p w14:paraId="7B8B629F">
                  <w:pPr>
                    <w:tabs>
                      <w:tab w:val="left" w:pos="945"/>
                    </w:tabs>
                    <w:spacing w:line="320" w:lineRule="exact"/>
                    <w:jc w:val="center"/>
                    <w:rPr>
                      <w:rFonts w:hint="eastAsia" w:ascii="Times New Roman" w:hAnsi="Times New Roman" w:eastAsia="宋体" w:cs="Times New Roman"/>
                      <w:color w:val="auto"/>
                      <w:sz w:val="21"/>
                      <w:szCs w:val="21"/>
                      <w:lang w:val="en-US" w:eastAsia="zh-CN"/>
                    </w:rPr>
                  </w:pPr>
                </w:p>
              </w:tc>
              <w:tc>
                <w:tcPr>
                  <w:tcW w:w="742" w:type="dxa"/>
                  <w:tcBorders>
                    <w:tl2br w:val="nil"/>
                    <w:tr2bl w:val="nil"/>
                  </w:tcBorders>
                  <w:tcMar>
                    <w:left w:w="28" w:type="dxa"/>
                    <w:right w:w="28" w:type="dxa"/>
                  </w:tcMar>
                  <w:vAlign w:val="center"/>
                </w:tcPr>
                <w:p w14:paraId="020287E3">
                  <w:pPr>
                    <w:tabs>
                      <w:tab w:val="left" w:pos="945"/>
                    </w:tabs>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G2</w:t>
                  </w:r>
                </w:p>
              </w:tc>
              <w:tc>
                <w:tcPr>
                  <w:tcW w:w="1672" w:type="dxa"/>
                  <w:tcBorders>
                    <w:tl2br w:val="nil"/>
                    <w:tr2bl w:val="nil"/>
                  </w:tcBorders>
                  <w:shd w:val="clear" w:color="auto" w:fill="auto"/>
                  <w:tcMar>
                    <w:left w:w="28" w:type="dxa"/>
                    <w:right w:w="28" w:type="dxa"/>
                  </w:tcMar>
                  <w:vAlign w:val="center"/>
                </w:tcPr>
                <w:p w14:paraId="33CC7FE2">
                  <w:pPr>
                    <w:pStyle w:val="42"/>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olor w:val="auto"/>
                      <w:sz w:val="21"/>
                      <w:szCs w:val="21"/>
                      <w:lang w:eastAsia="zh-CN"/>
                    </w:rPr>
                    <w:t>有机废气</w:t>
                  </w:r>
                </w:p>
              </w:tc>
              <w:tc>
                <w:tcPr>
                  <w:tcW w:w="1743" w:type="dxa"/>
                  <w:tcBorders>
                    <w:tl2br w:val="nil"/>
                    <w:tr2bl w:val="nil"/>
                  </w:tcBorders>
                  <w:shd w:val="clear" w:color="auto" w:fill="auto"/>
                  <w:tcMar>
                    <w:left w:w="28" w:type="dxa"/>
                    <w:right w:w="28" w:type="dxa"/>
                  </w:tcMar>
                  <w:vAlign w:val="center"/>
                </w:tcPr>
                <w:p w14:paraId="3A6672EC">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G2</w:t>
                  </w:r>
                </w:p>
              </w:tc>
              <w:tc>
                <w:tcPr>
                  <w:tcW w:w="988" w:type="dxa"/>
                  <w:vMerge w:val="continue"/>
                  <w:tcBorders>
                    <w:tl2br w:val="nil"/>
                    <w:tr2bl w:val="nil"/>
                  </w:tcBorders>
                  <w:tcMar>
                    <w:left w:w="28" w:type="dxa"/>
                    <w:right w:w="28" w:type="dxa"/>
                  </w:tcMar>
                  <w:vAlign w:val="center"/>
                </w:tcPr>
                <w:p w14:paraId="57F4C661">
                  <w:pPr>
                    <w:tabs>
                      <w:tab w:val="left" w:pos="945"/>
                    </w:tabs>
                    <w:jc w:val="center"/>
                    <w:rPr>
                      <w:rFonts w:hint="default" w:ascii="Times New Roman" w:hAnsi="Times New Roman" w:cs="Times New Roman"/>
                      <w:b/>
                      <w:color w:val="auto"/>
                      <w:sz w:val="21"/>
                      <w:szCs w:val="21"/>
                    </w:rPr>
                  </w:pPr>
                </w:p>
              </w:tc>
              <w:tc>
                <w:tcPr>
                  <w:tcW w:w="2278" w:type="dxa"/>
                  <w:tcBorders>
                    <w:tl2br w:val="nil"/>
                    <w:tr2bl w:val="nil"/>
                  </w:tcBorders>
                  <w:shd w:val="clear" w:color="auto" w:fill="auto"/>
                  <w:tcMar>
                    <w:left w:w="28" w:type="dxa"/>
                    <w:right w:w="28" w:type="dxa"/>
                  </w:tcMar>
                  <w:vAlign w:val="center"/>
                </w:tcPr>
                <w:p w14:paraId="38C59B7D">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NMHC</w:t>
                  </w:r>
                </w:p>
              </w:tc>
            </w:tr>
            <w:tr w14:paraId="4E98C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86" w:type="dxa"/>
                  <w:vMerge w:val="restart"/>
                  <w:tcBorders>
                    <w:tl2br w:val="nil"/>
                    <w:tr2bl w:val="nil"/>
                  </w:tcBorders>
                  <w:tcMar>
                    <w:left w:w="28" w:type="dxa"/>
                    <w:right w:w="28" w:type="dxa"/>
                  </w:tcMar>
                  <w:vAlign w:val="center"/>
                </w:tcPr>
                <w:p w14:paraId="25E111F8">
                  <w:pPr>
                    <w:tabs>
                      <w:tab w:val="left" w:pos="945"/>
                    </w:tabs>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742" w:type="dxa"/>
                  <w:tcBorders>
                    <w:tl2br w:val="nil"/>
                    <w:tr2bl w:val="nil"/>
                  </w:tcBorders>
                  <w:tcMar>
                    <w:left w:w="28" w:type="dxa"/>
                    <w:right w:w="28" w:type="dxa"/>
                  </w:tcMar>
                  <w:vAlign w:val="center"/>
                </w:tcPr>
                <w:p w14:paraId="55A34321">
                  <w:pPr>
                    <w:tabs>
                      <w:tab w:val="left" w:pos="945"/>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W1</w:t>
                  </w:r>
                </w:p>
              </w:tc>
              <w:tc>
                <w:tcPr>
                  <w:tcW w:w="1672" w:type="dxa"/>
                  <w:tcBorders>
                    <w:tl2br w:val="nil"/>
                    <w:tr2bl w:val="nil"/>
                  </w:tcBorders>
                  <w:tcMar>
                    <w:left w:w="28" w:type="dxa"/>
                    <w:right w:w="28" w:type="dxa"/>
                  </w:tcMar>
                  <w:vAlign w:val="center"/>
                </w:tcPr>
                <w:p w14:paraId="3E485885">
                  <w:pPr>
                    <w:tabs>
                      <w:tab w:val="left" w:pos="945"/>
                    </w:tabs>
                    <w:adjustRightInd w:val="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设备、器皿</w:t>
                  </w:r>
                  <w:r>
                    <w:rPr>
                      <w:rFonts w:hint="default" w:ascii="Times New Roman" w:hAnsi="Times New Roman" w:cs="Times New Roman"/>
                      <w:color w:val="auto"/>
                      <w:kern w:val="2"/>
                      <w:sz w:val="21"/>
                      <w:szCs w:val="21"/>
                      <w:lang w:val="en-US" w:eastAsia="zh-CN" w:bidi="ar-SA"/>
                    </w:rPr>
                    <w:t>清洗废水</w:t>
                  </w:r>
                  <w:r>
                    <w:rPr>
                      <w:rFonts w:hint="eastAsia" w:cs="Times New Roman"/>
                      <w:color w:val="auto"/>
                      <w:kern w:val="2"/>
                      <w:sz w:val="21"/>
                      <w:szCs w:val="21"/>
                      <w:lang w:val="en-US" w:eastAsia="zh-CN" w:bidi="ar-SA"/>
                    </w:rPr>
                    <w:t>，实验台及</w:t>
                  </w:r>
                  <w:r>
                    <w:rPr>
                      <w:rFonts w:hint="default" w:ascii="Times New Roman" w:hAnsi="Times New Roman" w:cs="Times New Roman"/>
                      <w:color w:val="auto"/>
                      <w:kern w:val="2"/>
                      <w:sz w:val="21"/>
                      <w:szCs w:val="21"/>
                      <w:lang w:val="en-US" w:eastAsia="zh-CN" w:bidi="ar-SA"/>
                    </w:rPr>
                    <w:t>拖布清洗废</w:t>
                  </w:r>
                  <w:r>
                    <w:rPr>
                      <w:rFonts w:hint="default" w:cs="Times New Roman"/>
                      <w:color w:val="auto"/>
                      <w:kern w:val="2"/>
                      <w:sz w:val="21"/>
                      <w:szCs w:val="21"/>
                      <w:lang w:val="en-US" w:eastAsia="zh-CN" w:bidi="ar-SA"/>
                    </w:rPr>
                    <w:t>水</w:t>
                  </w:r>
                  <w:r>
                    <w:rPr>
                      <w:rFonts w:hint="eastAsia" w:cs="Times New Roman"/>
                      <w:color w:val="auto"/>
                      <w:kern w:val="2"/>
                      <w:sz w:val="21"/>
                      <w:szCs w:val="21"/>
                      <w:lang w:val="en-US" w:eastAsia="zh-CN" w:bidi="ar-SA"/>
                    </w:rPr>
                    <w:t>，药材洗润、浸泡、蒸煮用水、浓水</w:t>
                  </w:r>
                </w:p>
              </w:tc>
              <w:tc>
                <w:tcPr>
                  <w:tcW w:w="1743" w:type="dxa"/>
                  <w:tcBorders>
                    <w:tl2br w:val="nil"/>
                    <w:tr2bl w:val="nil"/>
                  </w:tcBorders>
                  <w:tcMar>
                    <w:left w:w="28" w:type="dxa"/>
                    <w:right w:w="28" w:type="dxa"/>
                  </w:tcMar>
                  <w:vAlign w:val="center"/>
                </w:tcPr>
                <w:p w14:paraId="13D997F4">
                  <w:pPr>
                    <w:tabs>
                      <w:tab w:val="left" w:pos="945"/>
                    </w:tabs>
                    <w:adjustRightIn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pH、</w:t>
                  </w:r>
                  <w:r>
                    <w:rPr>
                      <w:rFonts w:hint="default" w:ascii="Times New Roman" w:hAnsi="Times New Roman" w:cs="Times New Roman"/>
                      <w:color w:val="auto"/>
                      <w:sz w:val="21"/>
                      <w:szCs w:val="21"/>
                    </w:rPr>
                    <w:t>COD、BOD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、SS、氨氮等</w:t>
                  </w:r>
                </w:p>
              </w:tc>
              <w:tc>
                <w:tcPr>
                  <w:tcW w:w="988" w:type="dxa"/>
                  <w:tcBorders>
                    <w:tl2br w:val="nil"/>
                    <w:tr2bl w:val="nil"/>
                  </w:tcBorders>
                  <w:tcMar>
                    <w:left w:w="28" w:type="dxa"/>
                    <w:right w:w="28" w:type="dxa"/>
                  </w:tcMar>
                  <w:vAlign w:val="center"/>
                </w:tcPr>
                <w:p w14:paraId="419687BC">
                  <w:pPr>
                    <w:tabs>
                      <w:tab w:val="left" w:pos="945"/>
                    </w:tabs>
                    <w:adjustRightIn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间断</w:t>
                  </w:r>
                </w:p>
              </w:tc>
              <w:tc>
                <w:tcPr>
                  <w:tcW w:w="2278" w:type="dxa"/>
                  <w:tcBorders>
                    <w:tl2br w:val="nil"/>
                    <w:tr2bl w:val="nil"/>
                  </w:tcBorders>
                  <w:tcMar>
                    <w:left w:w="28" w:type="dxa"/>
                    <w:right w:w="28" w:type="dxa"/>
                  </w:tcMar>
                  <w:vAlign w:val="center"/>
                </w:tcPr>
                <w:p w14:paraId="57036FDE">
                  <w:pPr>
                    <w:tabs>
                      <w:tab w:val="left" w:pos="945"/>
                    </w:tabs>
                    <w:adjustRightIn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三级沉淀池（总容积50m³），采用“格栅+气浮+生物接触氧化”工艺，处理后进入市政管网。</w:t>
                  </w:r>
                </w:p>
              </w:tc>
            </w:tr>
            <w:tr w14:paraId="08E91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786" w:type="dxa"/>
                  <w:vMerge w:val="continue"/>
                  <w:tcBorders>
                    <w:tl2br w:val="nil"/>
                    <w:tr2bl w:val="nil"/>
                  </w:tcBorders>
                  <w:tcMar>
                    <w:left w:w="28" w:type="dxa"/>
                    <w:right w:w="28" w:type="dxa"/>
                  </w:tcMar>
                  <w:vAlign w:val="center"/>
                </w:tcPr>
                <w:p w14:paraId="32B11A89">
                  <w:pPr>
                    <w:tabs>
                      <w:tab w:val="left" w:pos="945"/>
                    </w:tabs>
                    <w:spacing w:line="320" w:lineRule="exact"/>
                    <w:jc w:val="center"/>
                    <w:rPr>
                      <w:rFonts w:hint="default" w:ascii="Times New Roman" w:hAnsi="Times New Roman" w:cs="Times New Roman"/>
                      <w:color w:val="auto"/>
                      <w:sz w:val="21"/>
                      <w:szCs w:val="21"/>
                    </w:rPr>
                  </w:pPr>
                </w:p>
              </w:tc>
              <w:tc>
                <w:tcPr>
                  <w:tcW w:w="742" w:type="dxa"/>
                  <w:tcBorders>
                    <w:tl2br w:val="nil"/>
                    <w:tr2bl w:val="nil"/>
                  </w:tcBorders>
                  <w:tcMar>
                    <w:left w:w="28" w:type="dxa"/>
                    <w:right w:w="28" w:type="dxa"/>
                  </w:tcMar>
                  <w:vAlign w:val="center"/>
                </w:tcPr>
                <w:p w14:paraId="188CC84C">
                  <w:pPr>
                    <w:tabs>
                      <w:tab w:val="left" w:pos="945"/>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w:t>
                  </w:r>
                  <w:r>
                    <w:rPr>
                      <w:rFonts w:hint="default" w:ascii="Times New Roman" w:hAnsi="Times New Roman" w:cs="Times New Roman"/>
                      <w:color w:val="auto"/>
                      <w:sz w:val="21"/>
                      <w:szCs w:val="21"/>
                      <w:lang w:val="en-US" w:eastAsia="zh-CN"/>
                    </w:rPr>
                    <w:t>2</w:t>
                  </w:r>
                </w:p>
              </w:tc>
              <w:tc>
                <w:tcPr>
                  <w:tcW w:w="1672" w:type="dxa"/>
                  <w:tcBorders>
                    <w:tl2br w:val="nil"/>
                    <w:tr2bl w:val="nil"/>
                  </w:tcBorders>
                  <w:tcMar>
                    <w:left w:w="28" w:type="dxa"/>
                    <w:right w:w="28" w:type="dxa"/>
                  </w:tcMar>
                  <w:vAlign w:val="center"/>
                </w:tcPr>
                <w:p w14:paraId="3A44608B">
                  <w:pPr>
                    <w:tabs>
                      <w:tab w:val="left" w:pos="945"/>
                    </w:tabs>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员工生活污水</w:t>
                  </w:r>
                </w:p>
              </w:tc>
              <w:tc>
                <w:tcPr>
                  <w:tcW w:w="1743" w:type="dxa"/>
                  <w:tcBorders>
                    <w:tl2br w:val="nil"/>
                    <w:tr2bl w:val="nil"/>
                  </w:tcBorders>
                  <w:tcMar>
                    <w:left w:w="28" w:type="dxa"/>
                    <w:right w:w="28" w:type="dxa"/>
                  </w:tcMar>
                  <w:vAlign w:val="center"/>
                </w:tcPr>
                <w:p w14:paraId="14E1C213">
                  <w:pPr>
                    <w:tabs>
                      <w:tab w:val="left" w:pos="945"/>
                    </w:tabs>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COD、BOD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、SS、氨氮等</w:t>
                  </w:r>
                </w:p>
              </w:tc>
              <w:tc>
                <w:tcPr>
                  <w:tcW w:w="988" w:type="dxa"/>
                  <w:tcBorders>
                    <w:tl2br w:val="nil"/>
                    <w:tr2bl w:val="nil"/>
                  </w:tcBorders>
                  <w:tcMar>
                    <w:left w:w="28" w:type="dxa"/>
                    <w:right w:w="28" w:type="dxa"/>
                  </w:tcMar>
                  <w:vAlign w:val="center"/>
                </w:tcPr>
                <w:p w14:paraId="15212395">
                  <w:pPr>
                    <w:tabs>
                      <w:tab w:val="left" w:pos="945"/>
                    </w:tabs>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间断</w:t>
                  </w:r>
                </w:p>
              </w:tc>
              <w:tc>
                <w:tcPr>
                  <w:tcW w:w="2278" w:type="dxa"/>
                  <w:tcBorders>
                    <w:tl2br w:val="nil"/>
                    <w:tr2bl w:val="nil"/>
                  </w:tcBorders>
                  <w:tcMar>
                    <w:left w:w="28" w:type="dxa"/>
                    <w:right w:w="28" w:type="dxa"/>
                  </w:tcMar>
                  <w:vAlign w:val="center"/>
                </w:tcPr>
                <w:p w14:paraId="2CE75E2F">
                  <w:pPr>
                    <w:tabs>
                      <w:tab w:val="left" w:pos="945"/>
                    </w:tabs>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排入化粪池进入市政污水管网</w:t>
                  </w:r>
                </w:p>
              </w:tc>
            </w:tr>
            <w:tr w14:paraId="527A9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86" w:type="dxa"/>
                  <w:vMerge w:val="continue"/>
                  <w:tcBorders>
                    <w:tl2br w:val="nil"/>
                    <w:tr2bl w:val="nil"/>
                  </w:tcBorders>
                  <w:tcMar>
                    <w:left w:w="28" w:type="dxa"/>
                    <w:right w:w="28" w:type="dxa"/>
                  </w:tcMar>
                  <w:vAlign w:val="center"/>
                </w:tcPr>
                <w:p w14:paraId="622F18BC">
                  <w:pPr>
                    <w:tabs>
                      <w:tab w:val="left" w:pos="945"/>
                    </w:tabs>
                    <w:spacing w:line="320" w:lineRule="exact"/>
                    <w:jc w:val="center"/>
                    <w:rPr>
                      <w:rFonts w:hint="default" w:ascii="Times New Roman" w:hAnsi="Times New Roman" w:cs="Times New Roman"/>
                      <w:color w:val="auto"/>
                      <w:sz w:val="21"/>
                      <w:szCs w:val="21"/>
                    </w:rPr>
                  </w:pPr>
                </w:p>
              </w:tc>
              <w:tc>
                <w:tcPr>
                  <w:tcW w:w="742" w:type="dxa"/>
                  <w:tcBorders>
                    <w:tl2br w:val="nil"/>
                    <w:tr2bl w:val="nil"/>
                  </w:tcBorders>
                  <w:tcMar>
                    <w:left w:w="28" w:type="dxa"/>
                    <w:right w:w="28" w:type="dxa"/>
                  </w:tcMar>
                  <w:vAlign w:val="center"/>
                </w:tcPr>
                <w:p w14:paraId="30B61C0B">
                  <w:pPr>
                    <w:tabs>
                      <w:tab w:val="left" w:pos="945"/>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w:t>
                  </w:r>
                  <w:r>
                    <w:rPr>
                      <w:rFonts w:hint="eastAsia" w:cs="Times New Roman"/>
                      <w:color w:val="auto"/>
                      <w:sz w:val="21"/>
                      <w:szCs w:val="21"/>
                      <w:lang w:val="en-US" w:eastAsia="zh-CN"/>
                    </w:rPr>
                    <w:t>3</w:t>
                  </w:r>
                </w:p>
              </w:tc>
              <w:tc>
                <w:tcPr>
                  <w:tcW w:w="1672" w:type="dxa"/>
                  <w:tcBorders>
                    <w:tl2br w:val="nil"/>
                    <w:tr2bl w:val="nil"/>
                  </w:tcBorders>
                  <w:tcMar>
                    <w:left w:w="28" w:type="dxa"/>
                    <w:right w:w="28" w:type="dxa"/>
                  </w:tcMar>
                  <w:vAlign w:val="center"/>
                </w:tcPr>
                <w:p w14:paraId="6DF2C780">
                  <w:pPr>
                    <w:tabs>
                      <w:tab w:val="left" w:pos="945"/>
                    </w:tabs>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清洗废水</w:t>
                  </w:r>
                </w:p>
              </w:tc>
              <w:tc>
                <w:tcPr>
                  <w:tcW w:w="1743" w:type="dxa"/>
                  <w:tcBorders>
                    <w:tl2br w:val="nil"/>
                    <w:tr2bl w:val="nil"/>
                  </w:tcBorders>
                  <w:tcMar>
                    <w:left w:w="28" w:type="dxa"/>
                    <w:right w:w="28" w:type="dxa"/>
                  </w:tcMar>
                  <w:vAlign w:val="center"/>
                </w:tcPr>
                <w:p w14:paraId="2DD00DE8">
                  <w:pPr>
                    <w:tabs>
                      <w:tab w:val="left" w:pos="945"/>
                    </w:tabs>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酸、碱、有机物</w:t>
                  </w:r>
                  <w:r>
                    <w:rPr>
                      <w:rFonts w:hint="eastAsia" w:cs="Times New Roman"/>
                      <w:color w:val="auto"/>
                      <w:kern w:val="2"/>
                      <w:sz w:val="21"/>
                      <w:szCs w:val="21"/>
                      <w:lang w:val="en-US" w:eastAsia="zh-CN" w:bidi="ar-SA"/>
                    </w:rPr>
                    <w:t>等</w:t>
                  </w:r>
                </w:p>
              </w:tc>
              <w:tc>
                <w:tcPr>
                  <w:tcW w:w="988" w:type="dxa"/>
                  <w:tcBorders>
                    <w:tl2br w:val="nil"/>
                    <w:tr2bl w:val="nil"/>
                  </w:tcBorders>
                  <w:tcMar>
                    <w:left w:w="28" w:type="dxa"/>
                    <w:right w:w="28" w:type="dxa"/>
                  </w:tcMar>
                  <w:vAlign w:val="center"/>
                </w:tcPr>
                <w:p w14:paraId="31349A2F">
                  <w:pPr>
                    <w:tabs>
                      <w:tab w:val="left" w:pos="945"/>
                    </w:tabs>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间断</w:t>
                  </w:r>
                </w:p>
              </w:tc>
              <w:tc>
                <w:tcPr>
                  <w:tcW w:w="2278" w:type="dxa"/>
                  <w:tcBorders>
                    <w:tl2br w:val="nil"/>
                    <w:tr2bl w:val="nil"/>
                  </w:tcBorders>
                  <w:tcMar>
                    <w:left w:w="28" w:type="dxa"/>
                    <w:right w:w="28" w:type="dxa"/>
                  </w:tcMar>
                  <w:vAlign w:val="center"/>
                </w:tcPr>
                <w:p w14:paraId="7D35C33F">
                  <w:pPr>
                    <w:tabs>
                      <w:tab w:val="left" w:pos="945"/>
                    </w:tabs>
                    <w:adjustRightIn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三级沉淀池（总容积50m³），采用“格栅+气浮+生物接触氧化”工艺，处理后进入市政管网。</w:t>
                  </w:r>
                </w:p>
              </w:tc>
            </w:tr>
            <w:tr w14:paraId="30CE8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tcBorders>
                    <w:tl2br w:val="nil"/>
                    <w:tr2bl w:val="nil"/>
                  </w:tcBorders>
                  <w:tcMar>
                    <w:left w:w="28" w:type="dxa"/>
                    <w:right w:w="28" w:type="dxa"/>
                  </w:tcMar>
                  <w:vAlign w:val="center"/>
                </w:tcPr>
                <w:p w14:paraId="126EA0AE">
                  <w:pPr>
                    <w:tabs>
                      <w:tab w:val="left" w:pos="945"/>
                    </w:tabs>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742" w:type="dxa"/>
                  <w:tcBorders>
                    <w:tl2br w:val="nil"/>
                    <w:tr2bl w:val="nil"/>
                  </w:tcBorders>
                  <w:tcMar>
                    <w:left w:w="28" w:type="dxa"/>
                    <w:right w:w="28" w:type="dxa"/>
                  </w:tcMar>
                  <w:vAlign w:val="center"/>
                </w:tcPr>
                <w:p w14:paraId="37BC77F5">
                  <w:pPr>
                    <w:tabs>
                      <w:tab w:val="left" w:pos="945"/>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672" w:type="dxa"/>
                  <w:tcBorders>
                    <w:tl2br w:val="nil"/>
                    <w:tr2bl w:val="nil"/>
                  </w:tcBorders>
                  <w:tcMar>
                    <w:left w:w="28" w:type="dxa"/>
                    <w:right w:w="28" w:type="dxa"/>
                  </w:tcMar>
                  <w:vAlign w:val="center"/>
                </w:tcPr>
                <w:p w14:paraId="3BDD6C32">
                  <w:pPr>
                    <w:tabs>
                      <w:tab w:val="left" w:pos="945"/>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设备运行</w:t>
                  </w:r>
                </w:p>
              </w:tc>
              <w:tc>
                <w:tcPr>
                  <w:tcW w:w="1743" w:type="dxa"/>
                  <w:tcBorders>
                    <w:tl2br w:val="nil"/>
                    <w:tr2bl w:val="nil"/>
                  </w:tcBorders>
                  <w:tcMar>
                    <w:left w:w="28" w:type="dxa"/>
                    <w:right w:w="28" w:type="dxa"/>
                  </w:tcMar>
                  <w:vAlign w:val="center"/>
                </w:tcPr>
                <w:p w14:paraId="74B60AA5">
                  <w:pPr>
                    <w:tabs>
                      <w:tab w:val="left" w:pos="945"/>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r>
                    <w:rPr>
                      <w:rFonts w:hint="default" w:ascii="Times New Roman" w:hAnsi="Times New Roman" w:cs="Times New Roman"/>
                      <w:color w:val="auto"/>
                      <w:sz w:val="21"/>
                      <w:szCs w:val="21"/>
                      <w:lang w:val="en-US" w:eastAsia="zh-CN"/>
                    </w:rPr>
                    <w:t>90</w:t>
                  </w:r>
                  <w:r>
                    <w:rPr>
                      <w:rFonts w:hint="default" w:ascii="Times New Roman" w:hAnsi="Times New Roman" w:cs="Times New Roman"/>
                      <w:color w:val="auto"/>
                      <w:sz w:val="21"/>
                      <w:szCs w:val="21"/>
                    </w:rPr>
                    <w:t>dB(A)</w:t>
                  </w:r>
                </w:p>
              </w:tc>
              <w:tc>
                <w:tcPr>
                  <w:tcW w:w="988" w:type="dxa"/>
                  <w:tcBorders>
                    <w:tl2br w:val="nil"/>
                    <w:tr2bl w:val="nil"/>
                  </w:tcBorders>
                  <w:tcMar>
                    <w:left w:w="28" w:type="dxa"/>
                    <w:right w:w="28" w:type="dxa"/>
                  </w:tcMar>
                  <w:vAlign w:val="center"/>
                </w:tcPr>
                <w:p w14:paraId="1EA230E7">
                  <w:pPr>
                    <w:tabs>
                      <w:tab w:val="left" w:pos="945"/>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连续</w:t>
                  </w:r>
                </w:p>
              </w:tc>
              <w:tc>
                <w:tcPr>
                  <w:tcW w:w="2278" w:type="dxa"/>
                  <w:tcBorders>
                    <w:tl2br w:val="nil"/>
                    <w:tr2bl w:val="nil"/>
                  </w:tcBorders>
                  <w:tcMar>
                    <w:left w:w="28" w:type="dxa"/>
                    <w:right w:w="28" w:type="dxa"/>
                  </w:tcMar>
                  <w:vAlign w:val="center"/>
                </w:tcPr>
                <w:p w14:paraId="34F1E1F6">
                  <w:pPr>
                    <w:tabs>
                      <w:tab w:val="left" w:pos="945"/>
                    </w:tabs>
                    <w:adjustRightIn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排向外环境</w:t>
                  </w:r>
                </w:p>
              </w:tc>
            </w:tr>
            <w:tr w14:paraId="1A052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vMerge w:val="restart"/>
                  <w:tcBorders>
                    <w:tl2br w:val="nil"/>
                    <w:tr2bl w:val="nil"/>
                  </w:tcBorders>
                  <w:tcMar>
                    <w:left w:w="28" w:type="dxa"/>
                    <w:right w:w="28" w:type="dxa"/>
                  </w:tcMar>
                  <w:vAlign w:val="center"/>
                </w:tcPr>
                <w:p w14:paraId="5961112C">
                  <w:pPr>
                    <w:tabs>
                      <w:tab w:val="left" w:pos="945"/>
                    </w:tabs>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p w14:paraId="1F5E1B6C">
                  <w:pPr>
                    <w:tabs>
                      <w:tab w:val="left" w:pos="945"/>
                    </w:tabs>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w:t>
                  </w:r>
                </w:p>
              </w:tc>
              <w:tc>
                <w:tcPr>
                  <w:tcW w:w="742" w:type="dxa"/>
                  <w:tcBorders>
                    <w:tl2br w:val="nil"/>
                    <w:tr2bl w:val="nil"/>
                  </w:tcBorders>
                  <w:tcMar>
                    <w:left w:w="28" w:type="dxa"/>
                    <w:right w:w="28" w:type="dxa"/>
                  </w:tcMar>
                  <w:vAlign w:val="center"/>
                </w:tcPr>
                <w:p w14:paraId="7115B18B">
                  <w:pPr>
                    <w:tabs>
                      <w:tab w:val="left" w:pos="945"/>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S1</w:t>
                  </w:r>
                </w:p>
              </w:tc>
              <w:tc>
                <w:tcPr>
                  <w:tcW w:w="1672" w:type="dxa"/>
                  <w:tcBorders>
                    <w:tl2br w:val="nil"/>
                    <w:tr2bl w:val="nil"/>
                  </w:tcBorders>
                  <w:tcMar>
                    <w:left w:w="28" w:type="dxa"/>
                    <w:right w:w="28" w:type="dxa"/>
                  </w:tcMar>
                  <w:vAlign w:val="center"/>
                </w:tcPr>
                <w:p w14:paraId="2475CE0B">
                  <w:pPr>
                    <w:tabs>
                      <w:tab w:val="left" w:pos="945"/>
                    </w:tabs>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蒸煮、过滤</w:t>
                  </w:r>
                </w:p>
              </w:tc>
              <w:tc>
                <w:tcPr>
                  <w:tcW w:w="1743" w:type="dxa"/>
                  <w:tcBorders>
                    <w:tl2br w:val="nil"/>
                    <w:tr2bl w:val="nil"/>
                  </w:tcBorders>
                  <w:tcMar>
                    <w:left w:w="28" w:type="dxa"/>
                    <w:right w:w="28" w:type="dxa"/>
                  </w:tcMar>
                  <w:vAlign w:val="center"/>
                </w:tcPr>
                <w:p w14:paraId="182DD495">
                  <w:pPr>
                    <w:tabs>
                      <w:tab w:val="left" w:pos="945"/>
                    </w:tabs>
                    <w:jc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药渣</w:t>
                  </w:r>
                </w:p>
              </w:tc>
              <w:tc>
                <w:tcPr>
                  <w:tcW w:w="988" w:type="dxa"/>
                  <w:tcBorders>
                    <w:tl2br w:val="nil"/>
                    <w:tr2bl w:val="nil"/>
                  </w:tcBorders>
                  <w:tcMar>
                    <w:left w:w="28" w:type="dxa"/>
                    <w:right w:w="28" w:type="dxa"/>
                  </w:tcMar>
                  <w:vAlign w:val="center"/>
                </w:tcPr>
                <w:p w14:paraId="2B97F4B6">
                  <w:pPr>
                    <w:tabs>
                      <w:tab w:val="left" w:pos="945"/>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2278" w:type="dxa"/>
                  <w:tcBorders>
                    <w:tl2br w:val="nil"/>
                    <w:tr2bl w:val="nil"/>
                  </w:tcBorders>
                  <w:tcMar>
                    <w:left w:w="28" w:type="dxa"/>
                    <w:right w:w="28" w:type="dxa"/>
                  </w:tcMar>
                  <w:vAlign w:val="center"/>
                </w:tcPr>
                <w:p w14:paraId="5AFA9D47">
                  <w:pPr>
                    <w:tabs>
                      <w:tab w:val="left" w:pos="945"/>
                    </w:tabs>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交由环卫部门统一清运</w:t>
                  </w:r>
                </w:p>
              </w:tc>
            </w:tr>
            <w:tr w14:paraId="2694B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vMerge w:val="continue"/>
                  <w:tcBorders>
                    <w:tl2br w:val="nil"/>
                    <w:tr2bl w:val="nil"/>
                  </w:tcBorders>
                  <w:tcMar>
                    <w:left w:w="28" w:type="dxa"/>
                    <w:right w:w="28" w:type="dxa"/>
                  </w:tcMar>
                  <w:vAlign w:val="center"/>
                </w:tcPr>
                <w:p w14:paraId="20442917">
                  <w:pPr>
                    <w:widowControl/>
                    <w:spacing w:line="320" w:lineRule="exact"/>
                    <w:ind w:firstLine="420" w:firstLineChars="200"/>
                    <w:jc w:val="center"/>
                    <w:rPr>
                      <w:rFonts w:hint="default" w:ascii="Times New Roman" w:hAnsi="Times New Roman" w:cs="Times New Roman"/>
                      <w:color w:val="auto"/>
                      <w:sz w:val="21"/>
                      <w:szCs w:val="21"/>
                    </w:rPr>
                  </w:pPr>
                </w:p>
              </w:tc>
              <w:tc>
                <w:tcPr>
                  <w:tcW w:w="742" w:type="dxa"/>
                  <w:tcBorders>
                    <w:tl2br w:val="nil"/>
                    <w:tr2bl w:val="nil"/>
                  </w:tcBorders>
                  <w:tcMar>
                    <w:left w:w="28" w:type="dxa"/>
                    <w:right w:w="28" w:type="dxa"/>
                  </w:tcMar>
                  <w:vAlign w:val="center"/>
                </w:tcPr>
                <w:p w14:paraId="4A624A4C">
                  <w:pPr>
                    <w:tabs>
                      <w:tab w:val="left" w:pos="945"/>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S2</w:t>
                  </w:r>
                </w:p>
              </w:tc>
              <w:tc>
                <w:tcPr>
                  <w:tcW w:w="1672" w:type="dxa"/>
                  <w:vMerge w:val="restart"/>
                  <w:tcBorders>
                    <w:tl2br w:val="nil"/>
                    <w:tr2bl w:val="nil"/>
                  </w:tcBorders>
                  <w:tcMar>
                    <w:left w:w="28" w:type="dxa"/>
                    <w:right w:w="28" w:type="dxa"/>
                  </w:tcMar>
                  <w:vAlign w:val="center"/>
                </w:tcPr>
                <w:p w14:paraId="2BFAF443">
                  <w:pPr>
                    <w:tabs>
                      <w:tab w:val="left" w:pos="945"/>
                    </w:tabs>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bidi="ar-SA"/>
                    </w:rPr>
                    <w:t>化学</w:t>
                  </w:r>
                  <w:r>
                    <w:rPr>
                      <w:rFonts w:hint="default" w:ascii="Times New Roman" w:hAnsi="Times New Roman" w:cs="Times New Roman"/>
                      <w:color w:val="auto"/>
                      <w:kern w:val="2"/>
                      <w:sz w:val="21"/>
                      <w:szCs w:val="21"/>
                      <w:lang w:val="en-US" w:eastAsia="zh-CN" w:bidi="ar-SA"/>
                    </w:rPr>
                    <w:t>室</w:t>
                  </w:r>
                </w:p>
              </w:tc>
              <w:tc>
                <w:tcPr>
                  <w:tcW w:w="1743" w:type="dxa"/>
                  <w:tcBorders>
                    <w:tl2br w:val="nil"/>
                    <w:tr2bl w:val="nil"/>
                  </w:tcBorders>
                  <w:tcMar>
                    <w:left w:w="28" w:type="dxa"/>
                    <w:right w:w="28" w:type="dxa"/>
                  </w:tcMar>
                  <w:vAlign w:val="center"/>
                </w:tcPr>
                <w:p w14:paraId="31C2598D">
                  <w:pPr>
                    <w:tabs>
                      <w:tab w:val="left" w:pos="945"/>
                    </w:tabs>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废试剂瓶</w:t>
                  </w:r>
                </w:p>
              </w:tc>
              <w:tc>
                <w:tcPr>
                  <w:tcW w:w="988" w:type="dxa"/>
                  <w:tcBorders>
                    <w:tl2br w:val="nil"/>
                    <w:tr2bl w:val="nil"/>
                  </w:tcBorders>
                  <w:tcMar>
                    <w:left w:w="28" w:type="dxa"/>
                    <w:right w:w="28" w:type="dxa"/>
                  </w:tcMar>
                  <w:vAlign w:val="center"/>
                </w:tcPr>
                <w:p w14:paraId="2D1C155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2278" w:type="dxa"/>
                  <w:vMerge w:val="restart"/>
                  <w:tcBorders>
                    <w:tl2br w:val="nil"/>
                    <w:tr2bl w:val="nil"/>
                  </w:tcBorders>
                  <w:tcMar>
                    <w:left w:w="28" w:type="dxa"/>
                    <w:right w:w="28" w:type="dxa"/>
                  </w:tcMar>
                  <w:vAlign w:val="center"/>
                </w:tcPr>
                <w:p w14:paraId="053E16F8">
                  <w:pPr>
                    <w:tabs>
                      <w:tab w:val="left" w:pos="945"/>
                    </w:tabs>
                    <w:adjustRightIn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收集桶分类收集，暂存于危险废物暂存点，</w:t>
                  </w:r>
                  <w:r>
                    <w:rPr>
                      <w:rFonts w:hint="eastAsia" w:cs="Times New Roman"/>
                      <w:color w:val="auto"/>
                      <w:sz w:val="21"/>
                      <w:szCs w:val="21"/>
                      <w:lang w:val="en-US" w:eastAsia="zh-CN"/>
                    </w:rPr>
                    <w:t>定期交由</w:t>
                  </w:r>
                  <w:r>
                    <w:rPr>
                      <w:rFonts w:hint="default" w:ascii="Times New Roman" w:hAnsi="Times New Roman" w:cs="Times New Roman"/>
                      <w:color w:val="auto"/>
                      <w:sz w:val="21"/>
                      <w:szCs w:val="21"/>
                    </w:rPr>
                    <w:t>资质单位处置</w:t>
                  </w:r>
                </w:p>
              </w:tc>
            </w:tr>
            <w:tr w14:paraId="0FE8C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vMerge w:val="continue"/>
                  <w:tcBorders>
                    <w:tl2br w:val="nil"/>
                    <w:tr2bl w:val="nil"/>
                  </w:tcBorders>
                  <w:tcMar>
                    <w:left w:w="28" w:type="dxa"/>
                    <w:right w:w="28" w:type="dxa"/>
                  </w:tcMar>
                  <w:vAlign w:val="center"/>
                </w:tcPr>
                <w:p w14:paraId="76DDF14C">
                  <w:pPr>
                    <w:widowControl/>
                    <w:spacing w:line="320" w:lineRule="exact"/>
                    <w:ind w:firstLine="420" w:firstLineChars="200"/>
                    <w:jc w:val="center"/>
                    <w:rPr>
                      <w:rFonts w:hint="default" w:ascii="Times New Roman" w:hAnsi="Times New Roman" w:cs="Times New Roman"/>
                      <w:color w:val="auto"/>
                      <w:sz w:val="21"/>
                      <w:szCs w:val="21"/>
                    </w:rPr>
                  </w:pPr>
                </w:p>
              </w:tc>
              <w:tc>
                <w:tcPr>
                  <w:tcW w:w="742" w:type="dxa"/>
                  <w:tcBorders>
                    <w:tl2br w:val="nil"/>
                    <w:tr2bl w:val="nil"/>
                  </w:tcBorders>
                  <w:tcMar>
                    <w:left w:w="28" w:type="dxa"/>
                    <w:right w:w="28" w:type="dxa"/>
                  </w:tcMar>
                  <w:vAlign w:val="center"/>
                </w:tcPr>
                <w:p w14:paraId="5543E32F">
                  <w:pPr>
                    <w:tabs>
                      <w:tab w:val="left" w:pos="945"/>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S3</w:t>
                  </w:r>
                </w:p>
              </w:tc>
              <w:tc>
                <w:tcPr>
                  <w:tcW w:w="1672" w:type="dxa"/>
                  <w:vMerge w:val="continue"/>
                  <w:tcBorders>
                    <w:tl2br w:val="nil"/>
                    <w:tr2bl w:val="nil"/>
                  </w:tcBorders>
                  <w:tcMar>
                    <w:left w:w="28" w:type="dxa"/>
                    <w:right w:w="28" w:type="dxa"/>
                  </w:tcMar>
                  <w:vAlign w:val="center"/>
                </w:tcPr>
                <w:p w14:paraId="6B9ED85F">
                  <w:pPr>
                    <w:tabs>
                      <w:tab w:val="left" w:pos="945"/>
                    </w:tabs>
                    <w:snapToGrid w:val="0"/>
                    <w:jc w:val="center"/>
                    <w:rPr>
                      <w:rFonts w:hint="default" w:ascii="Times New Roman" w:hAnsi="Times New Roman" w:cs="Times New Roman"/>
                      <w:color w:val="auto"/>
                      <w:sz w:val="21"/>
                      <w:szCs w:val="21"/>
                    </w:rPr>
                  </w:pPr>
                </w:p>
              </w:tc>
              <w:tc>
                <w:tcPr>
                  <w:tcW w:w="1743" w:type="dxa"/>
                  <w:tcBorders>
                    <w:tl2br w:val="nil"/>
                    <w:tr2bl w:val="nil"/>
                  </w:tcBorders>
                  <w:tcMar>
                    <w:left w:w="28" w:type="dxa"/>
                    <w:right w:w="28" w:type="dxa"/>
                  </w:tcMar>
                  <w:vAlign w:val="center"/>
                </w:tcPr>
                <w:p w14:paraId="1DA9E015">
                  <w:pPr>
                    <w:tabs>
                      <w:tab w:val="left" w:pos="945"/>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化学</w:t>
                  </w:r>
                  <w:r>
                    <w:rPr>
                      <w:rFonts w:hint="default" w:ascii="Times New Roman" w:hAnsi="Times New Roman" w:eastAsia="宋体" w:cs="Times New Roman"/>
                      <w:color w:val="auto"/>
                      <w:kern w:val="0"/>
                      <w:sz w:val="21"/>
                      <w:szCs w:val="21"/>
                      <w:lang w:val="en-US" w:eastAsia="zh-CN" w:bidi="ar"/>
                    </w:rPr>
                    <w:t>实验废液</w:t>
                  </w:r>
                </w:p>
              </w:tc>
              <w:tc>
                <w:tcPr>
                  <w:tcW w:w="988" w:type="dxa"/>
                  <w:tcBorders>
                    <w:tl2br w:val="nil"/>
                    <w:tr2bl w:val="nil"/>
                  </w:tcBorders>
                  <w:tcMar>
                    <w:left w:w="28" w:type="dxa"/>
                    <w:right w:w="28" w:type="dxa"/>
                  </w:tcMar>
                  <w:vAlign w:val="center"/>
                </w:tcPr>
                <w:p w14:paraId="0707D22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2278" w:type="dxa"/>
                  <w:vMerge w:val="continue"/>
                  <w:tcBorders>
                    <w:tl2br w:val="nil"/>
                    <w:tr2bl w:val="nil"/>
                  </w:tcBorders>
                  <w:tcMar>
                    <w:left w:w="28" w:type="dxa"/>
                    <w:right w:w="28" w:type="dxa"/>
                  </w:tcMar>
                  <w:vAlign w:val="center"/>
                </w:tcPr>
                <w:p w14:paraId="6EC68F3B">
                  <w:pPr>
                    <w:tabs>
                      <w:tab w:val="left" w:pos="945"/>
                    </w:tabs>
                    <w:adjustRightInd w:val="0"/>
                    <w:jc w:val="center"/>
                    <w:rPr>
                      <w:rFonts w:hint="default" w:ascii="Times New Roman" w:hAnsi="Times New Roman" w:cs="Times New Roman"/>
                      <w:color w:val="auto"/>
                      <w:sz w:val="21"/>
                      <w:szCs w:val="21"/>
                      <w:lang w:val="en-US" w:eastAsia="zh-CN"/>
                    </w:rPr>
                  </w:pPr>
                </w:p>
              </w:tc>
            </w:tr>
            <w:tr w14:paraId="2638E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vMerge w:val="continue"/>
                  <w:tcBorders>
                    <w:tl2br w:val="nil"/>
                    <w:tr2bl w:val="nil"/>
                  </w:tcBorders>
                  <w:tcMar>
                    <w:left w:w="28" w:type="dxa"/>
                    <w:right w:w="28" w:type="dxa"/>
                  </w:tcMar>
                  <w:vAlign w:val="center"/>
                </w:tcPr>
                <w:p w14:paraId="6CB3FFC1">
                  <w:pPr>
                    <w:widowControl/>
                    <w:spacing w:line="320" w:lineRule="exact"/>
                    <w:ind w:firstLine="420" w:firstLineChars="200"/>
                    <w:jc w:val="center"/>
                    <w:rPr>
                      <w:rFonts w:hint="default" w:ascii="Times New Roman" w:hAnsi="Times New Roman" w:cs="Times New Roman"/>
                      <w:color w:val="auto"/>
                      <w:sz w:val="21"/>
                      <w:szCs w:val="21"/>
                    </w:rPr>
                  </w:pPr>
                </w:p>
              </w:tc>
              <w:tc>
                <w:tcPr>
                  <w:tcW w:w="742" w:type="dxa"/>
                  <w:tcBorders>
                    <w:tl2br w:val="nil"/>
                    <w:tr2bl w:val="nil"/>
                  </w:tcBorders>
                  <w:tcMar>
                    <w:left w:w="28" w:type="dxa"/>
                    <w:right w:w="28" w:type="dxa"/>
                  </w:tcMar>
                  <w:vAlign w:val="center"/>
                </w:tcPr>
                <w:p w14:paraId="1FE2B87F">
                  <w:pPr>
                    <w:tabs>
                      <w:tab w:val="left" w:pos="945"/>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S4</w:t>
                  </w:r>
                </w:p>
              </w:tc>
              <w:tc>
                <w:tcPr>
                  <w:tcW w:w="1672" w:type="dxa"/>
                  <w:vMerge w:val="continue"/>
                  <w:tcBorders>
                    <w:tl2br w:val="nil"/>
                    <w:tr2bl w:val="nil"/>
                  </w:tcBorders>
                  <w:tcMar>
                    <w:left w:w="28" w:type="dxa"/>
                    <w:right w:w="28" w:type="dxa"/>
                  </w:tcMar>
                  <w:vAlign w:val="center"/>
                </w:tcPr>
                <w:p w14:paraId="0FE26072">
                  <w:pPr>
                    <w:tabs>
                      <w:tab w:val="left" w:pos="945"/>
                    </w:tabs>
                    <w:jc w:val="center"/>
                    <w:rPr>
                      <w:rFonts w:hint="default" w:ascii="Times New Roman" w:hAnsi="Times New Roman" w:eastAsia="宋体" w:cs="Times New Roman"/>
                      <w:color w:val="auto"/>
                      <w:kern w:val="2"/>
                      <w:sz w:val="21"/>
                      <w:szCs w:val="21"/>
                      <w:lang w:val="en-US" w:eastAsia="zh-CN" w:bidi="ar-SA"/>
                    </w:rPr>
                  </w:pPr>
                </w:p>
              </w:tc>
              <w:tc>
                <w:tcPr>
                  <w:tcW w:w="1743" w:type="dxa"/>
                  <w:tcBorders>
                    <w:tl2br w:val="nil"/>
                    <w:tr2bl w:val="nil"/>
                  </w:tcBorders>
                  <w:tcMar>
                    <w:left w:w="28" w:type="dxa"/>
                    <w:right w:w="28" w:type="dxa"/>
                  </w:tcMar>
                  <w:vAlign w:val="center"/>
                </w:tcPr>
                <w:p w14:paraId="7102BA11">
                  <w:pPr>
                    <w:tabs>
                      <w:tab w:val="left" w:pos="945"/>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废试剂</w:t>
                  </w:r>
                </w:p>
              </w:tc>
              <w:tc>
                <w:tcPr>
                  <w:tcW w:w="988" w:type="dxa"/>
                  <w:tcBorders>
                    <w:tl2br w:val="nil"/>
                    <w:tr2bl w:val="nil"/>
                  </w:tcBorders>
                  <w:tcMar>
                    <w:left w:w="28" w:type="dxa"/>
                    <w:right w:w="28" w:type="dxa"/>
                  </w:tcMar>
                  <w:vAlign w:val="center"/>
                </w:tcPr>
                <w:p w14:paraId="329BBF9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2278" w:type="dxa"/>
                  <w:vMerge w:val="continue"/>
                  <w:tcBorders>
                    <w:tl2br w:val="nil"/>
                    <w:tr2bl w:val="nil"/>
                  </w:tcBorders>
                  <w:tcMar>
                    <w:left w:w="28" w:type="dxa"/>
                    <w:right w:w="28" w:type="dxa"/>
                  </w:tcMar>
                  <w:vAlign w:val="center"/>
                </w:tcPr>
                <w:p w14:paraId="4549DD0D">
                  <w:pPr>
                    <w:tabs>
                      <w:tab w:val="left" w:pos="945"/>
                    </w:tabs>
                    <w:adjustRightInd w:val="0"/>
                    <w:jc w:val="center"/>
                    <w:rPr>
                      <w:rFonts w:hint="default" w:ascii="Times New Roman" w:hAnsi="Times New Roman" w:cs="Times New Roman"/>
                      <w:color w:val="auto"/>
                      <w:sz w:val="21"/>
                      <w:szCs w:val="21"/>
                    </w:rPr>
                  </w:pPr>
                </w:p>
              </w:tc>
            </w:tr>
            <w:tr w14:paraId="39524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vMerge w:val="continue"/>
                  <w:tcBorders>
                    <w:tl2br w:val="nil"/>
                    <w:tr2bl w:val="nil"/>
                  </w:tcBorders>
                  <w:tcMar>
                    <w:left w:w="28" w:type="dxa"/>
                    <w:right w:w="28" w:type="dxa"/>
                  </w:tcMar>
                  <w:vAlign w:val="center"/>
                </w:tcPr>
                <w:p w14:paraId="321BB6A2">
                  <w:pPr>
                    <w:widowControl/>
                    <w:spacing w:line="320" w:lineRule="exact"/>
                    <w:ind w:firstLine="420" w:firstLineChars="200"/>
                    <w:jc w:val="center"/>
                    <w:rPr>
                      <w:rFonts w:hint="default" w:ascii="Times New Roman" w:hAnsi="Times New Roman" w:cs="Times New Roman"/>
                      <w:color w:val="auto"/>
                      <w:sz w:val="21"/>
                      <w:szCs w:val="21"/>
                    </w:rPr>
                  </w:pPr>
                </w:p>
              </w:tc>
              <w:tc>
                <w:tcPr>
                  <w:tcW w:w="742" w:type="dxa"/>
                  <w:tcBorders>
                    <w:tl2br w:val="nil"/>
                    <w:tr2bl w:val="nil"/>
                  </w:tcBorders>
                  <w:tcMar>
                    <w:left w:w="28" w:type="dxa"/>
                    <w:right w:w="28" w:type="dxa"/>
                  </w:tcMar>
                  <w:vAlign w:val="center"/>
                </w:tcPr>
                <w:p w14:paraId="433080C9">
                  <w:pPr>
                    <w:tabs>
                      <w:tab w:val="left" w:pos="945"/>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S5</w:t>
                  </w:r>
                </w:p>
              </w:tc>
              <w:tc>
                <w:tcPr>
                  <w:tcW w:w="1672" w:type="dxa"/>
                  <w:vMerge w:val="continue"/>
                  <w:tcBorders>
                    <w:tl2br w:val="nil"/>
                    <w:tr2bl w:val="nil"/>
                  </w:tcBorders>
                  <w:tcMar>
                    <w:left w:w="28" w:type="dxa"/>
                    <w:right w:w="28" w:type="dxa"/>
                  </w:tcMar>
                  <w:vAlign w:val="center"/>
                </w:tcPr>
                <w:p w14:paraId="1C556A08">
                  <w:pPr>
                    <w:tabs>
                      <w:tab w:val="left" w:pos="945"/>
                    </w:tabs>
                    <w:jc w:val="center"/>
                    <w:rPr>
                      <w:rFonts w:hint="default" w:ascii="Times New Roman" w:hAnsi="Times New Roman" w:eastAsia="宋体" w:cs="Times New Roman"/>
                      <w:color w:val="auto"/>
                      <w:kern w:val="2"/>
                      <w:sz w:val="21"/>
                      <w:szCs w:val="21"/>
                      <w:lang w:val="en-US" w:eastAsia="zh-CN" w:bidi="ar-SA"/>
                    </w:rPr>
                  </w:pPr>
                </w:p>
              </w:tc>
              <w:tc>
                <w:tcPr>
                  <w:tcW w:w="1743" w:type="dxa"/>
                  <w:tcBorders>
                    <w:tl2br w:val="nil"/>
                    <w:tr2bl w:val="nil"/>
                  </w:tcBorders>
                  <w:tcMar>
                    <w:left w:w="28" w:type="dxa"/>
                    <w:right w:w="28" w:type="dxa"/>
                  </w:tcMar>
                  <w:vAlign w:val="center"/>
                </w:tcPr>
                <w:p w14:paraId="2C2312F7">
                  <w:pPr>
                    <w:tabs>
                      <w:tab w:val="left" w:pos="945"/>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实验检测废弃物</w:t>
                  </w:r>
                </w:p>
              </w:tc>
              <w:tc>
                <w:tcPr>
                  <w:tcW w:w="988" w:type="dxa"/>
                  <w:tcBorders>
                    <w:tl2br w:val="nil"/>
                    <w:tr2bl w:val="nil"/>
                  </w:tcBorders>
                  <w:tcMar>
                    <w:left w:w="28" w:type="dxa"/>
                    <w:right w:w="28" w:type="dxa"/>
                  </w:tcMar>
                  <w:vAlign w:val="center"/>
                </w:tcPr>
                <w:p w14:paraId="4563449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2278" w:type="dxa"/>
                  <w:vMerge w:val="continue"/>
                  <w:tcBorders>
                    <w:tl2br w:val="nil"/>
                    <w:tr2bl w:val="nil"/>
                  </w:tcBorders>
                  <w:tcMar>
                    <w:left w:w="28" w:type="dxa"/>
                    <w:right w:w="28" w:type="dxa"/>
                  </w:tcMar>
                  <w:vAlign w:val="center"/>
                </w:tcPr>
                <w:p w14:paraId="2D75CC27">
                  <w:pPr>
                    <w:tabs>
                      <w:tab w:val="left" w:pos="945"/>
                    </w:tabs>
                    <w:adjustRightInd w:val="0"/>
                    <w:jc w:val="center"/>
                    <w:rPr>
                      <w:rFonts w:hint="default" w:ascii="Times New Roman" w:hAnsi="Times New Roman" w:cs="Times New Roman"/>
                      <w:color w:val="auto"/>
                      <w:sz w:val="21"/>
                      <w:szCs w:val="21"/>
                    </w:rPr>
                  </w:pPr>
                </w:p>
              </w:tc>
            </w:tr>
            <w:tr w14:paraId="1E9C8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vMerge w:val="continue"/>
                  <w:tcBorders>
                    <w:tl2br w:val="nil"/>
                    <w:tr2bl w:val="nil"/>
                  </w:tcBorders>
                  <w:tcMar>
                    <w:left w:w="28" w:type="dxa"/>
                    <w:right w:w="28" w:type="dxa"/>
                  </w:tcMar>
                  <w:vAlign w:val="center"/>
                </w:tcPr>
                <w:p w14:paraId="47776F8E">
                  <w:pPr>
                    <w:widowControl/>
                    <w:spacing w:line="320" w:lineRule="exact"/>
                    <w:ind w:firstLine="420" w:firstLineChars="200"/>
                    <w:jc w:val="center"/>
                    <w:rPr>
                      <w:rFonts w:hint="default" w:ascii="Times New Roman" w:hAnsi="Times New Roman" w:cs="Times New Roman"/>
                      <w:color w:val="auto"/>
                      <w:sz w:val="21"/>
                      <w:szCs w:val="21"/>
                    </w:rPr>
                  </w:pPr>
                </w:p>
              </w:tc>
              <w:tc>
                <w:tcPr>
                  <w:tcW w:w="742" w:type="dxa"/>
                  <w:tcBorders>
                    <w:tl2br w:val="nil"/>
                    <w:tr2bl w:val="nil"/>
                  </w:tcBorders>
                  <w:tcMar>
                    <w:left w:w="28" w:type="dxa"/>
                    <w:right w:w="28" w:type="dxa"/>
                  </w:tcMar>
                  <w:vAlign w:val="center"/>
                </w:tcPr>
                <w:p w14:paraId="21CFBC7D">
                  <w:pPr>
                    <w:tabs>
                      <w:tab w:val="left" w:pos="945"/>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S</w:t>
                  </w:r>
                  <w:r>
                    <w:rPr>
                      <w:rFonts w:hint="eastAsia" w:ascii="Times New Roman" w:hAnsi="Times New Roman" w:cs="Times New Roman"/>
                      <w:color w:val="auto"/>
                      <w:sz w:val="21"/>
                      <w:szCs w:val="21"/>
                      <w:lang w:val="en-US" w:eastAsia="zh-CN"/>
                    </w:rPr>
                    <w:t>7</w:t>
                  </w:r>
                </w:p>
              </w:tc>
              <w:tc>
                <w:tcPr>
                  <w:tcW w:w="1672" w:type="dxa"/>
                  <w:tcBorders>
                    <w:tl2br w:val="nil"/>
                    <w:tr2bl w:val="nil"/>
                  </w:tcBorders>
                  <w:tcMar>
                    <w:left w:w="28" w:type="dxa"/>
                    <w:right w:w="28" w:type="dxa"/>
                  </w:tcMar>
                  <w:vAlign w:val="center"/>
                </w:tcPr>
                <w:p w14:paraId="50163F96">
                  <w:pPr>
                    <w:tabs>
                      <w:tab w:val="left" w:pos="945"/>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工作人员</w:t>
                  </w:r>
                </w:p>
              </w:tc>
              <w:tc>
                <w:tcPr>
                  <w:tcW w:w="1743" w:type="dxa"/>
                  <w:tcBorders>
                    <w:tl2br w:val="nil"/>
                    <w:tr2bl w:val="nil"/>
                  </w:tcBorders>
                  <w:tcMar>
                    <w:left w:w="28" w:type="dxa"/>
                    <w:right w:w="28" w:type="dxa"/>
                  </w:tcMar>
                  <w:vAlign w:val="center"/>
                </w:tcPr>
                <w:p w14:paraId="39657B76">
                  <w:pPr>
                    <w:tabs>
                      <w:tab w:val="left" w:pos="945"/>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生活垃圾</w:t>
                  </w:r>
                </w:p>
              </w:tc>
              <w:tc>
                <w:tcPr>
                  <w:tcW w:w="988" w:type="dxa"/>
                  <w:tcBorders>
                    <w:tl2br w:val="nil"/>
                    <w:tr2bl w:val="nil"/>
                  </w:tcBorders>
                  <w:tcMar>
                    <w:left w:w="28" w:type="dxa"/>
                    <w:right w:w="28" w:type="dxa"/>
                  </w:tcMar>
                  <w:vAlign w:val="center"/>
                </w:tcPr>
                <w:p w14:paraId="1B494A0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间断</w:t>
                  </w:r>
                </w:p>
              </w:tc>
              <w:tc>
                <w:tcPr>
                  <w:tcW w:w="2278" w:type="dxa"/>
                  <w:tcBorders>
                    <w:tl2br w:val="nil"/>
                    <w:tr2bl w:val="nil"/>
                  </w:tcBorders>
                  <w:tcMar>
                    <w:left w:w="28" w:type="dxa"/>
                    <w:right w:w="28" w:type="dxa"/>
                  </w:tcMar>
                  <w:vAlign w:val="center"/>
                </w:tcPr>
                <w:p w14:paraId="1BFB853D">
                  <w:pPr>
                    <w:tabs>
                      <w:tab w:val="left" w:pos="945"/>
                    </w:tabs>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交由环卫部门统一清运</w:t>
                  </w:r>
                </w:p>
              </w:tc>
            </w:tr>
          </w:tbl>
          <w:p w14:paraId="5A4AFD4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项目营运期对环境的影响主要是废气、废水、噪声、固体废物等方面。</w:t>
            </w:r>
          </w:p>
          <w:p w14:paraId="0F8C9F4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1.废气</w:t>
            </w:r>
          </w:p>
          <w:p w14:paraId="2D59612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项目运营期产生的废气主要包括原料药材有机溶剂挥发产生的有机废气</w:t>
            </w:r>
            <w:r>
              <w:rPr>
                <w:rFonts w:hint="eastAsia" w:eastAsia="仿宋_GB2312" w:cs="Times New Roman"/>
                <w:color w:val="auto"/>
                <w:kern w:val="2"/>
                <w:sz w:val="24"/>
                <w:szCs w:val="24"/>
                <w:highlight w:val="none"/>
                <w:lang w:val="en-US" w:eastAsia="zh-CN" w:bidi="ar-SA"/>
              </w:rPr>
              <w:t>、无机废气</w:t>
            </w:r>
            <w:r>
              <w:rPr>
                <w:rFonts w:hint="eastAsia" w:ascii="Times New Roman" w:hAnsi="Times New Roman" w:eastAsia="仿宋_GB2312" w:cs="Times New Roman"/>
                <w:color w:val="auto"/>
                <w:kern w:val="2"/>
                <w:sz w:val="24"/>
                <w:szCs w:val="24"/>
                <w:highlight w:val="none"/>
                <w:lang w:val="en-US" w:eastAsia="zh-CN" w:bidi="ar-SA"/>
              </w:rPr>
              <w:t>。</w:t>
            </w:r>
          </w:p>
          <w:p w14:paraId="4B584FB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1.1废气污染源产排情况</w:t>
            </w:r>
          </w:p>
          <w:p w14:paraId="3AD94C8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w:t>
            </w:r>
            <w:r>
              <w:rPr>
                <w:rFonts w:hint="default" w:ascii="Times New Roman" w:hAnsi="Times New Roman" w:eastAsia="仿宋_GB2312" w:cs="Times New Roman"/>
                <w:color w:val="auto"/>
                <w:kern w:val="2"/>
                <w:sz w:val="24"/>
                <w:szCs w:val="24"/>
                <w:highlight w:val="none"/>
                <w:lang w:val="en-US" w:eastAsia="zh-CN" w:bidi="ar-SA"/>
              </w:rPr>
              <w:t>1</w:t>
            </w:r>
            <w:r>
              <w:rPr>
                <w:rFonts w:hint="eastAsia" w:ascii="Times New Roman" w:hAnsi="Times New Roman" w:eastAsia="仿宋_GB2312" w:cs="Times New Roman"/>
                <w:color w:val="auto"/>
                <w:kern w:val="2"/>
                <w:sz w:val="24"/>
                <w:szCs w:val="24"/>
                <w:highlight w:val="none"/>
                <w:lang w:val="en-US" w:eastAsia="zh-CN" w:bidi="ar-SA"/>
              </w:rPr>
              <w:t>）有机废气</w:t>
            </w:r>
          </w:p>
          <w:p w14:paraId="422AB5B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本项目实验过程中使用的</w:t>
            </w:r>
            <w:bookmarkStart w:id="4" w:name="OLE_LINK5"/>
            <w:r>
              <w:rPr>
                <w:rFonts w:hint="eastAsia" w:ascii="Times New Roman" w:hAnsi="Times New Roman" w:eastAsia="仿宋_GB2312" w:cs="Times New Roman"/>
                <w:color w:val="auto"/>
                <w:kern w:val="2"/>
                <w:sz w:val="24"/>
                <w:szCs w:val="24"/>
                <w:highlight w:val="none"/>
                <w:lang w:val="en-US" w:eastAsia="zh-CN" w:bidi="ar-SA"/>
              </w:rPr>
              <w:t>甲醇、乙腈、乙酸、乙醇、异丙醇、环己烷、正己烷、石油醚</w:t>
            </w:r>
            <w:bookmarkEnd w:id="4"/>
            <w:r>
              <w:rPr>
                <w:rFonts w:hint="eastAsia" w:ascii="Times New Roman" w:hAnsi="Times New Roman" w:eastAsia="仿宋_GB2312" w:cs="Times New Roman"/>
                <w:color w:val="auto"/>
                <w:kern w:val="2"/>
                <w:sz w:val="24"/>
                <w:szCs w:val="24"/>
                <w:highlight w:val="none"/>
                <w:lang w:val="en-US" w:eastAsia="zh-CN" w:bidi="ar-SA"/>
              </w:rPr>
              <w:t>等有机溶剂易挥发产生有机废气（以非甲烷总烃计）。参考文献资料</w:t>
            </w:r>
            <w:r>
              <w:rPr>
                <w:rFonts w:hint="default" w:ascii="Times New Roman" w:hAnsi="Times New Roman" w:eastAsia="仿宋_GB2312" w:cs="Times New Roman"/>
                <w:color w:val="auto"/>
                <w:kern w:val="2"/>
                <w:sz w:val="24"/>
                <w:szCs w:val="24"/>
                <w:highlight w:val="none"/>
                <w:lang w:val="en-US" w:eastAsia="zh-CN" w:bidi="ar-SA"/>
              </w:rPr>
              <w:t>《江苏省实验室废气排放水平及控制对策》</w:t>
            </w:r>
            <w:r>
              <w:rPr>
                <w:rFonts w:hint="eastAsia" w:ascii="Times New Roman" w:hAnsi="Times New Roman" w:eastAsia="仿宋_GB2312" w:cs="Times New Roman"/>
                <w:color w:val="auto"/>
                <w:kern w:val="2"/>
                <w:sz w:val="24"/>
                <w:szCs w:val="24"/>
                <w:highlight w:val="none"/>
                <w:lang w:val="en-US" w:eastAsia="zh-CN" w:bidi="ar-SA"/>
              </w:rPr>
              <w:t>（</w:t>
            </w:r>
            <w:r>
              <w:rPr>
                <w:rFonts w:hint="default" w:ascii="Times New Roman" w:hAnsi="Times New Roman" w:eastAsia="仿宋_GB2312" w:cs="Times New Roman"/>
                <w:color w:val="auto"/>
                <w:kern w:val="2"/>
                <w:sz w:val="24"/>
                <w:szCs w:val="24"/>
                <w:highlight w:val="none"/>
                <w:lang w:val="en-US" w:eastAsia="zh-CN" w:bidi="ar-SA"/>
              </w:rPr>
              <w:t>来源</w:t>
            </w:r>
            <w:r>
              <w:rPr>
                <w:rFonts w:hint="default" w:ascii="Times New Roman" w:hAnsi="Times New Roman" w:eastAsia="仿宋_GB2312" w:cs="Times New Roman"/>
                <w:color w:val="auto"/>
                <w:kern w:val="2"/>
                <w:sz w:val="24"/>
                <w:szCs w:val="24"/>
                <w:highlight w:val="none"/>
                <w:lang w:val="en-US" w:eastAsia="zh-CN" w:bidi="ar-SA"/>
              </w:rPr>
              <w:fldChar w:fldCharType="begin"/>
            </w:r>
            <w:r>
              <w:rPr>
                <w:rFonts w:hint="default" w:ascii="Times New Roman" w:hAnsi="Times New Roman" w:eastAsia="仿宋_GB2312" w:cs="Times New Roman"/>
                <w:color w:val="auto"/>
                <w:kern w:val="2"/>
                <w:sz w:val="24"/>
                <w:szCs w:val="24"/>
                <w:highlight w:val="none"/>
                <w:lang w:val="en-US" w:eastAsia="zh-CN" w:bidi="ar-SA"/>
              </w:rPr>
              <w:instrText xml:space="preserve"> HYPERLINK "https://www.zhangqiaokeyan.com/journal-cn-7695/" </w:instrText>
            </w:r>
            <w:r>
              <w:rPr>
                <w:rFonts w:hint="default" w:ascii="Times New Roman" w:hAnsi="Times New Roman" w:eastAsia="仿宋_GB2312" w:cs="Times New Roman"/>
                <w:color w:val="auto"/>
                <w:kern w:val="2"/>
                <w:sz w:val="24"/>
                <w:szCs w:val="24"/>
                <w:highlight w:val="none"/>
                <w:lang w:val="en-US" w:eastAsia="zh-CN" w:bidi="ar-SA"/>
              </w:rPr>
              <w:fldChar w:fldCharType="separate"/>
            </w:r>
            <w:r>
              <w:rPr>
                <w:rFonts w:hint="default" w:ascii="Times New Roman" w:hAnsi="Times New Roman" w:eastAsia="仿宋_GB2312" w:cs="Times New Roman"/>
                <w:color w:val="auto"/>
                <w:kern w:val="2"/>
                <w:sz w:val="24"/>
                <w:szCs w:val="24"/>
                <w:highlight w:val="none"/>
                <w:lang w:val="en-US" w:eastAsia="zh-CN" w:bidi="ar-SA"/>
              </w:rPr>
              <w:t>《实验室研究与探索》</w:t>
            </w:r>
            <w:r>
              <w:rPr>
                <w:rFonts w:hint="default" w:ascii="Times New Roman" w:hAnsi="Times New Roman" w:eastAsia="仿宋_GB2312" w:cs="Times New Roman"/>
                <w:color w:val="auto"/>
                <w:kern w:val="2"/>
                <w:sz w:val="24"/>
                <w:szCs w:val="24"/>
                <w:highlight w:val="none"/>
                <w:lang w:val="en-US" w:eastAsia="zh-CN" w:bidi="ar-SA"/>
              </w:rPr>
              <w:fldChar w:fldCharType="end"/>
            </w:r>
            <w:r>
              <w:rPr>
                <w:rFonts w:hint="default" w:ascii="Times New Roman" w:hAnsi="Times New Roman" w:eastAsia="仿宋_GB2312" w:cs="Times New Roman"/>
                <w:color w:val="auto"/>
                <w:kern w:val="2"/>
                <w:sz w:val="24"/>
                <w:szCs w:val="24"/>
                <w:highlight w:val="none"/>
                <w:lang w:val="en-US" w:eastAsia="zh-CN" w:bidi="ar-SA"/>
              </w:rPr>
              <w:t>2023年第2期</w:t>
            </w:r>
            <w:r>
              <w:rPr>
                <w:rFonts w:hint="eastAsia" w:ascii="Times New Roman" w:hAnsi="Times New Roman" w:eastAsia="仿宋_GB2312" w:cs="Times New Roman"/>
                <w:color w:val="auto"/>
                <w:kern w:val="2"/>
                <w:sz w:val="24"/>
                <w:szCs w:val="24"/>
                <w:highlight w:val="none"/>
                <w:lang w:val="en-US" w:eastAsia="zh-CN" w:bidi="ar-SA"/>
              </w:rPr>
              <w:t>，</w:t>
            </w:r>
            <w:r>
              <w:rPr>
                <w:rFonts w:hint="default" w:ascii="Times New Roman" w:hAnsi="Times New Roman" w:eastAsia="仿宋_GB2312" w:cs="Times New Roman"/>
                <w:color w:val="auto"/>
                <w:kern w:val="2"/>
                <w:sz w:val="24"/>
                <w:szCs w:val="24"/>
                <w:highlight w:val="none"/>
                <w:lang w:val="en-US" w:eastAsia="zh-CN" w:bidi="ar-SA"/>
              </w:rPr>
              <w:t>306-309</w:t>
            </w:r>
            <w:r>
              <w:rPr>
                <w:rFonts w:hint="eastAsia" w:ascii="Times New Roman" w:hAnsi="Times New Roman" w:eastAsia="仿宋_GB2312" w:cs="Times New Roman"/>
                <w:color w:val="auto"/>
                <w:kern w:val="2"/>
                <w:sz w:val="24"/>
                <w:szCs w:val="24"/>
                <w:highlight w:val="none"/>
                <w:lang w:val="en-US" w:eastAsia="zh-CN" w:bidi="ar-SA"/>
              </w:rPr>
              <w:t>，该文献实地调研了江苏省53家实验室，涉及废气排放的易挥发物质用量以及有机废气、无机废气产生情况），</w:t>
            </w:r>
            <w:r>
              <w:rPr>
                <w:rFonts w:hint="default" w:ascii="Times New Roman" w:hAnsi="Times New Roman" w:eastAsia="仿宋_GB2312" w:cs="Times New Roman"/>
                <w:color w:val="auto"/>
                <w:kern w:val="2"/>
                <w:sz w:val="24"/>
                <w:szCs w:val="24"/>
                <w:highlight w:val="none"/>
                <w:lang w:val="en-US" w:eastAsia="zh-CN" w:bidi="ar-SA"/>
              </w:rPr>
              <w:t>在实验、研发状态下，有机试剂的挥发比例</w:t>
            </w:r>
            <w:r>
              <w:rPr>
                <w:rFonts w:hint="eastAsia" w:ascii="Times New Roman" w:hAnsi="Times New Roman" w:eastAsia="仿宋_GB2312" w:cs="Times New Roman"/>
                <w:color w:val="auto"/>
                <w:kern w:val="2"/>
                <w:sz w:val="24"/>
                <w:szCs w:val="24"/>
                <w:highlight w:val="none"/>
                <w:lang w:val="en-US" w:eastAsia="zh-CN" w:bidi="ar-SA"/>
              </w:rPr>
              <w:t>平均约为用量的16%。</w:t>
            </w:r>
          </w:p>
          <w:p w14:paraId="7D8F8A5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0000FF"/>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根据建设提供的资料，本项目有机溶剂的使用量为530.25L/a（见下表），根据计算，挥发的有机废气量为0.067t</w:t>
            </w:r>
            <w:r>
              <w:rPr>
                <w:rFonts w:hint="default" w:ascii="Times New Roman" w:hAnsi="Times New Roman" w:eastAsia="仿宋_GB2312" w:cs="Times New Roman"/>
                <w:color w:val="auto"/>
                <w:kern w:val="2"/>
                <w:sz w:val="24"/>
                <w:szCs w:val="24"/>
                <w:highlight w:val="none"/>
                <w:lang w:val="en-US" w:eastAsia="zh-CN" w:bidi="ar-SA"/>
              </w:rPr>
              <w:t>/a</w:t>
            </w:r>
            <w:r>
              <w:rPr>
                <w:rFonts w:hint="eastAsia" w:ascii="Times New Roman" w:hAnsi="Times New Roman" w:eastAsia="仿宋_GB2312" w:cs="Times New Roman"/>
                <w:color w:val="auto"/>
                <w:kern w:val="2"/>
                <w:sz w:val="24"/>
                <w:szCs w:val="24"/>
                <w:highlight w:val="none"/>
                <w:lang w:val="en-US" w:eastAsia="zh-CN" w:bidi="ar-SA"/>
              </w:rPr>
              <w:t>，经通风橱（通风橱三面封闭，一面半封闭，侧吸风）收集，引至楼顶</w:t>
            </w:r>
            <w:r>
              <w:rPr>
                <w:rFonts w:hint="eastAsia" w:eastAsia="仿宋_GB2312" w:cs="Times New Roman"/>
                <w:color w:val="auto"/>
                <w:kern w:val="2"/>
                <w:sz w:val="24"/>
                <w:szCs w:val="24"/>
                <w:highlight w:val="none"/>
                <w:lang w:val="en-US" w:eastAsia="zh-CN" w:bidi="ar-SA"/>
              </w:rPr>
              <w:t>无组织</w:t>
            </w:r>
            <w:r>
              <w:rPr>
                <w:rFonts w:hint="eastAsia" w:ascii="Times New Roman" w:hAnsi="Times New Roman" w:eastAsia="仿宋_GB2312" w:cs="Times New Roman"/>
                <w:color w:val="auto"/>
                <w:kern w:val="2"/>
                <w:sz w:val="24"/>
                <w:szCs w:val="24"/>
                <w:highlight w:val="none"/>
                <w:lang w:val="en-US" w:eastAsia="zh-CN" w:bidi="ar-SA"/>
              </w:rPr>
              <w:t>排放。通风橱集气效率为</w:t>
            </w:r>
            <w:r>
              <w:rPr>
                <w:rFonts w:hint="default" w:ascii="Times New Roman" w:hAnsi="Times New Roman" w:eastAsia="仿宋_GB2312" w:cs="Times New Roman"/>
                <w:color w:val="auto"/>
                <w:kern w:val="2"/>
                <w:sz w:val="24"/>
                <w:szCs w:val="24"/>
                <w:highlight w:val="none"/>
                <w:lang w:val="en-US" w:eastAsia="zh-CN" w:bidi="ar-SA"/>
              </w:rPr>
              <w:t>9</w:t>
            </w:r>
            <w:r>
              <w:rPr>
                <w:rFonts w:hint="eastAsia" w:eastAsia="仿宋_GB2312" w:cs="Times New Roman"/>
                <w:color w:val="auto"/>
                <w:kern w:val="2"/>
                <w:sz w:val="24"/>
                <w:szCs w:val="24"/>
                <w:highlight w:val="none"/>
                <w:lang w:val="en-US" w:eastAsia="zh-CN" w:bidi="ar-SA"/>
              </w:rPr>
              <w:t>0</w:t>
            </w:r>
            <w:r>
              <w:rPr>
                <w:rFonts w:hint="default" w:ascii="Times New Roman" w:hAnsi="Times New Roman"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，理化室年工作时间约为</w:t>
            </w:r>
            <w:r>
              <w:rPr>
                <w:rFonts w:hint="eastAsia" w:eastAsia="仿宋_GB2312" w:cs="Times New Roman"/>
                <w:color w:val="auto"/>
                <w:kern w:val="2"/>
                <w:sz w:val="24"/>
                <w:szCs w:val="24"/>
                <w:highlight w:val="none"/>
                <w:lang w:val="en-US" w:eastAsia="zh-CN" w:bidi="ar-SA"/>
              </w:rPr>
              <w:t>3000</w:t>
            </w:r>
            <w:r>
              <w:rPr>
                <w:rFonts w:hint="default" w:ascii="Times New Roman" w:hAnsi="Times New Roman" w:eastAsia="仿宋_GB2312" w:cs="Times New Roman"/>
                <w:color w:val="auto"/>
                <w:kern w:val="2"/>
                <w:sz w:val="24"/>
                <w:szCs w:val="24"/>
                <w:highlight w:val="none"/>
                <w:lang w:val="en-US" w:eastAsia="zh-CN" w:bidi="ar-SA"/>
              </w:rPr>
              <w:t>h</w:t>
            </w:r>
            <w:r>
              <w:rPr>
                <w:rFonts w:hint="eastAsia" w:ascii="Times New Roman" w:hAnsi="Times New Roman" w:eastAsia="仿宋_GB2312" w:cs="Times New Roman"/>
                <w:color w:val="auto"/>
                <w:kern w:val="2"/>
                <w:sz w:val="24"/>
                <w:szCs w:val="24"/>
                <w:highlight w:val="none"/>
                <w:lang w:val="en-US" w:eastAsia="zh-CN" w:bidi="ar-SA"/>
              </w:rPr>
              <w:t>，排放速率约</w:t>
            </w:r>
            <w:r>
              <w:rPr>
                <w:rFonts w:hint="eastAsia" w:eastAsia="仿宋_GB2312" w:cs="Times New Roman"/>
                <w:color w:val="auto"/>
                <w:kern w:val="2"/>
                <w:sz w:val="24"/>
                <w:szCs w:val="24"/>
                <w:highlight w:val="none"/>
                <w:lang w:val="en-US" w:eastAsia="zh-CN" w:bidi="ar-SA"/>
              </w:rPr>
              <w:t>0.02</w:t>
            </w:r>
            <w:r>
              <w:rPr>
                <w:rFonts w:hint="default" w:ascii="Times New Roman" w:hAnsi="Times New Roman" w:eastAsia="仿宋_GB2312" w:cs="Times New Roman"/>
                <w:color w:val="auto"/>
                <w:kern w:val="2"/>
                <w:sz w:val="24"/>
                <w:szCs w:val="24"/>
                <w:highlight w:val="none"/>
                <w:lang w:val="en-US" w:eastAsia="zh-CN" w:bidi="ar-SA"/>
              </w:rPr>
              <w:t>kg/h</w:t>
            </w:r>
            <w:r>
              <w:rPr>
                <w:rFonts w:hint="eastAsia" w:ascii="Times New Roman" w:hAnsi="Times New Roman" w:eastAsia="仿宋_GB2312" w:cs="Times New Roman"/>
                <w:color w:val="auto"/>
                <w:kern w:val="2"/>
                <w:sz w:val="24"/>
                <w:szCs w:val="24"/>
                <w:highlight w:val="none"/>
                <w:lang w:val="en-US" w:eastAsia="zh-CN" w:bidi="ar-SA"/>
              </w:rPr>
              <w:t>，排放量为</w:t>
            </w:r>
            <w:r>
              <w:rPr>
                <w:rFonts w:hint="default" w:ascii="Times New Roman" w:hAnsi="Times New Roman" w:eastAsia="仿宋_GB2312" w:cs="Times New Roman"/>
                <w:color w:val="auto"/>
                <w:kern w:val="2"/>
                <w:sz w:val="24"/>
                <w:szCs w:val="24"/>
                <w:highlight w:val="none"/>
                <w:lang w:val="en-US" w:eastAsia="zh-CN" w:bidi="ar-SA"/>
              </w:rPr>
              <w:t>0.0</w:t>
            </w:r>
            <w:r>
              <w:rPr>
                <w:rFonts w:hint="eastAsia" w:eastAsia="仿宋_GB2312" w:cs="Times New Roman"/>
                <w:color w:val="auto"/>
                <w:kern w:val="2"/>
                <w:sz w:val="24"/>
                <w:szCs w:val="24"/>
                <w:highlight w:val="none"/>
                <w:lang w:val="en-US" w:eastAsia="zh-CN" w:bidi="ar-SA"/>
              </w:rPr>
              <w:t>6</w:t>
            </w:r>
            <w:r>
              <w:rPr>
                <w:rFonts w:hint="default" w:ascii="Times New Roman" w:hAnsi="Times New Roman" w:eastAsia="仿宋_GB2312" w:cs="Times New Roman"/>
                <w:color w:val="auto"/>
                <w:kern w:val="2"/>
                <w:sz w:val="24"/>
                <w:szCs w:val="24"/>
                <w:highlight w:val="none"/>
                <w:lang w:val="en-US" w:eastAsia="zh-CN" w:bidi="ar-SA"/>
              </w:rPr>
              <w:t>t/a</w:t>
            </w:r>
            <w:r>
              <w:rPr>
                <w:rFonts w:hint="eastAsia" w:ascii="Times New Roman" w:hAnsi="Times New Roman" w:eastAsia="仿宋_GB2312" w:cs="Times New Roman"/>
                <w:color w:val="auto"/>
                <w:kern w:val="2"/>
                <w:sz w:val="24"/>
                <w:szCs w:val="24"/>
                <w:highlight w:val="none"/>
                <w:lang w:val="en-US" w:eastAsia="zh-CN" w:bidi="ar-SA"/>
              </w:rPr>
              <w:t>。</w:t>
            </w:r>
          </w:p>
          <w:p w14:paraId="245F77D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本项目有机废气产排情况如下：</w:t>
            </w:r>
          </w:p>
          <w:p w14:paraId="5D8763E9">
            <w:pPr>
              <w:pStyle w:val="126"/>
              <w:keepNext/>
              <w:keepLines w:val="0"/>
              <w:pageBreakBefore w:val="0"/>
              <w:widowControl/>
              <w:kinsoku/>
              <w:wordWrap/>
              <w:overflowPunct/>
              <w:topLinePunct w:val="0"/>
              <w:autoSpaceDE/>
              <w:autoSpaceDN/>
              <w:bidi w:val="0"/>
              <w:adjustRightInd/>
              <w:snapToGrid w:val="0"/>
              <w:spacing w:before="0" w:beforeLines="0" w:after="40"/>
              <w:ind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表</w:t>
            </w:r>
            <w:r>
              <w:rPr>
                <w:rFonts w:hint="eastAsia" w:cs="Times New Roman"/>
                <w:color w:val="auto"/>
                <w:sz w:val="21"/>
                <w:szCs w:val="21"/>
                <w:highlight w:val="none"/>
                <w:lang w:val="en-US" w:eastAsia="zh-CN"/>
              </w:rPr>
              <w:t xml:space="preserve">32  </w:t>
            </w:r>
            <w:r>
              <w:rPr>
                <w:rFonts w:hint="default" w:ascii="Times New Roman" w:hAnsi="Times New Roman" w:eastAsia="宋体" w:cs="Times New Roman"/>
                <w:color w:val="auto"/>
                <w:sz w:val="21"/>
                <w:szCs w:val="21"/>
                <w:highlight w:val="none"/>
                <w:lang w:val="en-US" w:eastAsia="zh-CN"/>
              </w:rPr>
              <w:t>废气产</w:t>
            </w:r>
            <w:r>
              <w:rPr>
                <w:rFonts w:hint="eastAsia" w:ascii="Times New Roman" w:hAnsi="Times New Roman" w:eastAsia="宋体" w:cs="Times New Roman"/>
                <w:color w:val="auto"/>
                <w:sz w:val="21"/>
                <w:szCs w:val="21"/>
                <w:highlight w:val="none"/>
                <w:lang w:val="en-US" w:eastAsia="zh-CN"/>
              </w:rPr>
              <w:t>生</w:t>
            </w:r>
            <w:r>
              <w:rPr>
                <w:rFonts w:hint="default" w:ascii="Times New Roman" w:hAnsi="Times New Roman" w:eastAsia="宋体" w:cs="Times New Roman"/>
                <w:color w:val="auto"/>
                <w:sz w:val="21"/>
                <w:szCs w:val="21"/>
                <w:highlight w:val="none"/>
                <w:lang w:val="en-US" w:eastAsia="zh-CN"/>
              </w:rPr>
              <w:t>情况一览表</w:t>
            </w:r>
          </w:p>
          <w:tbl>
            <w:tblPr>
              <w:tblStyle w:val="7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69"/>
              <w:gridCol w:w="1541"/>
              <w:gridCol w:w="876"/>
              <w:gridCol w:w="798"/>
              <w:gridCol w:w="1045"/>
              <w:gridCol w:w="1033"/>
              <w:gridCol w:w="1609"/>
            </w:tblGrid>
            <w:tr w14:paraId="40251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tcBorders>
                    <w:tl2br w:val="nil"/>
                    <w:tr2bl w:val="nil"/>
                  </w:tcBorders>
                  <w:noWrap w:val="0"/>
                  <w:vAlign w:val="center"/>
                </w:tcPr>
                <w:p w14:paraId="1AE3EF0C">
                  <w:pPr>
                    <w:jc w:val="center"/>
                    <w:rPr>
                      <w:rFonts w:hint="eastAsia" w:ascii="Times New Roman" w:hAnsi="Times New Roman" w:eastAsia="宋体" w:cs="Times New Roman"/>
                      <w:b/>
                      <w:bCs/>
                      <w:color w:val="auto"/>
                      <w:sz w:val="18"/>
                      <w:szCs w:val="18"/>
                      <w:lang w:val="en-US" w:eastAsia="zh-CN"/>
                    </w:rPr>
                  </w:pPr>
                  <w:r>
                    <w:rPr>
                      <w:rFonts w:ascii="Times New Roman" w:hAnsi="Times New Roman" w:eastAsia="宋体" w:cs="Times New Roman"/>
                      <w:b/>
                      <w:bCs/>
                      <w:color w:val="auto"/>
                      <w:sz w:val="18"/>
                      <w:szCs w:val="18"/>
                    </w:rPr>
                    <w:t>污染物</w:t>
                  </w:r>
                  <w:r>
                    <w:rPr>
                      <w:rFonts w:hint="eastAsia" w:ascii="Times New Roman" w:hAnsi="Times New Roman" w:eastAsia="宋体" w:cs="Times New Roman"/>
                      <w:b/>
                      <w:bCs/>
                      <w:color w:val="auto"/>
                      <w:sz w:val="18"/>
                      <w:szCs w:val="18"/>
                      <w:lang w:val="en-US" w:eastAsia="zh-CN"/>
                    </w:rPr>
                    <w:t>类别</w:t>
                  </w:r>
                </w:p>
              </w:tc>
              <w:tc>
                <w:tcPr>
                  <w:tcW w:w="931" w:type="pct"/>
                  <w:tcBorders>
                    <w:tl2br w:val="nil"/>
                    <w:tr2bl w:val="nil"/>
                  </w:tcBorders>
                  <w:noWrap w:val="0"/>
                  <w:vAlign w:val="center"/>
                </w:tcPr>
                <w:p w14:paraId="1236E754">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挥发性试剂名称</w:t>
                  </w:r>
                </w:p>
              </w:tc>
              <w:tc>
                <w:tcPr>
                  <w:tcW w:w="529" w:type="pct"/>
                  <w:tcBorders>
                    <w:tl2br w:val="nil"/>
                    <w:tr2bl w:val="nil"/>
                  </w:tcBorders>
                  <w:noWrap w:val="0"/>
                  <w:vAlign w:val="center"/>
                </w:tcPr>
                <w:p w14:paraId="318EA205">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单位</w:t>
                  </w:r>
                </w:p>
              </w:tc>
              <w:tc>
                <w:tcPr>
                  <w:tcW w:w="482" w:type="pct"/>
                  <w:tcBorders>
                    <w:tl2br w:val="nil"/>
                    <w:tr2bl w:val="nil"/>
                  </w:tcBorders>
                  <w:noWrap w:val="0"/>
                  <w:vAlign w:val="center"/>
                </w:tcPr>
                <w:p w14:paraId="56F9B6F6">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年用量</w:t>
                  </w:r>
                </w:p>
              </w:tc>
              <w:tc>
                <w:tcPr>
                  <w:tcW w:w="631" w:type="pct"/>
                  <w:tcBorders>
                    <w:tl2br w:val="nil"/>
                    <w:tr2bl w:val="nil"/>
                  </w:tcBorders>
                  <w:noWrap w:val="0"/>
                  <w:vAlign w:val="center"/>
                </w:tcPr>
                <w:p w14:paraId="39A92D1F">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密度g/ml</w:t>
                  </w:r>
                </w:p>
              </w:tc>
              <w:tc>
                <w:tcPr>
                  <w:tcW w:w="624" w:type="pct"/>
                  <w:tcBorders>
                    <w:tl2br w:val="nil"/>
                    <w:tr2bl w:val="nil"/>
                  </w:tcBorders>
                  <w:noWrap w:val="0"/>
                  <w:vAlign w:val="center"/>
                </w:tcPr>
                <w:p w14:paraId="524DE1DB">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挥发比例</w:t>
                  </w:r>
                </w:p>
              </w:tc>
              <w:tc>
                <w:tcPr>
                  <w:tcW w:w="972" w:type="pct"/>
                  <w:tcBorders>
                    <w:tl2br w:val="nil"/>
                    <w:tr2bl w:val="nil"/>
                  </w:tcBorders>
                  <w:noWrap w:val="0"/>
                  <w:vAlign w:val="center"/>
                </w:tcPr>
                <w:p w14:paraId="5A52EA06">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废气产生量kg/a</w:t>
                  </w:r>
                </w:p>
              </w:tc>
            </w:tr>
            <w:tr w14:paraId="2F6C8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restart"/>
                  <w:tcBorders>
                    <w:tl2br w:val="nil"/>
                    <w:tr2bl w:val="nil"/>
                  </w:tcBorders>
                  <w:noWrap w:val="0"/>
                  <w:vAlign w:val="center"/>
                </w:tcPr>
                <w:p w14:paraId="6162F41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VOCs</w:t>
                  </w:r>
                </w:p>
                <w:p w14:paraId="7CCA250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（合计：</w:t>
                  </w:r>
                  <w:r>
                    <w:rPr>
                      <w:rFonts w:hint="eastAsia" w:ascii="Times New Roman" w:hAnsi="Times New Roman" w:eastAsia="宋体" w:cs="Times New Roman"/>
                      <w:color w:val="auto"/>
                      <w:sz w:val="18"/>
                      <w:szCs w:val="18"/>
                      <w:lang w:val="en-US" w:eastAsia="zh-CN"/>
                    </w:rPr>
                    <w:t>0.067</w:t>
                  </w:r>
                  <w:r>
                    <w:rPr>
                      <w:rFonts w:ascii="Times New Roman" w:hAnsi="Times New Roman" w:eastAsia="宋体" w:cs="Times New Roman"/>
                      <w:color w:val="auto"/>
                      <w:sz w:val="18"/>
                      <w:szCs w:val="18"/>
                    </w:rPr>
                    <w:t>/a）</w:t>
                  </w:r>
                </w:p>
              </w:tc>
              <w:tc>
                <w:tcPr>
                  <w:tcW w:w="931" w:type="pct"/>
                  <w:tcBorders>
                    <w:tl2br w:val="nil"/>
                    <w:tr2bl w:val="nil"/>
                  </w:tcBorders>
                  <w:noWrap w:val="0"/>
                  <w:vAlign w:val="center"/>
                </w:tcPr>
                <w:p w14:paraId="4F25564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无水乙醇</w:t>
                  </w:r>
                </w:p>
              </w:tc>
              <w:tc>
                <w:tcPr>
                  <w:tcW w:w="529" w:type="pct"/>
                  <w:tcBorders>
                    <w:tl2br w:val="nil"/>
                    <w:tr2bl w:val="nil"/>
                  </w:tcBorders>
                  <w:noWrap w:val="0"/>
                  <w:vAlign w:val="center"/>
                </w:tcPr>
                <w:p w14:paraId="19731C7A">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w:t>
                  </w:r>
                </w:p>
              </w:tc>
              <w:tc>
                <w:tcPr>
                  <w:tcW w:w="482" w:type="pct"/>
                  <w:tcBorders>
                    <w:tl2br w:val="nil"/>
                    <w:tr2bl w:val="nil"/>
                  </w:tcBorders>
                  <w:noWrap w:val="0"/>
                  <w:vAlign w:val="center"/>
                </w:tcPr>
                <w:p w14:paraId="3EBBC68B">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w:t>
                  </w:r>
                </w:p>
              </w:tc>
              <w:tc>
                <w:tcPr>
                  <w:tcW w:w="631" w:type="pct"/>
                  <w:tcBorders>
                    <w:tl2br w:val="nil"/>
                    <w:tr2bl w:val="nil"/>
                  </w:tcBorders>
                  <w:noWrap w:val="0"/>
                  <w:vAlign w:val="center"/>
                </w:tcPr>
                <w:p w14:paraId="2E966AAA">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0.7</w:t>
                  </w:r>
                  <w:r>
                    <w:rPr>
                      <w:rFonts w:hint="default" w:ascii="Times New Roman" w:hAnsi="Times New Roman" w:eastAsia="宋体" w:cs="Times New Roman"/>
                      <w:color w:val="auto"/>
                      <w:sz w:val="18"/>
                      <w:szCs w:val="18"/>
                      <w:lang w:val="en-US" w:eastAsia="zh-CN"/>
                    </w:rPr>
                    <w:t>89</w:t>
                  </w:r>
                </w:p>
              </w:tc>
              <w:tc>
                <w:tcPr>
                  <w:tcW w:w="624" w:type="pct"/>
                  <w:tcBorders>
                    <w:tl2br w:val="nil"/>
                    <w:tr2bl w:val="nil"/>
                  </w:tcBorders>
                  <w:noWrap w:val="0"/>
                  <w:vAlign w:val="center"/>
                </w:tcPr>
                <w:p w14:paraId="192DB327">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noWrap w:val="0"/>
                  <w:vAlign w:val="center"/>
                </w:tcPr>
                <w:p w14:paraId="54EF9DA8">
                  <w:pPr>
                    <w:jc w:val="center"/>
                    <w:rPr>
                      <w:rFonts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1.515</w:t>
                  </w:r>
                </w:p>
              </w:tc>
            </w:tr>
            <w:tr w14:paraId="5A3D0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continue"/>
                  <w:tcBorders>
                    <w:tl2br w:val="nil"/>
                    <w:tr2bl w:val="nil"/>
                  </w:tcBorders>
                  <w:noWrap w:val="0"/>
                  <w:vAlign w:val="center"/>
                </w:tcPr>
                <w:p w14:paraId="524E2997">
                  <w:pPr>
                    <w:jc w:val="center"/>
                    <w:rPr>
                      <w:rFonts w:ascii="Times New Roman" w:hAnsi="Times New Roman" w:eastAsia="宋体" w:cs="Times New Roman"/>
                      <w:color w:val="auto"/>
                      <w:sz w:val="18"/>
                      <w:szCs w:val="18"/>
                    </w:rPr>
                  </w:pPr>
                </w:p>
              </w:tc>
              <w:tc>
                <w:tcPr>
                  <w:tcW w:w="931" w:type="pct"/>
                  <w:tcBorders>
                    <w:tl2br w:val="nil"/>
                    <w:tr2bl w:val="nil"/>
                  </w:tcBorders>
                  <w:noWrap w:val="0"/>
                  <w:vAlign w:val="center"/>
                </w:tcPr>
                <w:p w14:paraId="3AF48B66">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95%乙醇</w:t>
                  </w:r>
                </w:p>
              </w:tc>
              <w:tc>
                <w:tcPr>
                  <w:tcW w:w="529" w:type="pct"/>
                  <w:tcBorders>
                    <w:tl2br w:val="nil"/>
                    <w:tr2bl w:val="nil"/>
                  </w:tcBorders>
                  <w:noWrap w:val="0"/>
                  <w:vAlign w:val="center"/>
                </w:tcPr>
                <w:p w14:paraId="4255C89F">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w:t>
                  </w:r>
                </w:p>
              </w:tc>
              <w:tc>
                <w:tcPr>
                  <w:tcW w:w="482" w:type="pct"/>
                  <w:tcBorders>
                    <w:tl2br w:val="nil"/>
                    <w:tr2bl w:val="nil"/>
                  </w:tcBorders>
                  <w:noWrap w:val="0"/>
                  <w:vAlign w:val="center"/>
                </w:tcPr>
                <w:p w14:paraId="10871E1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631" w:type="pct"/>
                  <w:tcBorders>
                    <w:tl2br w:val="nil"/>
                    <w:tr2bl w:val="nil"/>
                  </w:tcBorders>
                  <w:noWrap w:val="0"/>
                  <w:vAlign w:val="center"/>
                </w:tcPr>
                <w:p w14:paraId="484CCC58">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w:t>
                  </w:r>
                  <w:r>
                    <w:rPr>
                      <w:rFonts w:hint="eastAsia" w:ascii="Times New Roman" w:hAnsi="Times New Roman" w:eastAsia="宋体" w:cs="Times New Roman"/>
                      <w:color w:val="auto"/>
                      <w:sz w:val="18"/>
                      <w:szCs w:val="18"/>
                      <w:lang w:val="en-US" w:eastAsia="zh-CN"/>
                    </w:rPr>
                    <w:t>808</w:t>
                  </w:r>
                </w:p>
              </w:tc>
              <w:tc>
                <w:tcPr>
                  <w:tcW w:w="624" w:type="pct"/>
                  <w:tcBorders>
                    <w:tl2br w:val="nil"/>
                    <w:tr2bl w:val="nil"/>
                  </w:tcBorders>
                  <w:noWrap w:val="0"/>
                  <w:vAlign w:val="center"/>
                </w:tcPr>
                <w:p w14:paraId="6A6DCBF4">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noWrap w:val="0"/>
                  <w:vAlign w:val="center"/>
                </w:tcPr>
                <w:p w14:paraId="11D71CFD">
                  <w:pPr>
                    <w:jc w:val="center"/>
                    <w:rPr>
                      <w:rFonts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5.171</w:t>
                  </w:r>
                </w:p>
              </w:tc>
            </w:tr>
            <w:tr w14:paraId="00AA6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continue"/>
                  <w:tcBorders>
                    <w:tl2br w:val="nil"/>
                    <w:tr2bl w:val="nil"/>
                  </w:tcBorders>
                  <w:noWrap w:val="0"/>
                  <w:vAlign w:val="center"/>
                </w:tcPr>
                <w:p w14:paraId="729D8959">
                  <w:pPr>
                    <w:jc w:val="center"/>
                    <w:rPr>
                      <w:rFonts w:ascii="Times New Roman" w:hAnsi="Times New Roman" w:eastAsia="宋体" w:cs="Times New Roman"/>
                      <w:color w:val="auto"/>
                      <w:sz w:val="18"/>
                      <w:szCs w:val="18"/>
                    </w:rPr>
                  </w:pPr>
                </w:p>
              </w:tc>
              <w:tc>
                <w:tcPr>
                  <w:tcW w:w="931" w:type="pct"/>
                  <w:tcBorders>
                    <w:tl2br w:val="nil"/>
                    <w:tr2bl w:val="nil"/>
                  </w:tcBorders>
                  <w:noWrap w:val="0"/>
                  <w:vAlign w:val="center"/>
                </w:tcPr>
                <w:p w14:paraId="295EC9AD">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甲醇</w:t>
                  </w:r>
                </w:p>
              </w:tc>
              <w:tc>
                <w:tcPr>
                  <w:tcW w:w="529" w:type="pct"/>
                  <w:tcBorders>
                    <w:tl2br w:val="nil"/>
                    <w:tr2bl w:val="nil"/>
                  </w:tcBorders>
                  <w:noWrap w:val="0"/>
                  <w:vAlign w:val="center"/>
                </w:tcPr>
                <w:p w14:paraId="4806C8EF">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w:t>
                  </w:r>
                </w:p>
              </w:tc>
              <w:tc>
                <w:tcPr>
                  <w:tcW w:w="482" w:type="pct"/>
                  <w:tcBorders>
                    <w:tl2br w:val="nil"/>
                    <w:tr2bl w:val="nil"/>
                  </w:tcBorders>
                  <w:noWrap w:val="0"/>
                  <w:vAlign w:val="center"/>
                </w:tcPr>
                <w:p w14:paraId="7FB4A8E3">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260</w:t>
                  </w:r>
                </w:p>
              </w:tc>
              <w:tc>
                <w:tcPr>
                  <w:tcW w:w="631" w:type="pct"/>
                  <w:tcBorders>
                    <w:tl2br w:val="nil"/>
                    <w:tr2bl w:val="nil"/>
                  </w:tcBorders>
                  <w:noWrap w:val="0"/>
                  <w:vAlign w:val="center"/>
                </w:tcPr>
                <w:p w14:paraId="205F785A">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0.791</w:t>
                  </w:r>
                </w:p>
              </w:tc>
              <w:tc>
                <w:tcPr>
                  <w:tcW w:w="624" w:type="pct"/>
                  <w:tcBorders>
                    <w:tl2br w:val="nil"/>
                    <w:tr2bl w:val="nil"/>
                  </w:tcBorders>
                  <w:noWrap w:val="0"/>
                  <w:vAlign w:val="center"/>
                </w:tcPr>
                <w:p w14:paraId="39022780">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noWrap w:val="0"/>
                  <w:vAlign w:val="center"/>
                </w:tcPr>
                <w:p w14:paraId="2B47C63C">
                  <w:pPr>
                    <w:jc w:val="center"/>
                    <w:rPr>
                      <w:rFonts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32.906</w:t>
                  </w:r>
                </w:p>
              </w:tc>
            </w:tr>
            <w:tr w14:paraId="63BD0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continue"/>
                  <w:tcBorders>
                    <w:tl2br w:val="nil"/>
                    <w:tr2bl w:val="nil"/>
                  </w:tcBorders>
                  <w:noWrap w:val="0"/>
                  <w:vAlign w:val="center"/>
                </w:tcPr>
                <w:p w14:paraId="687294C6">
                  <w:pPr>
                    <w:jc w:val="center"/>
                    <w:rPr>
                      <w:rFonts w:ascii="Times New Roman" w:hAnsi="Times New Roman" w:eastAsia="宋体" w:cs="Times New Roman"/>
                      <w:color w:val="auto"/>
                      <w:sz w:val="18"/>
                      <w:szCs w:val="18"/>
                    </w:rPr>
                  </w:pPr>
                </w:p>
              </w:tc>
              <w:tc>
                <w:tcPr>
                  <w:tcW w:w="931" w:type="pct"/>
                  <w:tcBorders>
                    <w:tl2br w:val="nil"/>
                    <w:tr2bl w:val="nil"/>
                  </w:tcBorders>
                  <w:noWrap w:val="0"/>
                  <w:vAlign w:val="center"/>
                </w:tcPr>
                <w:p w14:paraId="2F210B53">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乙腈</w:t>
                  </w:r>
                </w:p>
              </w:tc>
              <w:tc>
                <w:tcPr>
                  <w:tcW w:w="529" w:type="pct"/>
                  <w:tcBorders>
                    <w:tl2br w:val="nil"/>
                    <w:tr2bl w:val="nil"/>
                  </w:tcBorders>
                  <w:noWrap w:val="0"/>
                  <w:vAlign w:val="center"/>
                </w:tcPr>
                <w:p w14:paraId="021D1EE2">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w:t>
                  </w:r>
                </w:p>
              </w:tc>
              <w:tc>
                <w:tcPr>
                  <w:tcW w:w="482" w:type="pct"/>
                  <w:tcBorders>
                    <w:tl2br w:val="nil"/>
                    <w:tr2bl w:val="nil"/>
                  </w:tcBorders>
                  <w:noWrap w:val="0"/>
                  <w:vAlign w:val="center"/>
                </w:tcPr>
                <w:p w14:paraId="079EB0F5">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180</w:t>
                  </w:r>
                </w:p>
              </w:tc>
              <w:tc>
                <w:tcPr>
                  <w:tcW w:w="631" w:type="pct"/>
                  <w:tcBorders>
                    <w:tl2br w:val="nil"/>
                    <w:tr2bl w:val="nil"/>
                  </w:tcBorders>
                  <w:noWrap w:val="0"/>
                  <w:vAlign w:val="center"/>
                </w:tcPr>
                <w:p w14:paraId="6EA68E94">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0.7857</w:t>
                  </w:r>
                </w:p>
              </w:tc>
              <w:tc>
                <w:tcPr>
                  <w:tcW w:w="624" w:type="pct"/>
                  <w:tcBorders>
                    <w:tl2br w:val="nil"/>
                    <w:tr2bl w:val="nil"/>
                  </w:tcBorders>
                  <w:noWrap w:val="0"/>
                  <w:vAlign w:val="center"/>
                </w:tcPr>
                <w:p w14:paraId="0E508055">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noWrap w:val="0"/>
                  <w:vAlign w:val="center"/>
                </w:tcPr>
                <w:p w14:paraId="1FC3FDCC">
                  <w:pPr>
                    <w:jc w:val="center"/>
                    <w:rPr>
                      <w:rFonts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22.628</w:t>
                  </w:r>
                </w:p>
              </w:tc>
            </w:tr>
            <w:tr w14:paraId="6F610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continue"/>
                  <w:tcBorders>
                    <w:tl2br w:val="nil"/>
                    <w:tr2bl w:val="nil"/>
                  </w:tcBorders>
                  <w:noWrap w:val="0"/>
                  <w:vAlign w:val="center"/>
                </w:tcPr>
                <w:p w14:paraId="5A17371A">
                  <w:pPr>
                    <w:jc w:val="center"/>
                    <w:rPr>
                      <w:rFonts w:ascii="Times New Roman" w:hAnsi="Times New Roman" w:eastAsia="宋体" w:cs="Times New Roman"/>
                      <w:color w:val="auto"/>
                      <w:sz w:val="18"/>
                      <w:szCs w:val="18"/>
                    </w:rPr>
                  </w:pPr>
                </w:p>
              </w:tc>
              <w:tc>
                <w:tcPr>
                  <w:tcW w:w="931" w:type="pct"/>
                  <w:tcBorders>
                    <w:tl2br w:val="nil"/>
                    <w:tr2bl w:val="nil"/>
                  </w:tcBorders>
                  <w:noWrap w:val="0"/>
                  <w:vAlign w:val="center"/>
                </w:tcPr>
                <w:p w14:paraId="2494F5A1">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甲酸</w:t>
                  </w:r>
                </w:p>
              </w:tc>
              <w:tc>
                <w:tcPr>
                  <w:tcW w:w="529" w:type="pct"/>
                  <w:tcBorders>
                    <w:tl2br w:val="nil"/>
                    <w:tr2bl w:val="nil"/>
                  </w:tcBorders>
                  <w:noWrap w:val="0"/>
                  <w:vAlign w:val="center"/>
                </w:tcPr>
                <w:p w14:paraId="44AEB1E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w:t>
                  </w:r>
                </w:p>
              </w:tc>
              <w:tc>
                <w:tcPr>
                  <w:tcW w:w="482" w:type="pct"/>
                  <w:tcBorders>
                    <w:tl2br w:val="nil"/>
                    <w:tr2bl w:val="nil"/>
                  </w:tcBorders>
                  <w:noWrap w:val="0"/>
                  <w:vAlign w:val="center"/>
                </w:tcPr>
                <w:p w14:paraId="6E928BB5">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631" w:type="pct"/>
                  <w:tcBorders>
                    <w:tl2br w:val="nil"/>
                    <w:tr2bl w:val="nil"/>
                  </w:tcBorders>
                  <w:noWrap w:val="0"/>
                  <w:vAlign w:val="center"/>
                </w:tcPr>
                <w:p w14:paraId="45DA87D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1.220</w:t>
                  </w:r>
                </w:p>
              </w:tc>
              <w:tc>
                <w:tcPr>
                  <w:tcW w:w="624" w:type="pct"/>
                  <w:tcBorders>
                    <w:tl2br w:val="nil"/>
                    <w:tr2bl w:val="nil"/>
                  </w:tcBorders>
                  <w:noWrap w:val="0"/>
                  <w:vAlign w:val="center"/>
                </w:tcPr>
                <w:p w14:paraId="72CBFE43">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noWrap w:val="0"/>
                  <w:vAlign w:val="center"/>
                </w:tcPr>
                <w:p w14:paraId="32988A03">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0.390</w:t>
                  </w:r>
                </w:p>
              </w:tc>
            </w:tr>
            <w:tr w14:paraId="30BE7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continue"/>
                  <w:tcBorders>
                    <w:tl2br w:val="nil"/>
                    <w:tr2bl w:val="nil"/>
                  </w:tcBorders>
                  <w:noWrap w:val="0"/>
                  <w:vAlign w:val="center"/>
                </w:tcPr>
                <w:p w14:paraId="65BCE140">
                  <w:pPr>
                    <w:jc w:val="center"/>
                    <w:rPr>
                      <w:rFonts w:ascii="Times New Roman" w:hAnsi="Times New Roman" w:eastAsia="宋体" w:cs="Times New Roman"/>
                      <w:color w:val="auto"/>
                      <w:sz w:val="18"/>
                      <w:szCs w:val="18"/>
                    </w:rPr>
                  </w:pPr>
                </w:p>
              </w:tc>
              <w:tc>
                <w:tcPr>
                  <w:tcW w:w="931" w:type="pct"/>
                  <w:tcBorders>
                    <w:tl2br w:val="nil"/>
                    <w:tr2bl w:val="nil"/>
                  </w:tcBorders>
                  <w:shd w:val="clear" w:color="auto" w:fill="auto"/>
                  <w:noWrap w:val="0"/>
                  <w:vAlign w:val="center"/>
                </w:tcPr>
                <w:p w14:paraId="23434FA4">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乙酸</w:t>
                  </w:r>
                </w:p>
              </w:tc>
              <w:tc>
                <w:tcPr>
                  <w:tcW w:w="529" w:type="pct"/>
                  <w:tcBorders>
                    <w:tl2br w:val="nil"/>
                    <w:tr2bl w:val="nil"/>
                  </w:tcBorders>
                  <w:shd w:val="clear" w:color="auto" w:fill="auto"/>
                  <w:noWrap w:val="0"/>
                  <w:vAlign w:val="center"/>
                </w:tcPr>
                <w:p w14:paraId="6001A14A">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L</w:t>
                  </w:r>
                </w:p>
              </w:tc>
              <w:tc>
                <w:tcPr>
                  <w:tcW w:w="482" w:type="pct"/>
                  <w:tcBorders>
                    <w:tl2br w:val="nil"/>
                    <w:tr2bl w:val="nil"/>
                  </w:tcBorders>
                  <w:shd w:val="clear" w:color="auto" w:fill="auto"/>
                  <w:noWrap w:val="0"/>
                  <w:vAlign w:val="center"/>
                </w:tcPr>
                <w:p w14:paraId="2E0F9FE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631" w:type="pct"/>
                  <w:tcBorders>
                    <w:tl2br w:val="nil"/>
                    <w:tr2bl w:val="nil"/>
                  </w:tcBorders>
                  <w:shd w:val="clear" w:color="auto" w:fill="auto"/>
                  <w:noWrap w:val="0"/>
                  <w:vAlign w:val="center"/>
                </w:tcPr>
                <w:p w14:paraId="20107B56">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lang w:val="en-US" w:eastAsia="zh-CN"/>
                    </w:rPr>
                    <w:t>492</w:t>
                  </w:r>
                </w:p>
              </w:tc>
              <w:tc>
                <w:tcPr>
                  <w:tcW w:w="624" w:type="pct"/>
                  <w:tcBorders>
                    <w:tl2br w:val="nil"/>
                    <w:tr2bl w:val="nil"/>
                  </w:tcBorders>
                  <w:shd w:val="clear" w:color="auto" w:fill="auto"/>
                  <w:noWrap w:val="0"/>
                  <w:vAlign w:val="center"/>
                </w:tcPr>
                <w:p w14:paraId="41E40245">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shd w:val="clear" w:color="auto" w:fill="auto"/>
                  <w:noWrap w:val="0"/>
                  <w:vAlign w:val="center"/>
                </w:tcPr>
                <w:p w14:paraId="29FF3EBE">
                  <w:pPr>
                    <w:jc w:val="center"/>
                    <w:rPr>
                      <w:rFonts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0.839</w:t>
                  </w:r>
                </w:p>
              </w:tc>
            </w:tr>
            <w:tr w14:paraId="4B1E8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continue"/>
                  <w:tcBorders>
                    <w:tl2br w:val="nil"/>
                    <w:tr2bl w:val="nil"/>
                  </w:tcBorders>
                  <w:noWrap w:val="0"/>
                  <w:vAlign w:val="center"/>
                </w:tcPr>
                <w:p w14:paraId="0756CC9A">
                  <w:pPr>
                    <w:jc w:val="center"/>
                    <w:rPr>
                      <w:rFonts w:ascii="Times New Roman" w:hAnsi="Times New Roman" w:eastAsia="宋体" w:cs="Times New Roman"/>
                      <w:color w:val="auto"/>
                      <w:sz w:val="18"/>
                      <w:szCs w:val="18"/>
                    </w:rPr>
                  </w:pPr>
                </w:p>
              </w:tc>
              <w:tc>
                <w:tcPr>
                  <w:tcW w:w="931" w:type="pct"/>
                  <w:tcBorders>
                    <w:tl2br w:val="nil"/>
                    <w:tr2bl w:val="nil"/>
                  </w:tcBorders>
                  <w:shd w:val="clear" w:color="auto" w:fill="auto"/>
                  <w:noWrap w:val="0"/>
                  <w:vAlign w:val="center"/>
                </w:tcPr>
                <w:p w14:paraId="66AC7335">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正己烷</w:t>
                  </w:r>
                </w:p>
              </w:tc>
              <w:tc>
                <w:tcPr>
                  <w:tcW w:w="529" w:type="pct"/>
                  <w:tcBorders>
                    <w:tl2br w:val="nil"/>
                    <w:tr2bl w:val="nil"/>
                  </w:tcBorders>
                  <w:shd w:val="clear" w:color="auto" w:fill="auto"/>
                  <w:noWrap w:val="0"/>
                  <w:vAlign w:val="center"/>
                </w:tcPr>
                <w:p w14:paraId="66E60665">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L</w:t>
                  </w:r>
                </w:p>
              </w:tc>
              <w:tc>
                <w:tcPr>
                  <w:tcW w:w="482" w:type="pct"/>
                  <w:tcBorders>
                    <w:tl2br w:val="nil"/>
                    <w:tr2bl w:val="nil"/>
                  </w:tcBorders>
                  <w:shd w:val="clear" w:color="auto" w:fill="auto"/>
                  <w:noWrap w:val="0"/>
                  <w:vAlign w:val="center"/>
                </w:tcPr>
                <w:p w14:paraId="41A8F44C">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631" w:type="pct"/>
                  <w:tcBorders>
                    <w:tl2br w:val="nil"/>
                    <w:tr2bl w:val="nil"/>
                  </w:tcBorders>
                  <w:shd w:val="clear" w:color="auto" w:fill="auto"/>
                  <w:noWrap w:val="0"/>
                  <w:vAlign w:val="center"/>
                </w:tcPr>
                <w:p w14:paraId="5A0760BA">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0.6</w:t>
                  </w:r>
                  <w:r>
                    <w:rPr>
                      <w:rFonts w:hint="eastAsia" w:ascii="Times New Roman" w:hAnsi="Times New Roman" w:eastAsia="宋体" w:cs="Times New Roman"/>
                      <w:color w:val="auto"/>
                      <w:sz w:val="18"/>
                      <w:szCs w:val="18"/>
                      <w:lang w:val="en-US" w:eastAsia="zh-CN"/>
                    </w:rPr>
                    <w:t>603</w:t>
                  </w:r>
                </w:p>
              </w:tc>
              <w:tc>
                <w:tcPr>
                  <w:tcW w:w="624" w:type="pct"/>
                  <w:tcBorders>
                    <w:tl2br w:val="nil"/>
                    <w:tr2bl w:val="nil"/>
                  </w:tcBorders>
                  <w:shd w:val="clear" w:color="auto" w:fill="auto"/>
                  <w:noWrap w:val="0"/>
                  <w:vAlign w:val="center"/>
                </w:tcPr>
                <w:p w14:paraId="3CBB1585">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shd w:val="clear" w:color="auto" w:fill="auto"/>
                  <w:noWrap w:val="0"/>
                  <w:vAlign w:val="center"/>
                </w:tcPr>
                <w:p w14:paraId="22A61993">
                  <w:pPr>
                    <w:jc w:val="center"/>
                    <w:rPr>
                      <w:rFonts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0.211</w:t>
                  </w:r>
                </w:p>
              </w:tc>
            </w:tr>
            <w:tr w14:paraId="72278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continue"/>
                  <w:tcBorders>
                    <w:tl2br w:val="nil"/>
                    <w:tr2bl w:val="nil"/>
                  </w:tcBorders>
                  <w:noWrap w:val="0"/>
                  <w:vAlign w:val="center"/>
                </w:tcPr>
                <w:p w14:paraId="3B818F57">
                  <w:pPr>
                    <w:jc w:val="center"/>
                    <w:rPr>
                      <w:rFonts w:ascii="Times New Roman" w:hAnsi="Times New Roman" w:eastAsia="宋体" w:cs="Times New Roman"/>
                      <w:color w:val="auto"/>
                      <w:sz w:val="18"/>
                      <w:szCs w:val="18"/>
                    </w:rPr>
                  </w:pPr>
                </w:p>
              </w:tc>
              <w:tc>
                <w:tcPr>
                  <w:tcW w:w="931" w:type="pct"/>
                  <w:tcBorders>
                    <w:tl2br w:val="nil"/>
                    <w:tr2bl w:val="nil"/>
                  </w:tcBorders>
                  <w:noWrap w:val="0"/>
                  <w:vAlign w:val="center"/>
                </w:tcPr>
                <w:p w14:paraId="158947E4">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环己烷</w:t>
                  </w:r>
                </w:p>
              </w:tc>
              <w:tc>
                <w:tcPr>
                  <w:tcW w:w="529" w:type="pct"/>
                  <w:tcBorders>
                    <w:tl2br w:val="nil"/>
                    <w:tr2bl w:val="nil"/>
                  </w:tcBorders>
                  <w:noWrap w:val="0"/>
                  <w:vAlign w:val="center"/>
                </w:tcPr>
                <w:p w14:paraId="6D01C729">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w:t>
                  </w:r>
                </w:p>
              </w:tc>
              <w:tc>
                <w:tcPr>
                  <w:tcW w:w="482" w:type="pct"/>
                  <w:tcBorders>
                    <w:tl2br w:val="nil"/>
                    <w:tr2bl w:val="nil"/>
                  </w:tcBorders>
                  <w:noWrap w:val="0"/>
                  <w:vAlign w:val="center"/>
                </w:tcPr>
                <w:p w14:paraId="0304F2B6">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631" w:type="pct"/>
                  <w:tcBorders>
                    <w:tl2br w:val="nil"/>
                    <w:tr2bl w:val="nil"/>
                  </w:tcBorders>
                  <w:noWrap w:val="0"/>
                  <w:vAlign w:val="center"/>
                </w:tcPr>
                <w:p w14:paraId="47DAB4B9">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0.735</w:t>
                  </w:r>
                </w:p>
              </w:tc>
              <w:tc>
                <w:tcPr>
                  <w:tcW w:w="624" w:type="pct"/>
                  <w:tcBorders>
                    <w:tl2br w:val="nil"/>
                    <w:tr2bl w:val="nil"/>
                  </w:tcBorders>
                  <w:noWrap w:val="0"/>
                  <w:vAlign w:val="center"/>
                </w:tcPr>
                <w:p w14:paraId="5D12D36A">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noWrap w:val="0"/>
                  <w:vAlign w:val="center"/>
                </w:tcPr>
                <w:p w14:paraId="264C9B02">
                  <w:pPr>
                    <w:jc w:val="center"/>
                    <w:rPr>
                      <w:rFonts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0.235</w:t>
                  </w:r>
                </w:p>
              </w:tc>
            </w:tr>
            <w:tr w14:paraId="488D4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continue"/>
                  <w:tcBorders>
                    <w:tl2br w:val="nil"/>
                    <w:tr2bl w:val="nil"/>
                  </w:tcBorders>
                  <w:noWrap w:val="0"/>
                  <w:vAlign w:val="center"/>
                </w:tcPr>
                <w:p w14:paraId="300512A6">
                  <w:pPr>
                    <w:jc w:val="center"/>
                    <w:rPr>
                      <w:rFonts w:ascii="Times New Roman" w:hAnsi="Times New Roman" w:eastAsia="宋体" w:cs="Times New Roman"/>
                      <w:color w:val="auto"/>
                      <w:sz w:val="18"/>
                      <w:szCs w:val="18"/>
                    </w:rPr>
                  </w:pPr>
                </w:p>
              </w:tc>
              <w:tc>
                <w:tcPr>
                  <w:tcW w:w="931" w:type="pct"/>
                  <w:tcBorders>
                    <w:tl2br w:val="nil"/>
                    <w:tr2bl w:val="nil"/>
                  </w:tcBorders>
                  <w:noWrap w:val="0"/>
                  <w:vAlign w:val="center"/>
                </w:tcPr>
                <w:p w14:paraId="109ED05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石油醚</w:t>
                  </w:r>
                </w:p>
              </w:tc>
              <w:tc>
                <w:tcPr>
                  <w:tcW w:w="529" w:type="pct"/>
                  <w:tcBorders>
                    <w:tl2br w:val="nil"/>
                    <w:tr2bl w:val="nil"/>
                  </w:tcBorders>
                  <w:noWrap w:val="0"/>
                  <w:vAlign w:val="center"/>
                </w:tcPr>
                <w:p w14:paraId="0544B076">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w:t>
                  </w:r>
                </w:p>
              </w:tc>
              <w:tc>
                <w:tcPr>
                  <w:tcW w:w="482" w:type="pct"/>
                  <w:tcBorders>
                    <w:tl2br w:val="nil"/>
                    <w:tr2bl w:val="nil"/>
                  </w:tcBorders>
                  <w:noWrap w:val="0"/>
                  <w:vAlign w:val="center"/>
                </w:tcPr>
                <w:p w14:paraId="748CD2D3">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w:t>
                  </w:r>
                </w:p>
              </w:tc>
              <w:tc>
                <w:tcPr>
                  <w:tcW w:w="631" w:type="pct"/>
                  <w:tcBorders>
                    <w:tl2br w:val="nil"/>
                    <w:tr2bl w:val="nil"/>
                  </w:tcBorders>
                  <w:noWrap w:val="0"/>
                  <w:vAlign w:val="center"/>
                </w:tcPr>
                <w:p w14:paraId="4F6B9D60">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66</w:t>
                  </w:r>
                </w:p>
              </w:tc>
              <w:tc>
                <w:tcPr>
                  <w:tcW w:w="624" w:type="pct"/>
                  <w:tcBorders>
                    <w:tl2br w:val="nil"/>
                    <w:tr2bl w:val="nil"/>
                  </w:tcBorders>
                  <w:noWrap w:val="0"/>
                  <w:vAlign w:val="center"/>
                </w:tcPr>
                <w:p w14:paraId="7EAB4C2E">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noWrap w:val="0"/>
                  <w:vAlign w:val="center"/>
                </w:tcPr>
                <w:p w14:paraId="3C2BB008">
                  <w:pPr>
                    <w:jc w:val="center"/>
                    <w:rPr>
                      <w:rFonts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0.264</w:t>
                  </w:r>
                </w:p>
              </w:tc>
            </w:tr>
            <w:tr w14:paraId="32BF3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continue"/>
                  <w:tcBorders>
                    <w:tl2br w:val="nil"/>
                    <w:tr2bl w:val="nil"/>
                  </w:tcBorders>
                  <w:noWrap w:val="0"/>
                  <w:vAlign w:val="center"/>
                </w:tcPr>
                <w:p w14:paraId="4CC08E6F">
                  <w:pPr>
                    <w:jc w:val="center"/>
                    <w:rPr>
                      <w:rFonts w:ascii="Times New Roman" w:hAnsi="Times New Roman" w:eastAsia="宋体" w:cs="Times New Roman"/>
                      <w:color w:val="auto"/>
                      <w:sz w:val="18"/>
                      <w:szCs w:val="18"/>
                    </w:rPr>
                  </w:pPr>
                </w:p>
              </w:tc>
              <w:tc>
                <w:tcPr>
                  <w:tcW w:w="931" w:type="pct"/>
                  <w:tcBorders>
                    <w:tl2br w:val="nil"/>
                    <w:tr2bl w:val="nil"/>
                  </w:tcBorders>
                  <w:noWrap w:val="0"/>
                  <w:vAlign w:val="center"/>
                </w:tcPr>
                <w:p w14:paraId="1679319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乙酸乙酯</w:t>
                  </w:r>
                </w:p>
              </w:tc>
              <w:tc>
                <w:tcPr>
                  <w:tcW w:w="529" w:type="pct"/>
                  <w:tcBorders>
                    <w:tl2br w:val="nil"/>
                    <w:tr2bl w:val="nil"/>
                  </w:tcBorders>
                  <w:noWrap w:val="0"/>
                  <w:vAlign w:val="center"/>
                </w:tcPr>
                <w:p w14:paraId="65DF310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w:t>
                  </w:r>
                </w:p>
              </w:tc>
              <w:tc>
                <w:tcPr>
                  <w:tcW w:w="482" w:type="pct"/>
                  <w:tcBorders>
                    <w:tl2br w:val="nil"/>
                    <w:tr2bl w:val="nil"/>
                  </w:tcBorders>
                  <w:noWrap w:val="0"/>
                  <w:vAlign w:val="center"/>
                </w:tcPr>
                <w:p w14:paraId="343BC309">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631" w:type="pct"/>
                  <w:tcBorders>
                    <w:tl2br w:val="nil"/>
                    <w:tr2bl w:val="nil"/>
                  </w:tcBorders>
                  <w:noWrap w:val="0"/>
                  <w:vAlign w:val="center"/>
                </w:tcPr>
                <w:p w14:paraId="11E9A073">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0.8</w:t>
                  </w:r>
                  <w:r>
                    <w:rPr>
                      <w:rFonts w:hint="default" w:ascii="Times New Roman" w:hAnsi="Times New Roman" w:eastAsia="宋体" w:cs="Times New Roman"/>
                      <w:color w:val="auto"/>
                      <w:sz w:val="18"/>
                      <w:szCs w:val="18"/>
                      <w:lang w:val="en-US" w:eastAsia="zh-CN"/>
                    </w:rPr>
                    <w:t>97</w:t>
                  </w:r>
                </w:p>
              </w:tc>
              <w:tc>
                <w:tcPr>
                  <w:tcW w:w="624" w:type="pct"/>
                  <w:tcBorders>
                    <w:tl2br w:val="nil"/>
                    <w:tr2bl w:val="nil"/>
                  </w:tcBorders>
                  <w:noWrap w:val="0"/>
                  <w:vAlign w:val="center"/>
                </w:tcPr>
                <w:p w14:paraId="6326B00F">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noWrap w:val="0"/>
                  <w:vAlign w:val="center"/>
                </w:tcPr>
                <w:p w14:paraId="76D00B2E">
                  <w:pPr>
                    <w:jc w:val="center"/>
                    <w:rPr>
                      <w:rFonts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0.287</w:t>
                  </w:r>
                </w:p>
              </w:tc>
            </w:tr>
            <w:tr w14:paraId="5C986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continue"/>
                  <w:tcBorders>
                    <w:tl2br w:val="nil"/>
                    <w:tr2bl w:val="nil"/>
                  </w:tcBorders>
                  <w:noWrap w:val="0"/>
                  <w:vAlign w:val="center"/>
                </w:tcPr>
                <w:p w14:paraId="4EB8C970">
                  <w:pPr>
                    <w:jc w:val="center"/>
                    <w:rPr>
                      <w:rFonts w:ascii="Times New Roman" w:hAnsi="Times New Roman" w:eastAsia="宋体" w:cs="Times New Roman"/>
                      <w:color w:val="auto"/>
                      <w:sz w:val="18"/>
                      <w:szCs w:val="18"/>
                    </w:rPr>
                  </w:pPr>
                </w:p>
              </w:tc>
              <w:tc>
                <w:tcPr>
                  <w:tcW w:w="931" w:type="pct"/>
                  <w:tcBorders>
                    <w:tl2br w:val="nil"/>
                    <w:tr2bl w:val="nil"/>
                  </w:tcBorders>
                  <w:noWrap w:val="0"/>
                  <w:vAlign w:val="center"/>
                </w:tcPr>
                <w:p w14:paraId="02C7F1FA">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正丁醇</w:t>
                  </w:r>
                </w:p>
              </w:tc>
              <w:tc>
                <w:tcPr>
                  <w:tcW w:w="529" w:type="pct"/>
                  <w:tcBorders>
                    <w:tl2br w:val="nil"/>
                    <w:tr2bl w:val="nil"/>
                  </w:tcBorders>
                  <w:noWrap w:val="0"/>
                  <w:vAlign w:val="center"/>
                </w:tcPr>
                <w:p w14:paraId="79467B9A">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w:t>
                  </w:r>
                </w:p>
              </w:tc>
              <w:tc>
                <w:tcPr>
                  <w:tcW w:w="482" w:type="pct"/>
                  <w:tcBorders>
                    <w:tl2br w:val="nil"/>
                    <w:tr2bl w:val="nil"/>
                  </w:tcBorders>
                  <w:noWrap w:val="0"/>
                  <w:vAlign w:val="center"/>
                </w:tcPr>
                <w:p w14:paraId="5876E909">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631" w:type="pct"/>
                  <w:tcBorders>
                    <w:tl2br w:val="nil"/>
                    <w:tr2bl w:val="nil"/>
                  </w:tcBorders>
                  <w:noWrap w:val="0"/>
                  <w:vAlign w:val="center"/>
                </w:tcPr>
                <w:p w14:paraId="38D8CADD">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0.81</w:t>
                  </w:r>
                </w:p>
              </w:tc>
              <w:tc>
                <w:tcPr>
                  <w:tcW w:w="624" w:type="pct"/>
                  <w:tcBorders>
                    <w:tl2br w:val="nil"/>
                    <w:tr2bl w:val="nil"/>
                  </w:tcBorders>
                  <w:noWrap w:val="0"/>
                  <w:vAlign w:val="center"/>
                </w:tcPr>
                <w:p w14:paraId="4948E8A7">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noWrap w:val="0"/>
                  <w:vAlign w:val="center"/>
                </w:tcPr>
                <w:p w14:paraId="086C894D">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0.259</w:t>
                  </w:r>
                </w:p>
              </w:tc>
            </w:tr>
            <w:tr w14:paraId="7FEB2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continue"/>
                  <w:tcBorders>
                    <w:tl2br w:val="nil"/>
                    <w:tr2bl w:val="nil"/>
                  </w:tcBorders>
                  <w:noWrap w:val="0"/>
                  <w:vAlign w:val="center"/>
                </w:tcPr>
                <w:p w14:paraId="4F837357">
                  <w:pPr>
                    <w:jc w:val="center"/>
                    <w:rPr>
                      <w:rFonts w:ascii="Times New Roman" w:hAnsi="Times New Roman" w:eastAsia="宋体" w:cs="Times New Roman"/>
                      <w:color w:val="auto"/>
                      <w:sz w:val="18"/>
                      <w:szCs w:val="18"/>
                    </w:rPr>
                  </w:pPr>
                </w:p>
              </w:tc>
              <w:tc>
                <w:tcPr>
                  <w:tcW w:w="931" w:type="pct"/>
                  <w:tcBorders>
                    <w:tl2br w:val="nil"/>
                    <w:tr2bl w:val="nil"/>
                  </w:tcBorders>
                  <w:shd w:val="clear" w:color="auto" w:fill="auto"/>
                  <w:noWrap w:val="0"/>
                  <w:vAlign w:val="center"/>
                </w:tcPr>
                <w:p w14:paraId="79E854ED">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异丙醇</w:t>
                  </w:r>
                </w:p>
              </w:tc>
              <w:tc>
                <w:tcPr>
                  <w:tcW w:w="529" w:type="pct"/>
                  <w:tcBorders>
                    <w:tl2br w:val="nil"/>
                    <w:tr2bl w:val="nil"/>
                  </w:tcBorders>
                  <w:noWrap w:val="0"/>
                  <w:vAlign w:val="center"/>
                </w:tcPr>
                <w:p w14:paraId="4BAB3D2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w:t>
                  </w:r>
                </w:p>
              </w:tc>
              <w:tc>
                <w:tcPr>
                  <w:tcW w:w="482" w:type="pct"/>
                  <w:tcBorders>
                    <w:tl2br w:val="nil"/>
                    <w:tr2bl w:val="nil"/>
                  </w:tcBorders>
                  <w:noWrap w:val="0"/>
                  <w:vAlign w:val="center"/>
                </w:tcPr>
                <w:p w14:paraId="338477ED">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17.5</w:t>
                  </w:r>
                </w:p>
              </w:tc>
              <w:tc>
                <w:tcPr>
                  <w:tcW w:w="631" w:type="pct"/>
                  <w:tcBorders>
                    <w:tl2br w:val="nil"/>
                    <w:tr2bl w:val="nil"/>
                  </w:tcBorders>
                  <w:noWrap w:val="0"/>
                  <w:vAlign w:val="center"/>
                </w:tcPr>
                <w:p w14:paraId="304B27BA">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0.7855</w:t>
                  </w:r>
                </w:p>
              </w:tc>
              <w:tc>
                <w:tcPr>
                  <w:tcW w:w="624" w:type="pct"/>
                  <w:tcBorders>
                    <w:tl2br w:val="nil"/>
                    <w:tr2bl w:val="nil"/>
                  </w:tcBorders>
                  <w:noWrap w:val="0"/>
                  <w:vAlign w:val="center"/>
                </w:tcPr>
                <w:p w14:paraId="0CB1D35F">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noWrap w:val="0"/>
                  <w:vAlign w:val="center"/>
                </w:tcPr>
                <w:p w14:paraId="3E243947">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2.199</w:t>
                  </w:r>
                </w:p>
              </w:tc>
            </w:tr>
            <w:tr w14:paraId="3B9D4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continue"/>
                  <w:tcBorders>
                    <w:tl2br w:val="nil"/>
                    <w:tr2bl w:val="nil"/>
                  </w:tcBorders>
                  <w:noWrap w:val="0"/>
                  <w:vAlign w:val="center"/>
                </w:tcPr>
                <w:p w14:paraId="6CA49866">
                  <w:pPr>
                    <w:jc w:val="center"/>
                    <w:rPr>
                      <w:rFonts w:ascii="Times New Roman" w:hAnsi="Times New Roman" w:eastAsia="宋体" w:cs="Times New Roman"/>
                      <w:color w:val="auto"/>
                      <w:sz w:val="18"/>
                      <w:szCs w:val="18"/>
                    </w:rPr>
                  </w:pPr>
                </w:p>
              </w:tc>
              <w:tc>
                <w:tcPr>
                  <w:tcW w:w="931" w:type="pct"/>
                  <w:tcBorders>
                    <w:tl2br w:val="nil"/>
                    <w:tr2bl w:val="nil"/>
                  </w:tcBorders>
                  <w:shd w:val="clear" w:color="auto" w:fill="auto"/>
                  <w:noWrap w:val="0"/>
                  <w:vAlign w:val="center"/>
                </w:tcPr>
                <w:p w14:paraId="6F5D2BA1">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四氢呋喃</w:t>
                  </w:r>
                </w:p>
              </w:tc>
              <w:tc>
                <w:tcPr>
                  <w:tcW w:w="529" w:type="pct"/>
                  <w:tcBorders>
                    <w:tl2br w:val="nil"/>
                    <w:tr2bl w:val="nil"/>
                  </w:tcBorders>
                  <w:noWrap w:val="0"/>
                  <w:vAlign w:val="center"/>
                </w:tcPr>
                <w:p w14:paraId="5EEC6F48">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w:t>
                  </w:r>
                </w:p>
              </w:tc>
              <w:tc>
                <w:tcPr>
                  <w:tcW w:w="482" w:type="pct"/>
                  <w:tcBorders>
                    <w:tl2br w:val="nil"/>
                    <w:tr2bl w:val="nil"/>
                  </w:tcBorders>
                  <w:noWrap w:val="0"/>
                  <w:vAlign w:val="center"/>
                </w:tcPr>
                <w:p w14:paraId="14AB0E61">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631" w:type="pct"/>
                  <w:tcBorders>
                    <w:tl2br w:val="nil"/>
                    <w:tr2bl w:val="nil"/>
                  </w:tcBorders>
                  <w:noWrap w:val="0"/>
                  <w:vAlign w:val="center"/>
                </w:tcPr>
                <w:p w14:paraId="62E0CACB">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0.89</w:t>
                  </w:r>
                </w:p>
              </w:tc>
              <w:tc>
                <w:tcPr>
                  <w:tcW w:w="624" w:type="pct"/>
                  <w:tcBorders>
                    <w:tl2br w:val="nil"/>
                    <w:tr2bl w:val="nil"/>
                  </w:tcBorders>
                  <w:noWrap w:val="0"/>
                  <w:vAlign w:val="center"/>
                </w:tcPr>
                <w:p w14:paraId="5445F1A6">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noWrap w:val="0"/>
                  <w:vAlign w:val="center"/>
                </w:tcPr>
                <w:p w14:paraId="0BF6094B">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0.285</w:t>
                  </w:r>
                </w:p>
              </w:tc>
            </w:tr>
            <w:tr w14:paraId="39185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27" w:type="pct"/>
                  <w:vMerge w:val="continue"/>
                  <w:tcBorders>
                    <w:tl2br w:val="nil"/>
                    <w:tr2bl w:val="nil"/>
                  </w:tcBorders>
                  <w:noWrap w:val="0"/>
                  <w:vAlign w:val="center"/>
                </w:tcPr>
                <w:p w14:paraId="14368411">
                  <w:pPr>
                    <w:jc w:val="center"/>
                    <w:rPr>
                      <w:rFonts w:ascii="Times New Roman" w:hAnsi="Times New Roman" w:eastAsia="宋体" w:cs="Times New Roman"/>
                      <w:color w:val="auto"/>
                      <w:sz w:val="18"/>
                      <w:szCs w:val="18"/>
                    </w:rPr>
                  </w:pPr>
                </w:p>
              </w:tc>
              <w:tc>
                <w:tcPr>
                  <w:tcW w:w="931" w:type="pct"/>
                  <w:tcBorders>
                    <w:tl2br w:val="nil"/>
                    <w:tr2bl w:val="nil"/>
                  </w:tcBorders>
                  <w:shd w:val="clear" w:color="auto" w:fill="auto"/>
                  <w:noWrap w:val="0"/>
                  <w:vAlign w:val="center"/>
                </w:tcPr>
                <w:p w14:paraId="5DDE69C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甲酸乙酯</w:t>
                  </w:r>
                </w:p>
              </w:tc>
              <w:tc>
                <w:tcPr>
                  <w:tcW w:w="529" w:type="pct"/>
                  <w:tcBorders>
                    <w:tl2br w:val="nil"/>
                    <w:tr2bl w:val="nil"/>
                  </w:tcBorders>
                  <w:noWrap w:val="0"/>
                  <w:vAlign w:val="center"/>
                </w:tcPr>
                <w:p w14:paraId="04C4E661">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w:t>
                  </w:r>
                </w:p>
              </w:tc>
              <w:tc>
                <w:tcPr>
                  <w:tcW w:w="482" w:type="pct"/>
                  <w:tcBorders>
                    <w:tl2br w:val="nil"/>
                    <w:tr2bl w:val="nil"/>
                  </w:tcBorders>
                  <w:noWrap w:val="0"/>
                  <w:vAlign w:val="center"/>
                </w:tcPr>
                <w:p w14:paraId="15A5F56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1.25</w:t>
                  </w:r>
                </w:p>
              </w:tc>
              <w:tc>
                <w:tcPr>
                  <w:tcW w:w="631" w:type="pct"/>
                  <w:tcBorders>
                    <w:tl2br w:val="nil"/>
                    <w:tr2bl w:val="nil"/>
                  </w:tcBorders>
                  <w:noWrap w:val="0"/>
                  <w:vAlign w:val="center"/>
                </w:tcPr>
                <w:p w14:paraId="4DFC77CB">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0.9168</w:t>
                  </w:r>
                </w:p>
              </w:tc>
              <w:tc>
                <w:tcPr>
                  <w:tcW w:w="624" w:type="pct"/>
                  <w:tcBorders>
                    <w:tl2br w:val="nil"/>
                    <w:tr2bl w:val="nil"/>
                  </w:tcBorders>
                  <w:noWrap w:val="0"/>
                  <w:vAlign w:val="center"/>
                </w:tcPr>
                <w:p w14:paraId="03C8995C">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72" w:type="pct"/>
                  <w:tcBorders>
                    <w:tl2br w:val="nil"/>
                    <w:tr2bl w:val="nil"/>
                  </w:tcBorders>
                  <w:noWrap w:val="0"/>
                  <w:vAlign w:val="center"/>
                </w:tcPr>
                <w:p w14:paraId="395421EC">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0.183</w:t>
                  </w:r>
                </w:p>
              </w:tc>
            </w:tr>
          </w:tbl>
          <w:p w14:paraId="6C4D1806">
            <w:pPr>
              <w:pStyle w:val="126"/>
              <w:keepNext/>
              <w:keepLines w:val="0"/>
              <w:pageBreakBefore w:val="0"/>
              <w:widowControl/>
              <w:kinsoku/>
              <w:wordWrap/>
              <w:overflowPunct/>
              <w:topLinePunct w:val="0"/>
              <w:autoSpaceDE/>
              <w:autoSpaceDN/>
              <w:bidi w:val="0"/>
              <w:adjustRightInd/>
              <w:snapToGrid w:val="0"/>
              <w:spacing w:before="0" w:beforeLines="0" w:after="0" w:line="240" w:lineRule="auto"/>
              <w:ind w:right="0"/>
              <w:textAlignment w:val="auto"/>
              <w:rPr>
                <w:rFonts w:hint="eastAsia"/>
                <w:color w:val="auto"/>
                <w:sz w:val="21"/>
                <w:szCs w:val="21"/>
                <w:highlight w:val="none"/>
                <w:lang w:val="en-US" w:eastAsia="zh-CN"/>
              </w:rPr>
            </w:pPr>
            <w:r>
              <w:rPr>
                <w:rFonts w:hint="eastAsia"/>
                <w:color w:val="auto"/>
                <w:sz w:val="21"/>
                <w:szCs w:val="21"/>
                <w:highlight w:val="none"/>
                <w:lang w:val="en-US" w:eastAsia="zh-CN"/>
              </w:rPr>
              <w:t xml:space="preserve">表33  </w:t>
            </w:r>
            <w:r>
              <w:rPr>
                <w:rFonts w:hint="eastAsia" w:ascii="Times New Roman" w:hAnsi="Times New Roman" w:eastAsia="宋体" w:cs="Times New Roman"/>
                <w:color w:val="auto"/>
                <w:kern w:val="0"/>
                <w:sz w:val="21"/>
                <w:szCs w:val="21"/>
                <w:highlight w:val="none"/>
                <w:lang w:val="en-US" w:eastAsia="zh-CN" w:bidi="ar"/>
              </w:rPr>
              <w:t>本项目</w:t>
            </w:r>
            <w:r>
              <w:rPr>
                <w:rFonts w:hint="eastAsia" w:eastAsia="宋体"/>
                <w:color w:val="auto"/>
                <w:sz w:val="21"/>
                <w:szCs w:val="21"/>
                <w:highlight w:val="none"/>
                <w:lang w:val="en-US" w:eastAsia="zh-CN"/>
              </w:rPr>
              <w:t>有机废气产排</w:t>
            </w:r>
            <w:r>
              <w:rPr>
                <w:rFonts w:hint="eastAsia"/>
                <w:color w:val="auto"/>
                <w:sz w:val="21"/>
                <w:szCs w:val="21"/>
                <w:highlight w:val="none"/>
                <w:lang w:val="en-US" w:eastAsia="zh-CN"/>
              </w:rPr>
              <w:t>情况表</w:t>
            </w:r>
          </w:p>
          <w:tbl>
            <w:tblPr>
              <w:tblStyle w:val="33"/>
              <w:tblW w:w="8280" w:type="dxa"/>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42"/>
              <w:gridCol w:w="677"/>
              <w:gridCol w:w="817"/>
              <w:gridCol w:w="1625"/>
              <w:gridCol w:w="872"/>
              <w:gridCol w:w="807"/>
              <w:gridCol w:w="1047"/>
              <w:gridCol w:w="874"/>
              <w:gridCol w:w="819"/>
            </w:tblGrid>
            <w:tr w14:paraId="774419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42" w:type="dxa"/>
                  <w:tcBorders>
                    <w:tl2br w:val="nil"/>
                    <w:tr2bl w:val="nil"/>
                  </w:tcBorders>
                  <w:noWrap/>
                  <w:vAlign w:val="center"/>
                </w:tcPr>
                <w:p w14:paraId="2744FD94">
                  <w:pPr>
                    <w:pStyle w:val="128"/>
                    <w:bidi w:val="0"/>
                    <w:rPr>
                      <w:rFonts w:hint="eastAsia"/>
                      <w:color w:val="auto"/>
                      <w:highlight w:val="none"/>
                    </w:rPr>
                  </w:pPr>
                  <w:r>
                    <w:rPr>
                      <w:rFonts w:hint="eastAsia"/>
                      <w:color w:val="auto"/>
                      <w:highlight w:val="none"/>
                      <w:lang w:val="en-US" w:eastAsia="zh-CN"/>
                    </w:rPr>
                    <w:t>工序</w:t>
                  </w:r>
                </w:p>
              </w:tc>
              <w:tc>
                <w:tcPr>
                  <w:tcW w:w="677" w:type="dxa"/>
                  <w:tcBorders>
                    <w:tl2br w:val="nil"/>
                    <w:tr2bl w:val="nil"/>
                  </w:tcBorders>
                  <w:noWrap/>
                  <w:vAlign w:val="center"/>
                </w:tcPr>
                <w:p w14:paraId="7CA81590">
                  <w:pPr>
                    <w:pStyle w:val="128"/>
                    <w:bidi w:val="0"/>
                    <w:rPr>
                      <w:rFonts w:hint="eastAsia"/>
                      <w:color w:val="auto"/>
                      <w:highlight w:val="none"/>
                    </w:rPr>
                  </w:pPr>
                  <w:r>
                    <w:rPr>
                      <w:rFonts w:hint="eastAsia"/>
                      <w:color w:val="auto"/>
                      <w:highlight w:val="none"/>
                      <w:lang w:val="en-US" w:eastAsia="zh-CN"/>
                    </w:rPr>
                    <w:t>污染因子</w:t>
                  </w:r>
                </w:p>
              </w:tc>
              <w:tc>
                <w:tcPr>
                  <w:tcW w:w="817" w:type="dxa"/>
                  <w:tcBorders>
                    <w:tl2br w:val="nil"/>
                    <w:tr2bl w:val="nil"/>
                  </w:tcBorders>
                  <w:noWrap/>
                  <w:vAlign w:val="center"/>
                </w:tcPr>
                <w:p w14:paraId="2F5ACDDA">
                  <w:pPr>
                    <w:pStyle w:val="128"/>
                    <w:bidi w:val="0"/>
                    <w:rPr>
                      <w:rFonts w:hint="eastAsia"/>
                      <w:color w:val="auto"/>
                      <w:highlight w:val="none"/>
                    </w:rPr>
                  </w:pPr>
                  <w:r>
                    <w:rPr>
                      <w:rFonts w:hint="eastAsia"/>
                      <w:color w:val="auto"/>
                      <w:highlight w:val="none"/>
                      <w:lang w:val="en-US" w:eastAsia="zh-CN"/>
                    </w:rPr>
                    <w:t>产生量t</w:t>
                  </w:r>
                  <w:r>
                    <w:rPr>
                      <w:rFonts w:hint="default"/>
                      <w:color w:val="auto"/>
                      <w:highlight w:val="none"/>
                      <w:lang w:val="en-US" w:eastAsia="zh-CN"/>
                    </w:rPr>
                    <w:t>/a</w:t>
                  </w:r>
                </w:p>
              </w:tc>
              <w:tc>
                <w:tcPr>
                  <w:tcW w:w="1625" w:type="dxa"/>
                  <w:tcBorders>
                    <w:tl2br w:val="nil"/>
                    <w:tr2bl w:val="nil"/>
                  </w:tcBorders>
                  <w:noWrap/>
                  <w:vAlign w:val="center"/>
                </w:tcPr>
                <w:p w14:paraId="08A0EB16">
                  <w:pPr>
                    <w:pStyle w:val="128"/>
                    <w:bidi w:val="0"/>
                    <w:rPr>
                      <w:rFonts w:hint="eastAsia"/>
                      <w:color w:val="auto"/>
                      <w:highlight w:val="none"/>
                    </w:rPr>
                  </w:pPr>
                  <w:r>
                    <w:rPr>
                      <w:rFonts w:hint="eastAsia"/>
                      <w:color w:val="auto"/>
                      <w:highlight w:val="none"/>
                      <w:lang w:val="en-US" w:eastAsia="zh-CN"/>
                    </w:rPr>
                    <w:t>治理措施</w:t>
                  </w:r>
                </w:p>
              </w:tc>
              <w:tc>
                <w:tcPr>
                  <w:tcW w:w="872" w:type="dxa"/>
                  <w:tcBorders>
                    <w:tl2br w:val="nil"/>
                    <w:tr2bl w:val="nil"/>
                  </w:tcBorders>
                  <w:noWrap/>
                  <w:vAlign w:val="center"/>
                </w:tcPr>
                <w:p w14:paraId="7027BEC0">
                  <w:pPr>
                    <w:pStyle w:val="128"/>
                    <w:bidi w:val="0"/>
                    <w:rPr>
                      <w:rFonts w:hint="eastAsia"/>
                      <w:color w:val="auto"/>
                      <w:highlight w:val="none"/>
                      <w:lang w:val="en-US" w:eastAsia="zh-CN"/>
                    </w:rPr>
                  </w:pPr>
                  <w:r>
                    <w:rPr>
                      <w:rFonts w:hint="eastAsia"/>
                      <w:color w:val="auto"/>
                      <w:highlight w:val="none"/>
                      <w:lang w:val="en-US" w:eastAsia="zh-CN"/>
                    </w:rPr>
                    <w:t>排放</w:t>
                  </w:r>
                </w:p>
                <w:p w14:paraId="0EA66DC7">
                  <w:pPr>
                    <w:pStyle w:val="128"/>
                    <w:bidi w:val="0"/>
                    <w:rPr>
                      <w:rFonts w:hint="eastAsia"/>
                      <w:color w:val="auto"/>
                      <w:highlight w:val="none"/>
                    </w:rPr>
                  </w:pPr>
                  <w:r>
                    <w:rPr>
                      <w:rFonts w:hint="eastAsia"/>
                      <w:color w:val="auto"/>
                      <w:highlight w:val="none"/>
                      <w:lang w:val="en-US" w:eastAsia="zh-CN"/>
                    </w:rPr>
                    <w:t>方式</w:t>
                  </w:r>
                </w:p>
              </w:tc>
              <w:tc>
                <w:tcPr>
                  <w:tcW w:w="807" w:type="dxa"/>
                  <w:tcBorders>
                    <w:tl2br w:val="nil"/>
                    <w:tr2bl w:val="nil"/>
                  </w:tcBorders>
                  <w:noWrap/>
                  <w:vAlign w:val="center"/>
                </w:tcPr>
                <w:p w14:paraId="167C7437">
                  <w:pPr>
                    <w:pStyle w:val="128"/>
                    <w:bidi w:val="0"/>
                    <w:rPr>
                      <w:rFonts w:hint="eastAsia"/>
                      <w:color w:val="auto"/>
                      <w:highlight w:val="none"/>
                    </w:rPr>
                  </w:pPr>
                  <w:r>
                    <w:rPr>
                      <w:rFonts w:hint="eastAsia"/>
                      <w:color w:val="auto"/>
                      <w:highlight w:val="none"/>
                      <w:lang w:val="en-US" w:eastAsia="zh-CN"/>
                    </w:rPr>
                    <w:t>风量</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/h</w:t>
                  </w:r>
                </w:p>
              </w:tc>
              <w:tc>
                <w:tcPr>
                  <w:tcW w:w="1047" w:type="dxa"/>
                  <w:tcBorders>
                    <w:tl2br w:val="nil"/>
                    <w:tr2bl w:val="nil"/>
                  </w:tcBorders>
                  <w:noWrap/>
                  <w:vAlign w:val="center"/>
                </w:tcPr>
                <w:p w14:paraId="44C07059">
                  <w:pPr>
                    <w:pStyle w:val="128"/>
                    <w:bidi w:val="0"/>
                    <w:rPr>
                      <w:rFonts w:hint="eastAsia"/>
                      <w:color w:val="auto"/>
                      <w:highlight w:val="none"/>
                    </w:rPr>
                  </w:pPr>
                  <w:r>
                    <w:rPr>
                      <w:rFonts w:hint="eastAsia"/>
                      <w:color w:val="auto"/>
                      <w:highlight w:val="none"/>
                      <w:lang w:val="en-US" w:eastAsia="zh-CN"/>
                    </w:rPr>
                    <w:t>排放浓度</w:t>
                  </w:r>
                  <w:r>
                    <w:rPr>
                      <w:rFonts w:hint="default"/>
                      <w:color w:val="auto"/>
                      <w:highlight w:val="none"/>
                      <w:lang w:val="en-US" w:eastAsia="zh-CN"/>
                    </w:rPr>
                    <w:t>mg/m</w:t>
                  </w:r>
                  <w:r>
                    <w:rPr>
                      <w:rFonts w:hint="default"/>
                      <w:color w:val="auto"/>
                      <w:highlight w:val="none"/>
                      <w:vertAlign w:val="superscript"/>
                      <w:lang w:val="en-US" w:eastAsia="zh-CN"/>
                    </w:rPr>
                    <w:t>3</w:t>
                  </w:r>
                </w:p>
              </w:tc>
              <w:tc>
                <w:tcPr>
                  <w:tcW w:w="874" w:type="dxa"/>
                  <w:tcBorders>
                    <w:tl2br w:val="nil"/>
                    <w:tr2bl w:val="nil"/>
                  </w:tcBorders>
                  <w:noWrap/>
                  <w:vAlign w:val="center"/>
                </w:tcPr>
                <w:p w14:paraId="77E7A613">
                  <w:pPr>
                    <w:pStyle w:val="128"/>
                    <w:bidi w:val="0"/>
                    <w:rPr>
                      <w:rFonts w:hint="eastAsia"/>
                      <w:color w:val="auto"/>
                      <w:highlight w:val="none"/>
                    </w:rPr>
                  </w:pPr>
                  <w:r>
                    <w:rPr>
                      <w:rFonts w:hint="eastAsia"/>
                      <w:color w:val="auto"/>
                      <w:highlight w:val="none"/>
                      <w:lang w:val="en-US" w:eastAsia="zh-CN"/>
                    </w:rPr>
                    <w:t>排放速率</w:t>
                  </w:r>
                  <w:r>
                    <w:rPr>
                      <w:rFonts w:hint="default"/>
                      <w:color w:val="auto"/>
                      <w:highlight w:val="none"/>
                      <w:lang w:val="en-US" w:eastAsia="zh-CN"/>
                    </w:rPr>
                    <w:t>kg/h</w:t>
                  </w:r>
                </w:p>
              </w:tc>
              <w:tc>
                <w:tcPr>
                  <w:tcW w:w="819" w:type="dxa"/>
                  <w:tcBorders>
                    <w:tl2br w:val="nil"/>
                    <w:tr2bl w:val="nil"/>
                  </w:tcBorders>
                  <w:noWrap/>
                  <w:vAlign w:val="center"/>
                </w:tcPr>
                <w:p w14:paraId="3C1D8134">
                  <w:pPr>
                    <w:pStyle w:val="128"/>
                    <w:bidi w:val="0"/>
                    <w:rPr>
                      <w:rFonts w:hint="eastAsia"/>
                      <w:color w:val="auto"/>
                      <w:highlight w:val="none"/>
                    </w:rPr>
                  </w:pPr>
                  <w:r>
                    <w:rPr>
                      <w:rFonts w:hint="eastAsia"/>
                      <w:color w:val="auto"/>
                      <w:highlight w:val="none"/>
                      <w:lang w:val="en-US" w:eastAsia="zh-CN"/>
                    </w:rPr>
                    <w:t>排放量</w:t>
                  </w:r>
                  <w:r>
                    <w:rPr>
                      <w:rFonts w:hint="default"/>
                      <w:color w:val="auto"/>
                      <w:highlight w:val="none"/>
                      <w:lang w:val="en-US" w:eastAsia="zh-CN"/>
                    </w:rPr>
                    <w:t>t/a</w:t>
                  </w:r>
                </w:p>
              </w:tc>
            </w:tr>
            <w:tr w14:paraId="23200A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42" w:type="dxa"/>
                  <w:tcBorders>
                    <w:tl2br w:val="nil"/>
                    <w:tr2bl w:val="nil"/>
                  </w:tcBorders>
                  <w:noWrap w:val="0"/>
                  <w:vAlign w:val="center"/>
                </w:tcPr>
                <w:p w14:paraId="348787BF">
                  <w:pPr>
                    <w:pStyle w:val="128"/>
                    <w:bidi w:val="0"/>
                    <w:rPr>
                      <w:rFonts w:hint="default" w:eastAsia="宋体"/>
                      <w:color w:val="auto"/>
                      <w:highlight w:val="none"/>
                      <w:lang w:val="en-US" w:eastAsia="zh-CN"/>
                    </w:rPr>
                  </w:pPr>
                  <w:r>
                    <w:rPr>
                      <w:rFonts w:hint="eastAsia"/>
                      <w:color w:val="auto"/>
                      <w:highlight w:val="none"/>
                      <w:lang w:val="en-US" w:eastAsia="zh-CN"/>
                    </w:rPr>
                    <w:t>有机溶剂</w:t>
                  </w:r>
                </w:p>
              </w:tc>
              <w:tc>
                <w:tcPr>
                  <w:tcW w:w="677" w:type="dxa"/>
                  <w:tcBorders>
                    <w:tl2br w:val="nil"/>
                    <w:tr2bl w:val="nil"/>
                  </w:tcBorders>
                  <w:noWrap/>
                  <w:vAlign w:val="center"/>
                </w:tcPr>
                <w:p w14:paraId="64CB6FE4">
                  <w:pPr>
                    <w:pStyle w:val="128"/>
                    <w:bidi w:val="0"/>
                    <w:rPr>
                      <w:rFonts w:hint="eastAsia"/>
                      <w:color w:val="auto"/>
                      <w:highlight w:val="none"/>
                    </w:rPr>
                  </w:pPr>
                  <w:r>
                    <w:rPr>
                      <w:rFonts w:hint="eastAsia"/>
                      <w:color w:val="auto"/>
                      <w:highlight w:val="none"/>
                      <w:lang w:val="en-US" w:eastAsia="zh-CN"/>
                    </w:rPr>
                    <w:t>非甲烷总烃</w:t>
                  </w:r>
                </w:p>
              </w:tc>
              <w:tc>
                <w:tcPr>
                  <w:tcW w:w="817" w:type="dxa"/>
                  <w:tcBorders>
                    <w:tl2br w:val="nil"/>
                    <w:tr2bl w:val="nil"/>
                  </w:tcBorders>
                  <w:noWrap/>
                  <w:vAlign w:val="center"/>
                </w:tcPr>
                <w:p w14:paraId="3E1A3460">
                  <w:pPr>
                    <w:keepNext w:val="0"/>
                    <w:keepLines w:val="0"/>
                    <w:widowControl/>
                    <w:suppressLineNumbers w:val="0"/>
                    <w:jc w:val="center"/>
                    <w:textAlignment w:val="center"/>
                    <w:rPr>
                      <w:rFonts w:hint="default"/>
                      <w:color w:val="auto"/>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1625" w:type="dxa"/>
                  <w:tcBorders>
                    <w:tl2br w:val="nil"/>
                    <w:tr2bl w:val="nil"/>
                  </w:tcBorders>
                  <w:noWrap w:val="0"/>
                  <w:vAlign w:val="center"/>
                </w:tcPr>
                <w:p w14:paraId="4F65105F">
                  <w:pPr>
                    <w:keepNext w:val="0"/>
                    <w:keepLines w:val="0"/>
                    <w:widowControl/>
                    <w:suppressLineNumbers w:val="0"/>
                    <w:jc w:val="center"/>
                    <w:textAlignment w:val="center"/>
                    <w:rPr>
                      <w:rFonts w:hint="eastAsia"/>
                      <w:color w:val="auto"/>
                      <w:highlight w:val="none"/>
                    </w:rPr>
                  </w:pPr>
                  <w:r>
                    <w:rPr>
                      <w:rFonts w:hint="eastAsia"/>
                      <w:color w:val="auto"/>
                      <w:highlight w:val="none"/>
                      <w:lang w:val="en-US" w:eastAsia="zh-CN"/>
                    </w:rPr>
                    <w:t>通风橱三面封闭，一面半封闭，侧吸风</w:t>
                  </w:r>
                </w:p>
              </w:tc>
              <w:tc>
                <w:tcPr>
                  <w:tcW w:w="872" w:type="dxa"/>
                  <w:tcBorders>
                    <w:tl2br w:val="nil"/>
                    <w:tr2bl w:val="nil"/>
                  </w:tcBorders>
                  <w:noWrap/>
                  <w:vAlign w:val="center"/>
                </w:tcPr>
                <w:p w14:paraId="57138217">
                  <w:pPr>
                    <w:keepNext w:val="0"/>
                    <w:keepLines w:val="0"/>
                    <w:widowControl/>
                    <w:suppressLineNumbers w:val="0"/>
                    <w:jc w:val="center"/>
                    <w:textAlignment w:val="center"/>
                    <w:rPr>
                      <w:rFonts w:hint="eastAsia"/>
                      <w:color w:val="auto"/>
                      <w:highlight w:val="none"/>
                    </w:rPr>
                  </w:pPr>
                  <w:r>
                    <w:rPr>
                      <w:rFonts w:hint="eastAsia" w:ascii="宋体" w:hAnsi="宋体" w:eastAsia="宋体" w:cs="宋体"/>
                      <w:i w:val="0"/>
                      <w:iCs w:val="0"/>
                      <w:color w:val="auto"/>
                      <w:kern w:val="0"/>
                      <w:sz w:val="21"/>
                      <w:szCs w:val="21"/>
                      <w:u w:val="none"/>
                      <w:lang w:val="en-US" w:eastAsia="zh-CN" w:bidi="ar"/>
                    </w:rPr>
                    <w:t>无组织</w:t>
                  </w:r>
                </w:p>
              </w:tc>
              <w:tc>
                <w:tcPr>
                  <w:tcW w:w="807" w:type="dxa"/>
                  <w:tcBorders>
                    <w:tl2br w:val="nil"/>
                    <w:tr2bl w:val="nil"/>
                  </w:tcBorders>
                  <w:noWrap/>
                  <w:vAlign w:val="center"/>
                </w:tcPr>
                <w:p w14:paraId="56DB8987">
                  <w:pPr>
                    <w:keepNext w:val="0"/>
                    <w:keepLines w:val="0"/>
                    <w:widowControl/>
                    <w:suppressLineNumbers w:val="0"/>
                    <w:jc w:val="center"/>
                    <w:textAlignment w:val="center"/>
                    <w:rPr>
                      <w:rFonts w:hint="default"/>
                      <w:color w:val="auto"/>
                      <w:highlight w:val="none"/>
                      <w:lang w:val="en-US"/>
                    </w:rPr>
                  </w:pPr>
                  <w:r>
                    <w:rPr>
                      <w:rFonts w:hint="eastAsia" w:cs="Times New Roman"/>
                      <w:i w:val="0"/>
                      <w:iCs w:val="0"/>
                      <w:color w:val="auto"/>
                      <w:kern w:val="0"/>
                      <w:sz w:val="21"/>
                      <w:szCs w:val="21"/>
                      <w:u w:val="none"/>
                      <w:lang w:val="en-US" w:eastAsia="zh-CN" w:bidi="ar"/>
                    </w:rPr>
                    <w:t>/</w:t>
                  </w:r>
                </w:p>
              </w:tc>
              <w:tc>
                <w:tcPr>
                  <w:tcW w:w="1047" w:type="dxa"/>
                  <w:tcBorders>
                    <w:tl2br w:val="nil"/>
                    <w:tr2bl w:val="nil"/>
                  </w:tcBorders>
                  <w:noWrap/>
                  <w:vAlign w:val="center"/>
                </w:tcPr>
                <w:p w14:paraId="227155ED">
                  <w:pPr>
                    <w:keepNext w:val="0"/>
                    <w:keepLines w:val="0"/>
                    <w:widowControl/>
                    <w:suppressLineNumbers w:val="0"/>
                    <w:jc w:val="center"/>
                    <w:textAlignment w:val="center"/>
                    <w:rPr>
                      <w:rFonts w:hint="default"/>
                      <w:color w:val="auto"/>
                      <w:highlight w:val="none"/>
                      <w:lang w:val="en-US"/>
                    </w:rPr>
                  </w:pPr>
                  <w:r>
                    <w:rPr>
                      <w:rFonts w:hint="eastAsia" w:cs="Times New Roman"/>
                      <w:i w:val="0"/>
                      <w:iCs w:val="0"/>
                      <w:color w:val="auto"/>
                      <w:kern w:val="0"/>
                      <w:sz w:val="21"/>
                      <w:szCs w:val="21"/>
                      <w:u w:val="none"/>
                      <w:lang w:val="en-US" w:eastAsia="zh-CN" w:bidi="ar"/>
                    </w:rPr>
                    <w:t>/</w:t>
                  </w:r>
                </w:p>
              </w:tc>
              <w:tc>
                <w:tcPr>
                  <w:tcW w:w="874" w:type="dxa"/>
                  <w:tcBorders>
                    <w:tl2br w:val="nil"/>
                    <w:tr2bl w:val="nil"/>
                  </w:tcBorders>
                  <w:noWrap/>
                  <w:vAlign w:val="center"/>
                </w:tcPr>
                <w:p w14:paraId="22423A36">
                  <w:pPr>
                    <w:keepNext w:val="0"/>
                    <w:keepLines w:val="0"/>
                    <w:widowControl/>
                    <w:suppressLineNumbers w:val="0"/>
                    <w:jc w:val="center"/>
                    <w:textAlignment w:val="center"/>
                    <w:rPr>
                      <w:rFonts w:hint="default"/>
                      <w:color w:val="auto"/>
                      <w:highlight w:val="none"/>
                      <w:lang w:val="en-US"/>
                    </w:rPr>
                  </w:pPr>
                  <w:r>
                    <w:rPr>
                      <w:rFonts w:hint="eastAsia" w:cs="Times New Roman"/>
                      <w:i w:val="0"/>
                      <w:iCs w:val="0"/>
                      <w:color w:val="auto"/>
                      <w:kern w:val="0"/>
                      <w:sz w:val="21"/>
                      <w:szCs w:val="21"/>
                      <w:u w:val="none"/>
                      <w:lang w:val="en-US" w:eastAsia="zh-CN" w:bidi="ar"/>
                    </w:rPr>
                    <w:t>0.02</w:t>
                  </w:r>
                </w:p>
              </w:tc>
              <w:tc>
                <w:tcPr>
                  <w:tcW w:w="819" w:type="dxa"/>
                  <w:tcBorders>
                    <w:tl2br w:val="nil"/>
                    <w:tr2bl w:val="nil"/>
                  </w:tcBorders>
                  <w:noWrap/>
                  <w:vAlign w:val="center"/>
                </w:tcPr>
                <w:p w14:paraId="278E2B7F">
                  <w:pPr>
                    <w:keepNext w:val="0"/>
                    <w:keepLines w:val="0"/>
                    <w:widowControl/>
                    <w:suppressLineNumbers w:val="0"/>
                    <w:jc w:val="center"/>
                    <w:textAlignment w:val="center"/>
                    <w:rPr>
                      <w:rFonts w:hint="default"/>
                      <w:color w:val="auto"/>
                      <w:highlight w:val="none"/>
                      <w:lang w:val="en-US"/>
                    </w:rPr>
                  </w:pPr>
                  <w:r>
                    <w:rPr>
                      <w:rFonts w:hint="eastAsia" w:cs="Times New Roman"/>
                      <w:i w:val="0"/>
                      <w:iCs w:val="0"/>
                      <w:color w:val="auto"/>
                      <w:kern w:val="0"/>
                      <w:sz w:val="21"/>
                      <w:szCs w:val="21"/>
                      <w:u w:val="none"/>
                      <w:lang w:val="en-US" w:eastAsia="zh-CN" w:bidi="ar"/>
                    </w:rPr>
                    <w:t>0.06</w:t>
                  </w:r>
                </w:p>
              </w:tc>
            </w:tr>
          </w:tbl>
          <w:p w14:paraId="3D9F0495">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（2）无机废气</w:t>
            </w:r>
          </w:p>
          <w:p w14:paraId="55BC49D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HCl、硫酸雾等酸性废气的挥发量参考环境统计手册中：“第十五章 医药工业环境统计第三节 医药工业废气统计与计算”中有害物质敞露存放时的散发量计算公式：</w:t>
            </w:r>
          </w:p>
          <w:p w14:paraId="3D1FF471">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sz w:val="24"/>
                <w:szCs w:val="24"/>
                <w:lang w:eastAsia="zh-CN"/>
              </w:rPr>
            </w:pPr>
            <w:r>
              <w:rPr>
                <w:rFonts w:hint="default" w:ascii="Times New Roman" w:hAnsi="Times New Roman" w:eastAsia="仿宋_GB2312" w:cs="Times New Roman"/>
                <w:b w:val="0"/>
                <w:bCs w:val="0"/>
                <w:color w:val="auto"/>
                <w:sz w:val="24"/>
                <w:szCs w:val="24"/>
                <w:lang w:eastAsia="zh-CN"/>
              </w:rPr>
              <w:t>G</w:t>
            </w:r>
            <w:r>
              <w:rPr>
                <w:rFonts w:hint="default" w:ascii="Times New Roman" w:hAnsi="Times New Roman" w:eastAsia="仿宋_GB2312" w:cs="Times New Roman"/>
                <w:b w:val="0"/>
                <w:bCs w:val="0"/>
                <w:color w:val="auto"/>
                <w:sz w:val="24"/>
                <w:szCs w:val="24"/>
                <w:vertAlign w:val="subscript"/>
                <w:lang w:eastAsia="zh-CN"/>
              </w:rPr>
              <w:t>S</w:t>
            </w:r>
            <w:r>
              <w:rPr>
                <w:rFonts w:hint="default" w:ascii="Times New Roman" w:hAnsi="Times New Roman" w:eastAsia="仿宋_GB2312" w:cs="Times New Roman"/>
                <w:b w:val="0"/>
                <w:bCs w:val="0"/>
                <w:color w:val="auto"/>
                <w:sz w:val="24"/>
                <w:szCs w:val="24"/>
                <w:lang w:eastAsia="zh-CN"/>
              </w:rPr>
              <w:t>=（5.38+4.1V）P·F·M</w:t>
            </w:r>
          </w:p>
          <w:p w14:paraId="1971AF4C">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sz w:val="24"/>
                <w:szCs w:val="24"/>
                <w:lang w:eastAsia="zh-CN"/>
              </w:rPr>
            </w:pPr>
            <w:r>
              <w:rPr>
                <w:rFonts w:hint="default" w:ascii="Times New Roman" w:hAnsi="Times New Roman" w:eastAsia="仿宋_GB2312" w:cs="Times New Roman"/>
                <w:b w:val="0"/>
                <w:bCs w:val="0"/>
                <w:color w:val="auto"/>
                <w:sz w:val="24"/>
                <w:szCs w:val="24"/>
                <w:lang w:eastAsia="zh-CN"/>
              </w:rPr>
              <w:t>式中：</w:t>
            </w:r>
          </w:p>
          <w:p w14:paraId="2297C15F">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sz w:val="24"/>
                <w:szCs w:val="24"/>
                <w:lang w:eastAsia="zh-CN"/>
              </w:rPr>
            </w:pPr>
            <w:r>
              <w:rPr>
                <w:rFonts w:hint="default" w:ascii="Times New Roman" w:hAnsi="Times New Roman" w:eastAsia="仿宋_GB2312" w:cs="Times New Roman"/>
                <w:b w:val="0"/>
                <w:bCs w:val="0"/>
                <w:color w:val="auto"/>
                <w:sz w:val="24"/>
                <w:szCs w:val="24"/>
                <w:lang w:eastAsia="zh-CN"/>
              </w:rPr>
              <w:t>Gs——有害物质的散发量（克/时）；</w:t>
            </w:r>
          </w:p>
          <w:p w14:paraId="7370E79E">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sz w:val="24"/>
                <w:szCs w:val="24"/>
                <w:lang w:eastAsia="zh-CN"/>
              </w:rPr>
            </w:pPr>
            <w:r>
              <w:rPr>
                <w:rFonts w:hint="default" w:ascii="Times New Roman" w:hAnsi="Times New Roman" w:eastAsia="仿宋_GB2312" w:cs="Times New Roman"/>
                <w:b w:val="0"/>
                <w:bCs w:val="0"/>
                <w:color w:val="auto"/>
                <w:sz w:val="24"/>
                <w:szCs w:val="24"/>
                <w:lang w:eastAsia="zh-CN"/>
              </w:rPr>
              <w:t>V——厂房或室内风速（米/秒）；</w:t>
            </w:r>
          </w:p>
          <w:p w14:paraId="7DA1CA46">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sz w:val="24"/>
                <w:szCs w:val="24"/>
                <w:lang w:eastAsia="zh-CN"/>
              </w:rPr>
            </w:pPr>
            <w:r>
              <w:rPr>
                <w:rFonts w:hint="default" w:ascii="Times New Roman" w:hAnsi="Times New Roman" w:eastAsia="仿宋_GB2312" w:cs="Times New Roman"/>
                <w:b w:val="0"/>
                <w:bCs w:val="0"/>
                <w:color w:val="auto"/>
                <w:sz w:val="24"/>
                <w:szCs w:val="24"/>
                <w:lang w:eastAsia="zh-CN"/>
              </w:rPr>
              <w:t>P——有害物质在室温时饱和蒸气压（毫米汞）；</w:t>
            </w:r>
          </w:p>
          <w:p w14:paraId="4F896F98">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sz w:val="24"/>
                <w:szCs w:val="24"/>
                <w:lang w:eastAsia="zh-CN"/>
              </w:rPr>
            </w:pPr>
            <w:r>
              <w:rPr>
                <w:rFonts w:hint="default" w:ascii="Times New Roman" w:hAnsi="Times New Roman" w:eastAsia="仿宋_GB2312" w:cs="Times New Roman"/>
                <w:b w:val="0"/>
                <w:bCs w:val="0"/>
                <w:color w:val="auto"/>
                <w:sz w:val="24"/>
                <w:szCs w:val="24"/>
                <w:lang w:eastAsia="zh-CN"/>
              </w:rPr>
              <w:t>F——有害物质的敞露面积（</w:t>
            </w:r>
            <w:r>
              <w:rPr>
                <w:rFonts w:hint="default" w:ascii="Times New Roman" w:hAnsi="Times New Roman" w:eastAsia="仿宋_GB2312" w:cs="Times New Roman"/>
                <w:b w:val="0"/>
                <w:bCs w:val="0"/>
                <w:color w:val="auto"/>
                <w:sz w:val="24"/>
                <w:szCs w:val="24"/>
                <w:lang w:val="en-US" w:eastAsia="zh-CN"/>
              </w:rPr>
              <w:t>m</w:t>
            </w:r>
            <w:r>
              <w:rPr>
                <w:rFonts w:hint="default" w:ascii="Times New Roman" w:hAnsi="Times New Roman" w:eastAsia="仿宋_GB2312" w:cs="Times New Roman"/>
                <w:b w:val="0"/>
                <w:bCs w:val="0"/>
                <w:color w:val="auto"/>
                <w:sz w:val="24"/>
                <w:szCs w:val="24"/>
                <w:vertAlign w:val="superscript"/>
                <w:lang w:eastAsia="zh-CN"/>
              </w:rPr>
              <w:t>2</w:t>
            </w:r>
            <w:r>
              <w:rPr>
                <w:rFonts w:hint="default" w:ascii="Times New Roman" w:hAnsi="Times New Roman" w:eastAsia="仿宋_GB2312" w:cs="Times New Roman"/>
                <w:b w:val="0"/>
                <w:bCs w:val="0"/>
                <w:color w:val="auto"/>
                <w:sz w:val="24"/>
                <w:szCs w:val="24"/>
                <w:lang w:eastAsia="zh-CN"/>
              </w:rPr>
              <w:t>）；</w:t>
            </w:r>
          </w:p>
          <w:p w14:paraId="39D08948">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sz w:val="24"/>
                <w:szCs w:val="24"/>
                <w:lang w:eastAsia="zh-CN"/>
              </w:rPr>
            </w:pPr>
            <w:r>
              <w:rPr>
                <w:rFonts w:hint="default" w:ascii="Times New Roman" w:hAnsi="Times New Roman" w:eastAsia="仿宋_GB2312" w:cs="Times New Roman"/>
                <w:b w:val="0"/>
                <w:bCs w:val="0"/>
                <w:color w:val="auto"/>
                <w:sz w:val="24"/>
                <w:szCs w:val="24"/>
                <w:lang w:eastAsia="zh-CN"/>
              </w:rPr>
              <w:t>M——有害物质的分子量；</w:t>
            </w:r>
          </w:p>
          <w:p w14:paraId="45D7551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根据实验室实际操作情况，各试剂仅在取用时会打开试剂瓶，操作频率按10次/d计，每次取用时间以2min计，则试剂瓶年开启时长为66.7h。</w:t>
            </w:r>
          </w:p>
          <w:p w14:paraId="04F49AC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①酸性废气</w:t>
            </w:r>
          </w:p>
          <w:p w14:paraId="5AB7F42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硫酸雾计算：根据一般实验条件及容器（半径3cm）计算，M取值98，V取值0.30，P为实验室温度20℃查表得17.48，F取值0.00283，经计算可得GS=32.07g/h，硫酸试剂瓶年开启时长按66.7h计，则硫酸雾的挥发量为2.14kg/a（0.00107kg/h）；</w:t>
            </w:r>
          </w:p>
          <w:p w14:paraId="7381062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HCl的计算：根据一般实验条件及容器（半径3cm）计算，M取值36.5，V取值0.3，P为实验室温度20℃查表得17.48，F取值0.00283，经计算可得GS=11.93g/h，盐酸试剂瓶年开启时长按66.7h计，HCl的挥发量为0.796kg/a（0.000398kg/h）；</w:t>
            </w:r>
          </w:p>
          <w:p w14:paraId="5E958DA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NOx的计算：根据一般实验条件及容器（半径3cm）计算，M取值63.01，V取值0.3，P为实验室温度20℃查表得17.48，F取值0.00283，经计算可得GS=20.6g/h，盐酸试剂瓶年开启时长按66.7h计，NOx的挥发量为1.37kg/a（0.000685kg/h）；</w:t>
            </w:r>
          </w:p>
          <w:p w14:paraId="6982674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酸性废气经各实验室通风橱（收集效率90%）收集后</w:t>
            </w:r>
            <w:r>
              <w:rPr>
                <w:rFonts w:hint="eastAsia" w:eastAsia="仿宋_GB2312" w:cs="Times New Roman"/>
                <w:color w:val="auto"/>
                <w:kern w:val="2"/>
                <w:sz w:val="24"/>
                <w:szCs w:val="24"/>
                <w:highlight w:val="none"/>
                <w:lang w:val="en-US" w:eastAsia="zh-CN" w:bidi="ar-SA"/>
              </w:rPr>
              <w:t>无组织排放</w:t>
            </w:r>
            <w:r>
              <w:rPr>
                <w:rFonts w:hint="eastAsia" w:ascii="Times New Roman" w:hAnsi="Times New Roman" w:eastAsia="仿宋_GB2312" w:cs="Times New Roman"/>
                <w:color w:val="auto"/>
                <w:kern w:val="2"/>
                <w:sz w:val="24"/>
                <w:szCs w:val="24"/>
                <w:highlight w:val="none"/>
                <w:lang w:val="en-US" w:eastAsia="zh-CN" w:bidi="ar-SA"/>
              </w:rPr>
              <w:t>。</w:t>
            </w:r>
          </w:p>
          <w:p w14:paraId="416E68B7">
            <w:pPr>
              <w:keepNext w:val="0"/>
              <w:keepLines w:val="0"/>
              <w:pageBreakBefore w:val="0"/>
              <w:widowControl/>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eastAsia="zh-CN"/>
              </w:rPr>
              <w:t>表</w:t>
            </w:r>
            <w:r>
              <w:rPr>
                <w:rFonts w:hint="eastAsia" w:cs="Times New Roman"/>
                <w:b/>
                <w:bCs/>
                <w:color w:val="auto"/>
                <w:sz w:val="24"/>
                <w:szCs w:val="24"/>
                <w:lang w:val="en-US" w:eastAsia="zh-CN"/>
              </w:rPr>
              <w:t>34</w:t>
            </w:r>
            <w:r>
              <w:rPr>
                <w:rFonts w:hint="eastAsia" w:ascii="Times New Roman" w:hAnsi="Times New Roman" w:eastAsia="宋体" w:cs="Times New Roman"/>
                <w:b/>
                <w:bCs/>
                <w:color w:val="auto"/>
                <w:sz w:val="24"/>
                <w:szCs w:val="24"/>
                <w:lang w:val="en-US" w:eastAsia="zh-CN"/>
              </w:rPr>
              <w:t xml:space="preserve">   废气产排情况一览表</w:t>
            </w:r>
          </w:p>
          <w:tbl>
            <w:tblPr>
              <w:tblStyle w:val="34"/>
              <w:tblW w:w="83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933"/>
              <w:gridCol w:w="1167"/>
              <w:gridCol w:w="1156"/>
              <w:gridCol w:w="837"/>
              <w:gridCol w:w="994"/>
              <w:gridCol w:w="1109"/>
              <w:gridCol w:w="1123"/>
            </w:tblGrid>
            <w:tr w14:paraId="76263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17" w:type="dxa"/>
                  <w:tcBorders>
                    <w:tl2br w:val="nil"/>
                    <w:tr2bl w:val="nil"/>
                  </w:tcBorders>
                  <w:vAlign w:val="center"/>
                </w:tcPr>
                <w:p w14:paraId="2174DC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污染物名称</w:t>
                  </w:r>
                </w:p>
              </w:tc>
              <w:tc>
                <w:tcPr>
                  <w:tcW w:w="933" w:type="dxa"/>
                  <w:tcBorders>
                    <w:tl2br w:val="nil"/>
                    <w:tr2bl w:val="nil"/>
                  </w:tcBorders>
                  <w:vAlign w:val="center"/>
                </w:tcPr>
                <w:p w14:paraId="153447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排放方式</w:t>
                  </w:r>
                </w:p>
              </w:tc>
              <w:tc>
                <w:tcPr>
                  <w:tcW w:w="1167" w:type="dxa"/>
                  <w:tcBorders>
                    <w:tl2br w:val="nil"/>
                    <w:tr2bl w:val="nil"/>
                  </w:tcBorders>
                  <w:vAlign w:val="center"/>
                </w:tcPr>
                <w:p w14:paraId="4E1016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产生量</w:t>
                  </w:r>
                </w:p>
              </w:tc>
              <w:tc>
                <w:tcPr>
                  <w:tcW w:w="1156" w:type="dxa"/>
                  <w:tcBorders>
                    <w:tl2br w:val="nil"/>
                    <w:tr2bl w:val="nil"/>
                  </w:tcBorders>
                  <w:vAlign w:val="center"/>
                </w:tcPr>
                <w:p w14:paraId="1F1A84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产生速率</w:t>
                  </w:r>
                </w:p>
              </w:tc>
              <w:tc>
                <w:tcPr>
                  <w:tcW w:w="837" w:type="dxa"/>
                  <w:tcBorders>
                    <w:tl2br w:val="nil"/>
                    <w:tr2bl w:val="nil"/>
                  </w:tcBorders>
                  <w:vAlign w:val="center"/>
                </w:tcPr>
                <w:p w14:paraId="724589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产生浓度</w:t>
                  </w:r>
                </w:p>
              </w:tc>
              <w:tc>
                <w:tcPr>
                  <w:tcW w:w="994" w:type="dxa"/>
                  <w:tcBorders>
                    <w:tl2br w:val="nil"/>
                    <w:tr2bl w:val="nil"/>
                  </w:tcBorders>
                  <w:vAlign w:val="center"/>
                </w:tcPr>
                <w:p w14:paraId="1D2B36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治理措施</w:t>
                  </w:r>
                </w:p>
              </w:tc>
              <w:tc>
                <w:tcPr>
                  <w:tcW w:w="1109" w:type="dxa"/>
                  <w:tcBorders>
                    <w:tl2br w:val="nil"/>
                    <w:tr2bl w:val="nil"/>
                  </w:tcBorders>
                  <w:vAlign w:val="center"/>
                </w:tcPr>
                <w:p w14:paraId="169A12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排放量</w:t>
                  </w:r>
                </w:p>
              </w:tc>
              <w:tc>
                <w:tcPr>
                  <w:tcW w:w="1123" w:type="dxa"/>
                  <w:tcBorders>
                    <w:tl2br w:val="nil"/>
                    <w:tr2bl w:val="nil"/>
                  </w:tcBorders>
                  <w:vAlign w:val="center"/>
                </w:tcPr>
                <w:p w14:paraId="5FC261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排放速率</w:t>
                  </w:r>
                </w:p>
              </w:tc>
            </w:tr>
            <w:tr w14:paraId="286EB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17" w:type="dxa"/>
                  <w:tcBorders>
                    <w:tl2br w:val="nil"/>
                    <w:tr2bl w:val="nil"/>
                  </w:tcBorders>
                  <w:vAlign w:val="center"/>
                </w:tcPr>
                <w:p w14:paraId="50E74EE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硫酸雾</w:t>
                  </w:r>
                </w:p>
              </w:tc>
              <w:tc>
                <w:tcPr>
                  <w:tcW w:w="933" w:type="dxa"/>
                  <w:tcBorders>
                    <w:tl2br w:val="nil"/>
                    <w:tr2bl w:val="nil"/>
                  </w:tcBorders>
                  <w:vAlign w:val="center"/>
                </w:tcPr>
                <w:p w14:paraId="331C88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无</w:t>
                  </w:r>
                  <w:r>
                    <w:rPr>
                      <w:rFonts w:hint="eastAsia" w:ascii="Times New Roman" w:hAnsi="Times New Roman" w:eastAsia="宋体" w:cs="Times New Roman"/>
                      <w:b w:val="0"/>
                      <w:bCs w:val="0"/>
                      <w:color w:val="auto"/>
                      <w:sz w:val="21"/>
                      <w:szCs w:val="21"/>
                      <w:vertAlign w:val="baseline"/>
                      <w:lang w:eastAsia="zh-CN"/>
                    </w:rPr>
                    <w:t>组织</w:t>
                  </w:r>
                </w:p>
              </w:tc>
              <w:tc>
                <w:tcPr>
                  <w:tcW w:w="1167" w:type="dxa"/>
                  <w:tcBorders>
                    <w:tl2br w:val="nil"/>
                    <w:tr2bl w:val="nil"/>
                  </w:tcBorders>
                  <w:vAlign w:val="center"/>
                </w:tcPr>
                <w:p w14:paraId="23D4FD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0.00214</w:t>
                  </w:r>
                </w:p>
              </w:tc>
              <w:tc>
                <w:tcPr>
                  <w:tcW w:w="1156" w:type="dxa"/>
                  <w:tcBorders>
                    <w:tl2br w:val="nil"/>
                    <w:tr2bl w:val="nil"/>
                  </w:tcBorders>
                  <w:vAlign w:val="center"/>
                </w:tcPr>
                <w:p w14:paraId="4F203A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0.00107</w:t>
                  </w:r>
                </w:p>
              </w:tc>
              <w:tc>
                <w:tcPr>
                  <w:tcW w:w="837" w:type="dxa"/>
                  <w:tcBorders>
                    <w:tl2br w:val="nil"/>
                    <w:tr2bl w:val="nil"/>
                  </w:tcBorders>
                  <w:vAlign w:val="center"/>
                </w:tcPr>
                <w:p w14:paraId="7363D3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0.214</w:t>
                  </w:r>
                </w:p>
              </w:tc>
              <w:tc>
                <w:tcPr>
                  <w:tcW w:w="994" w:type="dxa"/>
                  <w:vMerge w:val="restart"/>
                  <w:tcBorders>
                    <w:tl2br w:val="nil"/>
                    <w:tr2bl w:val="nil"/>
                  </w:tcBorders>
                  <w:vAlign w:val="center"/>
                </w:tcPr>
                <w:p w14:paraId="4A39EB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通风橱+</w:t>
                  </w:r>
                  <w:r>
                    <w:rPr>
                      <w:rFonts w:hint="eastAsia" w:cs="Times New Roman"/>
                      <w:b w:val="0"/>
                      <w:bCs w:val="0"/>
                      <w:color w:val="auto"/>
                      <w:sz w:val="21"/>
                      <w:szCs w:val="21"/>
                      <w:vertAlign w:val="baseline"/>
                      <w:lang w:val="en-US" w:eastAsia="zh-CN"/>
                    </w:rPr>
                    <w:t>无组织</w:t>
                  </w:r>
                </w:p>
              </w:tc>
              <w:tc>
                <w:tcPr>
                  <w:tcW w:w="1109" w:type="dxa"/>
                  <w:tcBorders>
                    <w:tl2br w:val="nil"/>
                    <w:tr2bl w:val="nil"/>
                  </w:tcBorders>
                  <w:vAlign w:val="center"/>
                </w:tcPr>
                <w:p w14:paraId="029326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0.00193</w:t>
                  </w:r>
                </w:p>
              </w:tc>
              <w:tc>
                <w:tcPr>
                  <w:tcW w:w="1123" w:type="dxa"/>
                  <w:tcBorders>
                    <w:tl2br w:val="nil"/>
                    <w:tr2bl w:val="nil"/>
                  </w:tcBorders>
                  <w:vAlign w:val="center"/>
                </w:tcPr>
                <w:p w14:paraId="456D70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0.00097</w:t>
                  </w:r>
                </w:p>
              </w:tc>
            </w:tr>
            <w:tr w14:paraId="11571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17" w:type="dxa"/>
                  <w:tcBorders>
                    <w:tl2br w:val="nil"/>
                    <w:tr2bl w:val="nil"/>
                  </w:tcBorders>
                  <w:vAlign w:val="center"/>
                </w:tcPr>
                <w:p w14:paraId="20CE5AD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HCl</w:t>
                  </w:r>
                </w:p>
              </w:tc>
              <w:tc>
                <w:tcPr>
                  <w:tcW w:w="933" w:type="dxa"/>
                  <w:tcBorders>
                    <w:tl2br w:val="nil"/>
                    <w:tr2bl w:val="nil"/>
                  </w:tcBorders>
                  <w:vAlign w:val="center"/>
                </w:tcPr>
                <w:p w14:paraId="443D61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无</w:t>
                  </w:r>
                  <w:r>
                    <w:rPr>
                      <w:rFonts w:hint="eastAsia" w:ascii="Times New Roman" w:hAnsi="Times New Roman" w:eastAsia="宋体" w:cs="Times New Roman"/>
                      <w:b w:val="0"/>
                      <w:bCs w:val="0"/>
                      <w:color w:val="auto"/>
                      <w:sz w:val="21"/>
                      <w:szCs w:val="21"/>
                      <w:vertAlign w:val="baseline"/>
                      <w:lang w:eastAsia="zh-CN"/>
                    </w:rPr>
                    <w:t>组织</w:t>
                  </w:r>
                </w:p>
              </w:tc>
              <w:tc>
                <w:tcPr>
                  <w:tcW w:w="1167" w:type="dxa"/>
                  <w:tcBorders>
                    <w:tl2br w:val="nil"/>
                    <w:tr2bl w:val="nil"/>
                  </w:tcBorders>
                  <w:vAlign w:val="center"/>
                </w:tcPr>
                <w:p w14:paraId="14BA03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0.000796</w:t>
                  </w:r>
                </w:p>
              </w:tc>
              <w:tc>
                <w:tcPr>
                  <w:tcW w:w="1156" w:type="dxa"/>
                  <w:tcBorders>
                    <w:tl2br w:val="nil"/>
                    <w:tr2bl w:val="nil"/>
                  </w:tcBorders>
                  <w:vAlign w:val="center"/>
                </w:tcPr>
                <w:p w14:paraId="2BFF6E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0.000398</w:t>
                  </w:r>
                </w:p>
              </w:tc>
              <w:tc>
                <w:tcPr>
                  <w:tcW w:w="837" w:type="dxa"/>
                  <w:tcBorders>
                    <w:tl2br w:val="nil"/>
                    <w:tr2bl w:val="nil"/>
                  </w:tcBorders>
                  <w:vAlign w:val="center"/>
                </w:tcPr>
                <w:p w14:paraId="4A490A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0.0788</w:t>
                  </w:r>
                </w:p>
              </w:tc>
              <w:tc>
                <w:tcPr>
                  <w:tcW w:w="994" w:type="dxa"/>
                  <w:vMerge w:val="continue"/>
                  <w:tcBorders>
                    <w:tl2br w:val="nil"/>
                    <w:tr2bl w:val="nil"/>
                  </w:tcBorders>
                  <w:vAlign w:val="center"/>
                </w:tcPr>
                <w:p w14:paraId="7DDA96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eastAsia="zh-CN"/>
                    </w:rPr>
                  </w:pPr>
                </w:p>
              </w:tc>
              <w:tc>
                <w:tcPr>
                  <w:tcW w:w="1109" w:type="dxa"/>
                  <w:tcBorders>
                    <w:tl2br w:val="nil"/>
                    <w:tr2bl w:val="nil"/>
                  </w:tcBorders>
                  <w:vAlign w:val="center"/>
                </w:tcPr>
                <w:p w14:paraId="298400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0.000716</w:t>
                  </w:r>
                </w:p>
              </w:tc>
              <w:tc>
                <w:tcPr>
                  <w:tcW w:w="1123" w:type="dxa"/>
                  <w:tcBorders>
                    <w:tl2br w:val="nil"/>
                    <w:tr2bl w:val="nil"/>
                  </w:tcBorders>
                  <w:vAlign w:val="center"/>
                </w:tcPr>
                <w:p w14:paraId="4EE150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0.000358</w:t>
                  </w:r>
                </w:p>
              </w:tc>
            </w:tr>
            <w:tr w14:paraId="60A62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17" w:type="dxa"/>
                  <w:tcBorders>
                    <w:tl2br w:val="nil"/>
                    <w:tr2bl w:val="nil"/>
                  </w:tcBorders>
                  <w:vAlign w:val="center"/>
                </w:tcPr>
                <w:p w14:paraId="3D8B087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NOx</w:t>
                  </w:r>
                </w:p>
              </w:tc>
              <w:tc>
                <w:tcPr>
                  <w:tcW w:w="933" w:type="dxa"/>
                  <w:tcBorders>
                    <w:tl2br w:val="nil"/>
                    <w:tr2bl w:val="nil"/>
                  </w:tcBorders>
                  <w:vAlign w:val="center"/>
                </w:tcPr>
                <w:p w14:paraId="4BCB24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无</w:t>
                  </w:r>
                  <w:r>
                    <w:rPr>
                      <w:rFonts w:hint="eastAsia" w:ascii="Times New Roman" w:hAnsi="Times New Roman" w:eastAsia="宋体" w:cs="Times New Roman"/>
                      <w:b w:val="0"/>
                      <w:bCs w:val="0"/>
                      <w:color w:val="auto"/>
                      <w:sz w:val="21"/>
                      <w:szCs w:val="21"/>
                      <w:vertAlign w:val="baseline"/>
                      <w:lang w:eastAsia="zh-CN"/>
                    </w:rPr>
                    <w:t>组织</w:t>
                  </w:r>
                </w:p>
              </w:tc>
              <w:tc>
                <w:tcPr>
                  <w:tcW w:w="1167" w:type="dxa"/>
                  <w:tcBorders>
                    <w:tl2br w:val="nil"/>
                    <w:tr2bl w:val="nil"/>
                  </w:tcBorders>
                  <w:vAlign w:val="center"/>
                </w:tcPr>
                <w:p w14:paraId="0CE6F9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0.00137</w:t>
                  </w:r>
                </w:p>
              </w:tc>
              <w:tc>
                <w:tcPr>
                  <w:tcW w:w="1156" w:type="dxa"/>
                  <w:tcBorders>
                    <w:tl2br w:val="nil"/>
                    <w:tr2bl w:val="nil"/>
                  </w:tcBorders>
                  <w:vAlign w:val="center"/>
                </w:tcPr>
                <w:p w14:paraId="6D19D6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0.000685</w:t>
                  </w:r>
                </w:p>
              </w:tc>
              <w:tc>
                <w:tcPr>
                  <w:tcW w:w="837" w:type="dxa"/>
                  <w:tcBorders>
                    <w:tl2br w:val="nil"/>
                    <w:tr2bl w:val="nil"/>
                  </w:tcBorders>
                  <w:vAlign w:val="center"/>
                </w:tcPr>
                <w:p w14:paraId="7A567E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0.137</w:t>
                  </w:r>
                </w:p>
              </w:tc>
              <w:tc>
                <w:tcPr>
                  <w:tcW w:w="994" w:type="dxa"/>
                  <w:vMerge w:val="continue"/>
                  <w:tcBorders>
                    <w:tl2br w:val="nil"/>
                    <w:tr2bl w:val="nil"/>
                  </w:tcBorders>
                  <w:vAlign w:val="center"/>
                </w:tcPr>
                <w:p w14:paraId="125C9A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eastAsia="zh-CN"/>
                    </w:rPr>
                  </w:pPr>
                </w:p>
              </w:tc>
              <w:tc>
                <w:tcPr>
                  <w:tcW w:w="1109" w:type="dxa"/>
                  <w:tcBorders>
                    <w:tl2br w:val="nil"/>
                    <w:tr2bl w:val="nil"/>
                  </w:tcBorders>
                  <w:vAlign w:val="center"/>
                </w:tcPr>
                <w:p w14:paraId="3634FD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0.00123</w:t>
                  </w:r>
                </w:p>
              </w:tc>
              <w:tc>
                <w:tcPr>
                  <w:tcW w:w="1123" w:type="dxa"/>
                  <w:tcBorders>
                    <w:tl2br w:val="nil"/>
                    <w:tr2bl w:val="nil"/>
                  </w:tcBorders>
                  <w:vAlign w:val="center"/>
                </w:tcPr>
                <w:p w14:paraId="6ADC17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0.000615</w:t>
                  </w:r>
                </w:p>
              </w:tc>
            </w:tr>
          </w:tbl>
          <w:p w14:paraId="4CD13351">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达标排放情况：</w:t>
            </w:r>
          </w:p>
          <w:p w14:paraId="54C0248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本项目为实验室建设项目，在实际运行状态下，各试剂用量较小，所用试剂均为瓶装，敞口较小，各试剂仅在取用时会打开试剂瓶，逸散废气量较小，并且试剂配制均在通风橱内进行操作，在工作状态下不间断进行通风换气，通风橱收集实验室废气</w:t>
            </w:r>
            <w:r>
              <w:rPr>
                <w:rFonts w:hint="eastAsia" w:eastAsia="仿宋_GB2312" w:cs="Times New Roman"/>
                <w:b w:val="0"/>
                <w:bCs w:val="0"/>
                <w:color w:val="auto"/>
                <w:kern w:val="2"/>
                <w:sz w:val="24"/>
                <w:szCs w:val="24"/>
                <w:highlight w:val="none"/>
                <w:lang w:val="en-US" w:eastAsia="zh-CN" w:bidi="ar-SA"/>
              </w:rPr>
              <w:t>无组织</w:t>
            </w:r>
            <w:r>
              <w:rPr>
                <w:rFonts w:hint="eastAsia" w:ascii="Times New Roman" w:hAnsi="Times New Roman" w:eastAsia="仿宋_GB2312" w:cs="Times New Roman"/>
                <w:b w:val="0"/>
                <w:bCs w:val="0"/>
                <w:color w:val="auto"/>
                <w:kern w:val="2"/>
                <w:sz w:val="24"/>
                <w:szCs w:val="24"/>
                <w:highlight w:val="none"/>
                <w:lang w:val="en-US" w:eastAsia="zh-CN" w:bidi="ar-SA"/>
              </w:rPr>
              <w:t>排放。实验过程中产生的氯化氢、硫酸雾、NOx、非甲烷总烃，排放浓度满足《大气污染物综合排放标准》（GB16297-1996）无组织排放监控浓度限值，从环境保护角度来讲，本项目对大气环境影响较小，因此该措施可行。</w:t>
            </w:r>
          </w:p>
          <w:p w14:paraId="4649D602">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1.2治理措施的可行性分析</w:t>
            </w:r>
          </w:p>
          <w:p w14:paraId="33BF5A6A">
            <w:pPr>
              <w:pStyle w:val="75"/>
              <w:keepNext w:val="0"/>
              <w:keepLines w:val="0"/>
              <w:pageBreakBefore w:val="0"/>
              <w:widowControl w:val="0"/>
              <w:kinsoku/>
              <w:wordWrap/>
              <w:overflowPunct/>
              <w:topLinePunct w:val="0"/>
              <w:autoSpaceDE/>
              <w:autoSpaceDN/>
              <w:bidi w:val="0"/>
              <w:adjustRightInd w:val="0"/>
              <w:snapToGrid w:val="0"/>
              <w:spacing w:line="360" w:lineRule="auto"/>
              <w:ind w:right="113" w:firstLine="480" w:firstLineChars="200"/>
              <w:jc w:val="both"/>
              <w:textAlignment w:val="baseline"/>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本项目为农产品检测中心建设项目，无相关排污许可证申请与核发技术规范，根据《排污许可证申请与核发技术规范 总则》（HJ942-2018），结合本项目废气治理措施，分析本项目废气治理措施可行性见下表。</w:t>
            </w:r>
          </w:p>
          <w:p w14:paraId="1BBDAEB7">
            <w:pPr>
              <w:pStyle w:val="131"/>
              <w:bidi w:val="0"/>
              <w:ind w:firstLine="482" w:firstLineChars="200"/>
              <w:jc w:val="center"/>
              <w:rPr>
                <w:rFonts w:hint="default" w:ascii="Times New Roman" w:hAnsi="Times New Roman" w:eastAsia="黑体" w:cs="Times New Roman"/>
                <w:b w:val="0"/>
                <w:bCs/>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35</w:t>
            </w:r>
            <w:r>
              <w:rPr>
                <w:rFonts w:hint="default" w:ascii="Times New Roman" w:hAnsi="Times New Roman" w:eastAsia="宋体" w:cs="Times New Roman"/>
                <w:b/>
                <w:bCs w:val="0"/>
                <w:color w:val="auto"/>
                <w:sz w:val="24"/>
                <w:szCs w:val="24"/>
                <w:lang w:val="en-US" w:eastAsia="zh-CN"/>
              </w:rPr>
              <w:t xml:space="preserve">   本项目</w:t>
            </w:r>
            <w:r>
              <w:rPr>
                <w:rFonts w:hint="eastAsia" w:ascii="宋体" w:hAnsi="宋体" w:eastAsia="宋体" w:cs="宋体"/>
                <w:b/>
                <w:bCs w:val="0"/>
                <w:color w:val="auto"/>
                <w:sz w:val="24"/>
                <w:szCs w:val="24"/>
                <w:lang w:val="en-US" w:eastAsia="zh-CN"/>
              </w:rPr>
              <w:t>废气治理措施可行性对比</w:t>
            </w:r>
          </w:p>
          <w:tbl>
            <w:tblPr>
              <w:tblStyle w:val="34"/>
              <w:tblW w:w="82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2661"/>
              <w:gridCol w:w="2366"/>
              <w:gridCol w:w="1120"/>
            </w:tblGrid>
            <w:tr w14:paraId="0832C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898" w:type="pct"/>
                  <w:gridSpan w:val="2"/>
                  <w:tcBorders>
                    <w:tl2br w:val="nil"/>
                    <w:tr2bl w:val="nil"/>
                  </w:tcBorders>
                  <w:noWrap w:val="0"/>
                  <w:vAlign w:val="center"/>
                </w:tcPr>
                <w:p w14:paraId="0E99B574">
                  <w:pPr>
                    <w:pStyle w:val="9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color w:val="auto"/>
                      <w:sz w:val="21"/>
                      <w:szCs w:val="21"/>
                      <w:lang w:val="en-US" w:eastAsia="zh-CN"/>
                    </w:rPr>
                    <w:t>废气治理可行技术参照表</w:t>
                  </w:r>
                </w:p>
              </w:tc>
              <w:tc>
                <w:tcPr>
                  <w:tcW w:w="1425" w:type="pct"/>
                  <w:vMerge w:val="restart"/>
                  <w:tcBorders>
                    <w:tl2br w:val="nil"/>
                    <w:tr2bl w:val="nil"/>
                  </w:tcBorders>
                  <w:noWrap w:val="0"/>
                  <w:vAlign w:val="center"/>
                </w:tcPr>
                <w:p w14:paraId="159BA0E6">
                  <w:pPr>
                    <w:pStyle w:val="44"/>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本项目情况</w:t>
                  </w:r>
                </w:p>
              </w:tc>
              <w:tc>
                <w:tcPr>
                  <w:tcW w:w="675" w:type="pct"/>
                  <w:vMerge w:val="restart"/>
                  <w:tcBorders>
                    <w:tl2br w:val="nil"/>
                    <w:tr2bl w:val="nil"/>
                  </w:tcBorders>
                  <w:noWrap w:val="0"/>
                  <w:vAlign w:val="center"/>
                </w:tcPr>
                <w:p w14:paraId="1986E3C7">
                  <w:pPr>
                    <w:pStyle w:val="44"/>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是否符合</w:t>
                  </w:r>
                </w:p>
              </w:tc>
            </w:tr>
            <w:tr w14:paraId="4DA37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5" w:type="pct"/>
                  <w:tcBorders>
                    <w:tl2br w:val="nil"/>
                    <w:tr2bl w:val="nil"/>
                  </w:tcBorders>
                  <w:noWrap w:val="0"/>
                  <w:vAlign w:val="center"/>
                </w:tcPr>
                <w:p w14:paraId="5CF72E85">
                  <w:pPr>
                    <w:pStyle w:val="9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主要污染物</w:t>
                  </w:r>
                </w:p>
              </w:tc>
              <w:tc>
                <w:tcPr>
                  <w:tcW w:w="1603" w:type="pct"/>
                  <w:tcBorders>
                    <w:tl2br w:val="nil"/>
                    <w:tr2bl w:val="nil"/>
                  </w:tcBorders>
                  <w:noWrap w:val="0"/>
                  <w:vAlign w:val="center"/>
                </w:tcPr>
                <w:p w14:paraId="19980325">
                  <w:pPr>
                    <w:pStyle w:val="9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可行技术</w:t>
                  </w:r>
                </w:p>
              </w:tc>
              <w:tc>
                <w:tcPr>
                  <w:tcW w:w="1425" w:type="pct"/>
                  <w:vMerge w:val="continue"/>
                  <w:tcBorders>
                    <w:tl2br w:val="nil"/>
                    <w:tr2bl w:val="nil"/>
                  </w:tcBorders>
                  <w:noWrap w:val="0"/>
                  <w:vAlign w:val="center"/>
                </w:tcPr>
                <w:p w14:paraId="22D0895D">
                  <w:pPr>
                    <w:pStyle w:val="9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lang w:val="en-US" w:eastAsia="zh-CN"/>
                    </w:rPr>
                  </w:pPr>
                </w:p>
              </w:tc>
              <w:tc>
                <w:tcPr>
                  <w:tcW w:w="675" w:type="pct"/>
                  <w:vMerge w:val="continue"/>
                  <w:tcBorders>
                    <w:tl2br w:val="nil"/>
                    <w:tr2bl w:val="nil"/>
                  </w:tcBorders>
                  <w:noWrap w:val="0"/>
                  <w:vAlign w:val="center"/>
                </w:tcPr>
                <w:p w14:paraId="792FC189">
                  <w:pPr>
                    <w:pStyle w:val="9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lang w:val="en-US" w:eastAsia="zh-CN"/>
                    </w:rPr>
                  </w:pPr>
                </w:p>
              </w:tc>
            </w:tr>
            <w:tr w14:paraId="05BB3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5" w:type="pct"/>
                  <w:tcBorders>
                    <w:tl2br w:val="nil"/>
                    <w:tr2bl w:val="nil"/>
                  </w:tcBorders>
                  <w:noWrap w:val="0"/>
                  <w:vAlign w:val="center"/>
                </w:tcPr>
                <w:p w14:paraId="6302C96B">
                  <w:pPr>
                    <w:pStyle w:val="9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NMHC</w:t>
                  </w:r>
                </w:p>
              </w:tc>
              <w:tc>
                <w:tcPr>
                  <w:tcW w:w="1603" w:type="pct"/>
                  <w:vMerge w:val="restart"/>
                  <w:tcBorders>
                    <w:tl2br w:val="nil"/>
                    <w:tr2bl w:val="nil"/>
                  </w:tcBorders>
                  <w:noWrap w:val="0"/>
                  <w:vAlign w:val="center"/>
                </w:tcPr>
                <w:p w14:paraId="6784A985">
                  <w:pPr>
                    <w:pStyle w:val="90"/>
                    <w:keepNext w:val="0"/>
                    <w:keepLines w:val="0"/>
                    <w:pageBreakBefore w:val="0"/>
                    <w:widowControl w:val="0"/>
                    <w:kinsoku/>
                    <w:wordWrap/>
                    <w:overflowPunct/>
                    <w:topLinePunct w:val="0"/>
                    <w:autoSpaceDE w:val="0"/>
                    <w:autoSpaceDN w:val="0"/>
                    <w:bidi w:val="0"/>
                    <w:adjustRightInd w:val="0"/>
                    <w:snapToGrid w:val="0"/>
                    <w:spacing w:line="240" w:lineRule="auto"/>
                    <w:ind w:firstLine="210" w:firstLineChars="10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活性炭吸附、生物滤塔、洗涤、吸收、燃烧、氧化、过滤、其他</w:t>
                  </w:r>
                </w:p>
              </w:tc>
              <w:tc>
                <w:tcPr>
                  <w:tcW w:w="1425" w:type="pct"/>
                  <w:vMerge w:val="restart"/>
                  <w:tcBorders>
                    <w:tl2br w:val="nil"/>
                    <w:tr2bl w:val="nil"/>
                  </w:tcBorders>
                  <w:noWrap w:val="0"/>
                  <w:vAlign w:val="center"/>
                </w:tcPr>
                <w:p w14:paraId="6081CDBA">
                  <w:pPr>
                    <w:pStyle w:val="44"/>
                    <w:keepNext w:val="0"/>
                    <w:keepLines w:val="0"/>
                    <w:pageBreakBefore w:val="0"/>
                    <w:widowControl w:val="0"/>
                    <w:kinsoku/>
                    <w:wordWrap/>
                    <w:overflowPunct/>
                    <w:topLinePunct w:val="0"/>
                    <w:bidi w:val="0"/>
                    <w:adjustRightInd w:val="0"/>
                    <w:snapToGrid w:val="0"/>
                    <w:spacing w:line="240" w:lineRule="auto"/>
                    <w:ind w:firstLine="210" w:firstLineChars="10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通风橱</w:t>
                  </w:r>
                </w:p>
              </w:tc>
              <w:tc>
                <w:tcPr>
                  <w:tcW w:w="675" w:type="pct"/>
                  <w:tcBorders>
                    <w:tl2br w:val="nil"/>
                    <w:tr2bl w:val="nil"/>
                  </w:tcBorders>
                  <w:noWrap w:val="0"/>
                  <w:vAlign w:val="center"/>
                </w:tcPr>
                <w:p w14:paraId="0B090B76">
                  <w:pPr>
                    <w:pStyle w:val="44"/>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符合</w:t>
                  </w:r>
                </w:p>
              </w:tc>
            </w:tr>
            <w:tr w14:paraId="174B1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1295" w:type="pct"/>
                  <w:tcBorders>
                    <w:tl2br w:val="nil"/>
                    <w:tr2bl w:val="nil"/>
                  </w:tcBorders>
                  <w:noWrap w:val="0"/>
                  <w:vAlign w:val="center"/>
                </w:tcPr>
                <w:p w14:paraId="06F67B02">
                  <w:pPr>
                    <w:pStyle w:val="9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硫酸雾、HCl、NOx</w:t>
                  </w:r>
                </w:p>
              </w:tc>
              <w:tc>
                <w:tcPr>
                  <w:tcW w:w="1603" w:type="pct"/>
                  <w:vMerge w:val="continue"/>
                  <w:tcBorders>
                    <w:tl2br w:val="nil"/>
                    <w:tr2bl w:val="nil"/>
                  </w:tcBorders>
                  <w:noWrap w:val="0"/>
                  <w:vAlign w:val="center"/>
                </w:tcPr>
                <w:p w14:paraId="154F7190">
                  <w:pPr>
                    <w:pStyle w:val="90"/>
                    <w:keepNext w:val="0"/>
                    <w:keepLines w:val="0"/>
                    <w:pageBreakBefore w:val="0"/>
                    <w:widowControl w:val="0"/>
                    <w:kinsoku/>
                    <w:wordWrap/>
                    <w:overflowPunct/>
                    <w:topLinePunct w:val="0"/>
                    <w:autoSpaceDE w:val="0"/>
                    <w:autoSpaceDN w:val="0"/>
                    <w:bidi w:val="0"/>
                    <w:adjustRightInd w:val="0"/>
                    <w:snapToGrid w:val="0"/>
                    <w:spacing w:line="240" w:lineRule="auto"/>
                    <w:ind w:firstLine="210" w:firstLineChars="100"/>
                    <w:jc w:val="center"/>
                    <w:textAlignment w:val="baseline"/>
                    <w:rPr>
                      <w:rFonts w:hint="default" w:ascii="Times New Roman" w:hAnsi="Times New Roman" w:eastAsia="宋体" w:cs="Times New Roman"/>
                      <w:b w:val="0"/>
                      <w:bCs/>
                      <w:color w:val="auto"/>
                      <w:sz w:val="21"/>
                      <w:szCs w:val="21"/>
                      <w:lang w:val="en-US" w:eastAsia="zh-CN"/>
                    </w:rPr>
                  </w:pPr>
                </w:p>
              </w:tc>
              <w:tc>
                <w:tcPr>
                  <w:tcW w:w="1425" w:type="pct"/>
                  <w:vMerge w:val="continue"/>
                  <w:tcBorders>
                    <w:tl2br w:val="nil"/>
                    <w:tr2bl w:val="nil"/>
                  </w:tcBorders>
                  <w:noWrap w:val="0"/>
                  <w:vAlign w:val="center"/>
                </w:tcPr>
                <w:p w14:paraId="0A772724">
                  <w:pPr>
                    <w:pStyle w:val="44"/>
                    <w:keepNext w:val="0"/>
                    <w:keepLines w:val="0"/>
                    <w:pageBreakBefore w:val="0"/>
                    <w:widowControl w:val="0"/>
                    <w:kinsoku/>
                    <w:wordWrap/>
                    <w:overflowPunct/>
                    <w:topLinePunct w:val="0"/>
                    <w:bidi w:val="0"/>
                    <w:adjustRightInd w:val="0"/>
                    <w:snapToGrid w:val="0"/>
                    <w:spacing w:line="240" w:lineRule="auto"/>
                    <w:ind w:firstLine="210" w:firstLineChars="100"/>
                    <w:jc w:val="center"/>
                    <w:rPr>
                      <w:rFonts w:hint="default" w:ascii="Times New Roman" w:hAnsi="Times New Roman" w:cs="Times New Roman"/>
                      <w:color w:val="auto"/>
                      <w:sz w:val="21"/>
                      <w:szCs w:val="21"/>
                      <w:vertAlign w:val="baseline"/>
                      <w:lang w:val="en-US" w:eastAsia="zh-CN"/>
                    </w:rPr>
                  </w:pPr>
                </w:p>
              </w:tc>
              <w:tc>
                <w:tcPr>
                  <w:tcW w:w="675" w:type="pct"/>
                  <w:tcBorders>
                    <w:tl2br w:val="nil"/>
                    <w:tr2bl w:val="nil"/>
                  </w:tcBorders>
                  <w:noWrap w:val="0"/>
                  <w:vAlign w:val="center"/>
                </w:tcPr>
                <w:p w14:paraId="3D2CAECD">
                  <w:pPr>
                    <w:pStyle w:val="44"/>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z w:val="21"/>
                      <w:szCs w:val="21"/>
                      <w:lang w:val="en-US" w:eastAsia="zh-CN"/>
                    </w:rPr>
                    <w:t>符合</w:t>
                  </w:r>
                </w:p>
              </w:tc>
            </w:tr>
          </w:tbl>
          <w:p w14:paraId="1D037FE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根据对比，本项目废气处理措施符合排污许可可行技术要求，处理后各大气污染物可达标排放。</w:t>
            </w:r>
          </w:p>
          <w:p w14:paraId="35425F7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1.</w:t>
            </w:r>
            <w:r>
              <w:rPr>
                <w:rFonts w:hint="eastAsia" w:eastAsia="仿宋_GB2312" w:cs="Times New Roman"/>
                <w:b/>
                <w:bCs/>
                <w:color w:val="auto"/>
                <w:kern w:val="2"/>
                <w:sz w:val="24"/>
                <w:szCs w:val="24"/>
                <w:highlight w:val="none"/>
                <w:lang w:val="en-US" w:eastAsia="zh-CN" w:bidi="ar-SA"/>
              </w:rPr>
              <w:t>3</w:t>
            </w:r>
            <w:r>
              <w:rPr>
                <w:rFonts w:hint="eastAsia" w:ascii="Times New Roman" w:hAnsi="Times New Roman" w:eastAsia="仿宋_GB2312" w:cs="Times New Roman"/>
                <w:b/>
                <w:bCs/>
                <w:color w:val="auto"/>
                <w:kern w:val="2"/>
                <w:sz w:val="24"/>
                <w:szCs w:val="24"/>
                <w:highlight w:val="none"/>
                <w:lang w:val="en-US" w:eastAsia="zh-CN" w:bidi="ar-SA"/>
              </w:rPr>
              <w:t>监测要求及排放标准</w:t>
            </w:r>
          </w:p>
          <w:p w14:paraId="281D594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对照《排污单位自行监测技术指南 总则》（HJ819-2017）中的有关规定，本项目大气环境监测内容及监测计划见表</w:t>
            </w:r>
            <w:r>
              <w:rPr>
                <w:rFonts w:hint="eastAsia" w:eastAsia="仿宋_GB2312" w:cs="Times New Roman"/>
                <w:color w:val="auto"/>
                <w:kern w:val="2"/>
                <w:sz w:val="24"/>
                <w:szCs w:val="24"/>
                <w:highlight w:val="none"/>
                <w:lang w:val="en-US" w:eastAsia="zh-CN" w:bidi="ar-SA"/>
              </w:rPr>
              <w:t>37</w:t>
            </w:r>
            <w:r>
              <w:rPr>
                <w:rFonts w:hint="eastAsia" w:ascii="Times New Roman" w:hAnsi="Times New Roman" w:eastAsia="仿宋_GB2312" w:cs="Times New Roman"/>
                <w:color w:val="auto"/>
                <w:kern w:val="2"/>
                <w:sz w:val="24"/>
                <w:szCs w:val="24"/>
                <w:highlight w:val="none"/>
                <w:lang w:val="en-US" w:eastAsia="zh-CN" w:bidi="ar-SA"/>
              </w:rPr>
              <w:t>。</w:t>
            </w:r>
          </w:p>
          <w:p w14:paraId="3DDD04B2">
            <w:pPr>
              <w:keepNext w:val="0"/>
              <w:keepLines w:val="0"/>
              <w:pageBreakBefore w:val="0"/>
              <w:widowControl w:val="0"/>
              <w:kinsoku/>
              <w:wordWrap/>
              <w:overflowPunct/>
              <w:topLinePunct w:val="0"/>
              <w:bidi w:val="0"/>
              <w:adjustRightInd/>
              <w:snapToGrid/>
              <w:spacing w:line="360" w:lineRule="auto"/>
              <w:jc w:val="center"/>
              <w:textAlignment w:val="auto"/>
              <w:rPr>
                <w:b/>
                <w:color w:val="auto"/>
                <w:spacing w:val="-10"/>
                <w:sz w:val="24"/>
              </w:rPr>
            </w:pPr>
            <w:r>
              <w:rPr>
                <w:b/>
                <w:color w:val="auto"/>
                <w:spacing w:val="-10"/>
                <w:sz w:val="24"/>
              </w:rPr>
              <w:t>表</w:t>
            </w:r>
            <w:r>
              <w:rPr>
                <w:rFonts w:hint="eastAsia"/>
                <w:b/>
                <w:color w:val="auto"/>
                <w:spacing w:val="-10"/>
                <w:sz w:val="24"/>
                <w:lang w:val="en-US" w:eastAsia="zh-CN"/>
              </w:rPr>
              <w:t xml:space="preserve">37 </w:t>
            </w:r>
            <w:r>
              <w:rPr>
                <w:b/>
                <w:color w:val="auto"/>
                <w:spacing w:val="-10"/>
                <w:sz w:val="24"/>
              </w:rPr>
              <w:t xml:space="preserve"> 本项目废气监测内容及监测计划</w:t>
            </w:r>
          </w:p>
          <w:tbl>
            <w:tblPr>
              <w:tblStyle w:val="33"/>
              <w:tblW w:w="8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108" w:type="dxa"/>
              </w:tblCellMar>
            </w:tblPr>
            <w:tblGrid>
              <w:gridCol w:w="1446"/>
              <w:gridCol w:w="2187"/>
              <w:gridCol w:w="1342"/>
              <w:gridCol w:w="3323"/>
            </w:tblGrid>
            <w:tr w14:paraId="4C6B6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108" w:type="dxa"/>
                </w:tblCellMar>
              </w:tblPrEx>
              <w:trPr>
                <w:trHeight w:val="23" w:hRule="atLeast"/>
                <w:jc w:val="center"/>
              </w:trPr>
              <w:tc>
                <w:tcPr>
                  <w:tcW w:w="1446" w:type="dxa"/>
                  <w:tcBorders>
                    <w:tl2br w:val="nil"/>
                    <w:tr2bl w:val="nil"/>
                  </w:tcBorders>
                  <w:noWrap w:val="0"/>
                  <w:tcMar>
                    <w:right w:w="0" w:type="dxa"/>
                  </w:tcMar>
                  <w:vAlign w:val="center"/>
                </w:tcPr>
                <w:p w14:paraId="481D5B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监测点位</w:t>
                  </w:r>
                </w:p>
              </w:tc>
              <w:tc>
                <w:tcPr>
                  <w:tcW w:w="2187" w:type="dxa"/>
                  <w:tcBorders>
                    <w:tl2br w:val="nil"/>
                    <w:tr2bl w:val="nil"/>
                  </w:tcBorders>
                  <w:noWrap w:val="0"/>
                  <w:tcMar>
                    <w:right w:w="0" w:type="dxa"/>
                  </w:tcMar>
                  <w:vAlign w:val="center"/>
                </w:tcPr>
                <w:p w14:paraId="7DCB1A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监测指标</w:t>
                  </w:r>
                </w:p>
              </w:tc>
              <w:tc>
                <w:tcPr>
                  <w:tcW w:w="1342" w:type="dxa"/>
                  <w:tcBorders>
                    <w:tl2br w:val="nil"/>
                    <w:tr2bl w:val="nil"/>
                  </w:tcBorders>
                  <w:noWrap w:val="0"/>
                  <w:tcMar>
                    <w:right w:w="0" w:type="dxa"/>
                  </w:tcMar>
                  <w:vAlign w:val="center"/>
                </w:tcPr>
                <w:p w14:paraId="6CB0BB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监测频次</w:t>
                  </w:r>
                </w:p>
              </w:tc>
              <w:tc>
                <w:tcPr>
                  <w:tcW w:w="3323" w:type="dxa"/>
                  <w:tcBorders>
                    <w:tl2br w:val="nil"/>
                    <w:tr2bl w:val="nil"/>
                  </w:tcBorders>
                  <w:noWrap w:val="0"/>
                  <w:tcMar>
                    <w:right w:w="0" w:type="dxa"/>
                  </w:tcMar>
                  <w:vAlign w:val="center"/>
                </w:tcPr>
                <w:p w14:paraId="626E95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执行标准</w:t>
                  </w:r>
                </w:p>
              </w:tc>
            </w:tr>
            <w:tr w14:paraId="5F3C1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108" w:type="dxa"/>
                </w:tblCellMar>
              </w:tblPrEx>
              <w:trPr>
                <w:trHeight w:val="846" w:hRule="atLeast"/>
                <w:jc w:val="center"/>
              </w:trPr>
              <w:tc>
                <w:tcPr>
                  <w:tcW w:w="1446" w:type="dxa"/>
                  <w:tcBorders>
                    <w:tl2br w:val="nil"/>
                    <w:tr2bl w:val="nil"/>
                  </w:tcBorders>
                  <w:noWrap w:val="0"/>
                  <w:tcMar>
                    <w:right w:w="0" w:type="dxa"/>
                  </w:tcMar>
                  <w:vAlign w:val="center"/>
                </w:tcPr>
                <w:p w14:paraId="0B215B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厂界</w:t>
                  </w:r>
                </w:p>
              </w:tc>
              <w:tc>
                <w:tcPr>
                  <w:tcW w:w="2187" w:type="dxa"/>
                  <w:tcBorders>
                    <w:tl2br w:val="nil"/>
                    <w:tr2bl w:val="nil"/>
                  </w:tcBorders>
                  <w:noWrap w:val="0"/>
                  <w:tcMar>
                    <w:right w:w="0" w:type="dxa"/>
                  </w:tcMar>
                  <w:vAlign w:val="center"/>
                </w:tcPr>
                <w:p w14:paraId="6F4226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highlight w:val="yellow"/>
                    </w:rPr>
                  </w:pPr>
                  <w:r>
                    <w:rPr>
                      <w:rFonts w:hint="eastAsia" w:eastAsia="宋体" w:cs="Times New Roman"/>
                      <w:b w:val="0"/>
                      <w:bCs/>
                      <w:color w:val="auto"/>
                      <w:sz w:val="21"/>
                      <w:szCs w:val="21"/>
                      <w:lang w:val="en-US" w:eastAsia="zh-CN"/>
                    </w:rPr>
                    <w:t>硫酸雾、HCl、NOx、NMHC</w:t>
                  </w:r>
                </w:p>
              </w:tc>
              <w:tc>
                <w:tcPr>
                  <w:tcW w:w="1342" w:type="dxa"/>
                  <w:tcBorders>
                    <w:tl2br w:val="nil"/>
                    <w:tr2bl w:val="nil"/>
                  </w:tcBorders>
                  <w:noWrap w:val="0"/>
                  <w:tcMar>
                    <w:right w:w="0" w:type="dxa"/>
                  </w:tcMar>
                  <w:vAlign w:val="center"/>
                </w:tcPr>
                <w:p w14:paraId="2276B3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1次/年</w:t>
                  </w:r>
                </w:p>
              </w:tc>
              <w:tc>
                <w:tcPr>
                  <w:tcW w:w="3323" w:type="dxa"/>
                  <w:tcBorders>
                    <w:tl2br w:val="nil"/>
                    <w:tr2bl w:val="nil"/>
                  </w:tcBorders>
                  <w:noWrap w:val="0"/>
                  <w:tcMar>
                    <w:right w:w="0" w:type="dxa"/>
                  </w:tcMar>
                  <w:vAlign w:val="center"/>
                </w:tcPr>
                <w:p w14:paraId="141C33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《大气污染物综合排放标准》（GB16297-1996）</w:t>
                  </w:r>
                  <w:r>
                    <w:rPr>
                      <w:rFonts w:hint="default" w:ascii="Times New Roman" w:hAnsi="Times New Roman" w:cs="Times New Roman"/>
                      <w:color w:val="auto"/>
                      <w:kern w:val="0"/>
                      <w:sz w:val="21"/>
                      <w:szCs w:val="21"/>
                      <w:lang w:val="en-US" w:eastAsia="zh-CN"/>
                    </w:rPr>
                    <w:t>无组织排放监控浓度限值</w:t>
                  </w:r>
                </w:p>
              </w:tc>
            </w:tr>
          </w:tbl>
          <w:p w14:paraId="56C42D5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1.</w:t>
            </w:r>
            <w:r>
              <w:rPr>
                <w:rFonts w:hint="eastAsia" w:eastAsia="仿宋_GB2312" w:cs="Times New Roman"/>
                <w:b/>
                <w:bCs/>
                <w:color w:val="auto"/>
                <w:kern w:val="2"/>
                <w:sz w:val="24"/>
                <w:szCs w:val="24"/>
                <w:highlight w:val="none"/>
                <w:lang w:val="en-US" w:eastAsia="zh-CN" w:bidi="ar-SA"/>
              </w:rPr>
              <w:t>4</w:t>
            </w:r>
            <w:r>
              <w:rPr>
                <w:rFonts w:hint="eastAsia" w:ascii="Times New Roman" w:hAnsi="Times New Roman" w:eastAsia="仿宋_GB2312" w:cs="Times New Roman"/>
                <w:b/>
                <w:bCs/>
                <w:color w:val="auto"/>
                <w:kern w:val="2"/>
                <w:sz w:val="24"/>
                <w:szCs w:val="24"/>
                <w:highlight w:val="none"/>
                <w:lang w:val="en-US" w:eastAsia="zh-CN" w:bidi="ar-SA"/>
              </w:rPr>
              <w:t>废气排放环境影响</w:t>
            </w:r>
          </w:p>
          <w:p w14:paraId="715C1F7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项目所在区域为环境空气质量达标区。本项目</w:t>
            </w:r>
            <w:r>
              <w:rPr>
                <w:rFonts w:hint="default" w:ascii="Times New Roman" w:hAnsi="Times New Roman" w:eastAsia="仿宋_GB2312" w:cs="Times New Roman"/>
                <w:color w:val="auto"/>
                <w:kern w:val="2"/>
                <w:sz w:val="24"/>
                <w:szCs w:val="24"/>
                <w:highlight w:val="none"/>
                <w:lang w:val="en-US" w:eastAsia="zh-CN" w:bidi="ar-SA"/>
              </w:rPr>
              <w:t>在实际运行状态下，各试剂用量较小，所用试剂均为瓶装，敞口较小，各试剂仅在取用时会打开试剂瓶，逸散废气量较小，并且试剂配制均在通风橱内进行操作，在工作状态下不间断进行通风换气，通风橱收集实验室废气</w:t>
            </w:r>
            <w:r>
              <w:rPr>
                <w:rFonts w:hint="eastAsia" w:eastAsia="仿宋_GB2312" w:cs="Times New Roman"/>
                <w:color w:val="auto"/>
                <w:kern w:val="2"/>
                <w:sz w:val="24"/>
                <w:szCs w:val="24"/>
                <w:highlight w:val="none"/>
                <w:lang w:val="en-US" w:eastAsia="zh-CN" w:bidi="ar-SA"/>
              </w:rPr>
              <w:t>无组织</w:t>
            </w:r>
            <w:r>
              <w:rPr>
                <w:rFonts w:hint="eastAsia" w:ascii="Times New Roman" w:hAnsi="Times New Roman" w:eastAsia="仿宋_GB2312" w:cs="Times New Roman"/>
                <w:color w:val="auto"/>
                <w:kern w:val="2"/>
                <w:sz w:val="24"/>
                <w:szCs w:val="24"/>
                <w:highlight w:val="none"/>
                <w:lang w:val="en-US" w:eastAsia="zh-CN" w:bidi="ar-SA"/>
              </w:rPr>
              <w:t>排放</w:t>
            </w:r>
            <w:r>
              <w:rPr>
                <w:rFonts w:hint="default" w:ascii="Times New Roman" w:hAnsi="Times New Roman"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实验过程中产生的氯化氢、硫酸雾、NOx，非甲烷总烃排放浓度满足《大气污染物综合排放标准》（GB16297-1996）无组织排放监控浓度限值。</w:t>
            </w:r>
          </w:p>
          <w:p w14:paraId="18D7931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综上所述，本项目产生的废气各环节均设置污染物治理措施，各大气污染物均可实现达标排放，对周边环境影响较小。</w:t>
            </w:r>
          </w:p>
          <w:p w14:paraId="65083298">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2.废水污染防治措施</w:t>
            </w:r>
          </w:p>
          <w:p w14:paraId="3B8B4A6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2.1产排污环节</w:t>
            </w:r>
          </w:p>
          <w:p w14:paraId="5106935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本项目废水主要为生活污水、生产废水（蜂蜜加工车间生产用水主要为设备清洗、原料预处理，中药材分拣包装区生产用水为场地清洁、设备清洗废水，储存仓库地面清洁废水，检测中心实验废水，大湾乡分拣车间场地清洁、设备清洗），废水</w:t>
            </w:r>
            <w:r>
              <w:rPr>
                <w:rFonts w:hint="default" w:ascii="Times New Roman" w:hAnsi="Times New Roman" w:eastAsia="仿宋_GB2312" w:cs="Times New Roman"/>
                <w:color w:val="auto"/>
                <w:kern w:val="2"/>
                <w:sz w:val="24"/>
                <w:szCs w:val="24"/>
                <w:highlight w:val="none"/>
                <w:lang w:val="en-US" w:eastAsia="zh-CN" w:bidi="ar-SA"/>
              </w:rPr>
              <w:t>产生量为</w:t>
            </w:r>
            <w:r>
              <w:rPr>
                <w:rFonts w:hint="eastAsia" w:ascii="Times New Roman" w:hAnsi="Times New Roman" w:eastAsia="仿宋_GB2312" w:cs="Times New Roman"/>
                <w:color w:val="auto"/>
                <w:kern w:val="2"/>
                <w:sz w:val="24"/>
                <w:szCs w:val="24"/>
                <w:highlight w:val="none"/>
                <w:lang w:val="en-US" w:eastAsia="zh-CN" w:bidi="ar-SA"/>
              </w:rPr>
              <w:t>27.989</w:t>
            </w:r>
            <w:r>
              <w:rPr>
                <w:rFonts w:hint="default" w:ascii="Times New Roman" w:hAnsi="Times New Roman" w:eastAsia="仿宋_GB2312" w:cs="Times New Roman"/>
                <w:color w:val="auto"/>
                <w:kern w:val="2"/>
                <w:sz w:val="24"/>
                <w:szCs w:val="24"/>
                <w:highlight w:val="none"/>
                <w:lang w:val="en-US" w:eastAsia="zh-CN" w:bidi="ar-SA"/>
              </w:rPr>
              <w:t>m</w:t>
            </w:r>
            <w:r>
              <w:rPr>
                <w:rFonts w:hint="default" w:ascii="Times New Roman" w:hAnsi="Times New Roman" w:eastAsia="仿宋_GB2312" w:cs="Times New Roman"/>
                <w:color w:val="auto"/>
                <w:kern w:val="2"/>
                <w:sz w:val="24"/>
                <w:szCs w:val="24"/>
                <w:highlight w:val="none"/>
                <w:vertAlign w:val="superscript"/>
                <w:lang w:val="en-US" w:eastAsia="zh-CN" w:bidi="ar-SA"/>
              </w:rPr>
              <w:t>3</w:t>
            </w:r>
            <w:r>
              <w:rPr>
                <w:rFonts w:hint="default" w:ascii="Times New Roman" w:hAnsi="Times New Roman"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d（5597.8</w:t>
            </w:r>
            <w:r>
              <w:rPr>
                <w:rFonts w:hint="default" w:ascii="Times New Roman" w:hAnsi="Times New Roman" w:eastAsia="仿宋_GB2312" w:cs="Times New Roman"/>
                <w:color w:val="auto"/>
                <w:kern w:val="2"/>
                <w:sz w:val="24"/>
                <w:szCs w:val="24"/>
                <w:highlight w:val="none"/>
                <w:lang w:val="en-US" w:eastAsia="zh-CN" w:bidi="ar-SA"/>
              </w:rPr>
              <w:t>m</w:t>
            </w:r>
            <w:r>
              <w:rPr>
                <w:rFonts w:hint="default" w:ascii="Times New Roman" w:hAnsi="Times New Roman" w:eastAsia="仿宋_GB2312" w:cs="Times New Roman"/>
                <w:color w:val="auto"/>
                <w:kern w:val="2"/>
                <w:sz w:val="24"/>
                <w:szCs w:val="24"/>
                <w:highlight w:val="none"/>
                <w:vertAlign w:val="superscript"/>
                <w:lang w:val="en-US" w:eastAsia="zh-CN" w:bidi="ar-SA"/>
              </w:rPr>
              <w:t>3</w:t>
            </w:r>
            <w:r>
              <w:rPr>
                <w:rFonts w:hint="default" w:ascii="Times New Roman" w:hAnsi="Times New Roman"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a）</w:t>
            </w:r>
            <w:r>
              <w:rPr>
                <w:rFonts w:hint="default" w:ascii="Times New Roman" w:hAnsi="Times New Roman" w:eastAsia="仿宋_GB2312" w:cs="Times New Roman"/>
                <w:color w:val="auto"/>
                <w:kern w:val="2"/>
                <w:sz w:val="24"/>
                <w:szCs w:val="24"/>
                <w:highlight w:val="none"/>
                <w:lang w:val="en-US" w:eastAsia="zh-CN" w:bidi="ar-SA"/>
              </w:rPr>
              <w:t>。</w:t>
            </w:r>
          </w:p>
          <w:p w14:paraId="33B61B98">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2.2污染物产排情况</w:t>
            </w:r>
          </w:p>
          <w:p w14:paraId="583C794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（1）废水污染物产排情况汇总</w:t>
            </w:r>
          </w:p>
          <w:p w14:paraId="181C0D1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本项目废水污染物产排情况详见表</w:t>
            </w:r>
            <w:r>
              <w:rPr>
                <w:rFonts w:hint="eastAsia" w:eastAsia="仿宋_GB2312" w:cs="Times New Roman"/>
                <w:color w:val="auto"/>
                <w:kern w:val="2"/>
                <w:sz w:val="24"/>
                <w:szCs w:val="24"/>
                <w:highlight w:val="none"/>
                <w:lang w:val="en-US" w:eastAsia="zh-CN" w:bidi="ar-SA"/>
              </w:rPr>
              <w:t>39</w:t>
            </w:r>
            <w:r>
              <w:rPr>
                <w:rFonts w:hint="eastAsia" w:ascii="Times New Roman" w:hAnsi="Times New Roman" w:eastAsia="仿宋_GB2312" w:cs="Times New Roman"/>
                <w:color w:val="auto"/>
                <w:kern w:val="2"/>
                <w:sz w:val="24"/>
                <w:szCs w:val="24"/>
                <w:highlight w:val="none"/>
                <w:lang w:val="en-US" w:eastAsia="zh-CN" w:bidi="ar-SA"/>
              </w:rPr>
              <w:t>。</w:t>
            </w:r>
          </w:p>
          <w:p w14:paraId="1D7F5389">
            <w:pPr>
              <w:pStyle w:val="42"/>
              <w:keepNext w:val="0"/>
              <w:keepLines w:val="0"/>
              <w:pageBreakBefore w:val="0"/>
              <w:widowControl w:val="0"/>
              <w:kinsoku/>
              <w:wordWrap/>
              <w:overflowPunct/>
              <w:topLinePunct w:val="0"/>
              <w:autoSpaceDE/>
              <w:autoSpaceDN/>
              <w:bidi w:val="0"/>
              <w:adjustRightInd/>
              <w:snapToGrid/>
              <w:spacing w:line="240" w:lineRule="auto"/>
              <w:ind w:firstLine="527" w:firstLineChars="250"/>
              <w:jc w:val="center"/>
              <w:textAlignment w:val="auto"/>
              <w:rPr>
                <w:rFonts w:ascii="Times New Roman" w:hAnsi="Times New Roman"/>
                <w:b/>
                <w:bCs/>
                <w:color w:val="auto"/>
                <w:sz w:val="21"/>
                <w:szCs w:val="21"/>
              </w:rPr>
            </w:pPr>
          </w:p>
          <w:p w14:paraId="790EAD3A">
            <w:pPr>
              <w:pStyle w:val="42"/>
              <w:keepNext w:val="0"/>
              <w:keepLines w:val="0"/>
              <w:pageBreakBefore w:val="0"/>
              <w:widowControl w:val="0"/>
              <w:kinsoku/>
              <w:wordWrap/>
              <w:overflowPunct/>
              <w:topLinePunct w:val="0"/>
              <w:autoSpaceDE/>
              <w:autoSpaceDN/>
              <w:bidi w:val="0"/>
              <w:adjustRightInd/>
              <w:snapToGrid/>
              <w:spacing w:line="240" w:lineRule="auto"/>
              <w:ind w:firstLine="527" w:firstLineChars="250"/>
              <w:jc w:val="center"/>
              <w:textAlignment w:val="auto"/>
              <w:rPr>
                <w:color w:val="auto"/>
              </w:rPr>
            </w:pPr>
            <w:r>
              <w:rPr>
                <w:rFonts w:ascii="Times New Roman" w:hAnsi="Times New Roman"/>
                <w:b/>
                <w:bCs/>
                <w:color w:val="auto"/>
                <w:sz w:val="21"/>
                <w:szCs w:val="21"/>
              </w:rPr>
              <w:t>表</w:t>
            </w:r>
            <w:r>
              <w:rPr>
                <w:rFonts w:hint="eastAsia" w:ascii="Times New Roman" w:hAnsi="Times New Roman"/>
                <w:b/>
                <w:bCs/>
                <w:color w:val="auto"/>
                <w:kern w:val="2"/>
                <w:szCs w:val="24"/>
                <w:lang w:val="en-US" w:eastAsia="zh-CN"/>
              </w:rPr>
              <w:t>39</w:t>
            </w:r>
            <w:r>
              <w:rPr>
                <w:rFonts w:ascii="Times New Roman" w:hAnsi="Times New Roman"/>
                <w:b/>
                <w:bCs/>
                <w:color w:val="auto"/>
                <w:kern w:val="2"/>
                <w:szCs w:val="24"/>
              </w:rPr>
              <w:t xml:space="preserve">   </w:t>
            </w:r>
            <w:r>
              <w:rPr>
                <w:rFonts w:ascii="Times New Roman" w:hAnsi="Times New Roman"/>
                <w:b/>
                <w:color w:val="auto"/>
                <w:kern w:val="2"/>
                <w:szCs w:val="24"/>
              </w:rPr>
              <w:t>项目</w:t>
            </w:r>
            <w:r>
              <w:rPr>
                <w:rFonts w:hint="eastAsia" w:ascii="Times New Roman" w:hAnsi="Times New Roman"/>
                <w:b/>
                <w:color w:val="auto"/>
                <w:kern w:val="2"/>
                <w:szCs w:val="24"/>
              </w:rPr>
              <w:t>废水各污染物浓度</w:t>
            </w:r>
            <w:r>
              <w:rPr>
                <w:rFonts w:ascii="Times New Roman" w:hAnsi="Times New Roman"/>
                <w:b/>
                <w:color w:val="auto"/>
                <w:kern w:val="2"/>
                <w:szCs w:val="24"/>
              </w:rPr>
              <w:t>核算表</w:t>
            </w:r>
          </w:p>
          <w:tbl>
            <w:tblPr>
              <w:tblStyle w:val="33"/>
              <w:tblW w:w="83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870"/>
              <w:gridCol w:w="1120"/>
              <w:gridCol w:w="900"/>
              <w:gridCol w:w="1067"/>
              <w:gridCol w:w="933"/>
              <w:gridCol w:w="1110"/>
              <w:gridCol w:w="939"/>
            </w:tblGrid>
            <w:tr w14:paraId="26514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13" w:type="dxa"/>
                  <w:vAlign w:val="center"/>
                </w:tcPr>
                <w:p w14:paraId="63FC4E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名称</w:t>
                  </w:r>
                </w:p>
              </w:tc>
              <w:tc>
                <w:tcPr>
                  <w:tcW w:w="870" w:type="dxa"/>
                  <w:vAlign w:val="center"/>
                </w:tcPr>
                <w:p w14:paraId="41BFE0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污染物</w:t>
                  </w:r>
                </w:p>
              </w:tc>
              <w:tc>
                <w:tcPr>
                  <w:tcW w:w="1120" w:type="dxa"/>
                  <w:vAlign w:val="center"/>
                </w:tcPr>
                <w:p w14:paraId="115912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产生浓度（mg/L）</w:t>
                  </w:r>
                </w:p>
              </w:tc>
              <w:tc>
                <w:tcPr>
                  <w:tcW w:w="900" w:type="dxa"/>
                  <w:vAlign w:val="center"/>
                </w:tcPr>
                <w:p w14:paraId="73A0D6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产生量（t/a）</w:t>
                  </w:r>
                </w:p>
              </w:tc>
              <w:tc>
                <w:tcPr>
                  <w:tcW w:w="1067" w:type="dxa"/>
                  <w:vAlign w:val="center"/>
                </w:tcPr>
                <w:p w14:paraId="7E2F0C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处理措施</w:t>
                  </w:r>
                </w:p>
              </w:tc>
              <w:tc>
                <w:tcPr>
                  <w:tcW w:w="933" w:type="dxa"/>
                  <w:vAlign w:val="center"/>
                </w:tcPr>
                <w:p w14:paraId="47A986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去除效率（%）</w:t>
                  </w:r>
                </w:p>
              </w:tc>
              <w:tc>
                <w:tcPr>
                  <w:tcW w:w="1110" w:type="dxa"/>
                  <w:vAlign w:val="center"/>
                </w:tcPr>
                <w:p w14:paraId="23D1DF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排放浓度（mg/L）</w:t>
                  </w:r>
                </w:p>
              </w:tc>
              <w:tc>
                <w:tcPr>
                  <w:tcW w:w="939" w:type="dxa"/>
                  <w:vAlign w:val="center"/>
                </w:tcPr>
                <w:p w14:paraId="49CFB5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排放量（t/a）</w:t>
                  </w:r>
                </w:p>
              </w:tc>
            </w:tr>
            <w:tr w14:paraId="23266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413" w:type="dxa"/>
                  <w:vMerge w:val="restart"/>
                  <w:vAlign w:val="center"/>
                </w:tcPr>
                <w:p w14:paraId="6E43BC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0"/>
                      <w:sz w:val="21"/>
                      <w:szCs w:val="21"/>
                      <w:lang w:eastAsia="zh-CN"/>
                    </w:rPr>
                  </w:pPr>
                  <w:r>
                    <w:rPr>
                      <w:rFonts w:hint="eastAsia" w:ascii="Times New Roman" w:hAnsi="Times New Roman" w:eastAsia="宋体" w:cs="Times New Roman"/>
                      <w:snapToGrid w:val="0"/>
                      <w:color w:val="auto"/>
                      <w:kern w:val="0"/>
                      <w:sz w:val="21"/>
                      <w:szCs w:val="21"/>
                      <w:lang w:val="en-US" w:eastAsia="zh-CN"/>
                    </w:rPr>
                    <w:t>生产废水</w:t>
                  </w:r>
                  <w:r>
                    <w:rPr>
                      <w:rFonts w:hint="eastAsia" w:cs="Times New Roman"/>
                      <w:snapToGrid w:val="0"/>
                      <w:color w:val="auto"/>
                      <w:kern w:val="0"/>
                      <w:sz w:val="21"/>
                      <w:szCs w:val="21"/>
                      <w:lang w:eastAsia="zh-CN"/>
                    </w:rPr>
                    <w:t>（</w:t>
                  </w:r>
                  <w:r>
                    <w:rPr>
                      <w:rFonts w:hint="eastAsia" w:cs="Times New Roman"/>
                      <w:snapToGrid w:val="0"/>
                      <w:color w:val="auto"/>
                      <w:kern w:val="0"/>
                      <w:sz w:val="21"/>
                      <w:szCs w:val="21"/>
                      <w:lang w:val="en-US" w:eastAsia="zh-CN"/>
                    </w:rPr>
                    <w:t>5149.8m</w:t>
                  </w:r>
                  <w:r>
                    <w:rPr>
                      <w:rFonts w:hint="eastAsia" w:cs="Times New Roman"/>
                      <w:snapToGrid w:val="0"/>
                      <w:color w:val="auto"/>
                      <w:kern w:val="0"/>
                      <w:sz w:val="21"/>
                      <w:szCs w:val="21"/>
                      <w:vertAlign w:val="superscript"/>
                      <w:lang w:val="en-US" w:eastAsia="zh-CN"/>
                    </w:rPr>
                    <w:t>3</w:t>
                  </w:r>
                  <w:r>
                    <w:rPr>
                      <w:rFonts w:hint="eastAsia" w:cs="Times New Roman"/>
                      <w:snapToGrid w:val="0"/>
                      <w:color w:val="auto"/>
                      <w:kern w:val="0"/>
                      <w:sz w:val="21"/>
                      <w:szCs w:val="21"/>
                      <w:lang w:val="en-US" w:eastAsia="zh-CN"/>
                    </w:rPr>
                    <w:t>/a</w:t>
                  </w:r>
                  <w:r>
                    <w:rPr>
                      <w:rFonts w:hint="eastAsia" w:cs="Times New Roman"/>
                      <w:snapToGrid w:val="0"/>
                      <w:color w:val="auto"/>
                      <w:kern w:val="0"/>
                      <w:sz w:val="21"/>
                      <w:szCs w:val="21"/>
                      <w:lang w:eastAsia="zh-CN"/>
                    </w:rPr>
                    <w:t>）</w:t>
                  </w:r>
                </w:p>
              </w:tc>
              <w:tc>
                <w:tcPr>
                  <w:tcW w:w="870" w:type="dxa"/>
                  <w:vAlign w:val="center"/>
                </w:tcPr>
                <w:p w14:paraId="2273DD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pH（无量纲）</w:t>
                  </w:r>
                </w:p>
              </w:tc>
              <w:tc>
                <w:tcPr>
                  <w:tcW w:w="1120" w:type="dxa"/>
                  <w:vAlign w:val="center"/>
                </w:tcPr>
                <w:p w14:paraId="3445D1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3~4</w:t>
                  </w:r>
                </w:p>
              </w:tc>
              <w:tc>
                <w:tcPr>
                  <w:tcW w:w="900" w:type="dxa"/>
                  <w:vAlign w:val="center"/>
                </w:tcPr>
                <w:p w14:paraId="1E1AE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napToGrid w:val="0"/>
                      <w:color w:val="auto"/>
                      <w:kern w:val="0"/>
                      <w:sz w:val="21"/>
                      <w:szCs w:val="21"/>
                      <w:lang w:val="en-US" w:eastAsia="zh-CN"/>
                    </w:rPr>
                  </w:pPr>
                  <w:r>
                    <w:rPr>
                      <w:rFonts w:hint="eastAsia" w:ascii="Times New Roman" w:hAnsi="Times New Roman" w:cs="Times New Roman"/>
                      <w:snapToGrid w:val="0"/>
                      <w:color w:val="auto"/>
                      <w:kern w:val="0"/>
                      <w:sz w:val="21"/>
                      <w:szCs w:val="21"/>
                      <w:lang w:val="en-US" w:eastAsia="zh-CN"/>
                    </w:rPr>
                    <w:t>/</w:t>
                  </w:r>
                </w:p>
              </w:tc>
              <w:tc>
                <w:tcPr>
                  <w:tcW w:w="1067" w:type="dxa"/>
                  <w:vMerge w:val="restart"/>
                  <w:vAlign w:val="center"/>
                </w:tcPr>
                <w:p w14:paraId="37A52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经车间设三级沉淀池（总容积50m</w:t>
                  </w:r>
                  <w:r>
                    <w:rPr>
                      <w:rFonts w:hint="eastAsia" w:ascii="Times New Roman" w:hAnsi="Times New Roman" w:eastAsia="宋体" w:cs="Times New Roman"/>
                      <w:snapToGrid w:val="0"/>
                      <w:color w:val="auto"/>
                      <w:kern w:val="0"/>
                      <w:sz w:val="21"/>
                      <w:szCs w:val="21"/>
                      <w:vertAlign w:val="superscript"/>
                      <w:lang w:val="en-US" w:eastAsia="zh-CN"/>
                    </w:rPr>
                    <w:t>3</w:t>
                  </w:r>
                  <w:r>
                    <w:rPr>
                      <w:rFonts w:hint="eastAsia" w:ascii="Times New Roman" w:hAnsi="Times New Roman" w:eastAsia="宋体" w:cs="Times New Roman"/>
                      <w:snapToGrid w:val="0"/>
                      <w:color w:val="auto"/>
                      <w:kern w:val="0"/>
                      <w:sz w:val="21"/>
                      <w:szCs w:val="21"/>
                      <w:lang w:val="en-US" w:eastAsia="zh-CN"/>
                    </w:rPr>
                    <w:t>），采用“格栅+气浮+生物接触氧化”工艺，处理后进入市政管网</w:t>
                  </w:r>
                </w:p>
              </w:tc>
              <w:tc>
                <w:tcPr>
                  <w:tcW w:w="933" w:type="dxa"/>
                  <w:vAlign w:val="center"/>
                </w:tcPr>
                <w:p w14:paraId="6F6AA8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w:t>
                  </w:r>
                </w:p>
              </w:tc>
              <w:tc>
                <w:tcPr>
                  <w:tcW w:w="1110" w:type="dxa"/>
                  <w:vAlign w:val="center"/>
                </w:tcPr>
                <w:p w14:paraId="16EA13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6.5~9.5</w:t>
                  </w:r>
                </w:p>
              </w:tc>
              <w:tc>
                <w:tcPr>
                  <w:tcW w:w="939" w:type="dxa"/>
                  <w:vAlign w:val="center"/>
                </w:tcPr>
                <w:p w14:paraId="056240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w:t>
                  </w:r>
                </w:p>
              </w:tc>
            </w:tr>
            <w:tr w14:paraId="07AF4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413" w:type="dxa"/>
                  <w:vMerge w:val="continue"/>
                  <w:vAlign w:val="center"/>
                </w:tcPr>
                <w:p w14:paraId="3DED6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0"/>
                      <w:sz w:val="21"/>
                      <w:szCs w:val="21"/>
                      <w:lang w:eastAsia="zh-CN"/>
                    </w:rPr>
                  </w:pPr>
                </w:p>
              </w:tc>
              <w:tc>
                <w:tcPr>
                  <w:tcW w:w="870" w:type="dxa"/>
                  <w:vAlign w:val="center"/>
                </w:tcPr>
                <w:p w14:paraId="5A9250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ascii="Times New Roman" w:hAnsi="Times New Roman" w:cs="Times New Roman"/>
                      <w:color w:val="auto"/>
                      <w:sz w:val="21"/>
                      <w:szCs w:val="21"/>
                      <w:lang w:val="en-US" w:eastAsia="zh-CN"/>
                    </w:rPr>
                    <w:t>COD</w:t>
                  </w:r>
                </w:p>
              </w:tc>
              <w:tc>
                <w:tcPr>
                  <w:tcW w:w="1120" w:type="dxa"/>
                  <w:vAlign w:val="center"/>
                </w:tcPr>
                <w:p w14:paraId="76386A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500</w:t>
                  </w:r>
                </w:p>
              </w:tc>
              <w:tc>
                <w:tcPr>
                  <w:tcW w:w="900" w:type="dxa"/>
                  <w:vAlign w:val="center"/>
                </w:tcPr>
                <w:p w14:paraId="082C7B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2.575</w:t>
                  </w:r>
                </w:p>
              </w:tc>
              <w:tc>
                <w:tcPr>
                  <w:tcW w:w="1067" w:type="dxa"/>
                  <w:vMerge w:val="continue"/>
                  <w:vAlign w:val="center"/>
                </w:tcPr>
                <w:p w14:paraId="5294DD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0"/>
                      <w:sz w:val="21"/>
                      <w:szCs w:val="21"/>
                      <w:lang w:val="en-US" w:eastAsia="zh-CN"/>
                    </w:rPr>
                  </w:pPr>
                </w:p>
              </w:tc>
              <w:tc>
                <w:tcPr>
                  <w:tcW w:w="933" w:type="dxa"/>
                  <w:vAlign w:val="center"/>
                </w:tcPr>
                <w:p w14:paraId="0435DB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w:t>
                  </w:r>
                </w:p>
              </w:tc>
              <w:tc>
                <w:tcPr>
                  <w:tcW w:w="1110" w:type="dxa"/>
                  <w:vAlign w:val="center"/>
                </w:tcPr>
                <w:p w14:paraId="7E6593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500</w:t>
                  </w:r>
                </w:p>
              </w:tc>
              <w:tc>
                <w:tcPr>
                  <w:tcW w:w="939" w:type="dxa"/>
                  <w:shd w:val="clear" w:color="auto" w:fill="auto"/>
                  <w:vAlign w:val="center"/>
                </w:tcPr>
                <w:p w14:paraId="1D971E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rPr>
                    <w:t>2.575</w:t>
                  </w:r>
                </w:p>
              </w:tc>
            </w:tr>
            <w:tr w14:paraId="4C1E8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413" w:type="dxa"/>
                  <w:vMerge w:val="continue"/>
                  <w:vAlign w:val="center"/>
                </w:tcPr>
                <w:p w14:paraId="023A57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0"/>
                      <w:sz w:val="21"/>
                      <w:szCs w:val="21"/>
                      <w:lang w:eastAsia="zh-CN"/>
                    </w:rPr>
                  </w:pPr>
                </w:p>
              </w:tc>
              <w:tc>
                <w:tcPr>
                  <w:tcW w:w="870" w:type="dxa"/>
                  <w:vAlign w:val="center"/>
                </w:tcPr>
                <w:p w14:paraId="2A5D76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ascii="Times New Roman" w:hAnsi="Times New Roman" w:cs="Times New Roman"/>
                      <w:color w:val="auto"/>
                      <w:sz w:val="21"/>
                      <w:szCs w:val="21"/>
                      <w:lang w:val="en-US" w:eastAsia="zh-CN"/>
                    </w:rPr>
                    <w:t>NH</w:t>
                  </w:r>
                  <w:r>
                    <w:rPr>
                      <w:rFonts w:hint="eastAsia" w:ascii="Times New Roman" w:hAnsi="Times New Roman" w:cs="Times New Roman"/>
                      <w:color w:val="auto"/>
                      <w:sz w:val="21"/>
                      <w:szCs w:val="21"/>
                      <w:vertAlign w:val="subscript"/>
                      <w:lang w:val="en-US" w:eastAsia="zh-CN"/>
                    </w:rPr>
                    <w:t>3</w:t>
                  </w:r>
                  <w:r>
                    <w:rPr>
                      <w:rFonts w:hint="eastAsia" w:ascii="Times New Roman" w:hAnsi="Times New Roman" w:cs="Times New Roman"/>
                      <w:color w:val="auto"/>
                      <w:sz w:val="21"/>
                      <w:szCs w:val="21"/>
                      <w:lang w:val="en-US" w:eastAsia="zh-CN"/>
                    </w:rPr>
                    <w:t>-N</w:t>
                  </w:r>
                </w:p>
              </w:tc>
              <w:tc>
                <w:tcPr>
                  <w:tcW w:w="1120" w:type="dxa"/>
                  <w:vAlign w:val="center"/>
                </w:tcPr>
                <w:p w14:paraId="373AA0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45</w:t>
                  </w:r>
                </w:p>
              </w:tc>
              <w:tc>
                <w:tcPr>
                  <w:tcW w:w="900" w:type="dxa"/>
                  <w:vAlign w:val="center"/>
                </w:tcPr>
                <w:p w14:paraId="7D22F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0.2317</w:t>
                  </w:r>
                </w:p>
              </w:tc>
              <w:tc>
                <w:tcPr>
                  <w:tcW w:w="1067" w:type="dxa"/>
                  <w:vMerge w:val="continue"/>
                  <w:vAlign w:val="center"/>
                </w:tcPr>
                <w:p w14:paraId="2CA92A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0"/>
                      <w:sz w:val="21"/>
                      <w:szCs w:val="21"/>
                      <w:lang w:val="en-US" w:eastAsia="zh-CN"/>
                    </w:rPr>
                  </w:pPr>
                </w:p>
              </w:tc>
              <w:tc>
                <w:tcPr>
                  <w:tcW w:w="933" w:type="dxa"/>
                  <w:vAlign w:val="center"/>
                </w:tcPr>
                <w:p w14:paraId="3CB572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w:t>
                  </w:r>
                </w:p>
              </w:tc>
              <w:tc>
                <w:tcPr>
                  <w:tcW w:w="1110" w:type="dxa"/>
                  <w:vAlign w:val="center"/>
                </w:tcPr>
                <w:p w14:paraId="1AA8D7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45</w:t>
                  </w:r>
                </w:p>
              </w:tc>
              <w:tc>
                <w:tcPr>
                  <w:tcW w:w="939" w:type="dxa"/>
                  <w:shd w:val="clear" w:color="auto" w:fill="auto"/>
                  <w:vAlign w:val="center"/>
                </w:tcPr>
                <w:p w14:paraId="0F1205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rPr>
                    <w:t>0.2317</w:t>
                  </w:r>
                </w:p>
              </w:tc>
            </w:tr>
            <w:tr w14:paraId="289E6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3" w:type="dxa"/>
                  <w:vMerge w:val="restart"/>
                  <w:vAlign w:val="center"/>
                </w:tcPr>
                <w:p w14:paraId="26274C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napToGrid w:val="0"/>
                      <w:color w:val="auto"/>
                      <w:kern w:val="0"/>
                      <w:sz w:val="21"/>
                      <w:szCs w:val="21"/>
                      <w:lang w:eastAsia="zh-CN"/>
                    </w:rPr>
                  </w:pPr>
                  <w:r>
                    <w:rPr>
                      <w:rFonts w:hint="eastAsia" w:cs="Times New Roman"/>
                      <w:snapToGrid w:val="0"/>
                      <w:color w:val="auto"/>
                      <w:kern w:val="0"/>
                      <w:sz w:val="21"/>
                      <w:szCs w:val="21"/>
                      <w:lang w:eastAsia="zh-CN"/>
                    </w:rPr>
                    <w:t>生活污水</w:t>
                  </w:r>
                  <w:r>
                    <w:rPr>
                      <w:rFonts w:hint="eastAsia" w:cs="Times New Roman"/>
                      <w:snapToGrid w:val="0"/>
                      <w:color w:val="auto"/>
                      <w:kern w:val="0"/>
                      <w:sz w:val="21"/>
                      <w:szCs w:val="21"/>
                      <w:lang w:val="en-US" w:eastAsia="zh-CN"/>
                    </w:rPr>
                    <w:t>448m</w:t>
                  </w:r>
                  <w:r>
                    <w:rPr>
                      <w:rFonts w:hint="eastAsia" w:cs="Times New Roman"/>
                      <w:snapToGrid w:val="0"/>
                      <w:color w:val="auto"/>
                      <w:kern w:val="0"/>
                      <w:sz w:val="21"/>
                      <w:szCs w:val="21"/>
                      <w:vertAlign w:val="superscript"/>
                      <w:lang w:val="en-US" w:eastAsia="zh-CN"/>
                    </w:rPr>
                    <w:t>3</w:t>
                  </w:r>
                  <w:r>
                    <w:rPr>
                      <w:rFonts w:hint="eastAsia" w:cs="Times New Roman"/>
                      <w:snapToGrid w:val="0"/>
                      <w:color w:val="auto"/>
                      <w:kern w:val="0"/>
                      <w:sz w:val="21"/>
                      <w:szCs w:val="21"/>
                      <w:lang w:val="en-US" w:eastAsia="zh-CN"/>
                    </w:rPr>
                    <w:t>/a</w:t>
                  </w:r>
                  <w:r>
                    <w:rPr>
                      <w:rFonts w:hint="eastAsia" w:cs="Times New Roman"/>
                      <w:snapToGrid w:val="0"/>
                      <w:color w:val="auto"/>
                      <w:kern w:val="0"/>
                      <w:sz w:val="21"/>
                      <w:szCs w:val="21"/>
                      <w:lang w:eastAsia="zh-CN"/>
                    </w:rPr>
                    <w:t>）</w:t>
                  </w:r>
                </w:p>
              </w:tc>
              <w:tc>
                <w:tcPr>
                  <w:tcW w:w="870" w:type="dxa"/>
                  <w:vAlign w:val="center"/>
                </w:tcPr>
                <w:p w14:paraId="18FF37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COD</w:t>
                  </w:r>
                </w:p>
              </w:tc>
              <w:tc>
                <w:tcPr>
                  <w:tcW w:w="1120" w:type="dxa"/>
                  <w:vAlign w:val="center"/>
                </w:tcPr>
                <w:p w14:paraId="599CE6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400</w:t>
                  </w:r>
                </w:p>
              </w:tc>
              <w:tc>
                <w:tcPr>
                  <w:tcW w:w="900" w:type="dxa"/>
                  <w:vAlign w:val="center"/>
                </w:tcPr>
                <w:p w14:paraId="2F6355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0.1792</w:t>
                  </w:r>
                </w:p>
              </w:tc>
              <w:tc>
                <w:tcPr>
                  <w:tcW w:w="1067" w:type="dxa"/>
                  <w:vMerge w:val="restart"/>
                  <w:vAlign w:val="center"/>
                </w:tcPr>
                <w:p w14:paraId="28DE6F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化粪池收集后进入市政管网</w:t>
                  </w:r>
                </w:p>
              </w:tc>
              <w:tc>
                <w:tcPr>
                  <w:tcW w:w="933" w:type="dxa"/>
                  <w:vAlign w:val="center"/>
                </w:tcPr>
                <w:p w14:paraId="7DFB11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15</w:t>
                  </w:r>
                </w:p>
              </w:tc>
              <w:tc>
                <w:tcPr>
                  <w:tcW w:w="1110" w:type="dxa"/>
                  <w:vAlign w:val="center"/>
                </w:tcPr>
                <w:p w14:paraId="15215C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340</w:t>
                  </w:r>
                </w:p>
              </w:tc>
              <w:tc>
                <w:tcPr>
                  <w:tcW w:w="939" w:type="dxa"/>
                  <w:vAlign w:val="center"/>
                </w:tcPr>
                <w:p w14:paraId="76B0B7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0.1523</w:t>
                  </w:r>
                </w:p>
              </w:tc>
            </w:tr>
            <w:tr w14:paraId="4F41B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vMerge w:val="continue"/>
                  <w:vAlign w:val="center"/>
                </w:tcPr>
                <w:p w14:paraId="36F78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napToGrid w:val="0"/>
                      <w:color w:val="auto"/>
                      <w:kern w:val="0"/>
                      <w:sz w:val="21"/>
                      <w:szCs w:val="21"/>
                      <w:lang w:eastAsia="zh-CN"/>
                    </w:rPr>
                  </w:pPr>
                </w:p>
              </w:tc>
              <w:tc>
                <w:tcPr>
                  <w:tcW w:w="870" w:type="dxa"/>
                  <w:vAlign w:val="center"/>
                </w:tcPr>
                <w:p w14:paraId="6BE8D7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BOD</w:t>
                  </w:r>
                  <w:r>
                    <w:rPr>
                      <w:rFonts w:hint="eastAsia" w:ascii="Times New Roman" w:hAnsi="Times New Roman" w:cs="Times New Roman"/>
                      <w:color w:val="auto"/>
                      <w:sz w:val="21"/>
                      <w:szCs w:val="21"/>
                      <w:vertAlign w:val="subscript"/>
                      <w:lang w:val="en-US" w:eastAsia="zh-CN"/>
                    </w:rPr>
                    <w:t>5</w:t>
                  </w:r>
                </w:p>
              </w:tc>
              <w:tc>
                <w:tcPr>
                  <w:tcW w:w="1120" w:type="dxa"/>
                  <w:vAlign w:val="center"/>
                </w:tcPr>
                <w:p w14:paraId="3EBFC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300</w:t>
                  </w:r>
                </w:p>
              </w:tc>
              <w:tc>
                <w:tcPr>
                  <w:tcW w:w="900" w:type="dxa"/>
                  <w:vAlign w:val="center"/>
                </w:tcPr>
                <w:p w14:paraId="3A2CF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0.1344</w:t>
                  </w:r>
                </w:p>
              </w:tc>
              <w:tc>
                <w:tcPr>
                  <w:tcW w:w="1067" w:type="dxa"/>
                  <w:vMerge w:val="continue"/>
                  <w:vAlign w:val="center"/>
                </w:tcPr>
                <w:p w14:paraId="0276CF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napToGrid w:val="0"/>
                      <w:color w:val="auto"/>
                      <w:kern w:val="0"/>
                      <w:sz w:val="21"/>
                      <w:szCs w:val="21"/>
                    </w:rPr>
                  </w:pPr>
                </w:p>
              </w:tc>
              <w:tc>
                <w:tcPr>
                  <w:tcW w:w="933" w:type="dxa"/>
                  <w:vAlign w:val="center"/>
                </w:tcPr>
                <w:p w14:paraId="41EC50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9</w:t>
                  </w:r>
                </w:p>
              </w:tc>
              <w:tc>
                <w:tcPr>
                  <w:tcW w:w="1110" w:type="dxa"/>
                  <w:vAlign w:val="center"/>
                </w:tcPr>
                <w:p w14:paraId="1E70FA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273</w:t>
                  </w:r>
                </w:p>
              </w:tc>
              <w:tc>
                <w:tcPr>
                  <w:tcW w:w="939" w:type="dxa"/>
                  <w:vAlign w:val="center"/>
                </w:tcPr>
                <w:p w14:paraId="11798F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0.1223</w:t>
                  </w:r>
                </w:p>
              </w:tc>
            </w:tr>
            <w:tr w14:paraId="6BB20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vMerge w:val="continue"/>
                  <w:vAlign w:val="center"/>
                </w:tcPr>
                <w:p w14:paraId="603935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napToGrid w:val="0"/>
                      <w:color w:val="auto"/>
                      <w:kern w:val="0"/>
                      <w:sz w:val="21"/>
                      <w:szCs w:val="21"/>
                      <w:lang w:eastAsia="zh-CN"/>
                    </w:rPr>
                  </w:pPr>
                </w:p>
              </w:tc>
              <w:tc>
                <w:tcPr>
                  <w:tcW w:w="870" w:type="dxa"/>
                  <w:vAlign w:val="center"/>
                </w:tcPr>
                <w:p w14:paraId="56D7A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SS</w:t>
                  </w:r>
                </w:p>
              </w:tc>
              <w:tc>
                <w:tcPr>
                  <w:tcW w:w="1120" w:type="dxa"/>
                  <w:vAlign w:val="center"/>
                </w:tcPr>
                <w:p w14:paraId="5F0105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200</w:t>
                  </w:r>
                </w:p>
              </w:tc>
              <w:tc>
                <w:tcPr>
                  <w:tcW w:w="900" w:type="dxa"/>
                  <w:vAlign w:val="center"/>
                </w:tcPr>
                <w:p w14:paraId="344877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0.0896</w:t>
                  </w:r>
                </w:p>
              </w:tc>
              <w:tc>
                <w:tcPr>
                  <w:tcW w:w="1067" w:type="dxa"/>
                  <w:vMerge w:val="continue"/>
                  <w:vAlign w:val="center"/>
                </w:tcPr>
                <w:p w14:paraId="5441EE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napToGrid w:val="0"/>
                      <w:color w:val="auto"/>
                      <w:kern w:val="0"/>
                      <w:sz w:val="21"/>
                      <w:szCs w:val="21"/>
                    </w:rPr>
                  </w:pPr>
                </w:p>
              </w:tc>
              <w:tc>
                <w:tcPr>
                  <w:tcW w:w="933" w:type="dxa"/>
                  <w:vAlign w:val="center"/>
                </w:tcPr>
                <w:p w14:paraId="012D1E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30</w:t>
                  </w:r>
                </w:p>
              </w:tc>
              <w:tc>
                <w:tcPr>
                  <w:tcW w:w="1110" w:type="dxa"/>
                  <w:vAlign w:val="center"/>
                </w:tcPr>
                <w:p w14:paraId="0A86AF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140</w:t>
                  </w:r>
                </w:p>
              </w:tc>
              <w:tc>
                <w:tcPr>
                  <w:tcW w:w="939" w:type="dxa"/>
                  <w:vAlign w:val="center"/>
                </w:tcPr>
                <w:p w14:paraId="36FCD8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0.0627</w:t>
                  </w:r>
                </w:p>
              </w:tc>
            </w:tr>
            <w:tr w14:paraId="46546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13" w:type="dxa"/>
                  <w:vMerge w:val="continue"/>
                  <w:vAlign w:val="center"/>
                </w:tcPr>
                <w:p w14:paraId="321B38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napToGrid w:val="0"/>
                      <w:color w:val="auto"/>
                      <w:kern w:val="0"/>
                      <w:sz w:val="21"/>
                      <w:szCs w:val="21"/>
                      <w:lang w:eastAsia="zh-CN"/>
                    </w:rPr>
                  </w:pPr>
                </w:p>
              </w:tc>
              <w:tc>
                <w:tcPr>
                  <w:tcW w:w="870" w:type="dxa"/>
                  <w:vAlign w:val="center"/>
                </w:tcPr>
                <w:p w14:paraId="0518AA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NH</w:t>
                  </w:r>
                  <w:r>
                    <w:rPr>
                      <w:rFonts w:hint="eastAsia" w:ascii="Times New Roman" w:hAnsi="Times New Roman" w:cs="Times New Roman"/>
                      <w:color w:val="auto"/>
                      <w:sz w:val="21"/>
                      <w:szCs w:val="21"/>
                      <w:vertAlign w:val="subscript"/>
                      <w:lang w:val="en-US" w:eastAsia="zh-CN"/>
                    </w:rPr>
                    <w:t>3</w:t>
                  </w:r>
                  <w:r>
                    <w:rPr>
                      <w:rFonts w:hint="eastAsia" w:ascii="Times New Roman" w:hAnsi="Times New Roman" w:cs="Times New Roman"/>
                      <w:color w:val="auto"/>
                      <w:sz w:val="21"/>
                      <w:szCs w:val="21"/>
                      <w:lang w:val="en-US" w:eastAsia="zh-CN"/>
                    </w:rPr>
                    <w:t>-N</w:t>
                  </w:r>
                </w:p>
              </w:tc>
              <w:tc>
                <w:tcPr>
                  <w:tcW w:w="1120" w:type="dxa"/>
                  <w:vAlign w:val="center"/>
                </w:tcPr>
                <w:p w14:paraId="2AE9D8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45</w:t>
                  </w:r>
                </w:p>
              </w:tc>
              <w:tc>
                <w:tcPr>
                  <w:tcW w:w="900" w:type="dxa"/>
                  <w:vAlign w:val="center"/>
                </w:tcPr>
                <w:p w14:paraId="6F604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0.0202</w:t>
                  </w:r>
                </w:p>
              </w:tc>
              <w:tc>
                <w:tcPr>
                  <w:tcW w:w="1067" w:type="dxa"/>
                  <w:vMerge w:val="continue"/>
                  <w:vAlign w:val="center"/>
                </w:tcPr>
                <w:p w14:paraId="36D9FB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napToGrid w:val="0"/>
                      <w:color w:val="auto"/>
                      <w:kern w:val="0"/>
                      <w:sz w:val="21"/>
                      <w:szCs w:val="21"/>
                    </w:rPr>
                  </w:pPr>
                </w:p>
              </w:tc>
              <w:tc>
                <w:tcPr>
                  <w:tcW w:w="933" w:type="dxa"/>
                  <w:vAlign w:val="center"/>
                </w:tcPr>
                <w:p w14:paraId="35891D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3</w:t>
                  </w:r>
                </w:p>
              </w:tc>
              <w:tc>
                <w:tcPr>
                  <w:tcW w:w="1110" w:type="dxa"/>
                  <w:vAlign w:val="center"/>
                </w:tcPr>
                <w:p w14:paraId="0E79E0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43.6</w:t>
                  </w:r>
                </w:p>
              </w:tc>
              <w:tc>
                <w:tcPr>
                  <w:tcW w:w="939" w:type="dxa"/>
                  <w:vAlign w:val="center"/>
                </w:tcPr>
                <w:p w14:paraId="417A36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0.0195</w:t>
                  </w:r>
                </w:p>
              </w:tc>
            </w:tr>
            <w:tr w14:paraId="0B6E9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vMerge w:val="continue"/>
                  <w:vAlign w:val="center"/>
                </w:tcPr>
                <w:p w14:paraId="36EE7D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napToGrid w:val="0"/>
                      <w:color w:val="auto"/>
                      <w:kern w:val="0"/>
                      <w:sz w:val="21"/>
                      <w:szCs w:val="21"/>
                      <w:lang w:eastAsia="zh-CN"/>
                    </w:rPr>
                  </w:pPr>
                </w:p>
              </w:tc>
              <w:tc>
                <w:tcPr>
                  <w:tcW w:w="870" w:type="dxa"/>
                  <w:vAlign w:val="center"/>
                </w:tcPr>
                <w:p w14:paraId="6B87C8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TP</w:t>
                  </w:r>
                </w:p>
              </w:tc>
              <w:tc>
                <w:tcPr>
                  <w:tcW w:w="1120" w:type="dxa"/>
                  <w:vAlign w:val="center"/>
                </w:tcPr>
                <w:p w14:paraId="311F94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5.0</w:t>
                  </w:r>
                </w:p>
              </w:tc>
              <w:tc>
                <w:tcPr>
                  <w:tcW w:w="900" w:type="dxa"/>
                  <w:vAlign w:val="center"/>
                </w:tcPr>
                <w:p w14:paraId="063525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0.0022</w:t>
                  </w:r>
                </w:p>
              </w:tc>
              <w:tc>
                <w:tcPr>
                  <w:tcW w:w="1067" w:type="dxa"/>
                  <w:vMerge w:val="continue"/>
                  <w:vAlign w:val="center"/>
                </w:tcPr>
                <w:p w14:paraId="1748A0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napToGrid w:val="0"/>
                      <w:color w:val="auto"/>
                      <w:kern w:val="0"/>
                      <w:sz w:val="21"/>
                      <w:szCs w:val="21"/>
                    </w:rPr>
                  </w:pPr>
                </w:p>
              </w:tc>
              <w:tc>
                <w:tcPr>
                  <w:tcW w:w="933" w:type="dxa"/>
                  <w:vAlign w:val="center"/>
                </w:tcPr>
                <w:p w14:paraId="333A67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w:t>
                  </w:r>
                </w:p>
              </w:tc>
              <w:tc>
                <w:tcPr>
                  <w:tcW w:w="1110" w:type="dxa"/>
                  <w:vAlign w:val="center"/>
                </w:tcPr>
                <w:p w14:paraId="25FB6C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5</w:t>
                  </w:r>
                </w:p>
              </w:tc>
              <w:tc>
                <w:tcPr>
                  <w:tcW w:w="939" w:type="dxa"/>
                  <w:vAlign w:val="center"/>
                </w:tcPr>
                <w:p w14:paraId="2566B8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0.0022</w:t>
                  </w:r>
                </w:p>
              </w:tc>
            </w:tr>
            <w:tr w14:paraId="32A81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vMerge w:val="continue"/>
                  <w:vAlign w:val="center"/>
                </w:tcPr>
                <w:p w14:paraId="43EC5F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napToGrid w:val="0"/>
                      <w:color w:val="auto"/>
                      <w:kern w:val="0"/>
                      <w:sz w:val="21"/>
                      <w:szCs w:val="21"/>
                      <w:lang w:eastAsia="zh-CN"/>
                    </w:rPr>
                  </w:pPr>
                </w:p>
              </w:tc>
              <w:tc>
                <w:tcPr>
                  <w:tcW w:w="870" w:type="dxa"/>
                  <w:vAlign w:val="center"/>
                </w:tcPr>
                <w:p w14:paraId="7E87A1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TN</w:t>
                  </w:r>
                </w:p>
              </w:tc>
              <w:tc>
                <w:tcPr>
                  <w:tcW w:w="1120" w:type="dxa"/>
                  <w:vAlign w:val="center"/>
                </w:tcPr>
                <w:p w14:paraId="31624E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65</w:t>
                  </w:r>
                </w:p>
              </w:tc>
              <w:tc>
                <w:tcPr>
                  <w:tcW w:w="900" w:type="dxa"/>
                  <w:vAlign w:val="center"/>
                </w:tcPr>
                <w:p w14:paraId="43CD93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0.0291</w:t>
                  </w:r>
                </w:p>
              </w:tc>
              <w:tc>
                <w:tcPr>
                  <w:tcW w:w="1067" w:type="dxa"/>
                  <w:vMerge w:val="continue"/>
                  <w:vAlign w:val="center"/>
                </w:tcPr>
                <w:p w14:paraId="317361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napToGrid w:val="0"/>
                      <w:color w:val="auto"/>
                      <w:kern w:val="0"/>
                      <w:sz w:val="21"/>
                      <w:szCs w:val="21"/>
                    </w:rPr>
                  </w:pPr>
                </w:p>
              </w:tc>
              <w:tc>
                <w:tcPr>
                  <w:tcW w:w="933" w:type="dxa"/>
                  <w:vAlign w:val="center"/>
                </w:tcPr>
                <w:p w14:paraId="448B7D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10</w:t>
                  </w:r>
                </w:p>
              </w:tc>
              <w:tc>
                <w:tcPr>
                  <w:tcW w:w="1110" w:type="dxa"/>
                  <w:vAlign w:val="center"/>
                </w:tcPr>
                <w:p w14:paraId="07EF33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58.5</w:t>
                  </w:r>
                </w:p>
              </w:tc>
              <w:tc>
                <w:tcPr>
                  <w:tcW w:w="939" w:type="dxa"/>
                  <w:vAlign w:val="center"/>
                </w:tcPr>
                <w:p w14:paraId="0B86D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0.0262</w:t>
                  </w:r>
                </w:p>
              </w:tc>
            </w:tr>
          </w:tbl>
          <w:p w14:paraId="4D13C1F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（2）源强核算及达标情况分析</w:t>
            </w:r>
          </w:p>
          <w:p w14:paraId="735EAB6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生产废水产生量约为5149.8m</w:t>
            </w:r>
            <w:r>
              <w:rPr>
                <w:rFonts w:hint="eastAsia" w:ascii="Times New Roman" w:hAnsi="Times New Roman" w:eastAsia="仿宋_GB2312" w:cs="Times New Roman"/>
                <w:color w:val="auto"/>
                <w:kern w:val="2"/>
                <w:sz w:val="24"/>
                <w:szCs w:val="24"/>
                <w:highlight w:val="none"/>
                <w:vertAlign w:val="superscript"/>
                <w:lang w:val="en-US" w:eastAsia="zh-CN" w:bidi="ar-SA"/>
              </w:rPr>
              <w:t>3</w:t>
            </w:r>
            <w:r>
              <w:rPr>
                <w:rFonts w:hint="eastAsia" w:ascii="Times New Roman" w:hAnsi="Times New Roman" w:eastAsia="仿宋_GB2312" w:cs="Times New Roman"/>
                <w:color w:val="auto"/>
                <w:kern w:val="2"/>
                <w:sz w:val="24"/>
                <w:szCs w:val="24"/>
                <w:highlight w:val="none"/>
                <w:lang w:val="en-US" w:eastAsia="zh-CN" w:bidi="ar-SA"/>
              </w:rPr>
              <w:t>/a，经车间设三级沉淀池（总容积50m</w:t>
            </w:r>
            <w:r>
              <w:rPr>
                <w:rFonts w:hint="eastAsia" w:ascii="Times New Roman" w:hAnsi="Times New Roman" w:eastAsia="仿宋_GB2312" w:cs="Times New Roman"/>
                <w:color w:val="auto"/>
                <w:kern w:val="2"/>
                <w:sz w:val="24"/>
                <w:szCs w:val="24"/>
                <w:highlight w:val="none"/>
                <w:vertAlign w:val="superscript"/>
                <w:lang w:val="en-US" w:eastAsia="zh-CN" w:bidi="ar-SA"/>
              </w:rPr>
              <w:t>3</w:t>
            </w:r>
            <w:r>
              <w:rPr>
                <w:rFonts w:hint="eastAsia" w:ascii="Times New Roman" w:hAnsi="Times New Roman" w:eastAsia="仿宋_GB2312" w:cs="Times New Roman"/>
                <w:color w:val="auto"/>
                <w:kern w:val="2"/>
                <w:sz w:val="24"/>
                <w:szCs w:val="24"/>
                <w:highlight w:val="none"/>
                <w:lang w:val="en-US" w:eastAsia="zh-CN" w:bidi="ar-SA"/>
              </w:rPr>
              <w:t>），采用“格栅+气浮+生物接触氧化”工艺，处理后进入市政管网。生活污水产生量约为448m</w:t>
            </w:r>
            <w:r>
              <w:rPr>
                <w:rFonts w:hint="eastAsia" w:ascii="Times New Roman" w:hAnsi="Times New Roman" w:eastAsia="仿宋_GB2312" w:cs="Times New Roman"/>
                <w:color w:val="auto"/>
                <w:kern w:val="2"/>
                <w:sz w:val="24"/>
                <w:szCs w:val="24"/>
                <w:highlight w:val="none"/>
                <w:vertAlign w:val="superscript"/>
                <w:lang w:val="en-US" w:eastAsia="zh-CN" w:bidi="ar-SA"/>
              </w:rPr>
              <w:t>3</w:t>
            </w:r>
            <w:r>
              <w:rPr>
                <w:rFonts w:hint="eastAsia" w:ascii="Times New Roman" w:hAnsi="Times New Roman" w:eastAsia="仿宋_GB2312" w:cs="Times New Roman"/>
                <w:color w:val="auto"/>
                <w:kern w:val="2"/>
                <w:sz w:val="24"/>
                <w:szCs w:val="24"/>
                <w:highlight w:val="none"/>
                <w:lang w:val="en-US" w:eastAsia="zh-CN" w:bidi="ar-SA"/>
              </w:rPr>
              <w:t>/a，经化粪池收集后进入市政管网。</w:t>
            </w:r>
          </w:p>
          <w:p w14:paraId="60557D1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2.3排放方式、排放规律、排放去向及排放口基本情况</w:t>
            </w:r>
          </w:p>
          <w:p w14:paraId="7AEC1E5C">
            <w:pPr>
              <w:pStyle w:val="42"/>
              <w:keepNext w:val="0"/>
              <w:keepLines w:val="0"/>
              <w:pageBreakBefore w:val="0"/>
              <w:kinsoku/>
              <w:wordWrap/>
              <w:overflowPunct/>
              <w:topLinePunct w:val="0"/>
              <w:bidi w:val="0"/>
              <w:adjustRightInd/>
              <w:snapToGrid/>
              <w:ind w:firstLine="482"/>
              <w:textAlignment w:val="auto"/>
              <w:rPr>
                <w:rFonts w:ascii="Times New Roman" w:hAnsi="Times New Roman"/>
                <w:color w:val="auto"/>
                <w:kern w:val="2"/>
                <w:szCs w:val="24"/>
              </w:rPr>
            </w:pPr>
            <w:r>
              <w:rPr>
                <w:rFonts w:ascii="Times New Roman" w:hAnsi="Times New Roman"/>
                <w:b/>
                <w:bCs/>
                <w:color w:val="auto"/>
              </w:rPr>
              <w:t>表</w:t>
            </w:r>
            <w:r>
              <w:rPr>
                <w:rFonts w:hint="eastAsia" w:ascii="Times New Roman" w:hAnsi="Times New Roman"/>
                <w:b/>
                <w:bCs/>
                <w:color w:val="auto"/>
                <w:lang w:val="en-US" w:eastAsia="zh-CN"/>
              </w:rPr>
              <w:t>40</w:t>
            </w:r>
            <w:r>
              <w:rPr>
                <w:rFonts w:ascii="Times New Roman" w:hAnsi="Times New Roman"/>
                <w:b/>
                <w:bCs/>
                <w:color w:val="auto"/>
              </w:rPr>
              <w:t xml:space="preserve">   废水排放方式、排放规律、排放去向排放口基本情况一览表</w:t>
            </w:r>
          </w:p>
          <w:tbl>
            <w:tblPr>
              <w:tblStyle w:val="33"/>
              <w:tblW w:w="81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033"/>
              <w:gridCol w:w="1780"/>
              <w:gridCol w:w="4369"/>
            </w:tblGrid>
            <w:tr w14:paraId="2126D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33" w:type="dxa"/>
                  <w:vMerge w:val="restart"/>
                  <w:tcBorders>
                    <w:tl2br w:val="nil"/>
                    <w:tr2bl w:val="nil"/>
                  </w:tcBorders>
                  <w:vAlign w:val="center"/>
                </w:tcPr>
                <w:p w14:paraId="2B49AD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排污口基本情况</w:t>
                  </w:r>
                </w:p>
              </w:tc>
              <w:tc>
                <w:tcPr>
                  <w:tcW w:w="1780" w:type="dxa"/>
                  <w:tcBorders>
                    <w:tl2br w:val="nil"/>
                    <w:tr2bl w:val="nil"/>
                  </w:tcBorders>
                  <w:vAlign w:val="center"/>
                </w:tcPr>
                <w:p w14:paraId="21409A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名称</w:t>
                  </w:r>
                </w:p>
              </w:tc>
              <w:tc>
                <w:tcPr>
                  <w:tcW w:w="4369" w:type="dxa"/>
                  <w:tcBorders>
                    <w:tl2br w:val="nil"/>
                    <w:tr2bl w:val="nil"/>
                  </w:tcBorders>
                  <w:vAlign w:val="center"/>
                </w:tcPr>
                <w:p w14:paraId="47CE15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废水总排口</w:t>
                  </w:r>
                </w:p>
              </w:tc>
            </w:tr>
            <w:tr w14:paraId="62C41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33" w:type="dxa"/>
                  <w:vMerge w:val="continue"/>
                  <w:tcBorders>
                    <w:tl2br w:val="nil"/>
                    <w:tr2bl w:val="nil"/>
                  </w:tcBorders>
                  <w:vAlign w:val="center"/>
                </w:tcPr>
                <w:p w14:paraId="19466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p>
              </w:tc>
              <w:tc>
                <w:tcPr>
                  <w:tcW w:w="1780" w:type="dxa"/>
                  <w:tcBorders>
                    <w:tl2br w:val="nil"/>
                    <w:tr2bl w:val="nil"/>
                  </w:tcBorders>
                  <w:vAlign w:val="center"/>
                </w:tcPr>
                <w:p w14:paraId="652DAF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编号</w:t>
                  </w:r>
                </w:p>
              </w:tc>
              <w:tc>
                <w:tcPr>
                  <w:tcW w:w="4369" w:type="dxa"/>
                  <w:tcBorders>
                    <w:tl2br w:val="nil"/>
                    <w:tr2bl w:val="nil"/>
                  </w:tcBorders>
                  <w:vAlign w:val="center"/>
                </w:tcPr>
                <w:p w14:paraId="07181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DW001</w:t>
                  </w:r>
                </w:p>
              </w:tc>
            </w:tr>
            <w:tr w14:paraId="51F5E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33" w:type="dxa"/>
                  <w:vMerge w:val="continue"/>
                  <w:tcBorders>
                    <w:tl2br w:val="nil"/>
                    <w:tr2bl w:val="nil"/>
                  </w:tcBorders>
                  <w:vAlign w:val="center"/>
                </w:tcPr>
                <w:p w14:paraId="1A4F0A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p>
              </w:tc>
              <w:tc>
                <w:tcPr>
                  <w:tcW w:w="1780" w:type="dxa"/>
                  <w:tcBorders>
                    <w:tl2br w:val="nil"/>
                    <w:tr2bl w:val="nil"/>
                  </w:tcBorders>
                  <w:vAlign w:val="center"/>
                </w:tcPr>
                <w:p w14:paraId="4CA8BC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类型</w:t>
                  </w:r>
                </w:p>
              </w:tc>
              <w:tc>
                <w:tcPr>
                  <w:tcW w:w="4369" w:type="dxa"/>
                  <w:tcBorders>
                    <w:tl2br w:val="nil"/>
                    <w:tr2bl w:val="nil"/>
                  </w:tcBorders>
                  <w:vAlign w:val="center"/>
                </w:tcPr>
                <w:p w14:paraId="1C641F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一般排放口</w:t>
                  </w:r>
                </w:p>
              </w:tc>
            </w:tr>
            <w:tr w14:paraId="041FA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33" w:type="dxa"/>
                  <w:vMerge w:val="continue"/>
                  <w:tcBorders>
                    <w:tl2br w:val="nil"/>
                    <w:tr2bl w:val="nil"/>
                  </w:tcBorders>
                  <w:vAlign w:val="center"/>
                </w:tcPr>
                <w:p w14:paraId="21B974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p>
              </w:tc>
              <w:tc>
                <w:tcPr>
                  <w:tcW w:w="1780" w:type="dxa"/>
                  <w:tcBorders>
                    <w:tl2br w:val="nil"/>
                    <w:tr2bl w:val="nil"/>
                  </w:tcBorders>
                  <w:vAlign w:val="center"/>
                </w:tcPr>
                <w:p w14:paraId="07628B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地理坐标</w:t>
                  </w:r>
                </w:p>
              </w:tc>
              <w:tc>
                <w:tcPr>
                  <w:tcW w:w="4369" w:type="dxa"/>
                  <w:tcBorders>
                    <w:tl2br w:val="nil"/>
                    <w:tr2bl w:val="nil"/>
                  </w:tcBorders>
                  <w:vAlign w:val="center"/>
                </w:tcPr>
                <w:p w14:paraId="0C1643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E</w:t>
                  </w:r>
                  <w:r>
                    <w:rPr>
                      <w:rFonts w:hint="eastAsia"/>
                      <w:color w:val="auto"/>
                      <w:sz w:val="21"/>
                      <w:szCs w:val="21"/>
                      <w:lang w:eastAsia="zh-CN"/>
                    </w:rPr>
                    <w:t>：106°19′50.659″</w:t>
                  </w:r>
                  <w:r>
                    <w:rPr>
                      <w:color w:val="auto"/>
                      <w:sz w:val="21"/>
                      <w:szCs w:val="21"/>
                    </w:rPr>
                    <w:t>；N</w:t>
                  </w:r>
                  <w:r>
                    <w:rPr>
                      <w:rFonts w:hint="eastAsia"/>
                      <w:color w:val="auto"/>
                      <w:sz w:val="21"/>
                      <w:szCs w:val="21"/>
                      <w:lang w:eastAsia="zh-CN"/>
                    </w:rPr>
                    <w:t>：38°34′56.001″</w:t>
                  </w:r>
                </w:p>
              </w:tc>
            </w:tr>
            <w:tr w14:paraId="11259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13" w:type="dxa"/>
                  <w:gridSpan w:val="2"/>
                  <w:tcBorders>
                    <w:tl2br w:val="nil"/>
                    <w:tr2bl w:val="nil"/>
                  </w:tcBorders>
                  <w:vAlign w:val="center"/>
                </w:tcPr>
                <w:p w14:paraId="062AF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排放方式</w:t>
                  </w:r>
                </w:p>
              </w:tc>
              <w:tc>
                <w:tcPr>
                  <w:tcW w:w="4369" w:type="dxa"/>
                  <w:tcBorders>
                    <w:tl2br w:val="nil"/>
                    <w:tr2bl w:val="nil"/>
                  </w:tcBorders>
                  <w:vAlign w:val="center"/>
                </w:tcPr>
                <w:p w14:paraId="6B81BA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间接排放</w:t>
                  </w:r>
                </w:p>
              </w:tc>
            </w:tr>
            <w:tr w14:paraId="5AA32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813" w:type="dxa"/>
                  <w:gridSpan w:val="2"/>
                  <w:tcBorders>
                    <w:tl2br w:val="nil"/>
                    <w:tr2bl w:val="nil"/>
                  </w:tcBorders>
                  <w:vAlign w:val="center"/>
                </w:tcPr>
                <w:p w14:paraId="01368C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z w:val="21"/>
                      <w:szCs w:val="21"/>
                      <w:lang w:eastAsia="zh-CN"/>
                    </w:rPr>
                  </w:pPr>
                  <w:r>
                    <w:rPr>
                      <w:rFonts w:hint="eastAsia"/>
                      <w:b/>
                      <w:bCs/>
                      <w:color w:val="auto"/>
                      <w:sz w:val="21"/>
                      <w:szCs w:val="21"/>
                      <w:lang w:eastAsia="zh-CN"/>
                    </w:rPr>
                    <w:t>排放浓度</w:t>
                  </w:r>
                </w:p>
              </w:tc>
              <w:tc>
                <w:tcPr>
                  <w:tcW w:w="4369" w:type="dxa"/>
                  <w:tcBorders>
                    <w:tl2br w:val="nil"/>
                    <w:tr2bl w:val="nil"/>
                  </w:tcBorders>
                  <w:vAlign w:val="center"/>
                </w:tcPr>
                <w:p w14:paraId="26568B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COD：321mg/L、BOD</w:t>
                  </w:r>
                  <w:r>
                    <w:rPr>
                      <w:rFonts w:hint="eastAsia"/>
                      <w:color w:val="auto"/>
                      <w:sz w:val="21"/>
                      <w:szCs w:val="21"/>
                      <w:vertAlign w:val="subscript"/>
                      <w:lang w:val="en-US" w:eastAsia="zh-CN"/>
                    </w:rPr>
                    <w:t>5</w:t>
                  </w:r>
                  <w:r>
                    <w:rPr>
                      <w:rFonts w:hint="eastAsia"/>
                      <w:color w:val="auto"/>
                      <w:sz w:val="21"/>
                      <w:szCs w:val="21"/>
                      <w:lang w:val="en-US" w:eastAsia="zh-CN"/>
                    </w:rPr>
                    <w:t>：217mg/L、氨氮：39.5mg/L</w:t>
                  </w:r>
                </w:p>
              </w:tc>
            </w:tr>
            <w:tr w14:paraId="48D1B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13" w:type="dxa"/>
                  <w:gridSpan w:val="2"/>
                  <w:tcBorders>
                    <w:tl2br w:val="nil"/>
                    <w:tr2bl w:val="nil"/>
                  </w:tcBorders>
                  <w:vAlign w:val="center"/>
                </w:tcPr>
                <w:p w14:paraId="1C7419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排放规律</w:t>
                  </w:r>
                </w:p>
              </w:tc>
              <w:tc>
                <w:tcPr>
                  <w:tcW w:w="4369" w:type="dxa"/>
                  <w:tcBorders>
                    <w:tl2br w:val="nil"/>
                    <w:tr2bl w:val="nil"/>
                  </w:tcBorders>
                  <w:vAlign w:val="center"/>
                </w:tcPr>
                <w:p w14:paraId="215C2C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间歇排放</w:t>
                  </w:r>
                </w:p>
              </w:tc>
            </w:tr>
            <w:tr w14:paraId="6581D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13" w:type="dxa"/>
                  <w:gridSpan w:val="2"/>
                  <w:tcBorders>
                    <w:tl2br w:val="nil"/>
                    <w:tr2bl w:val="nil"/>
                  </w:tcBorders>
                  <w:vAlign w:val="center"/>
                </w:tcPr>
                <w:p w14:paraId="41F43D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排放去向</w:t>
                  </w:r>
                </w:p>
              </w:tc>
              <w:tc>
                <w:tcPr>
                  <w:tcW w:w="4369" w:type="dxa"/>
                  <w:tcBorders>
                    <w:tl2br w:val="nil"/>
                    <w:tr2bl w:val="nil"/>
                  </w:tcBorders>
                  <w:vAlign w:val="center"/>
                </w:tcPr>
                <w:p w14:paraId="141F23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市政管网</w:t>
                  </w:r>
                </w:p>
              </w:tc>
            </w:tr>
          </w:tbl>
          <w:p w14:paraId="70B68A6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2.4监测要求及排放标准</w:t>
            </w:r>
          </w:p>
          <w:p w14:paraId="3C9E1D7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对照《排污单位自行监测技术指南 总则》（HJ 819-2017）中的有关规定，本项目营运期废水污染物监测计划，见表</w:t>
            </w:r>
            <w:r>
              <w:rPr>
                <w:rFonts w:hint="eastAsia" w:eastAsia="仿宋_GB2312" w:cs="Times New Roman"/>
                <w:color w:val="auto"/>
                <w:kern w:val="2"/>
                <w:sz w:val="24"/>
                <w:szCs w:val="24"/>
                <w:highlight w:val="none"/>
                <w:lang w:val="en-US" w:eastAsia="zh-CN" w:bidi="ar-SA"/>
              </w:rPr>
              <w:t>41</w:t>
            </w:r>
            <w:r>
              <w:rPr>
                <w:rFonts w:hint="eastAsia" w:ascii="Times New Roman" w:hAnsi="Times New Roman" w:eastAsia="仿宋_GB2312" w:cs="Times New Roman"/>
                <w:color w:val="auto"/>
                <w:kern w:val="2"/>
                <w:sz w:val="24"/>
                <w:szCs w:val="24"/>
                <w:highlight w:val="none"/>
                <w:lang w:val="en-US" w:eastAsia="zh-CN" w:bidi="ar-SA"/>
              </w:rPr>
              <w:t>。</w:t>
            </w:r>
          </w:p>
          <w:p w14:paraId="3643F1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rPr>
            </w:pPr>
            <w:r>
              <w:rPr>
                <w:rFonts w:hint="eastAsia"/>
                <w:b/>
                <w:bCs/>
                <w:color w:val="auto"/>
                <w:sz w:val="24"/>
              </w:rPr>
              <w:t>表</w:t>
            </w:r>
            <w:r>
              <w:rPr>
                <w:rFonts w:hint="eastAsia"/>
                <w:b/>
                <w:bCs/>
                <w:color w:val="auto"/>
                <w:sz w:val="24"/>
                <w:lang w:val="en-US" w:eastAsia="zh-CN"/>
              </w:rPr>
              <w:t>41</w:t>
            </w:r>
            <w:r>
              <w:rPr>
                <w:rFonts w:hint="eastAsia"/>
                <w:b/>
                <w:bCs/>
                <w:color w:val="auto"/>
                <w:sz w:val="24"/>
              </w:rPr>
              <w:t xml:space="preserve">  </w:t>
            </w:r>
            <w:r>
              <w:rPr>
                <w:rFonts w:hint="eastAsia"/>
                <w:b/>
                <w:bCs/>
                <w:color w:val="auto"/>
              </w:rPr>
              <w:t xml:space="preserve"> </w:t>
            </w:r>
            <w:r>
              <w:rPr>
                <w:b/>
                <w:bCs/>
                <w:color w:val="auto"/>
                <w:sz w:val="24"/>
              </w:rPr>
              <w:t>废水监测要求及排放标准一览表</w:t>
            </w:r>
          </w:p>
          <w:tbl>
            <w:tblPr>
              <w:tblStyle w:val="33"/>
              <w:tblW w:w="81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35"/>
              <w:gridCol w:w="2383"/>
              <w:gridCol w:w="1141"/>
              <w:gridCol w:w="3283"/>
            </w:tblGrid>
            <w:tr w14:paraId="7B39F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5" w:type="dxa"/>
                  <w:tcBorders>
                    <w:tl2br w:val="nil"/>
                    <w:tr2bl w:val="nil"/>
                  </w:tcBorders>
                  <w:vAlign w:val="center"/>
                </w:tcPr>
                <w:p w14:paraId="55BF599E">
                  <w:pPr>
                    <w:pStyle w:val="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监测点位</w:t>
                  </w:r>
                </w:p>
              </w:tc>
              <w:tc>
                <w:tcPr>
                  <w:tcW w:w="2383" w:type="dxa"/>
                  <w:tcBorders>
                    <w:tl2br w:val="nil"/>
                    <w:tr2bl w:val="nil"/>
                  </w:tcBorders>
                  <w:vAlign w:val="center"/>
                </w:tcPr>
                <w:p w14:paraId="42FE31B3">
                  <w:pPr>
                    <w:pStyle w:val="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监测因子</w:t>
                  </w:r>
                </w:p>
              </w:tc>
              <w:tc>
                <w:tcPr>
                  <w:tcW w:w="1141" w:type="dxa"/>
                  <w:tcBorders>
                    <w:tl2br w:val="nil"/>
                    <w:tr2bl w:val="nil"/>
                  </w:tcBorders>
                  <w:vAlign w:val="center"/>
                </w:tcPr>
                <w:p w14:paraId="44B259EE">
                  <w:pPr>
                    <w:pStyle w:val="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监测频次</w:t>
                  </w:r>
                </w:p>
              </w:tc>
              <w:tc>
                <w:tcPr>
                  <w:tcW w:w="3283" w:type="dxa"/>
                  <w:tcBorders>
                    <w:tl2br w:val="nil"/>
                    <w:tr2bl w:val="nil"/>
                  </w:tcBorders>
                  <w:vAlign w:val="center"/>
                </w:tcPr>
                <w:p w14:paraId="75BC8EDC">
                  <w:pPr>
                    <w:pStyle w:val="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执行排放标准</w:t>
                  </w:r>
                </w:p>
              </w:tc>
            </w:tr>
            <w:tr w14:paraId="4F433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5" w:type="dxa"/>
                  <w:tcBorders>
                    <w:tl2br w:val="nil"/>
                    <w:tr2bl w:val="nil"/>
                  </w:tcBorders>
                  <w:vAlign w:val="center"/>
                </w:tcPr>
                <w:p w14:paraId="4C1253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废水总排口</w:t>
                  </w:r>
                </w:p>
              </w:tc>
              <w:tc>
                <w:tcPr>
                  <w:tcW w:w="2383" w:type="dxa"/>
                  <w:tcBorders>
                    <w:tl2br w:val="nil"/>
                    <w:tr2bl w:val="nil"/>
                  </w:tcBorders>
                  <w:vAlign w:val="center"/>
                </w:tcPr>
                <w:p w14:paraId="302C6784">
                  <w:pPr>
                    <w:keepNext w:val="0"/>
                    <w:keepLines w:val="0"/>
                    <w:pageBreakBefore w:val="0"/>
                    <w:tabs>
                      <w:tab w:val="left" w:pos="1260"/>
                    </w:tabs>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sz w:val="21"/>
                      <w:szCs w:val="21"/>
                      <w:lang w:val="en-US" w:eastAsia="zh-CN"/>
                    </w:rPr>
                    <w:t>pH、</w:t>
                  </w:r>
                  <w:r>
                    <w:rPr>
                      <w:rFonts w:hint="eastAsia"/>
                      <w:color w:val="auto"/>
                      <w:sz w:val="21"/>
                      <w:szCs w:val="21"/>
                    </w:rPr>
                    <w:t>TDS、COD</w:t>
                  </w:r>
                  <w:r>
                    <w:rPr>
                      <w:rFonts w:hint="eastAsia"/>
                      <w:color w:val="auto"/>
                      <w:sz w:val="21"/>
                      <w:szCs w:val="21"/>
                      <w:vertAlign w:val="subscript"/>
                    </w:rPr>
                    <w:t>Cr</w:t>
                  </w:r>
                  <w:r>
                    <w:rPr>
                      <w:rFonts w:hint="eastAsia"/>
                      <w:color w:val="auto"/>
                      <w:sz w:val="21"/>
                      <w:szCs w:val="21"/>
                    </w:rPr>
                    <w:t>、BOD</w:t>
                  </w:r>
                  <w:r>
                    <w:rPr>
                      <w:rFonts w:hint="eastAsia"/>
                      <w:color w:val="auto"/>
                      <w:sz w:val="21"/>
                      <w:szCs w:val="21"/>
                      <w:vertAlign w:val="subscript"/>
                    </w:rPr>
                    <w:t>5</w:t>
                  </w:r>
                  <w:r>
                    <w:rPr>
                      <w:rFonts w:hint="eastAsia"/>
                      <w:color w:val="auto"/>
                      <w:sz w:val="21"/>
                      <w:szCs w:val="21"/>
                    </w:rPr>
                    <w:t>、氨氮、SS、</w:t>
                  </w:r>
                  <w:r>
                    <w:rPr>
                      <w:rFonts w:hint="eastAsia"/>
                      <w:color w:val="auto"/>
                      <w:sz w:val="21"/>
                      <w:szCs w:val="21"/>
                      <w:lang w:val="en-US" w:eastAsia="zh-CN"/>
                    </w:rPr>
                    <w:t>TN、TP</w:t>
                  </w:r>
                </w:p>
              </w:tc>
              <w:tc>
                <w:tcPr>
                  <w:tcW w:w="1141" w:type="dxa"/>
                  <w:tcBorders>
                    <w:tl2br w:val="nil"/>
                    <w:tr2bl w:val="nil"/>
                  </w:tcBorders>
                  <w:vAlign w:val="center"/>
                </w:tcPr>
                <w:p w14:paraId="43C2B3ED">
                  <w:pPr>
                    <w:pStyle w:val="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color w:val="auto"/>
                      <w:sz w:val="21"/>
                      <w:szCs w:val="21"/>
                    </w:rPr>
                    <w:t>1次/</w:t>
                  </w:r>
                  <w:r>
                    <w:rPr>
                      <w:rFonts w:hint="eastAsia"/>
                      <w:color w:val="auto"/>
                      <w:sz w:val="21"/>
                      <w:szCs w:val="21"/>
                      <w:lang w:eastAsia="zh-CN"/>
                    </w:rPr>
                    <w:t>年</w:t>
                  </w:r>
                </w:p>
              </w:tc>
              <w:tc>
                <w:tcPr>
                  <w:tcW w:w="3283" w:type="dxa"/>
                  <w:tcBorders>
                    <w:tl2br w:val="nil"/>
                    <w:tr2bl w:val="nil"/>
                  </w:tcBorders>
                  <w:vAlign w:val="center"/>
                </w:tcPr>
                <w:p w14:paraId="4A08EF43">
                  <w:pPr>
                    <w:pStyle w:val="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《污水综合排放标准》(GB8978-1996)三级标准、</w:t>
                  </w:r>
                  <w:r>
                    <w:rPr>
                      <w:rFonts w:hint="eastAsia"/>
                      <w:color w:val="auto"/>
                      <w:sz w:val="21"/>
                      <w:szCs w:val="21"/>
                      <w:lang w:eastAsia="zh-CN"/>
                    </w:rPr>
                    <w:t>《污水排入城镇下水道水质标准》（</w:t>
                  </w:r>
                  <w:r>
                    <w:rPr>
                      <w:rFonts w:hint="eastAsia"/>
                      <w:color w:val="auto"/>
                      <w:sz w:val="21"/>
                      <w:szCs w:val="21"/>
                      <w:lang w:val="en-US" w:eastAsia="zh-CN"/>
                    </w:rPr>
                    <w:t>GB/T31962-2015</w:t>
                  </w:r>
                  <w:r>
                    <w:rPr>
                      <w:rFonts w:hint="eastAsia"/>
                      <w:color w:val="auto"/>
                      <w:sz w:val="21"/>
                      <w:szCs w:val="21"/>
                      <w:lang w:eastAsia="zh-CN"/>
                    </w:rPr>
                    <w:t>）</w:t>
                  </w:r>
                  <w:r>
                    <w:rPr>
                      <w:rFonts w:hint="eastAsia"/>
                      <w:color w:val="auto"/>
                      <w:sz w:val="21"/>
                      <w:szCs w:val="21"/>
                      <w:lang w:val="en-US" w:eastAsia="zh-CN"/>
                    </w:rPr>
                    <w:t>中A级标准</w:t>
                  </w:r>
                </w:p>
              </w:tc>
            </w:tr>
          </w:tbl>
          <w:p w14:paraId="6E819AD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2.5废水处理可行性分析</w:t>
            </w:r>
          </w:p>
          <w:p w14:paraId="7DCFBA8C">
            <w:pPr>
              <w:numPr>
                <w:ilvl w:val="0"/>
                <w:numId w:val="0"/>
              </w:numPr>
              <w:adjustRightInd w:val="0"/>
              <w:snapToGrid w:val="0"/>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仿宋_GB2312" w:cs="Times New Roman"/>
                <w:color w:val="auto"/>
                <w:kern w:val="2"/>
                <w:sz w:val="24"/>
                <w:szCs w:val="24"/>
                <w:highlight w:val="none"/>
                <w:lang w:val="en-US" w:eastAsia="zh-CN" w:bidi="ar-SA"/>
              </w:rPr>
              <w:t>本项目废水经车间设三级沉淀池（总容积50m</w:t>
            </w:r>
            <w:r>
              <w:rPr>
                <w:rFonts w:hint="default" w:ascii="Times New Roman" w:hAnsi="Times New Roman" w:eastAsia="仿宋_GB2312" w:cs="Times New Roman"/>
                <w:color w:val="auto"/>
                <w:kern w:val="2"/>
                <w:sz w:val="24"/>
                <w:szCs w:val="24"/>
                <w:highlight w:val="none"/>
                <w:vertAlign w:val="superscript"/>
                <w:lang w:val="en-US" w:eastAsia="zh-CN" w:bidi="ar-SA"/>
              </w:rPr>
              <w:t>3</w:t>
            </w:r>
            <w:r>
              <w:rPr>
                <w:rFonts w:hint="default" w:ascii="Times New Roman" w:hAnsi="Times New Roman" w:eastAsia="仿宋_GB2312" w:cs="Times New Roman"/>
                <w:color w:val="auto"/>
                <w:kern w:val="2"/>
                <w:sz w:val="24"/>
                <w:szCs w:val="24"/>
                <w:highlight w:val="none"/>
                <w:lang w:val="en-US" w:eastAsia="zh-CN" w:bidi="ar-SA"/>
              </w:rPr>
              <w:t>），采用“格栅+气浮+生物接触氧化”工艺，处理后进入市政管网，最终排入泾源县六盘山镇污水处理厂进行处理。本项目废水总排口COD浓度为</w:t>
            </w:r>
            <w:r>
              <w:rPr>
                <w:rFonts w:hint="eastAsia" w:ascii="Times New Roman" w:hAnsi="Times New Roman" w:eastAsia="仿宋_GB2312" w:cs="Times New Roman"/>
                <w:color w:val="auto"/>
                <w:kern w:val="2"/>
                <w:sz w:val="24"/>
                <w:szCs w:val="24"/>
                <w:highlight w:val="none"/>
                <w:lang w:val="en-US" w:eastAsia="zh-CN" w:bidi="ar-SA"/>
              </w:rPr>
              <w:t>321</w:t>
            </w:r>
            <w:r>
              <w:rPr>
                <w:rFonts w:hint="default" w:ascii="Times New Roman" w:hAnsi="Times New Roman" w:eastAsia="仿宋_GB2312" w:cs="Times New Roman"/>
                <w:color w:val="auto"/>
                <w:kern w:val="2"/>
                <w:sz w:val="24"/>
                <w:szCs w:val="24"/>
                <w:highlight w:val="none"/>
                <w:lang w:val="en-US" w:eastAsia="zh-CN" w:bidi="ar-SA"/>
              </w:rPr>
              <w:t>mg/L、BOD</w:t>
            </w:r>
            <w:r>
              <w:rPr>
                <w:rFonts w:hint="default" w:ascii="Times New Roman" w:hAnsi="Times New Roman" w:eastAsia="仿宋_GB2312" w:cs="Times New Roman"/>
                <w:color w:val="auto"/>
                <w:kern w:val="2"/>
                <w:sz w:val="24"/>
                <w:szCs w:val="24"/>
                <w:highlight w:val="none"/>
                <w:vertAlign w:val="subscript"/>
                <w:lang w:val="en-US" w:eastAsia="zh-CN" w:bidi="ar-SA"/>
              </w:rPr>
              <w:t>5</w:t>
            </w:r>
            <w:r>
              <w:rPr>
                <w:rFonts w:hint="default" w:ascii="Times New Roman" w:hAnsi="Times New Roman" w:eastAsia="仿宋_GB2312" w:cs="Times New Roman"/>
                <w:color w:val="auto"/>
                <w:kern w:val="2"/>
                <w:sz w:val="24"/>
                <w:szCs w:val="24"/>
                <w:highlight w:val="none"/>
                <w:lang w:val="en-US" w:eastAsia="zh-CN" w:bidi="ar-SA"/>
              </w:rPr>
              <w:t>浓度为</w:t>
            </w:r>
            <w:r>
              <w:rPr>
                <w:rFonts w:hint="eastAsia" w:ascii="Times New Roman" w:hAnsi="Times New Roman" w:eastAsia="仿宋_GB2312" w:cs="Times New Roman"/>
                <w:color w:val="auto"/>
                <w:kern w:val="2"/>
                <w:sz w:val="24"/>
                <w:szCs w:val="24"/>
                <w:highlight w:val="none"/>
                <w:lang w:val="en-US" w:eastAsia="zh-CN" w:bidi="ar-SA"/>
              </w:rPr>
              <w:t>217</w:t>
            </w:r>
            <w:r>
              <w:rPr>
                <w:rFonts w:hint="default" w:ascii="Times New Roman" w:hAnsi="Times New Roman" w:eastAsia="仿宋_GB2312" w:cs="Times New Roman"/>
                <w:color w:val="auto"/>
                <w:kern w:val="2"/>
                <w:sz w:val="24"/>
                <w:szCs w:val="24"/>
                <w:highlight w:val="none"/>
                <w:lang w:val="en-US" w:eastAsia="zh-CN" w:bidi="ar-SA"/>
              </w:rPr>
              <w:t>mg/L、SS浓度为</w:t>
            </w:r>
            <w:r>
              <w:rPr>
                <w:rFonts w:hint="eastAsia" w:ascii="Times New Roman" w:hAnsi="Times New Roman" w:eastAsia="仿宋_GB2312" w:cs="Times New Roman"/>
                <w:color w:val="auto"/>
                <w:kern w:val="2"/>
                <w:sz w:val="24"/>
                <w:szCs w:val="24"/>
                <w:highlight w:val="none"/>
                <w:lang w:val="en-US" w:eastAsia="zh-CN" w:bidi="ar-SA"/>
              </w:rPr>
              <w:t>111</w:t>
            </w:r>
            <w:r>
              <w:rPr>
                <w:rFonts w:hint="default" w:ascii="Times New Roman" w:hAnsi="Times New Roman" w:eastAsia="仿宋_GB2312" w:cs="Times New Roman"/>
                <w:color w:val="auto"/>
                <w:kern w:val="2"/>
                <w:sz w:val="24"/>
                <w:szCs w:val="24"/>
                <w:highlight w:val="none"/>
                <w:lang w:val="en-US" w:eastAsia="zh-CN" w:bidi="ar-SA"/>
              </w:rPr>
              <w:t>mg/L、NH</w:t>
            </w:r>
            <w:r>
              <w:rPr>
                <w:rFonts w:hint="default" w:ascii="Times New Roman" w:hAnsi="Times New Roman" w:eastAsia="仿宋_GB2312" w:cs="Times New Roman"/>
                <w:color w:val="auto"/>
                <w:kern w:val="2"/>
                <w:sz w:val="24"/>
                <w:szCs w:val="24"/>
                <w:highlight w:val="none"/>
                <w:vertAlign w:val="subscript"/>
                <w:lang w:val="en-US" w:eastAsia="zh-CN" w:bidi="ar-SA"/>
              </w:rPr>
              <w:t>3</w:t>
            </w:r>
            <w:r>
              <w:rPr>
                <w:rFonts w:hint="default" w:ascii="Times New Roman" w:hAnsi="Times New Roman" w:eastAsia="仿宋_GB2312" w:cs="Times New Roman"/>
                <w:color w:val="auto"/>
                <w:kern w:val="2"/>
                <w:sz w:val="24"/>
                <w:szCs w:val="24"/>
                <w:highlight w:val="none"/>
                <w:lang w:val="en-US" w:eastAsia="zh-CN" w:bidi="ar-SA"/>
              </w:rPr>
              <w:t>-N浓度为</w:t>
            </w:r>
            <w:r>
              <w:rPr>
                <w:rFonts w:hint="eastAsia" w:ascii="Times New Roman" w:hAnsi="Times New Roman" w:eastAsia="仿宋_GB2312" w:cs="Times New Roman"/>
                <w:color w:val="auto"/>
                <w:kern w:val="2"/>
                <w:sz w:val="24"/>
                <w:szCs w:val="24"/>
                <w:highlight w:val="none"/>
                <w:lang w:val="en-US" w:eastAsia="zh-CN" w:bidi="ar-SA"/>
              </w:rPr>
              <w:t>39.5</w:t>
            </w:r>
            <w:r>
              <w:rPr>
                <w:rFonts w:hint="default" w:ascii="Times New Roman" w:hAnsi="Times New Roman" w:eastAsia="仿宋_GB2312" w:cs="Times New Roman"/>
                <w:color w:val="auto"/>
                <w:kern w:val="2"/>
                <w:sz w:val="24"/>
                <w:szCs w:val="24"/>
                <w:highlight w:val="none"/>
                <w:lang w:val="en-US" w:eastAsia="zh-CN" w:bidi="ar-SA"/>
              </w:rPr>
              <w:t>mg/L、TP浓度为</w:t>
            </w:r>
            <w:r>
              <w:rPr>
                <w:rFonts w:hint="eastAsia" w:ascii="Times New Roman" w:hAnsi="Times New Roman" w:eastAsia="仿宋_GB2312" w:cs="Times New Roman"/>
                <w:color w:val="auto"/>
                <w:kern w:val="2"/>
                <w:sz w:val="24"/>
                <w:szCs w:val="24"/>
                <w:highlight w:val="none"/>
                <w:lang w:val="en-US" w:eastAsia="zh-CN" w:bidi="ar-SA"/>
              </w:rPr>
              <w:t>3.95</w:t>
            </w:r>
            <w:r>
              <w:rPr>
                <w:rFonts w:hint="default" w:ascii="Times New Roman" w:hAnsi="Times New Roman" w:eastAsia="仿宋_GB2312" w:cs="Times New Roman"/>
                <w:color w:val="auto"/>
                <w:kern w:val="2"/>
                <w:sz w:val="24"/>
                <w:szCs w:val="24"/>
                <w:highlight w:val="none"/>
                <w:lang w:val="en-US" w:eastAsia="zh-CN" w:bidi="ar-SA"/>
              </w:rPr>
              <w:t>mg/L、TN浓度为</w:t>
            </w:r>
            <w:r>
              <w:rPr>
                <w:rFonts w:hint="eastAsia" w:ascii="Times New Roman" w:hAnsi="Times New Roman" w:eastAsia="仿宋_GB2312" w:cs="Times New Roman"/>
                <w:color w:val="auto"/>
                <w:kern w:val="2"/>
                <w:sz w:val="24"/>
                <w:szCs w:val="24"/>
                <w:highlight w:val="none"/>
                <w:lang w:val="en-US" w:eastAsia="zh-CN" w:bidi="ar-SA"/>
              </w:rPr>
              <w:t>46</w:t>
            </w:r>
            <w:r>
              <w:rPr>
                <w:rFonts w:hint="default" w:ascii="Times New Roman" w:hAnsi="Times New Roman" w:eastAsia="仿宋_GB2312" w:cs="Times New Roman"/>
                <w:color w:val="auto"/>
                <w:kern w:val="2"/>
                <w:sz w:val="24"/>
                <w:szCs w:val="24"/>
                <w:highlight w:val="none"/>
                <w:lang w:val="en-US" w:eastAsia="zh-CN" w:bidi="ar-SA"/>
              </w:rPr>
              <w:t>mg/L，TDS浓度为1000mg/L，能够</w:t>
            </w:r>
            <w:r>
              <w:rPr>
                <w:rFonts w:hint="eastAsia" w:ascii="Times New Roman" w:hAnsi="Times New Roman" w:eastAsia="仿宋_GB2312" w:cs="Times New Roman"/>
                <w:color w:val="auto"/>
                <w:kern w:val="0"/>
                <w:sz w:val="24"/>
                <w:highlight w:val="none"/>
                <w:lang w:val="en-US" w:eastAsia="zh-CN"/>
              </w:rPr>
              <w:t>满足</w:t>
            </w:r>
            <w:r>
              <w:rPr>
                <w:rFonts w:hint="default" w:ascii="Times New Roman" w:hAnsi="Times New Roman" w:eastAsia="仿宋_GB2312" w:cs="Times New Roman"/>
                <w:color w:val="auto"/>
                <w:kern w:val="24"/>
                <w:sz w:val="24"/>
                <w:szCs w:val="24"/>
                <w:lang w:val="en-US" w:eastAsia="zh-CN" w:bidi="ar-SA"/>
              </w:rPr>
              <w:t>《污水综合排放标准》(GB8978-1996)三级标准限值要求。</w:t>
            </w:r>
            <w:r>
              <w:rPr>
                <w:rFonts w:hint="eastAsia" w:ascii="Times New Roman" w:hAnsi="Times New Roman" w:eastAsia="仿宋_GB2312" w:cs="Times New Roman"/>
                <w:color w:val="auto"/>
                <w:kern w:val="24"/>
                <w:sz w:val="24"/>
                <w:szCs w:val="24"/>
                <w:lang w:val="en-US" w:eastAsia="zh-CN" w:bidi="ar-SA"/>
              </w:rPr>
              <w:t>同时满足</w:t>
            </w:r>
            <w:r>
              <w:rPr>
                <w:rFonts w:hint="eastAsia" w:ascii="Times New Roman" w:hAnsi="Times New Roman" w:eastAsia="仿宋_GB2312" w:cs="Times New Roman"/>
                <w:color w:val="auto"/>
                <w:kern w:val="0"/>
                <w:sz w:val="24"/>
                <w:highlight w:val="none"/>
                <w:lang w:eastAsia="zh-CN"/>
              </w:rPr>
              <w:t>《污水排入城镇下水道水质标准》（</w:t>
            </w:r>
            <w:r>
              <w:rPr>
                <w:rFonts w:hint="eastAsia" w:ascii="Times New Roman" w:hAnsi="Times New Roman" w:eastAsia="仿宋_GB2312" w:cs="Times New Roman"/>
                <w:color w:val="auto"/>
                <w:kern w:val="0"/>
                <w:sz w:val="24"/>
                <w:highlight w:val="none"/>
                <w:lang w:val="en-US" w:eastAsia="zh-CN"/>
              </w:rPr>
              <w:t>GB/T31962-2015</w:t>
            </w:r>
            <w:r>
              <w:rPr>
                <w:rFonts w:hint="eastAsia" w:ascii="Times New Roman" w:hAnsi="Times New Roman" w:eastAsia="仿宋_GB2312" w:cs="Times New Roman"/>
                <w:color w:val="auto"/>
                <w:kern w:val="0"/>
                <w:sz w:val="24"/>
                <w:highlight w:val="none"/>
                <w:lang w:eastAsia="zh-CN"/>
              </w:rPr>
              <w:t>）</w:t>
            </w:r>
            <w:r>
              <w:rPr>
                <w:rFonts w:hint="eastAsia" w:ascii="Times New Roman" w:hAnsi="Times New Roman" w:eastAsia="仿宋_GB2312" w:cs="Times New Roman"/>
                <w:color w:val="auto"/>
                <w:kern w:val="0"/>
                <w:sz w:val="24"/>
                <w:highlight w:val="none"/>
                <w:lang w:val="en-US" w:eastAsia="zh-CN"/>
              </w:rPr>
              <w:t>中A级标准后排入市政管网。</w:t>
            </w:r>
          </w:p>
          <w:p w14:paraId="5BE917AC">
            <w:pPr>
              <w:pStyle w:val="89"/>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eastAsia" w:ascii="Times New Roman" w:hAnsi="Times New Roman" w:eastAsia="仿宋_GB2312" w:cs="Times New Roman"/>
                <w:b/>
                <w:bCs/>
                <w:color w:val="auto"/>
                <w:spacing w:val="0"/>
                <w:kern w:val="2"/>
                <w:sz w:val="24"/>
                <w:szCs w:val="24"/>
                <w:highlight w:val="none"/>
                <w:lang w:val="en-US" w:eastAsia="zh-CN" w:bidi="ar-SA"/>
              </w:rPr>
              <w:t>3.</w:t>
            </w:r>
            <w:r>
              <w:rPr>
                <w:rFonts w:hint="default" w:ascii="Times New Roman" w:hAnsi="Times New Roman" w:eastAsia="仿宋_GB2312" w:cs="Times New Roman"/>
                <w:b/>
                <w:bCs/>
                <w:color w:val="auto"/>
                <w:spacing w:val="0"/>
                <w:kern w:val="2"/>
                <w:sz w:val="24"/>
                <w:szCs w:val="24"/>
                <w:highlight w:val="none"/>
                <w:lang w:val="en-US" w:eastAsia="zh-CN" w:bidi="ar-SA"/>
              </w:rPr>
              <w:t>噪声环境影响分析</w:t>
            </w:r>
          </w:p>
          <w:p w14:paraId="67FA740D">
            <w:pPr>
              <w:pStyle w:val="89"/>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ascii="Times New Roman" w:hAnsi="Times New Roman" w:eastAsia="仿宋_GB2312" w:cs="Times New Roman"/>
                <w:b/>
                <w:bCs/>
                <w:color w:val="auto"/>
                <w:spacing w:val="0"/>
                <w:kern w:val="2"/>
                <w:sz w:val="24"/>
                <w:szCs w:val="24"/>
                <w:highlight w:val="none"/>
                <w:lang w:val="en-US" w:eastAsia="zh-CN" w:bidi="ar-SA"/>
              </w:rPr>
            </w:pPr>
            <w:r>
              <w:rPr>
                <w:rFonts w:hint="eastAsia" w:ascii="Times New Roman" w:hAnsi="Times New Roman" w:eastAsia="仿宋_GB2312" w:cs="Times New Roman"/>
                <w:b/>
                <w:bCs/>
                <w:color w:val="auto"/>
                <w:spacing w:val="0"/>
                <w:kern w:val="2"/>
                <w:sz w:val="24"/>
                <w:szCs w:val="24"/>
                <w:highlight w:val="none"/>
                <w:lang w:val="en-US" w:eastAsia="zh-CN" w:bidi="ar-SA"/>
              </w:rPr>
              <w:t>3.1噪声源强</w:t>
            </w:r>
          </w:p>
          <w:p w14:paraId="75CA2B5E">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r>
              <w:rPr>
                <w:rFonts w:hint="eastAsia" w:ascii="Times New Roman" w:hAnsi="Times New Roman" w:eastAsia="仿宋_GB2312" w:cs="Times New Roman"/>
                <w:bCs/>
                <w:snapToGrid w:val="0"/>
                <w:color w:val="auto"/>
                <w:kern w:val="0"/>
                <w:sz w:val="24"/>
                <w:szCs w:val="18"/>
                <w:highlight w:val="none"/>
                <w:lang w:val="en-US" w:eastAsia="zh-CN" w:bidi="ar-SA"/>
              </w:rPr>
              <w:t>本项目运营期噪声主要为真空浓缩机、全自动灌装机、离心分离机、皮带输送机、泵自动包装机、半自动捆扎机、真空包装机、空气压缩机、工业吸尘器、等设备，噪声值均在70~85dB(A)之间。本项目产生及排放噪声强度情况见下表。</w:t>
            </w:r>
          </w:p>
          <w:p w14:paraId="58FB56D3">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1D850603">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68C0935F">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3F6C7E60">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72DED1BA">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5082B8EE">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4FC38CB4">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0517EFBF">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27D5C885">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0CAD5CE4">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470A9DD7">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516AB0B8">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0E64FE09">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26A8AAFE">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1D78698B">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3CB6E13E">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49E490EA">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bCs/>
                <w:snapToGrid w:val="0"/>
                <w:color w:val="auto"/>
                <w:kern w:val="0"/>
                <w:sz w:val="24"/>
                <w:szCs w:val="18"/>
                <w:highlight w:val="none"/>
                <w:lang w:val="en-US" w:eastAsia="zh-CN" w:bidi="ar-SA"/>
              </w:rPr>
            </w:pPr>
          </w:p>
          <w:p w14:paraId="4C758855">
            <w:pPr>
              <w:pStyle w:val="89"/>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仿宋_GB2312" w:cs="Times New Roman"/>
                <w:bCs/>
                <w:snapToGrid w:val="0"/>
                <w:color w:val="auto"/>
                <w:kern w:val="0"/>
                <w:sz w:val="24"/>
                <w:szCs w:val="18"/>
                <w:highlight w:val="none"/>
                <w:lang w:val="en-US" w:eastAsia="zh-CN" w:bidi="ar-SA"/>
              </w:rPr>
            </w:pPr>
          </w:p>
        </w:tc>
      </w:tr>
    </w:tbl>
    <w:p w14:paraId="089AD903">
      <w:pPr>
        <w:rPr>
          <w:color w:val="auto"/>
        </w:rPr>
        <w:sectPr>
          <w:pgSz w:w="11907" w:h="16840"/>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33"/>
        <w:tblW w:w="500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78"/>
      </w:tblGrid>
      <w:tr w14:paraId="782EF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0" w:hRule="atLeast"/>
          <w:jc w:val="center"/>
        </w:trPr>
        <w:tc>
          <w:tcPr>
            <w:tcW w:w="5000" w:type="pct"/>
            <w:noWrap w:val="0"/>
            <w:tcMar>
              <w:left w:w="28" w:type="dxa"/>
              <w:right w:w="28" w:type="dxa"/>
            </w:tcMar>
            <w:vAlign w:val="center"/>
          </w:tcPr>
          <w:p w14:paraId="7F261D3F">
            <w:pPr>
              <w:snapToGrid w:val="0"/>
              <w:ind w:firstLine="630" w:firstLineChars="300"/>
              <w:rPr>
                <w:rFonts w:hint="eastAsia" w:eastAsia="宋体"/>
                <w:b/>
                <w:bCs/>
                <w:color w:val="auto"/>
                <w:sz w:val="24"/>
                <w:lang w:eastAsia="zh-CN"/>
              </w:rPr>
            </w:pPr>
            <w:r>
              <w:rPr>
                <w:bCs/>
                <w:color w:val="auto"/>
              </w:rPr>
              <w:t>表</w:t>
            </w:r>
            <w:r>
              <w:rPr>
                <w:rFonts w:hint="eastAsia"/>
                <w:bCs/>
                <w:color w:val="auto"/>
                <w:lang w:val="en-US" w:eastAsia="zh-CN"/>
              </w:rPr>
              <w:t>42</w:t>
            </w:r>
            <w:r>
              <w:rPr>
                <w:bCs/>
                <w:color w:val="auto"/>
              </w:rPr>
              <w:t xml:space="preserve"> </w:t>
            </w:r>
            <w:r>
              <w:rPr>
                <w:b/>
                <w:bCs/>
                <w:color w:val="auto"/>
              </w:rPr>
              <w:t xml:space="preserve">    </w:t>
            </w:r>
            <w:r>
              <w:rPr>
                <w:rFonts w:hint="eastAsia"/>
                <w:b/>
                <w:bCs/>
                <w:color w:val="auto"/>
              </w:rPr>
              <w:t xml:space="preserve">                      </w:t>
            </w:r>
            <w:r>
              <w:rPr>
                <w:b/>
                <w:bCs/>
                <w:color w:val="auto"/>
              </w:rPr>
              <w:t xml:space="preserve">    </w:t>
            </w:r>
            <w:r>
              <w:rPr>
                <w:b/>
                <w:bCs/>
                <w:color w:val="auto"/>
                <w:sz w:val="24"/>
              </w:rPr>
              <w:t xml:space="preserve"> 本项目主要设备噪声源及治理措施一览表</w:t>
            </w:r>
            <w:r>
              <w:rPr>
                <w:rFonts w:hint="eastAsia"/>
                <w:b/>
                <w:bCs/>
                <w:color w:val="auto"/>
                <w:sz w:val="24"/>
                <w:lang w:eastAsia="zh-CN"/>
              </w:rPr>
              <w:t>（</w:t>
            </w:r>
            <w:r>
              <w:rPr>
                <w:rFonts w:hint="eastAsia"/>
                <w:b/>
                <w:bCs/>
                <w:color w:val="auto"/>
                <w:sz w:val="24"/>
                <w:lang w:val="en-US" w:eastAsia="zh-CN"/>
              </w:rPr>
              <w:t>室内声源</w:t>
            </w:r>
            <w:r>
              <w:rPr>
                <w:rFonts w:hint="eastAsia"/>
                <w:b/>
                <w:bCs/>
                <w:color w:val="auto"/>
                <w:sz w:val="24"/>
                <w:lang w:eastAsia="zh-CN"/>
              </w:rPr>
              <w:t>）</w:t>
            </w:r>
          </w:p>
          <w:tbl>
            <w:tblPr>
              <w:tblStyle w:val="33"/>
              <w:tblW w:w="488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66"/>
              <w:gridCol w:w="663"/>
              <w:gridCol w:w="881"/>
              <w:gridCol w:w="1151"/>
              <w:gridCol w:w="686"/>
              <w:gridCol w:w="757"/>
              <w:gridCol w:w="632"/>
              <w:gridCol w:w="856"/>
              <w:gridCol w:w="947"/>
              <w:gridCol w:w="607"/>
              <w:gridCol w:w="947"/>
              <w:gridCol w:w="1029"/>
              <w:gridCol w:w="1163"/>
            </w:tblGrid>
            <w:tr w14:paraId="4FCB78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278" w:type="pct"/>
                  <w:vMerge w:val="restart"/>
                  <w:noWrap w:val="0"/>
                  <w:vAlign w:val="center"/>
                </w:tcPr>
                <w:p w14:paraId="076A2F63">
                  <w:pPr>
                    <w:snapToGrid w:val="0"/>
                    <w:jc w:val="center"/>
                    <w:rPr>
                      <w:rFonts w:hint="default" w:eastAsia="宋体"/>
                      <w:b/>
                      <w:color w:val="auto"/>
                      <w:lang w:val="en-US" w:eastAsia="zh-CN"/>
                    </w:rPr>
                  </w:pPr>
                  <w:r>
                    <w:rPr>
                      <w:rFonts w:hint="eastAsia"/>
                      <w:b/>
                      <w:color w:val="auto"/>
                      <w:lang w:val="en-US" w:eastAsia="zh-CN"/>
                    </w:rPr>
                    <w:t>建筑物名称</w:t>
                  </w:r>
                </w:p>
              </w:tc>
              <w:tc>
                <w:tcPr>
                  <w:tcW w:w="656" w:type="pct"/>
                  <w:vMerge w:val="restart"/>
                  <w:noWrap w:val="0"/>
                  <w:vAlign w:val="center"/>
                </w:tcPr>
                <w:p w14:paraId="3E51F30F">
                  <w:pPr>
                    <w:snapToGrid w:val="0"/>
                    <w:jc w:val="center"/>
                    <w:rPr>
                      <w:b/>
                      <w:color w:val="auto"/>
                    </w:rPr>
                  </w:pPr>
                  <w:r>
                    <w:rPr>
                      <w:b/>
                      <w:color w:val="auto"/>
                    </w:rPr>
                    <w:t>声源</w:t>
                  </w:r>
                </w:p>
                <w:p w14:paraId="522615FB">
                  <w:pPr>
                    <w:snapToGrid w:val="0"/>
                    <w:jc w:val="center"/>
                    <w:rPr>
                      <w:b/>
                      <w:color w:val="auto"/>
                    </w:rPr>
                  </w:pPr>
                  <w:r>
                    <w:rPr>
                      <w:b/>
                      <w:color w:val="auto"/>
                    </w:rPr>
                    <w:t>名称</w:t>
                  </w:r>
                </w:p>
              </w:tc>
              <w:tc>
                <w:tcPr>
                  <w:tcW w:w="261" w:type="pct"/>
                  <w:vMerge w:val="restart"/>
                  <w:noWrap w:val="0"/>
                  <w:vAlign w:val="center"/>
                </w:tcPr>
                <w:p w14:paraId="4CFB55B8">
                  <w:pPr>
                    <w:snapToGrid w:val="0"/>
                    <w:jc w:val="center"/>
                    <w:rPr>
                      <w:b/>
                      <w:color w:val="auto"/>
                    </w:rPr>
                  </w:pPr>
                  <w:r>
                    <w:rPr>
                      <w:b/>
                      <w:color w:val="auto"/>
                    </w:rPr>
                    <w:t>型号</w:t>
                  </w:r>
                </w:p>
              </w:tc>
              <w:tc>
                <w:tcPr>
                  <w:tcW w:w="347" w:type="pct"/>
                  <w:vMerge w:val="restart"/>
                  <w:noWrap w:val="0"/>
                  <w:vAlign w:val="center"/>
                </w:tcPr>
                <w:p w14:paraId="39BCA722">
                  <w:pPr>
                    <w:snapToGrid w:val="0"/>
                    <w:jc w:val="center"/>
                    <w:rPr>
                      <w:b/>
                      <w:color w:val="auto"/>
                      <w:kern w:val="2"/>
                      <w:sz w:val="21"/>
                      <w:szCs w:val="21"/>
                      <w:lang w:val="en-US" w:eastAsia="zh-CN" w:bidi="ar-SA"/>
                    </w:rPr>
                  </w:pPr>
                  <w:r>
                    <w:rPr>
                      <w:b/>
                      <w:color w:val="auto"/>
                    </w:rPr>
                    <w:t>声源控制措施</w:t>
                  </w:r>
                </w:p>
              </w:tc>
              <w:tc>
                <w:tcPr>
                  <w:tcW w:w="453" w:type="pct"/>
                  <w:noWrap w:val="0"/>
                  <w:vAlign w:val="center"/>
                </w:tcPr>
                <w:p w14:paraId="0142CDB9">
                  <w:pPr>
                    <w:snapToGrid w:val="0"/>
                    <w:jc w:val="center"/>
                    <w:rPr>
                      <w:b/>
                      <w:color w:val="auto"/>
                      <w:kern w:val="2"/>
                      <w:sz w:val="21"/>
                      <w:szCs w:val="21"/>
                      <w:lang w:val="en-US" w:eastAsia="zh-CN" w:bidi="ar-SA"/>
                    </w:rPr>
                  </w:pPr>
                  <w:r>
                    <w:rPr>
                      <w:b/>
                      <w:color w:val="auto"/>
                    </w:rPr>
                    <w:t>声源源强</w:t>
                  </w:r>
                </w:p>
              </w:tc>
              <w:tc>
                <w:tcPr>
                  <w:tcW w:w="817" w:type="pct"/>
                  <w:gridSpan w:val="3"/>
                  <w:noWrap w:val="0"/>
                  <w:vAlign w:val="center"/>
                </w:tcPr>
                <w:p w14:paraId="2BCE7F79">
                  <w:pPr>
                    <w:snapToGrid w:val="0"/>
                    <w:jc w:val="center"/>
                    <w:rPr>
                      <w:b/>
                      <w:color w:val="auto"/>
                    </w:rPr>
                  </w:pPr>
                  <w:r>
                    <w:rPr>
                      <w:b/>
                      <w:color w:val="auto"/>
                    </w:rPr>
                    <w:t>空间相对位置/m</w:t>
                  </w:r>
                </w:p>
              </w:tc>
              <w:tc>
                <w:tcPr>
                  <w:tcW w:w="337" w:type="pct"/>
                  <w:vMerge w:val="restart"/>
                  <w:noWrap w:val="0"/>
                  <w:vAlign w:val="center"/>
                </w:tcPr>
                <w:p w14:paraId="5D875C0B">
                  <w:pPr>
                    <w:snapToGrid w:val="0"/>
                    <w:jc w:val="center"/>
                    <w:rPr>
                      <w:b/>
                      <w:color w:val="auto"/>
                    </w:rPr>
                  </w:pPr>
                  <w:r>
                    <w:rPr>
                      <w:b/>
                      <w:color w:val="auto"/>
                    </w:rPr>
                    <w:t>距离内边界距离/m</w:t>
                  </w:r>
                </w:p>
              </w:tc>
              <w:tc>
                <w:tcPr>
                  <w:tcW w:w="373" w:type="pct"/>
                  <w:vMerge w:val="restart"/>
                  <w:noWrap w:val="0"/>
                  <w:vAlign w:val="center"/>
                </w:tcPr>
                <w:p w14:paraId="52450E44">
                  <w:pPr>
                    <w:snapToGrid w:val="0"/>
                    <w:jc w:val="center"/>
                    <w:rPr>
                      <w:b/>
                      <w:color w:val="auto"/>
                    </w:rPr>
                  </w:pPr>
                  <w:r>
                    <w:rPr>
                      <w:b/>
                      <w:color w:val="auto"/>
                    </w:rPr>
                    <w:t>室内边界声级/dB(A)</w:t>
                  </w:r>
                </w:p>
              </w:tc>
              <w:tc>
                <w:tcPr>
                  <w:tcW w:w="239" w:type="pct"/>
                  <w:vMerge w:val="restart"/>
                  <w:noWrap w:val="0"/>
                  <w:vAlign w:val="center"/>
                </w:tcPr>
                <w:p w14:paraId="21B94731">
                  <w:pPr>
                    <w:snapToGrid w:val="0"/>
                    <w:jc w:val="center"/>
                    <w:rPr>
                      <w:b/>
                      <w:color w:val="auto"/>
                    </w:rPr>
                  </w:pPr>
                  <w:r>
                    <w:rPr>
                      <w:b/>
                      <w:color w:val="auto"/>
                    </w:rPr>
                    <w:t>运行时段</w:t>
                  </w:r>
                </w:p>
              </w:tc>
              <w:tc>
                <w:tcPr>
                  <w:tcW w:w="373" w:type="pct"/>
                  <w:vMerge w:val="restart"/>
                  <w:noWrap w:val="0"/>
                  <w:vAlign w:val="center"/>
                </w:tcPr>
                <w:p w14:paraId="1C965423">
                  <w:pPr>
                    <w:snapToGrid w:val="0"/>
                    <w:jc w:val="center"/>
                    <w:rPr>
                      <w:b/>
                      <w:color w:val="auto"/>
                    </w:rPr>
                  </w:pPr>
                  <w:r>
                    <w:rPr>
                      <w:b/>
                      <w:color w:val="auto"/>
                    </w:rPr>
                    <w:t>建筑物损失/dB(A)</w:t>
                  </w:r>
                </w:p>
              </w:tc>
              <w:tc>
                <w:tcPr>
                  <w:tcW w:w="863" w:type="pct"/>
                  <w:gridSpan w:val="2"/>
                  <w:noWrap w:val="0"/>
                  <w:vAlign w:val="center"/>
                </w:tcPr>
                <w:p w14:paraId="1BF7D74C">
                  <w:pPr>
                    <w:snapToGrid w:val="0"/>
                    <w:jc w:val="center"/>
                    <w:rPr>
                      <w:b/>
                      <w:color w:val="auto"/>
                    </w:rPr>
                  </w:pPr>
                  <w:r>
                    <w:rPr>
                      <w:b/>
                      <w:color w:val="auto"/>
                    </w:rPr>
                    <w:t>建筑物外</w:t>
                  </w:r>
                </w:p>
                <w:p w14:paraId="127D4A86">
                  <w:pPr>
                    <w:snapToGrid w:val="0"/>
                    <w:jc w:val="center"/>
                    <w:rPr>
                      <w:b/>
                      <w:color w:val="auto"/>
                    </w:rPr>
                  </w:pPr>
                  <w:r>
                    <w:rPr>
                      <w:b/>
                      <w:color w:val="auto"/>
                    </w:rPr>
                    <w:t>噪声</w:t>
                  </w:r>
                </w:p>
              </w:tc>
            </w:tr>
            <w:tr w14:paraId="59528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278" w:type="pct"/>
                  <w:vMerge w:val="continue"/>
                  <w:noWrap w:val="0"/>
                  <w:vAlign w:val="center"/>
                </w:tcPr>
                <w:p w14:paraId="15AADFCA">
                  <w:pPr>
                    <w:snapToGrid w:val="0"/>
                    <w:jc w:val="center"/>
                    <w:rPr>
                      <w:b/>
                      <w:color w:val="auto"/>
                    </w:rPr>
                  </w:pPr>
                </w:p>
              </w:tc>
              <w:tc>
                <w:tcPr>
                  <w:tcW w:w="656" w:type="pct"/>
                  <w:vMerge w:val="continue"/>
                  <w:noWrap w:val="0"/>
                  <w:vAlign w:val="center"/>
                </w:tcPr>
                <w:p w14:paraId="73AF85F8">
                  <w:pPr>
                    <w:snapToGrid w:val="0"/>
                    <w:jc w:val="center"/>
                    <w:rPr>
                      <w:b/>
                      <w:color w:val="auto"/>
                    </w:rPr>
                  </w:pPr>
                </w:p>
              </w:tc>
              <w:tc>
                <w:tcPr>
                  <w:tcW w:w="261" w:type="pct"/>
                  <w:vMerge w:val="continue"/>
                  <w:noWrap w:val="0"/>
                  <w:vAlign w:val="center"/>
                </w:tcPr>
                <w:p w14:paraId="7E4D6A3D">
                  <w:pPr>
                    <w:snapToGrid w:val="0"/>
                    <w:jc w:val="center"/>
                    <w:rPr>
                      <w:b/>
                      <w:color w:val="auto"/>
                    </w:rPr>
                  </w:pPr>
                </w:p>
              </w:tc>
              <w:tc>
                <w:tcPr>
                  <w:tcW w:w="347" w:type="pct"/>
                  <w:vMerge w:val="continue"/>
                  <w:noWrap w:val="0"/>
                  <w:vAlign w:val="center"/>
                </w:tcPr>
                <w:p w14:paraId="7DC5763D">
                  <w:pPr>
                    <w:snapToGrid w:val="0"/>
                    <w:jc w:val="center"/>
                    <w:rPr>
                      <w:color w:val="auto"/>
                    </w:rPr>
                  </w:pPr>
                </w:p>
              </w:tc>
              <w:tc>
                <w:tcPr>
                  <w:tcW w:w="453" w:type="pct"/>
                  <w:noWrap w:val="0"/>
                  <w:vAlign w:val="center"/>
                </w:tcPr>
                <w:p w14:paraId="595BCD5C">
                  <w:pPr>
                    <w:snapToGrid w:val="0"/>
                    <w:jc w:val="center"/>
                    <w:rPr>
                      <w:b/>
                      <w:color w:val="auto"/>
                      <w:kern w:val="2"/>
                      <w:sz w:val="21"/>
                      <w:szCs w:val="21"/>
                      <w:lang w:val="en-US" w:eastAsia="zh-CN" w:bidi="ar-SA"/>
                    </w:rPr>
                  </w:pPr>
                  <w:r>
                    <w:rPr>
                      <w:b/>
                      <w:bCs/>
                      <w:color w:val="auto"/>
                    </w:rPr>
                    <w:t>声功率级/dB(A)</w:t>
                  </w:r>
                </w:p>
              </w:tc>
              <w:tc>
                <w:tcPr>
                  <w:tcW w:w="270" w:type="pct"/>
                  <w:noWrap w:val="0"/>
                  <w:vAlign w:val="center"/>
                </w:tcPr>
                <w:p w14:paraId="77246FAA">
                  <w:pPr>
                    <w:snapToGrid w:val="0"/>
                    <w:jc w:val="center"/>
                    <w:rPr>
                      <w:b/>
                      <w:color w:val="auto"/>
                    </w:rPr>
                  </w:pPr>
                  <w:r>
                    <w:rPr>
                      <w:b/>
                      <w:color w:val="auto"/>
                    </w:rPr>
                    <w:t>X</w:t>
                  </w:r>
                </w:p>
              </w:tc>
              <w:tc>
                <w:tcPr>
                  <w:tcW w:w="298" w:type="pct"/>
                  <w:noWrap w:val="0"/>
                  <w:vAlign w:val="center"/>
                </w:tcPr>
                <w:p w14:paraId="0954324F">
                  <w:pPr>
                    <w:snapToGrid w:val="0"/>
                    <w:jc w:val="center"/>
                    <w:rPr>
                      <w:b/>
                      <w:color w:val="auto"/>
                    </w:rPr>
                  </w:pPr>
                  <w:r>
                    <w:rPr>
                      <w:b/>
                      <w:color w:val="auto"/>
                    </w:rPr>
                    <w:t>Y</w:t>
                  </w:r>
                </w:p>
              </w:tc>
              <w:tc>
                <w:tcPr>
                  <w:tcW w:w="248" w:type="pct"/>
                  <w:noWrap w:val="0"/>
                  <w:vAlign w:val="center"/>
                </w:tcPr>
                <w:p w14:paraId="5E1E7403">
                  <w:pPr>
                    <w:snapToGrid w:val="0"/>
                    <w:jc w:val="center"/>
                    <w:rPr>
                      <w:b/>
                      <w:color w:val="auto"/>
                    </w:rPr>
                  </w:pPr>
                  <w:r>
                    <w:rPr>
                      <w:b/>
                      <w:color w:val="auto"/>
                    </w:rPr>
                    <w:t>Z</w:t>
                  </w:r>
                </w:p>
              </w:tc>
              <w:tc>
                <w:tcPr>
                  <w:tcW w:w="337" w:type="pct"/>
                  <w:vMerge w:val="continue"/>
                  <w:noWrap w:val="0"/>
                  <w:vAlign w:val="center"/>
                </w:tcPr>
                <w:p w14:paraId="0E2BB780">
                  <w:pPr>
                    <w:snapToGrid w:val="0"/>
                    <w:jc w:val="center"/>
                    <w:rPr>
                      <w:b/>
                      <w:color w:val="auto"/>
                    </w:rPr>
                  </w:pPr>
                </w:p>
              </w:tc>
              <w:tc>
                <w:tcPr>
                  <w:tcW w:w="373" w:type="pct"/>
                  <w:vMerge w:val="continue"/>
                  <w:noWrap w:val="0"/>
                  <w:vAlign w:val="center"/>
                </w:tcPr>
                <w:p w14:paraId="01743F3B">
                  <w:pPr>
                    <w:snapToGrid w:val="0"/>
                    <w:jc w:val="center"/>
                    <w:rPr>
                      <w:b/>
                      <w:color w:val="auto"/>
                    </w:rPr>
                  </w:pPr>
                </w:p>
              </w:tc>
              <w:tc>
                <w:tcPr>
                  <w:tcW w:w="239" w:type="pct"/>
                  <w:vMerge w:val="continue"/>
                  <w:noWrap w:val="0"/>
                  <w:vAlign w:val="center"/>
                </w:tcPr>
                <w:p w14:paraId="49D073D1">
                  <w:pPr>
                    <w:snapToGrid w:val="0"/>
                    <w:jc w:val="center"/>
                    <w:rPr>
                      <w:b/>
                      <w:color w:val="auto"/>
                    </w:rPr>
                  </w:pPr>
                </w:p>
              </w:tc>
              <w:tc>
                <w:tcPr>
                  <w:tcW w:w="373" w:type="pct"/>
                  <w:vMerge w:val="continue"/>
                  <w:noWrap w:val="0"/>
                  <w:vAlign w:val="center"/>
                </w:tcPr>
                <w:p w14:paraId="40C33D75">
                  <w:pPr>
                    <w:snapToGrid w:val="0"/>
                    <w:jc w:val="center"/>
                    <w:rPr>
                      <w:b/>
                      <w:color w:val="auto"/>
                    </w:rPr>
                  </w:pPr>
                </w:p>
              </w:tc>
              <w:tc>
                <w:tcPr>
                  <w:tcW w:w="405" w:type="pct"/>
                  <w:noWrap w:val="0"/>
                  <w:vAlign w:val="center"/>
                </w:tcPr>
                <w:p w14:paraId="1ED439D7">
                  <w:pPr>
                    <w:snapToGrid w:val="0"/>
                    <w:jc w:val="center"/>
                    <w:rPr>
                      <w:b/>
                      <w:color w:val="auto"/>
                    </w:rPr>
                  </w:pPr>
                  <w:r>
                    <w:rPr>
                      <w:b/>
                      <w:color w:val="auto"/>
                    </w:rPr>
                    <w:t>声压级/</w:t>
                  </w:r>
                  <w:r>
                    <w:rPr>
                      <w:b/>
                      <w:bCs/>
                      <w:color w:val="auto"/>
                    </w:rPr>
                    <w:t>dB(A)</w:t>
                  </w:r>
                </w:p>
              </w:tc>
              <w:tc>
                <w:tcPr>
                  <w:tcW w:w="458" w:type="pct"/>
                  <w:noWrap w:val="0"/>
                  <w:vAlign w:val="center"/>
                </w:tcPr>
                <w:p w14:paraId="23FCBA8C">
                  <w:pPr>
                    <w:snapToGrid w:val="0"/>
                    <w:jc w:val="center"/>
                    <w:rPr>
                      <w:b/>
                      <w:color w:val="auto"/>
                    </w:rPr>
                  </w:pPr>
                  <w:r>
                    <w:rPr>
                      <w:b/>
                      <w:color w:val="auto"/>
                    </w:rPr>
                    <w:t>建筑物外距离</w:t>
                  </w:r>
                </w:p>
              </w:tc>
            </w:tr>
            <w:tr w14:paraId="49BB2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78" w:type="pct"/>
                  <w:vMerge w:val="restart"/>
                  <w:noWrap w:val="0"/>
                  <w:vAlign w:val="center"/>
                </w:tcPr>
                <w:p w14:paraId="04AD9C31">
                  <w:pPr>
                    <w:snapToGrid w:val="0"/>
                    <w:jc w:val="center"/>
                    <w:rPr>
                      <w:rFonts w:hint="default" w:eastAsia="宋体"/>
                      <w:color w:val="auto"/>
                      <w:lang w:val="en-US" w:eastAsia="zh-CN"/>
                    </w:rPr>
                  </w:pPr>
                  <w:r>
                    <w:rPr>
                      <w:rFonts w:hint="default" w:eastAsia="宋体"/>
                      <w:color w:val="auto"/>
                      <w:lang w:val="en-US" w:eastAsia="zh-CN"/>
                    </w:rPr>
                    <w:t>蜂蜜加工包装车间建设工程</w:t>
                  </w:r>
                </w:p>
              </w:tc>
              <w:tc>
                <w:tcPr>
                  <w:tcW w:w="656" w:type="pct"/>
                  <w:shd w:val="clear" w:color="auto" w:fill="auto"/>
                  <w:noWrap w:val="0"/>
                  <w:vAlign w:val="center"/>
                </w:tcPr>
                <w:p w14:paraId="2382367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lang w:val="en-US" w:eastAsia="zh-CN"/>
                    </w:rPr>
                    <w:t>真空浓缩机</w:t>
                  </w:r>
                </w:p>
              </w:tc>
              <w:tc>
                <w:tcPr>
                  <w:tcW w:w="261" w:type="pct"/>
                  <w:noWrap w:val="0"/>
                  <w:vAlign w:val="center"/>
                </w:tcPr>
                <w:p w14:paraId="603F4B74">
                  <w:pPr>
                    <w:adjustRightInd w:val="0"/>
                    <w:snapToGrid w:val="0"/>
                    <w:jc w:val="center"/>
                    <w:rPr>
                      <w:bCs/>
                      <w:snapToGrid w:val="0"/>
                      <w:color w:val="auto"/>
                      <w:kern w:val="0"/>
                    </w:rPr>
                  </w:pPr>
                  <w:r>
                    <w:rPr>
                      <w:rFonts w:hint="eastAsia"/>
                      <w:color w:val="auto"/>
                    </w:rPr>
                    <w:t>/</w:t>
                  </w:r>
                </w:p>
              </w:tc>
              <w:tc>
                <w:tcPr>
                  <w:tcW w:w="347" w:type="pct"/>
                  <w:vMerge w:val="restart"/>
                  <w:noWrap w:val="0"/>
                  <w:vAlign w:val="center"/>
                </w:tcPr>
                <w:p w14:paraId="4AC331B9">
                  <w:pPr>
                    <w:snapToGrid w:val="0"/>
                    <w:jc w:val="center"/>
                    <w:rPr>
                      <w:color w:val="auto"/>
                      <w:kern w:val="2"/>
                      <w:sz w:val="21"/>
                      <w:szCs w:val="21"/>
                      <w:lang w:val="en-US" w:eastAsia="zh-CN" w:bidi="ar-SA"/>
                    </w:rPr>
                  </w:pPr>
                  <w:r>
                    <w:rPr>
                      <w:color w:val="auto"/>
                    </w:rPr>
                    <w:t>减振、车间隔声</w:t>
                  </w:r>
                </w:p>
              </w:tc>
              <w:tc>
                <w:tcPr>
                  <w:tcW w:w="453" w:type="pct"/>
                  <w:noWrap w:val="0"/>
                  <w:vAlign w:val="center"/>
                </w:tcPr>
                <w:p w14:paraId="6D3E25FE">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75</w:t>
                  </w:r>
                </w:p>
              </w:tc>
              <w:tc>
                <w:tcPr>
                  <w:tcW w:w="270" w:type="pct"/>
                  <w:noWrap w:val="0"/>
                  <w:vAlign w:val="center"/>
                </w:tcPr>
                <w:p w14:paraId="7D672FC4">
                  <w:pPr>
                    <w:snapToGrid w:val="0"/>
                    <w:jc w:val="center"/>
                    <w:rPr>
                      <w:color w:val="auto"/>
                    </w:rPr>
                  </w:pPr>
                  <w:r>
                    <w:rPr>
                      <w:rFonts w:hint="eastAsia"/>
                      <w:color w:val="auto"/>
                    </w:rPr>
                    <w:t>5</w:t>
                  </w:r>
                </w:p>
              </w:tc>
              <w:tc>
                <w:tcPr>
                  <w:tcW w:w="298" w:type="pct"/>
                  <w:noWrap w:val="0"/>
                  <w:vAlign w:val="center"/>
                </w:tcPr>
                <w:p w14:paraId="7136CAF9">
                  <w:pPr>
                    <w:snapToGrid w:val="0"/>
                    <w:jc w:val="center"/>
                    <w:rPr>
                      <w:color w:val="auto"/>
                    </w:rPr>
                  </w:pPr>
                  <w:r>
                    <w:rPr>
                      <w:rFonts w:hint="eastAsia"/>
                      <w:color w:val="auto"/>
                    </w:rPr>
                    <w:t>90</w:t>
                  </w:r>
                </w:p>
              </w:tc>
              <w:tc>
                <w:tcPr>
                  <w:tcW w:w="248" w:type="pct"/>
                  <w:noWrap w:val="0"/>
                  <w:vAlign w:val="center"/>
                </w:tcPr>
                <w:p w14:paraId="5228661C">
                  <w:pPr>
                    <w:snapToGrid w:val="0"/>
                    <w:jc w:val="center"/>
                    <w:rPr>
                      <w:rFonts w:hint="eastAsia"/>
                      <w:color w:val="auto"/>
                    </w:rPr>
                  </w:pPr>
                  <w:r>
                    <w:rPr>
                      <w:rFonts w:hint="eastAsia"/>
                      <w:color w:val="auto"/>
                    </w:rPr>
                    <w:t>2</w:t>
                  </w:r>
                </w:p>
              </w:tc>
              <w:tc>
                <w:tcPr>
                  <w:tcW w:w="337" w:type="pct"/>
                  <w:noWrap w:val="0"/>
                  <w:vAlign w:val="center"/>
                </w:tcPr>
                <w:p w14:paraId="6696564D">
                  <w:pPr>
                    <w:snapToGrid w:val="0"/>
                    <w:jc w:val="center"/>
                    <w:rPr>
                      <w:color w:val="auto"/>
                    </w:rPr>
                  </w:pPr>
                  <w:r>
                    <w:rPr>
                      <w:rFonts w:hint="eastAsia"/>
                      <w:color w:val="auto"/>
                    </w:rPr>
                    <w:t>5</w:t>
                  </w:r>
                </w:p>
              </w:tc>
              <w:tc>
                <w:tcPr>
                  <w:tcW w:w="373" w:type="pct"/>
                  <w:noWrap w:val="0"/>
                  <w:vAlign w:val="center"/>
                </w:tcPr>
                <w:p w14:paraId="4FCC980A">
                  <w:pPr>
                    <w:snapToGrid w:val="0"/>
                    <w:jc w:val="center"/>
                    <w:rPr>
                      <w:rFonts w:hint="default" w:eastAsia="宋体"/>
                      <w:color w:val="auto"/>
                      <w:lang w:val="en-US" w:eastAsia="zh-CN"/>
                    </w:rPr>
                  </w:pPr>
                  <w:r>
                    <w:rPr>
                      <w:rFonts w:hint="eastAsia"/>
                      <w:color w:val="auto"/>
                      <w:lang w:val="en-US" w:eastAsia="zh-CN"/>
                    </w:rPr>
                    <w:t>65</w:t>
                  </w:r>
                </w:p>
              </w:tc>
              <w:tc>
                <w:tcPr>
                  <w:tcW w:w="239" w:type="pct"/>
                  <w:noWrap w:val="0"/>
                  <w:vAlign w:val="center"/>
                </w:tcPr>
                <w:p w14:paraId="317A3D65">
                  <w:pPr>
                    <w:snapToGrid w:val="0"/>
                    <w:jc w:val="center"/>
                    <w:rPr>
                      <w:rFonts w:hint="eastAsia"/>
                      <w:color w:val="auto"/>
                    </w:rPr>
                  </w:pPr>
                  <w:r>
                    <w:rPr>
                      <w:rFonts w:hint="eastAsia"/>
                      <w:color w:val="auto"/>
                      <w:lang w:val="en-US" w:eastAsia="zh-CN"/>
                    </w:rPr>
                    <w:t>10</w:t>
                  </w:r>
                  <w:r>
                    <w:rPr>
                      <w:rFonts w:hint="eastAsia"/>
                      <w:color w:val="auto"/>
                    </w:rPr>
                    <w:t>h</w:t>
                  </w:r>
                </w:p>
              </w:tc>
              <w:tc>
                <w:tcPr>
                  <w:tcW w:w="373" w:type="pct"/>
                  <w:vMerge w:val="restart"/>
                  <w:noWrap w:val="0"/>
                  <w:vAlign w:val="center"/>
                </w:tcPr>
                <w:p w14:paraId="73E25CCE">
                  <w:pPr>
                    <w:snapToGrid w:val="0"/>
                    <w:jc w:val="center"/>
                    <w:rPr>
                      <w:color w:val="auto"/>
                    </w:rPr>
                  </w:pPr>
                  <w:r>
                    <w:rPr>
                      <w:color w:val="auto"/>
                    </w:rPr>
                    <w:t>15</w:t>
                  </w:r>
                </w:p>
              </w:tc>
              <w:tc>
                <w:tcPr>
                  <w:tcW w:w="405" w:type="pct"/>
                  <w:vMerge w:val="restart"/>
                  <w:noWrap w:val="0"/>
                  <w:vAlign w:val="center"/>
                </w:tcPr>
                <w:p w14:paraId="5F1121A7">
                  <w:pPr>
                    <w:snapToGrid w:val="0"/>
                    <w:jc w:val="center"/>
                    <w:rPr>
                      <w:rFonts w:hint="default" w:eastAsia="宋体"/>
                      <w:color w:val="auto"/>
                      <w:lang w:val="en-US" w:eastAsia="zh-CN"/>
                    </w:rPr>
                  </w:pPr>
                  <w:r>
                    <w:rPr>
                      <w:rFonts w:hint="eastAsia"/>
                      <w:color w:val="auto"/>
                      <w:lang w:val="en-US" w:eastAsia="zh-CN"/>
                    </w:rPr>
                    <w:t>44</w:t>
                  </w:r>
                </w:p>
              </w:tc>
              <w:tc>
                <w:tcPr>
                  <w:tcW w:w="458" w:type="pct"/>
                  <w:vMerge w:val="restart"/>
                  <w:noWrap w:val="0"/>
                  <w:vAlign w:val="center"/>
                </w:tcPr>
                <w:p w14:paraId="4223BC72">
                  <w:pPr>
                    <w:snapToGrid w:val="0"/>
                    <w:jc w:val="center"/>
                    <w:rPr>
                      <w:color w:val="auto"/>
                    </w:rPr>
                  </w:pPr>
                  <w:r>
                    <w:rPr>
                      <w:color w:val="auto"/>
                    </w:rPr>
                    <w:t>1m</w:t>
                  </w:r>
                </w:p>
              </w:tc>
            </w:tr>
            <w:tr w14:paraId="0FDB6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78" w:type="pct"/>
                  <w:vMerge w:val="continue"/>
                  <w:noWrap w:val="0"/>
                  <w:vAlign w:val="center"/>
                </w:tcPr>
                <w:p w14:paraId="00CCDDED">
                  <w:pPr>
                    <w:snapToGrid w:val="0"/>
                    <w:jc w:val="center"/>
                    <w:rPr>
                      <w:rFonts w:hint="eastAsia"/>
                      <w:color w:val="auto"/>
                    </w:rPr>
                  </w:pPr>
                </w:p>
              </w:tc>
              <w:tc>
                <w:tcPr>
                  <w:tcW w:w="656" w:type="pct"/>
                  <w:shd w:val="clear" w:color="auto" w:fill="auto"/>
                  <w:noWrap w:val="0"/>
                  <w:vAlign w:val="center"/>
                </w:tcPr>
                <w:p w14:paraId="5868C72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lang w:val="en-US" w:eastAsia="zh-CN"/>
                    </w:rPr>
                    <w:t>全自动灌装机</w:t>
                  </w:r>
                </w:p>
              </w:tc>
              <w:tc>
                <w:tcPr>
                  <w:tcW w:w="261" w:type="pct"/>
                  <w:noWrap w:val="0"/>
                  <w:vAlign w:val="center"/>
                </w:tcPr>
                <w:p w14:paraId="6FC89C39">
                  <w:pPr>
                    <w:adjustRightInd w:val="0"/>
                    <w:snapToGrid w:val="0"/>
                    <w:jc w:val="center"/>
                    <w:rPr>
                      <w:bCs/>
                      <w:snapToGrid w:val="0"/>
                      <w:color w:val="auto"/>
                      <w:kern w:val="0"/>
                    </w:rPr>
                  </w:pPr>
                  <w:r>
                    <w:rPr>
                      <w:rFonts w:hint="eastAsia"/>
                      <w:color w:val="auto"/>
                    </w:rPr>
                    <w:t>/</w:t>
                  </w:r>
                </w:p>
              </w:tc>
              <w:tc>
                <w:tcPr>
                  <w:tcW w:w="347" w:type="pct"/>
                  <w:vMerge w:val="continue"/>
                  <w:noWrap w:val="0"/>
                  <w:vAlign w:val="center"/>
                </w:tcPr>
                <w:p w14:paraId="595F6731">
                  <w:pPr>
                    <w:snapToGrid w:val="0"/>
                    <w:jc w:val="center"/>
                    <w:rPr>
                      <w:color w:val="auto"/>
                    </w:rPr>
                  </w:pPr>
                </w:p>
              </w:tc>
              <w:tc>
                <w:tcPr>
                  <w:tcW w:w="453" w:type="pct"/>
                  <w:noWrap w:val="0"/>
                  <w:vAlign w:val="center"/>
                </w:tcPr>
                <w:p w14:paraId="1837BE19">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70</w:t>
                  </w:r>
                </w:p>
              </w:tc>
              <w:tc>
                <w:tcPr>
                  <w:tcW w:w="270" w:type="pct"/>
                  <w:noWrap w:val="0"/>
                  <w:vAlign w:val="center"/>
                </w:tcPr>
                <w:p w14:paraId="34312158">
                  <w:pPr>
                    <w:snapToGrid w:val="0"/>
                    <w:jc w:val="center"/>
                    <w:rPr>
                      <w:color w:val="auto"/>
                    </w:rPr>
                  </w:pPr>
                  <w:r>
                    <w:rPr>
                      <w:rFonts w:hint="eastAsia"/>
                      <w:color w:val="auto"/>
                    </w:rPr>
                    <w:t>15</w:t>
                  </w:r>
                </w:p>
              </w:tc>
              <w:tc>
                <w:tcPr>
                  <w:tcW w:w="298" w:type="pct"/>
                  <w:noWrap w:val="0"/>
                  <w:vAlign w:val="center"/>
                </w:tcPr>
                <w:p w14:paraId="08CA9F4A">
                  <w:pPr>
                    <w:snapToGrid w:val="0"/>
                    <w:jc w:val="center"/>
                    <w:rPr>
                      <w:color w:val="auto"/>
                    </w:rPr>
                  </w:pPr>
                  <w:r>
                    <w:rPr>
                      <w:rFonts w:hint="eastAsia"/>
                      <w:color w:val="auto"/>
                    </w:rPr>
                    <w:t>90</w:t>
                  </w:r>
                </w:p>
              </w:tc>
              <w:tc>
                <w:tcPr>
                  <w:tcW w:w="248" w:type="pct"/>
                  <w:noWrap w:val="0"/>
                  <w:vAlign w:val="center"/>
                </w:tcPr>
                <w:p w14:paraId="14FB7CA4">
                  <w:pPr>
                    <w:snapToGrid w:val="0"/>
                    <w:jc w:val="center"/>
                    <w:rPr>
                      <w:rFonts w:hint="eastAsia"/>
                      <w:color w:val="auto"/>
                    </w:rPr>
                  </w:pPr>
                  <w:r>
                    <w:rPr>
                      <w:rFonts w:hint="eastAsia"/>
                      <w:color w:val="auto"/>
                    </w:rPr>
                    <w:t>2</w:t>
                  </w:r>
                </w:p>
              </w:tc>
              <w:tc>
                <w:tcPr>
                  <w:tcW w:w="337" w:type="pct"/>
                  <w:noWrap w:val="0"/>
                  <w:vAlign w:val="center"/>
                </w:tcPr>
                <w:p w14:paraId="6A5DCE2E">
                  <w:pPr>
                    <w:snapToGrid w:val="0"/>
                    <w:jc w:val="center"/>
                    <w:rPr>
                      <w:color w:val="auto"/>
                    </w:rPr>
                  </w:pPr>
                  <w:r>
                    <w:rPr>
                      <w:rFonts w:hint="eastAsia"/>
                      <w:color w:val="auto"/>
                    </w:rPr>
                    <w:t>12</w:t>
                  </w:r>
                </w:p>
              </w:tc>
              <w:tc>
                <w:tcPr>
                  <w:tcW w:w="373" w:type="pct"/>
                  <w:noWrap w:val="0"/>
                  <w:vAlign w:val="center"/>
                </w:tcPr>
                <w:p w14:paraId="4A0F34E9">
                  <w:pPr>
                    <w:snapToGrid w:val="0"/>
                    <w:jc w:val="center"/>
                    <w:rPr>
                      <w:color w:val="auto"/>
                    </w:rPr>
                  </w:pPr>
                  <w:r>
                    <w:rPr>
                      <w:rFonts w:hint="eastAsia"/>
                      <w:color w:val="auto"/>
                    </w:rPr>
                    <w:t>63</w:t>
                  </w:r>
                </w:p>
              </w:tc>
              <w:tc>
                <w:tcPr>
                  <w:tcW w:w="239" w:type="pct"/>
                  <w:noWrap w:val="0"/>
                  <w:vAlign w:val="center"/>
                </w:tcPr>
                <w:p w14:paraId="2A9C9660">
                  <w:pPr>
                    <w:snapToGrid w:val="0"/>
                    <w:jc w:val="center"/>
                    <w:rPr>
                      <w:rFonts w:hint="eastAsia"/>
                      <w:color w:val="auto"/>
                    </w:rPr>
                  </w:pPr>
                  <w:r>
                    <w:rPr>
                      <w:rFonts w:hint="eastAsia"/>
                      <w:color w:val="auto"/>
                      <w:lang w:val="en-US" w:eastAsia="zh-CN"/>
                    </w:rPr>
                    <w:t>10</w:t>
                  </w:r>
                  <w:r>
                    <w:rPr>
                      <w:rFonts w:hint="eastAsia"/>
                      <w:color w:val="auto"/>
                    </w:rPr>
                    <w:t>h</w:t>
                  </w:r>
                </w:p>
              </w:tc>
              <w:tc>
                <w:tcPr>
                  <w:tcW w:w="373" w:type="pct"/>
                  <w:vMerge w:val="continue"/>
                  <w:noWrap w:val="0"/>
                  <w:vAlign w:val="center"/>
                </w:tcPr>
                <w:p w14:paraId="05346D57">
                  <w:pPr>
                    <w:snapToGrid w:val="0"/>
                    <w:jc w:val="center"/>
                    <w:rPr>
                      <w:color w:val="auto"/>
                    </w:rPr>
                  </w:pPr>
                </w:p>
              </w:tc>
              <w:tc>
                <w:tcPr>
                  <w:tcW w:w="405" w:type="pct"/>
                  <w:vMerge w:val="continue"/>
                  <w:noWrap w:val="0"/>
                  <w:vAlign w:val="center"/>
                </w:tcPr>
                <w:p w14:paraId="06513F27">
                  <w:pPr>
                    <w:snapToGrid w:val="0"/>
                    <w:jc w:val="center"/>
                    <w:rPr>
                      <w:color w:val="auto"/>
                    </w:rPr>
                  </w:pPr>
                </w:p>
              </w:tc>
              <w:tc>
                <w:tcPr>
                  <w:tcW w:w="458" w:type="pct"/>
                  <w:vMerge w:val="continue"/>
                  <w:noWrap w:val="0"/>
                  <w:vAlign w:val="center"/>
                </w:tcPr>
                <w:p w14:paraId="2B7E2923">
                  <w:pPr>
                    <w:snapToGrid w:val="0"/>
                    <w:jc w:val="center"/>
                    <w:rPr>
                      <w:color w:val="auto"/>
                    </w:rPr>
                  </w:pPr>
                </w:p>
              </w:tc>
            </w:tr>
            <w:tr w14:paraId="5D80E2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78" w:type="pct"/>
                  <w:vMerge w:val="continue"/>
                  <w:noWrap w:val="0"/>
                  <w:vAlign w:val="center"/>
                </w:tcPr>
                <w:p w14:paraId="438B7FA0">
                  <w:pPr>
                    <w:snapToGrid w:val="0"/>
                    <w:jc w:val="center"/>
                    <w:rPr>
                      <w:rFonts w:hint="eastAsia"/>
                      <w:color w:val="auto"/>
                    </w:rPr>
                  </w:pPr>
                </w:p>
              </w:tc>
              <w:tc>
                <w:tcPr>
                  <w:tcW w:w="656" w:type="pct"/>
                  <w:shd w:val="clear" w:color="auto" w:fill="auto"/>
                  <w:noWrap w:val="0"/>
                  <w:vAlign w:val="center"/>
                </w:tcPr>
                <w:p w14:paraId="02063E4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lang w:val="en-US" w:eastAsia="zh-CN"/>
                    </w:rPr>
                    <w:t>离心分离机</w:t>
                  </w:r>
                </w:p>
              </w:tc>
              <w:tc>
                <w:tcPr>
                  <w:tcW w:w="261" w:type="pct"/>
                  <w:noWrap w:val="0"/>
                  <w:vAlign w:val="center"/>
                </w:tcPr>
                <w:p w14:paraId="4CED2C51">
                  <w:pPr>
                    <w:adjustRightInd w:val="0"/>
                    <w:snapToGrid w:val="0"/>
                    <w:jc w:val="center"/>
                    <w:rPr>
                      <w:bCs/>
                      <w:snapToGrid w:val="0"/>
                      <w:color w:val="auto"/>
                      <w:kern w:val="0"/>
                    </w:rPr>
                  </w:pPr>
                  <w:r>
                    <w:rPr>
                      <w:rFonts w:hint="eastAsia"/>
                      <w:color w:val="auto"/>
                    </w:rPr>
                    <w:t>/</w:t>
                  </w:r>
                </w:p>
              </w:tc>
              <w:tc>
                <w:tcPr>
                  <w:tcW w:w="347" w:type="pct"/>
                  <w:vMerge w:val="continue"/>
                  <w:noWrap w:val="0"/>
                  <w:vAlign w:val="center"/>
                </w:tcPr>
                <w:p w14:paraId="74747BF2">
                  <w:pPr>
                    <w:snapToGrid w:val="0"/>
                    <w:jc w:val="center"/>
                    <w:rPr>
                      <w:color w:val="auto"/>
                    </w:rPr>
                  </w:pPr>
                </w:p>
              </w:tc>
              <w:tc>
                <w:tcPr>
                  <w:tcW w:w="453" w:type="pct"/>
                  <w:noWrap w:val="0"/>
                  <w:vAlign w:val="center"/>
                </w:tcPr>
                <w:p w14:paraId="63C427BF">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79</w:t>
                  </w:r>
                </w:p>
              </w:tc>
              <w:tc>
                <w:tcPr>
                  <w:tcW w:w="270" w:type="pct"/>
                  <w:noWrap w:val="0"/>
                  <w:vAlign w:val="center"/>
                </w:tcPr>
                <w:p w14:paraId="6BBE3A8D">
                  <w:pPr>
                    <w:snapToGrid w:val="0"/>
                    <w:jc w:val="center"/>
                    <w:rPr>
                      <w:color w:val="auto"/>
                    </w:rPr>
                  </w:pPr>
                  <w:r>
                    <w:rPr>
                      <w:rFonts w:hint="eastAsia"/>
                      <w:color w:val="auto"/>
                    </w:rPr>
                    <w:t>25</w:t>
                  </w:r>
                </w:p>
              </w:tc>
              <w:tc>
                <w:tcPr>
                  <w:tcW w:w="298" w:type="pct"/>
                  <w:noWrap w:val="0"/>
                  <w:vAlign w:val="center"/>
                </w:tcPr>
                <w:p w14:paraId="493851DA">
                  <w:pPr>
                    <w:snapToGrid w:val="0"/>
                    <w:jc w:val="center"/>
                    <w:rPr>
                      <w:color w:val="auto"/>
                    </w:rPr>
                  </w:pPr>
                  <w:r>
                    <w:rPr>
                      <w:rFonts w:hint="eastAsia"/>
                      <w:color w:val="auto"/>
                    </w:rPr>
                    <w:t>90</w:t>
                  </w:r>
                </w:p>
              </w:tc>
              <w:tc>
                <w:tcPr>
                  <w:tcW w:w="248" w:type="pct"/>
                  <w:noWrap w:val="0"/>
                  <w:vAlign w:val="center"/>
                </w:tcPr>
                <w:p w14:paraId="1E358B33">
                  <w:pPr>
                    <w:snapToGrid w:val="0"/>
                    <w:jc w:val="center"/>
                    <w:rPr>
                      <w:rFonts w:hint="eastAsia"/>
                      <w:color w:val="auto"/>
                    </w:rPr>
                  </w:pPr>
                  <w:r>
                    <w:rPr>
                      <w:rFonts w:hint="eastAsia"/>
                      <w:color w:val="auto"/>
                    </w:rPr>
                    <w:t>2</w:t>
                  </w:r>
                </w:p>
              </w:tc>
              <w:tc>
                <w:tcPr>
                  <w:tcW w:w="337" w:type="pct"/>
                  <w:noWrap w:val="0"/>
                  <w:vAlign w:val="center"/>
                </w:tcPr>
                <w:p w14:paraId="5966E481">
                  <w:pPr>
                    <w:snapToGrid w:val="0"/>
                    <w:jc w:val="center"/>
                    <w:rPr>
                      <w:color w:val="auto"/>
                    </w:rPr>
                  </w:pPr>
                  <w:r>
                    <w:rPr>
                      <w:rFonts w:hint="eastAsia"/>
                      <w:color w:val="auto"/>
                    </w:rPr>
                    <w:t>12</w:t>
                  </w:r>
                </w:p>
              </w:tc>
              <w:tc>
                <w:tcPr>
                  <w:tcW w:w="373" w:type="pct"/>
                  <w:noWrap w:val="0"/>
                  <w:vAlign w:val="center"/>
                </w:tcPr>
                <w:p w14:paraId="164F9F90">
                  <w:pPr>
                    <w:snapToGrid w:val="0"/>
                    <w:jc w:val="center"/>
                    <w:rPr>
                      <w:color w:val="auto"/>
                    </w:rPr>
                  </w:pPr>
                  <w:r>
                    <w:rPr>
                      <w:rFonts w:hint="eastAsia"/>
                      <w:color w:val="auto"/>
                    </w:rPr>
                    <w:t>63</w:t>
                  </w:r>
                </w:p>
              </w:tc>
              <w:tc>
                <w:tcPr>
                  <w:tcW w:w="239" w:type="pct"/>
                  <w:noWrap w:val="0"/>
                  <w:vAlign w:val="center"/>
                </w:tcPr>
                <w:p w14:paraId="13C4CEDB">
                  <w:pPr>
                    <w:snapToGrid w:val="0"/>
                    <w:jc w:val="center"/>
                    <w:rPr>
                      <w:rFonts w:hint="eastAsia"/>
                      <w:color w:val="auto"/>
                    </w:rPr>
                  </w:pPr>
                  <w:r>
                    <w:rPr>
                      <w:rFonts w:hint="eastAsia"/>
                      <w:color w:val="auto"/>
                      <w:lang w:val="en-US" w:eastAsia="zh-CN"/>
                    </w:rPr>
                    <w:t>10</w:t>
                  </w:r>
                  <w:r>
                    <w:rPr>
                      <w:rFonts w:hint="eastAsia"/>
                      <w:color w:val="auto"/>
                    </w:rPr>
                    <w:t>h</w:t>
                  </w:r>
                </w:p>
              </w:tc>
              <w:tc>
                <w:tcPr>
                  <w:tcW w:w="373" w:type="pct"/>
                  <w:vMerge w:val="continue"/>
                  <w:noWrap w:val="0"/>
                  <w:vAlign w:val="center"/>
                </w:tcPr>
                <w:p w14:paraId="77020896">
                  <w:pPr>
                    <w:snapToGrid w:val="0"/>
                    <w:jc w:val="center"/>
                    <w:rPr>
                      <w:color w:val="auto"/>
                    </w:rPr>
                  </w:pPr>
                </w:p>
              </w:tc>
              <w:tc>
                <w:tcPr>
                  <w:tcW w:w="405" w:type="pct"/>
                  <w:vMerge w:val="continue"/>
                  <w:noWrap w:val="0"/>
                  <w:vAlign w:val="center"/>
                </w:tcPr>
                <w:p w14:paraId="3AC23523">
                  <w:pPr>
                    <w:snapToGrid w:val="0"/>
                    <w:jc w:val="center"/>
                    <w:rPr>
                      <w:color w:val="auto"/>
                    </w:rPr>
                  </w:pPr>
                </w:p>
              </w:tc>
              <w:tc>
                <w:tcPr>
                  <w:tcW w:w="458" w:type="pct"/>
                  <w:vMerge w:val="continue"/>
                  <w:noWrap w:val="0"/>
                  <w:vAlign w:val="center"/>
                </w:tcPr>
                <w:p w14:paraId="02770122">
                  <w:pPr>
                    <w:snapToGrid w:val="0"/>
                    <w:jc w:val="center"/>
                    <w:rPr>
                      <w:color w:val="auto"/>
                    </w:rPr>
                  </w:pPr>
                </w:p>
              </w:tc>
            </w:tr>
            <w:tr w14:paraId="78FF1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78" w:type="pct"/>
                  <w:vMerge w:val="continue"/>
                  <w:noWrap w:val="0"/>
                  <w:vAlign w:val="center"/>
                </w:tcPr>
                <w:p w14:paraId="080AFC4F">
                  <w:pPr>
                    <w:snapToGrid w:val="0"/>
                    <w:jc w:val="center"/>
                    <w:rPr>
                      <w:rFonts w:hint="eastAsia"/>
                      <w:color w:val="auto"/>
                    </w:rPr>
                  </w:pPr>
                </w:p>
              </w:tc>
              <w:tc>
                <w:tcPr>
                  <w:tcW w:w="656" w:type="pct"/>
                  <w:shd w:val="clear" w:color="auto" w:fill="auto"/>
                  <w:noWrap w:val="0"/>
                  <w:vAlign w:val="center"/>
                </w:tcPr>
                <w:p w14:paraId="3A258EE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zh-CN" w:eastAsia="zh-CN" w:bidi="zh-CN"/>
                    </w:rPr>
                  </w:pPr>
                  <w:r>
                    <w:rPr>
                      <w:rFonts w:hint="default" w:ascii="Times New Roman" w:hAnsi="Times New Roman" w:eastAsia="宋体" w:cs="Times New Roman"/>
                      <w:color w:val="auto"/>
                      <w:sz w:val="21"/>
                      <w:szCs w:val="21"/>
                      <w:u w:val="none" w:color="auto"/>
                      <w:lang w:val="en-US" w:eastAsia="zh-CN"/>
                    </w:rPr>
                    <w:t>皮带输送机</w:t>
                  </w:r>
                </w:p>
              </w:tc>
              <w:tc>
                <w:tcPr>
                  <w:tcW w:w="261" w:type="pct"/>
                  <w:noWrap w:val="0"/>
                  <w:vAlign w:val="center"/>
                </w:tcPr>
                <w:p w14:paraId="17A33598">
                  <w:pPr>
                    <w:adjustRightInd w:val="0"/>
                    <w:snapToGrid w:val="0"/>
                    <w:jc w:val="center"/>
                    <w:rPr>
                      <w:color w:val="auto"/>
                    </w:rPr>
                  </w:pPr>
                  <w:r>
                    <w:rPr>
                      <w:rFonts w:hint="eastAsia"/>
                      <w:color w:val="auto"/>
                    </w:rPr>
                    <w:t>/</w:t>
                  </w:r>
                </w:p>
              </w:tc>
              <w:tc>
                <w:tcPr>
                  <w:tcW w:w="347" w:type="pct"/>
                  <w:vMerge w:val="continue"/>
                  <w:noWrap w:val="0"/>
                  <w:vAlign w:val="center"/>
                </w:tcPr>
                <w:p w14:paraId="26B996CE">
                  <w:pPr>
                    <w:snapToGrid w:val="0"/>
                    <w:jc w:val="center"/>
                    <w:rPr>
                      <w:color w:val="auto"/>
                    </w:rPr>
                  </w:pPr>
                </w:p>
              </w:tc>
              <w:tc>
                <w:tcPr>
                  <w:tcW w:w="453" w:type="pct"/>
                  <w:noWrap w:val="0"/>
                  <w:vAlign w:val="center"/>
                </w:tcPr>
                <w:p w14:paraId="52BC9230">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75</w:t>
                  </w:r>
                </w:p>
              </w:tc>
              <w:tc>
                <w:tcPr>
                  <w:tcW w:w="270" w:type="pct"/>
                  <w:noWrap w:val="0"/>
                  <w:vAlign w:val="center"/>
                </w:tcPr>
                <w:p w14:paraId="6A2BE6E1">
                  <w:pPr>
                    <w:snapToGrid w:val="0"/>
                    <w:jc w:val="center"/>
                    <w:rPr>
                      <w:color w:val="auto"/>
                    </w:rPr>
                  </w:pPr>
                  <w:r>
                    <w:rPr>
                      <w:rFonts w:hint="eastAsia"/>
                      <w:color w:val="auto"/>
                    </w:rPr>
                    <w:t>35</w:t>
                  </w:r>
                </w:p>
              </w:tc>
              <w:tc>
                <w:tcPr>
                  <w:tcW w:w="298" w:type="pct"/>
                  <w:noWrap w:val="0"/>
                  <w:vAlign w:val="center"/>
                </w:tcPr>
                <w:p w14:paraId="4A2F4D4B">
                  <w:pPr>
                    <w:snapToGrid w:val="0"/>
                    <w:jc w:val="center"/>
                    <w:rPr>
                      <w:color w:val="auto"/>
                    </w:rPr>
                  </w:pPr>
                  <w:r>
                    <w:rPr>
                      <w:rFonts w:hint="eastAsia"/>
                      <w:color w:val="auto"/>
                    </w:rPr>
                    <w:t>90</w:t>
                  </w:r>
                </w:p>
              </w:tc>
              <w:tc>
                <w:tcPr>
                  <w:tcW w:w="248" w:type="pct"/>
                  <w:noWrap w:val="0"/>
                  <w:vAlign w:val="center"/>
                </w:tcPr>
                <w:p w14:paraId="4778B05B">
                  <w:pPr>
                    <w:snapToGrid w:val="0"/>
                    <w:jc w:val="center"/>
                    <w:rPr>
                      <w:rFonts w:hint="eastAsia"/>
                      <w:color w:val="auto"/>
                    </w:rPr>
                  </w:pPr>
                  <w:r>
                    <w:rPr>
                      <w:rFonts w:hint="eastAsia"/>
                      <w:color w:val="auto"/>
                    </w:rPr>
                    <w:t>2</w:t>
                  </w:r>
                </w:p>
              </w:tc>
              <w:tc>
                <w:tcPr>
                  <w:tcW w:w="337" w:type="pct"/>
                  <w:noWrap w:val="0"/>
                  <w:vAlign w:val="center"/>
                </w:tcPr>
                <w:p w14:paraId="17C54F08">
                  <w:pPr>
                    <w:snapToGrid w:val="0"/>
                    <w:jc w:val="center"/>
                    <w:rPr>
                      <w:rFonts w:hint="eastAsia"/>
                      <w:color w:val="auto"/>
                    </w:rPr>
                  </w:pPr>
                  <w:r>
                    <w:rPr>
                      <w:rFonts w:hint="eastAsia"/>
                      <w:color w:val="auto"/>
                    </w:rPr>
                    <w:t>5</w:t>
                  </w:r>
                </w:p>
              </w:tc>
              <w:tc>
                <w:tcPr>
                  <w:tcW w:w="373" w:type="pct"/>
                  <w:noWrap w:val="0"/>
                  <w:vAlign w:val="center"/>
                </w:tcPr>
                <w:p w14:paraId="2A937CC3">
                  <w:pPr>
                    <w:snapToGrid w:val="0"/>
                    <w:jc w:val="center"/>
                    <w:rPr>
                      <w:rFonts w:hint="default" w:eastAsia="宋体"/>
                      <w:color w:val="auto"/>
                      <w:lang w:val="en-US" w:eastAsia="zh-CN"/>
                    </w:rPr>
                  </w:pPr>
                  <w:r>
                    <w:rPr>
                      <w:rFonts w:hint="eastAsia"/>
                      <w:color w:val="auto"/>
                      <w:lang w:val="en-US" w:eastAsia="zh-CN"/>
                    </w:rPr>
                    <w:t>64</w:t>
                  </w:r>
                </w:p>
              </w:tc>
              <w:tc>
                <w:tcPr>
                  <w:tcW w:w="239" w:type="pct"/>
                  <w:noWrap w:val="0"/>
                  <w:vAlign w:val="center"/>
                </w:tcPr>
                <w:p w14:paraId="02906656">
                  <w:pPr>
                    <w:snapToGrid w:val="0"/>
                    <w:jc w:val="center"/>
                    <w:rPr>
                      <w:rFonts w:hint="eastAsia"/>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continue"/>
                  <w:noWrap w:val="0"/>
                  <w:vAlign w:val="center"/>
                </w:tcPr>
                <w:p w14:paraId="693B56EA">
                  <w:pPr>
                    <w:snapToGrid w:val="0"/>
                    <w:jc w:val="center"/>
                    <w:rPr>
                      <w:color w:val="auto"/>
                    </w:rPr>
                  </w:pPr>
                </w:p>
              </w:tc>
              <w:tc>
                <w:tcPr>
                  <w:tcW w:w="405" w:type="pct"/>
                  <w:vMerge w:val="continue"/>
                  <w:noWrap w:val="0"/>
                  <w:vAlign w:val="center"/>
                </w:tcPr>
                <w:p w14:paraId="1DE36BD3">
                  <w:pPr>
                    <w:snapToGrid w:val="0"/>
                    <w:jc w:val="center"/>
                    <w:rPr>
                      <w:color w:val="auto"/>
                    </w:rPr>
                  </w:pPr>
                </w:p>
              </w:tc>
              <w:tc>
                <w:tcPr>
                  <w:tcW w:w="458" w:type="pct"/>
                  <w:vMerge w:val="continue"/>
                  <w:noWrap w:val="0"/>
                  <w:vAlign w:val="center"/>
                </w:tcPr>
                <w:p w14:paraId="274A752D">
                  <w:pPr>
                    <w:snapToGrid w:val="0"/>
                    <w:jc w:val="center"/>
                    <w:rPr>
                      <w:color w:val="auto"/>
                    </w:rPr>
                  </w:pPr>
                </w:p>
              </w:tc>
            </w:tr>
            <w:tr w14:paraId="3344B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78" w:type="pct"/>
                  <w:noWrap w:val="0"/>
                  <w:vAlign w:val="center"/>
                </w:tcPr>
                <w:p w14:paraId="27821AA1">
                  <w:pPr>
                    <w:snapToGrid w:val="0"/>
                    <w:jc w:val="center"/>
                    <w:rPr>
                      <w:rFonts w:hint="eastAsia" w:eastAsia="宋体"/>
                      <w:color w:val="auto"/>
                      <w:lang w:val="en-US" w:eastAsia="zh-CN"/>
                    </w:rPr>
                  </w:pPr>
                  <w:r>
                    <w:rPr>
                      <w:rFonts w:hint="eastAsia"/>
                      <w:color w:val="auto"/>
                      <w:lang w:val="en-US" w:eastAsia="zh-CN"/>
                    </w:rPr>
                    <w:t>泵房</w:t>
                  </w:r>
                </w:p>
              </w:tc>
              <w:tc>
                <w:tcPr>
                  <w:tcW w:w="656" w:type="pct"/>
                  <w:noWrap w:val="0"/>
                  <w:vAlign w:val="center"/>
                </w:tcPr>
                <w:p w14:paraId="52A411D1">
                  <w:pPr>
                    <w:adjustRightInd w:val="0"/>
                    <w:snapToGrid w:val="0"/>
                    <w:jc w:val="center"/>
                    <w:rPr>
                      <w:bCs/>
                      <w:snapToGrid w:val="0"/>
                      <w:color w:val="auto"/>
                      <w:kern w:val="0"/>
                      <w:szCs w:val="28"/>
                    </w:rPr>
                  </w:pPr>
                  <w:r>
                    <w:rPr>
                      <w:rFonts w:hint="eastAsia" w:eastAsia="宋体" w:cs="Times New Roman"/>
                      <w:color w:val="auto"/>
                      <w:sz w:val="21"/>
                      <w:szCs w:val="21"/>
                      <w:u w:val="none" w:color="auto"/>
                      <w:lang w:val="en-US" w:eastAsia="zh-CN"/>
                    </w:rPr>
                    <w:t>泵</w:t>
                  </w:r>
                </w:p>
              </w:tc>
              <w:tc>
                <w:tcPr>
                  <w:tcW w:w="261" w:type="pct"/>
                  <w:noWrap w:val="0"/>
                  <w:vAlign w:val="center"/>
                </w:tcPr>
                <w:p w14:paraId="3C9442EE">
                  <w:pPr>
                    <w:adjustRightInd w:val="0"/>
                    <w:snapToGrid w:val="0"/>
                    <w:jc w:val="center"/>
                    <w:rPr>
                      <w:bCs/>
                      <w:snapToGrid w:val="0"/>
                      <w:color w:val="auto"/>
                      <w:kern w:val="0"/>
                      <w:szCs w:val="28"/>
                    </w:rPr>
                  </w:pPr>
                  <w:r>
                    <w:rPr>
                      <w:rFonts w:hint="eastAsia"/>
                      <w:color w:val="auto"/>
                    </w:rPr>
                    <w:t>/</w:t>
                  </w:r>
                </w:p>
              </w:tc>
              <w:tc>
                <w:tcPr>
                  <w:tcW w:w="347" w:type="pct"/>
                  <w:noWrap w:val="0"/>
                  <w:vAlign w:val="center"/>
                </w:tcPr>
                <w:p w14:paraId="5E487A84">
                  <w:pPr>
                    <w:snapToGrid w:val="0"/>
                    <w:jc w:val="center"/>
                    <w:rPr>
                      <w:color w:val="auto"/>
                    </w:rPr>
                  </w:pPr>
                  <w:r>
                    <w:rPr>
                      <w:color w:val="auto"/>
                    </w:rPr>
                    <w:t>减振、车间隔声</w:t>
                  </w:r>
                </w:p>
              </w:tc>
              <w:tc>
                <w:tcPr>
                  <w:tcW w:w="453" w:type="pct"/>
                  <w:noWrap w:val="0"/>
                  <w:vAlign w:val="center"/>
                </w:tcPr>
                <w:p w14:paraId="505913C8">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81</w:t>
                  </w:r>
                </w:p>
              </w:tc>
              <w:tc>
                <w:tcPr>
                  <w:tcW w:w="270" w:type="pct"/>
                  <w:noWrap w:val="0"/>
                  <w:vAlign w:val="center"/>
                </w:tcPr>
                <w:p w14:paraId="0B6198FE">
                  <w:pPr>
                    <w:snapToGrid w:val="0"/>
                    <w:jc w:val="center"/>
                    <w:rPr>
                      <w:rFonts w:hint="eastAsia"/>
                      <w:color w:val="auto"/>
                    </w:rPr>
                  </w:pPr>
                  <w:r>
                    <w:rPr>
                      <w:rFonts w:hint="eastAsia"/>
                      <w:color w:val="auto"/>
                    </w:rPr>
                    <w:t>5</w:t>
                  </w:r>
                </w:p>
              </w:tc>
              <w:tc>
                <w:tcPr>
                  <w:tcW w:w="298" w:type="pct"/>
                  <w:noWrap w:val="0"/>
                  <w:vAlign w:val="center"/>
                </w:tcPr>
                <w:p w14:paraId="75F5DDED">
                  <w:pPr>
                    <w:snapToGrid w:val="0"/>
                    <w:jc w:val="center"/>
                    <w:rPr>
                      <w:color w:val="auto"/>
                    </w:rPr>
                  </w:pPr>
                  <w:r>
                    <w:rPr>
                      <w:rFonts w:hint="eastAsia"/>
                      <w:color w:val="auto"/>
                    </w:rPr>
                    <w:t>50</w:t>
                  </w:r>
                </w:p>
              </w:tc>
              <w:tc>
                <w:tcPr>
                  <w:tcW w:w="248" w:type="pct"/>
                  <w:noWrap w:val="0"/>
                  <w:vAlign w:val="center"/>
                </w:tcPr>
                <w:p w14:paraId="4BE45DD1">
                  <w:pPr>
                    <w:snapToGrid w:val="0"/>
                    <w:jc w:val="center"/>
                    <w:rPr>
                      <w:color w:val="auto"/>
                    </w:rPr>
                  </w:pPr>
                  <w:r>
                    <w:rPr>
                      <w:rFonts w:hint="eastAsia"/>
                      <w:color w:val="auto"/>
                    </w:rPr>
                    <w:t>2</w:t>
                  </w:r>
                </w:p>
              </w:tc>
              <w:tc>
                <w:tcPr>
                  <w:tcW w:w="337" w:type="pct"/>
                  <w:noWrap w:val="0"/>
                  <w:vAlign w:val="center"/>
                </w:tcPr>
                <w:p w14:paraId="0694834E">
                  <w:pPr>
                    <w:snapToGrid w:val="0"/>
                    <w:jc w:val="center"/>
                    <w:rPr>
                      <w:color w:val="auto"/>
                    </w:rPr>
                  </w:pPr>
                  <w:r>
                    <w:rPr>
                      <w:rFonts w:hint="eastAsia"/>
                      <w:color w:val="auto"/>
                    </w:rPr>
                    <w:t>5</w:t>
                  </w:r>
                </w:p>
              </w:tc>
              <w:tc>
                <w:tcPr>
                  <w:tcW w:w="373" w:type="pct"/>
                  <w:noWrap w:val="0"/>
                  <w:vAlign w:val="center"/>
                </w:tcPr>
                <w:p w14:paraId="0627B51A">
                  <w:pPr>
                    <w:snapToGrid w:val="0"/>
                    <w:jc w:val="center"/>
                    <w:rPr>
                      <w:color w:val="auto"/>
                    </w:rPr>
                  </w:pPr>
                  <w:r>
                    <w:rPr>
                      <w:rFonts w:hint="eastAsia"/>
                      <w:color w:val="auto"/>
                    </w:rPr>
                    <w:t>61</w:t>
                  </w:r>
                </w:p>
              </w:tc>
              <w:tc>
                <w:tcPr>
                  <w:tcW w:w="239" w:type="pct"/>
                  <w:noWrap w:val="0"/>
                  <w:vAlign w:val="center"/>
                </w:tcPr>
                <w:p w14:paraId="0A590B04">
                  <w:pPr>
                    <w:snapToGrid w:val="0"/>
                    <w:jc w:val="center"/>
                    <w:rPr>
                      <w:rFonts w:hint="eastAsia"/>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shd w:val="clear" w:color="auto" w:fill="auto"/>
                  <w:noWrap w:val="0"/>
                  <w:vAlign w:val="center"/>
                </w:tcPr>
                <w:p w14:paraId="7E2AEBC7">
                  <w:pPr>
                    <w:snapToGrid w:val="0"/>
                    <w:jc w:val="center"/>
                    <w:rPr>
                      <w:rFonts w:ascii="Times New Roman" w:hAnsi="Times New Roman" w:eastAsia="宋体" w:cs="Times New Roman"/>
                      <w:color w:val="auto"/>
                      <w:kern w:val="2"/>
                      <w:sz w:val="21"/>
                      <w:szCs w:val="24"/>
                      <w:lang w:val="en-US" w:eastAsia="zh-CN" w:bidi="ar-SA"/>
                    </w:rPr>
                  </w:pPr>
                  <w:r>
                    <w:rPr>
                      <w:color w:val="auto"/>
                    </w:rPr>
                    <w:t>15</w:t>
                  </w:r>
                </w:p>
              </w:tc>
              <w:tc>
                <w:tcPr>
                  <w:tcW w:w="405" w:type="pct"/>
                  <w:shd w:val="clear" w:color="auto" w:fill="auto"/>
                  <w:noWrap w:val="0"/>
                  <w:vAlign w:val="center"/>
                </w:tcPr>
                <w:p w14:paraId="1D9DEF5D">
                  <w:pPr>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46</w:t>
                  </w:r>
                </w:p>
              </w:tc>
              <w:tc>
                <w:tcPr>
                  <w:tcW w:w="458" w:type="pct"/>
                  <w:shd w:val="clear" w:color="auto" w:fill="auto"/>
                  <w:noWrap w:val="0"/>
                  <w:vAlign w:val="center"/>
                </w:tcPr>
                <w:p w14:paraId="1624D1D1">
                  <w:pPr>
                    <w:snapToGrid w:val="0"/>
                    <w:jc w:val="center"/>
                    <w:rPr>
                      <w:rFonts w:ascii="Times New Roman" w:hAnsi="Times New Roman" w:eastAsia="宋体" w:cs="Times New Roman"/>
                      <w:color w:val="auto"/>
                      <w:kern w:val="2"/>
                      <w:sz w:val="21"/>
                      <w:szCs w:val="24"/>
                      <w:lang w:val="en-US" w:eastAsia="zh-CN" w:bidi="ar-SA"/>
                    </w:rPr>
                  </w:pPr>
                  <w:r>
                    <w:rPr>
                      <w:color w:val="auto"/>
                    </w:rPr>
                    <w:t>1m</w:t>
                  </w:r>
                </w:p>
              </w:tc>
            </w:tr>
            <w:tr w14:paraId="260F2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78" w:type="pct"/>
                  <w:vMerge w:val="restart"/>
                  <w:noWrap w:val="0"/>
                  <w:vAlign w:val="center"/>
                </w:tcPr>
                <w:p w14:paraId="1BBEE913">
                  <w:pPr>
                    <w:snapToGrid w:val="0"/>
                    <w:jc w:val="center"/>
                    <w:rPr>
                      <w:color w:val="auto"/>
                    </w:rPr>
                  </w:pPr>
                  <w:r>
                    <w:rPr>
                      <w:rFonts w:hint="eastAsia"/>
                      <w:color w:val="auto"/>
                      <w:lang w:val="en-US" w:eastAsia="zh-CN"/>
                    </w:rPr>
                    <w:t>中药材物流中转集散地建设工程</w:t>
                  </w:r>
                </w:p>
              </w:tc>
              <w:tc>
                <w:tcPr>
                  <w:tcW w:w="656" w:type="pct"/>
                  <w:shd w:val="clear" w:color="auto" w:fill="auto"/>
                  <w:noWrap w:val="0"/>
                  <w:vAlign w:val="center"/>
                </w:tcPr>
                <w:p w14:paraId="677CA67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自动包装机</w:t>
                  </w:r>
                </w:p>
              </w:tc>
              <w:tc>
                <w:tcPr>
                  <w:tcW w:w="261" w:type="pct"/>
                  <w:noWrap w:val="0"/>
                  <w:vAlign w:val="center"/>
                </w:tcPr>
                <w:p w14:paraId="3DC9DB11">
                  <w:pPr>
                    <w:adjustRightInd w:val="0"/>
                    <w:snapToGrid w:val="0"/>
                    <w:jc w:val="center"/>
                    <w:rPr>
                      <w:bCs/>
                      <w:snapToGrid w:val="0"/>
                      <w:color w:val="auto"/>
                      <w:kern w:val="0"/>
                      <w:szCs w:val="28"/>
                    </w:rPr>
                  </w:pPr>
                  <w:r>
                    <w:rPr>
                      <w:rFonts w:hint="eastAsia"/>
                      <w:color w:val="auto"/>
                    </w:rPr>
                    <w:t>/</w:t>
                  </w:r>
                </w:p>
              </w:tc>
              <w:tc>
                <w:tcPr>
                  <w:tcW w:w="347" w:type="pct"/>
                  <w:vMerge w:val="restart"/>
                  <w:noWrap w:val="0"/>
                  <w:vAlign w:val="center"/>
                </w:tcPr>
                <w:p w14:paraId="1443AED1">
                  <w:pPr>
                    <w:snapToGrid w:val="0"/>
                    <w:jc w:val="center"/>
                    <w:rPr>
                      <w:color w:val="auto"/>
                    </w:rPr>
                  </w:pPr>
                  <w:r>
                    <w:rPr>
                      <w:color w:val="auto"/>
                    </w:rPr>
                    <w:t>减振、车间隔声</w:t>
                  </w:r>
                </w:p>
              </w:tc>
              <w:tc>
                <w:tcPr>
                  <w:tcW w:w="453" w:type="pct"/>
                  <w:noWrap w:val="0"/>
                  <w:vAlign w:val="center"/>
                </w:tcPr>
                <w:p w14:paraId="0F225F07">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83</w:t>
                  </w:r>
                </w:p>
              </w:tc>
              <w:tc>
                <w:tcPr>
                  <w:tcW w:w="270" w:type="pct"/>
                  <w:noWrap w:val="0"/>
                  <w:vAlign w:val="center"/>
                </w:tcPr>
                <w:p w14:paraId="36D152ED">
                  <w:pPr>
                    <w:snapToGrid w:val="0"/>
                    <w:jc w:val="center"/>
                    <w:rPr>
                      <w:rFonts w:hint="eastAsia"/>
                      <w:color w:val="auto"/>
                    </w:rPr>
                  </w:pPr>
                  <w:r>
                    <w:rPr>
                      <w:rFonts w:hint="eastAsia"/>
                      <w:color w:val="auto"/>
                    </w:rPr>
                    <w:t>15</w:t>
                  </w:r>
                </w:p>
              </w:tc>
              <w:tc>
                <w:tcPr>
                  <w:tcW w:w="298" w:type="pct"/>
                  <w:noWrap w:val="0"/>
                  <w:vAlign w:val="center"/>
                </w:tcPr>
                <w:p w14:paraId="5043FDC7">
                  <w:pPr>
                    <w:snapToGrid w:val="0"/>
                    <w:jc w:val="center"/>
                    <w:rPr>
                      <w:rFonts w:hint="eastAsia"/>
                      <w:color w:val="auto"/>
                    </w:rPr>
                  </w:pPr>
                  <w:r>
                    <w:rPr>
                      <w:rFonts w:hint="eastAsia"/>
                      <w:color w:val="auto"/>
                    </w:rPr>
                    <w:t>50</w:t>
                  </w:r>
                </w:p>
              </w:tc>
              <w:tc>
                <w:tcPr>
                  <w:tcW w:w="248" w:type="pct"/>
                  <w:noWrap w:val="0"/>
                  <w:vAlign w:val="center"/>
                </w:tcPr>
                <w:p w14:paraId="6959205D">
                  <w:pPr>
                    <w:snapToGrid w:val="0"/>
                    <w:jc w:val="center"/>
                    <w:rPr>
                      <w:color w:val="auto"/>
                    </w:rPr>
                  </w:pPr>
                  <w:r>
                    <w:rPr>
                      <w:rFonts w:hint="eastAsia"/>
                      <w:color w:val="auto"/>
                    </w:rPr>
                    <w:t>2</w:t>
                  </w:r>
                </w:p>
              </w:tc>
              <w:tc>
                <w:tcPr>
                  <w:tcW w:w="337" w:type="pct"/>
                  <w:noWrap w:val="0"/>
                  <w:vAlign w:val="center"/>
                </w:tcPr>
                <w:p w14:paraId="26BDEB33">
                  <w:pPr>
                    <w:snapToGrid w:val="0"/>
                    <w:jc w:val="center"/>
                    <w:rPr>
                      <w:color w:val="auto"/>
                    </w:rPr>
                  </w:pPr>
                  <w:r>
                    <w:rPr>
                      <w:rFonts w:hint="eastAsia"/>
                      <w:color w:val="auto"/>
                    </w:rPr>
                    <w:t>15</w:t>
                  </w:r>
                </w:p>
              </w:tc>
              <w:tc>
                <w:tcPr>
                  <w:tcW w:w="373" w:type="pct"/>
                  <w:noWrap w:val="0"/>
                  <w:vAlign w:val="center"/>
                </w:tcPr>
                <w:p w14:paraId="5E6AF27A">
                  <w:pPr>
                    <w:snapToGrid w:val="0"/>
                    <w:jc w:val="center"/>
                    <w:rPr>
                      <w:color w:val="auto"/>
                    </w:rPr>
                  </w:pPr>
                  <w:r>
                    <w:rPr>
                      <w:rFonts w:hint="eastAsia"/>
                      <w:color w:val="auto"/>
                    </w:rPr>
                    <w:t>51</w:t>
                  </w:r>
                </w:p>
              </w:tc>
              <w:tc>
                <w:tcPr>
                  <w:tcW w:w="239" w:type="pct"/>
                  <w:noWrap w:val="0"/>
                  <w:vAlign w:val="center"/>
                </w:tcPr>
                <w:p w14:paraId="5765153A">
                  <w:pPr>
                    <w:snapToGrid w:val="0"/>
                    <w:jc w:val="center"/>
                    <w:rPr>
                      <w:rFonts w:hint="eastAsia"/>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restart"/>
                  <w:shd w:val="clear" w:color="auto" w:fill="auto"/>
                  <w:noWrap w:val="0"/>
                  <w:vAlign w:val="center"/>
                </w:tcPr>
                <w:p w14:paraId="0F576387">
                  <w:pPr>
                    <w:snapToGrid w:val="0"/>
                    <w:jc w:val="center"/>
                    <w:rPr>
                      <w:rFonts w:ascii="Times New Roman" w:hAnsi="Times New Roman" w:eastAsia="宋体" w:cs="Times New Roman"/>
                      <w:color w:val="auto"/>
                      <w:kern w:val="2"/>
                      <w:sz w:val="21"/>
                      <w:szCs w:val="24"/>
                      <w:lang w:val="en-US" w:eastAsia="zh-CN" w:bidi="ar-SA"/>
                    </w:rPr>
                  </w:pPr>
                  <w:r>
                    <w:rPr>
                      <w:color w:val="auto"/>
                    </w:rPr>
                    <w:t>15</w:t>
                  </w:r>
                </w:p>
              </w:tc>
              <w:tc>
                <w:tcPr>
                  <w:tcW w:w="405" w:type="pct"/>
                  <w:vMerge w:val="restart"/>
                  <w:shd w:val="clear" w:color="auto" w:fill="auto"/>
                  <w:noWrap w:val="0"/>
                  <w:vAlign w:val="center"/>
                </w:tcPr>
                <w:p w14:paraId="65F05BCE">
                  <w:pPr>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46</w:t>
                  </w:r>
                </w:p>
              </w:tc>
              <w:tc>
                <w:tcPr>
                  <w:tcW w:w="458" w:type="pct"/>
                  <w:vMerge w:val="restart"/>
                  <w:shd w:val="clear" w:color="auto" w:fill="auto"/>
                  <w:noWrap w:val="0"/>
                  <w:vAlign w:val="center"/>
                </w:tcPr>
                <w:p w14:paraId="7EA8A444">
                  <w:pPr>
                    <w:snapToGrid w:val="0"/>
                    <w:jc w:val="center"/>
                    <w:rPr>
                      <w:rFonts w:ascii="Times New Roman" w:hAnsi="Times New Roman" w:eastAsia="宋体" w:cs="Times New Roman"/>
                      <w:color w:val="auto"/>
                      <w:kern w:val="2"/>
                      <w:sz w:val="21"/>
                      <w:szCs w:val="24"/>
                      <w:lang w:val="en-US" w:eastAsia="zh-CN" w:bidi="ar-SA"/>
                    </w:rPr>
                  </w:pPr>
                  <w:r>
                    <w:rPr>
                      <w:color w:val="auto"/>
                    </w:rPr>
                    <w:t>1m</w:t>
                  </w:r>
                </w:p>
              </w:tc>
            </w:tr>
            <w:tr w14:paraId="49E4E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78" w:type="pct"/>
                  <w:vMerge w:val="continue"/>
                  <w:noWrap w:val="0"/>
                  <w:vAlign w:val="center"/>
                </w:tcPr>
                <w:p w14:paraId="4FD24ACB">
                  <w:pPr>
                    <w:snapToGrid w:val="0"/>
                    <w:jc w:val="center"/>
                    <w:rPr>
                      <w:color w:val="auto"/>
                    </w:rPr>
                  </w:pPr>
                </w:p>
              </w:tc>
              <w:tc>
                <w:tcPr>
                  <w:tcW w:w="656" w:type="pct"/>
                  <w:shd w:val="clear" w:color="auto" w:fill="auto"/>
                  <w:noWrap w:val="0"/>
                  <w:vAlign w:val="center"/>
                </w:tcPr>
                <w:p w14:paraId="7BA15D70">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半自动捆扎机</w:t>
                  </w:r>
                </w:p>
              </w:tc>
              <w:tc>
                <w:tcPr>
                  <w:tcW w:w="261" w:type="pct"/>
                  <w:noWrap w:val="0"/>
                  <w:vAlign w:val="center"/>
                </w:tcPr>
                <w:p w14:paraId="7EE5081B">
                  <w:pPr>
                    <w:adjustRightInd w:val="0"/>
                    <w:snapToGrid w:val="0"/>
                    <w:jc w:val="center"/>
                    <w:rPr>
                      <w:bCs/>
                      <w:snapToGrid w:val="0"/>
                      <w:color w:val="auto"/>
                      <w:kern w:val="0"/>
                      <w:szCs w:val="28"/>
                    </w:rPr>
                  </w:pPr>
                  <w:r>
                    <w:rPr>
                      <w:rFonts w:hint="eastAsia"/>
                      <w:color w:val="auto"/>
                    </w:rPr>
                    <w:t>/</w:t>
                  </w:r>
                </w:p>
              </w:tc>
              <w:tc>
                <w:tcPr>
                  <w:tcW w:w="347" w:type="pct"/>
                  <w:vMerge w:val="continue"/>
                  <w:noWrap w:val="0"/>
                  <w:vAlign w:val="center"/>
                </w:tcPr>
                <w:p w14:paraId="326CD2E9">
                  <w:pPr>
                    <w:snapToGrid w:val="0"/>
                    <w:jc w:val="center"/>
                    <w:rPr>
                      <w:color w:val="auto"/>
                    </w:rPr>
                  </w:pPr>
                </w:p>
              </w:tc>
              <w:tc>
                <w:tcPr>
                  <w:tcW w:w="453" w:type="pct"/>
                  <w:noWrap w:val="0"/>
                  <w:vAlign w:val="center"/>
                </w:tcPr>
                <w:p w14:paraId="77CA69B6">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79</w:t>
                  </w:r>
                </w:p>
              </w:tc>
              <w:tc>
                <w:tcPr>
                  <w:tcW w:w="270" w:type="pct"/>
                  <w:noWrap w:val="0"/>
                  <w:vAlign w:val="center"/>
                </w:tcPr>
                <w:p w14:paraId="2AF0C783">
                  <w:pPr>
                    <w:snapToGrid w:val="0"/>
                    <w:jc w:val="center"/>
                    <w:rPr>
                      <w:rFonts w:hint="eastAsia"/>
                      <w:color w:val="auto"/>
                    </w:rPr>
                  </w:pPr>
                  <w:r>
                    <w:rPr>
                      <w:rFonts w:hint="eastAsia"/>
                      <w:color w:val="auto"/>
                    </w:rPr>
                    <w:t>25</w:t>
                  </w:r>
                </w:p>
              </w:tc>
              <w:tc>
                <w:tcPr>
                  <w:tcW w:w="298" w:type="pct"/>
                  <w:noWrap w:val="0"/>
                  <w:vAlign w:val="center"/>
                </w:tcPr>
                <w:p w14:paraId="222A6473">
                  <w:pPr>
                    <w:snapToGrid w:val="0"/>
                    <w:jc w:val="center"/>
                    <w:rPr>
                      <w:rFonts w:hint="eastAsia"/>
                      <w:color w:val="auto"/>
                    </w:rPr>
                  </w:pPr>
                  <w:r>
                    <w:rPr>
                      <w:rFonts w:hint="eastAsia"/>
                      <w:color w:val="auto"/>
                    </w:rPr>
                    <w:t>50</w:t>
                  </w:r>
                </w:p>
              </w:tc>
              <w:tc>
                <w:tcPr>
                  <w:tcW w:w="248" w:type="pct"/>
                  <w:noWrap w:val="0"/>
                  <w:vAlign w:val="center"/>
                </w:tcPr>
                <w:p w14:paraId="72C4DF31">
                  <w:pPr>
                    <w:snapToGrid w:val="0"/>
                    <w:jc w:val="center"/>
                    <w:rPr>
                      <w:color w:val="auto"/>
                    </w:rPr>
                  </w:pPr>
                  <w:r>
                    <w:rPr>
                      <w:rFonts w:hint="eastAsia"/>
                      <w:color w:val="auto"/>
                    </w:rPr>
                    <w:t>2</w:t>
                  </w:r>
                </w:p>
              </w:tc>
              <w:tc>
                <w:tcPr>
                  <w:tcW w:w="337" w:type="pct"/>
                  <w:noWrap w:val="0"/>
                  <w:vAlign w:val="center"/>
                </w:tcPr>
                <w:p w14:paraId="0CB276BE">
                  <w:pPr>
                    <w:snapToGrid w:val="0"/>
                    <w:jc w:val="center"/>
                    <w:rPr>
                      <w:color w:val="auto"/>
                    </w:rPr>
                  </w:pPr>
                  <w:r>
                    <w:rPr>
                      <w:rFonts w:hint="eastAsia"/>
                      <w:color w:val="auto"/>
                    </w:rPr>
                    <w:t>15</w:t>
                  </w:r>
                </w:p>
              </w:tc>
              <w:tc>
                <w:tcPr>
                  <w:tcW w:w="373" w:type="pct"/>
                  <w:noWrap w:val="0"/>
                  <w:vAlign w:val="center"/>
                </w:tcPr>
                <w:p w14:paraId="69C83F3A">
                  <w:pPr>
                    <w:snapToGrid w:val="0"/>
                    <w:jc w:val="center"/>
                    <w:rPr>
                      <w:color w:val="auto"/>
                    </w:rPr>
                  </w:pPr>
                  <w:r>
                    <w:rPr>
                      <w:rFonts w:hint="eastAsia"/>
                      <w:color w:val="auto"/>
                    </w:rPr>
                    <w:t>51</w:t>
                  </w:r>
                </w:p>
              </w:tc>
              <w:tc>
                <w:tcPr>
                  <w:tcW w:w="239" w:type="pct"/>
                  <w:noWrap w:val="0"/>
                  <w:vAlign w:val="center"/>
                </w:tcPr>
                <w:p w14:paraId="2C1F8D59">
                  <w:pPr>
                    <w:snapToGrid w:val="0"/>
                    <w:jc w:val="center"/>
                    <w:rPr>
                      <w:rFonts w:hint="eastAsia"/>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continue"/>
                  <w:noWrap w:val="0"/>
                  <w:vAlign w:val="center"/>
                </w:tcPr>
                <w:p w14:paraId="3CE25D11">
                  <w:pPr>
                    <w:snapToGrid w:val="0"/>
                    <w:jc w:val="center"/>
                    <w:rPr>
                      <w:color w:val="auto"/>
                    </w:rPr>
                  </w:pPr>
                </w:p>
              </w:tc>
              <w:tc>
                <w:tcPr>
                  <w:tcW w:w="405" w:type="pct"/>
                  <w:vMerge w:val="continue"/>
                  <w:noWrap w:val="0"/>
                  <w:vAlign w:val="center"/>
                </w:tcPr>
                <w:p w14:paraId="03C4428E">
                  <w:pPr>
                    <w:snapToGrid w:val="0"/>
                    <w:jc w:val="center"/>
                    <w:rPr>
                      <w:color w:val="auto"/>
                    </w:rPr>
                  </w:pPr>
                </w:p>
              </w:tc>
              <w:tc>
                <w:tcPr>
                  <w:tcW w:w="458" w:type="pct"/>
                  <w:vMerge w:val="continue"/>
                  <w:noWrap w:val="0"/>
                  <w:vAlign w:val="center"/>
                </w:tcPr>
                <w:p w14:paraId="2F30CD00">
                  <w:pPr>
                    <w:snapToGrid w:val="0"/>
                    <w:jc w:val="center"/>
                    <w:rPr>
                      <w:color w:val="auto"/>
                    </w:rPr>
                  </w:pPr>
                </w:p>
              </w:tc>
            </w:tr>
            <w:tr w14:paraId="01937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78" w:type="pct"/>
                  <w:vMerge w:val="continue"/>
                  <w:noWrap w:val="0"/>
                  <w:vAlign w:val="center"/>
                </w:tcPr>
                <w:p w14:paraId="181888E8">
                  <w:pPr>
                    <w:snapToGrid w:val="0"/>
                    <w:jc w:val="center"/>
                    <w:rPr>
                      <w:color w:val="auto"/>
                    </w:rPr>
                  </w:pPr>
                </w:p>
              </w:tc>
              <w:tc>
                <w:tcPr>
                  <w:tcW w:w="656" w:type="pct"/>
                  <w:shd w:val="clear" w:color="auto" w:fill="auto"/>
                  <w:noWrap w:val="0"/>
                  <w:vAlign w:val="center"/>
                </w:tcPr>
                <w:p w14:paraId="477BBB5C">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真空包装机</w:t>
                  </w:r>
                </w:p>
              </w:tc>
              <w:tc>
                <w:tcPr>
                  <w:tcW w:w="261" w:type="pct"/>
                  <w:noWrap w:val="0"/>
                  <w:vAlign w:val="center"/>
                </w:tcPr>
                <w:p w14:paraId="4F03D6B1">
                  <w:pPr>
                    <w:adjustRightInd w:val="0"/>
                    <w:snapToGrid w:val="0"/>
                    <w:jc w:val="center"/>
                    <w:rPr>
                      <w:bCs/>
                      <w:snapToGrid w:val="0"/>
                      <w:color w:val="auto"/>
                      <w:kern w:val="0"/>
                      <w:szCs w:val="28"/>
                    </w:rPr>
                  </w:pPr>
                  <w:r>
                    <w:rPr>
                      <w:rFonts w:hint="eastAsia"/>
                      <w:color w:val="auto"/>
                    </w:rPr>
                    <w:t>/</w:t>
                  </w:r>
                </w:p>
              </w:tc>
              <w:tc>
                <w:tcPr>
                  <w:tcW w:w="347" w:type="pct"/>
                  <w:vMerge w:val="continue"/>
                  <w:noWrap w:val="0"/>
                  <w:vAlign w:val="center"/>
                </w:tcPr>
                <w:p w14:paraId="1851EE3D">
                  <w:pPr>
                    <w:snapToGrid w:val="0"/>
                    <w:jc w:val="center"/>
                    <w:rPr>
                      <w:color w:val="auto"/>
                    </w:rPr>
                  </w:pPr>
                </w:p>
              </w:tc>
              <w:tc>
                <w:tcPr>
                  <w:tcW w:w="453" w:type="pct"/>
                  <w:noWrap w:val="0"/>
                  <w:vAlign w:val="center"/>
                </w:tcPr>
                <w:p w14:paraId="369E80D6">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73</w:t>
                  </w:r>
                </w:p>
              </w:tc>
              <w:tc>
                <w:tcPr>
                  <w:tcW w:w="270" w:type="pct"/>
                  <w:noWrap w:val="0"/>
                  <w:vAlign w:val="center"/>
                </w:tcPr>
                <w:p w14:paraId="677EE668">
                  <w:pPr>
                    <w:snapToGrid w:val="0"/>
                    <w:jc w:val="center"/>
                    <w:rPr>
                      <w:rFonts w:hint="eastAsia"/>
                      <w:color w:val="auto"/>
                    </w:rPr>
                  </w:pPr>
                  <w:r>
                    <w:rPr>
                      <w:rFonts w:hint="eastAsia"/>
                      <w:color w:val="auto"/>
                    </w:rPr>
                    <w:t>35</w:t>
                  </w:r>
                </w:p>
              </w:tc>
              <w:tc>
                <w:tcPr>
                  <w:tcW w:w="298" w:type="pct"/>
                  <w:noWrap w:val="0"/>
                  <w:vAlign w:val="center"/>
                </w:tcPr>
                <w:p w14:paraId="6D058797">
                  <w:pPr>
                    <w:snapToGrid w:val="0"/>
                    <w:jc w:val="center"/>
                    <w:rPr>
                      <w:rFonts w:hint="eastAsia"/>
                      <w:color w:val="auto"/>
                    </w:rPr>
                  </w:pPr>
                  <w:r>
                    <w:rPr>
                      <w:rFonts w:hint="eastAsia"/>
                      <w:color w:val="auto"/>
                    </w:rPr>
                    <w:t>50</w:t>
                  </w:r>
                </w:p>
              </w:tc>
              <w:tc>
                <w:tcPr>
                  <w:tcW w:w="248" w:type="pct"/>
                  <w:noWrap w:val="0"/>
                  <w:vAlign w:val="center"/>
                </w:tcPr>
                <w:p w14:paraId="1E65A711">
                  <w:pPr>
                    <w:snapToGrid w:val="0"/>
                    <w:jc w:val="center"/>
                    <w:rPr>
                      <w:color w:val="auto"/>
                    </w:rPr>
                  </w:pPr>
                  <w:r>
                    <w:rPr>
                      <w:rFonts w:hint="eastAsia"/>
                      <w:color w:val="auto"/>
                    </w:rPr>
                    <w:t>2</w:t>
                  </w:r>
                </w:p>
              </w:tc>
              <w:tc>
                <w:tcPr>
                  <w:tcW w:w="337" w:type="pct"/>
                  <w:noWrap w:val="0"/>
                  <w:vAlign w:val="center"/>
                </w:tcPr>
                <w:p w14:paraId="50B929DD">
                  <w:pPr>
                    <w:snapToGrid w:val="0"/>
                    <w:jc w:val="center"/>
                    <w:rPr>
                      <w:color w:val="auto"/>
                    </w:rPr>
                  </w:pPr>
                  <w:r>
                    <w:rPr>
                      <w:rFonts w:hint="eastAsia"/>
                      <w:color w:val="auto"/>
                    </w:rPr>
                    <w:t>5</w:t>
                  </w:r>
                </w:p>
              </w:tc>
              <w:tc>
                <w:tcPr>
                  <w:tcW w:w="373" w:type="pct"/>
                  <w:noWrap w:val="0"/>
                  <w:vAlign w:val="center"/>
                </w:tcPr>
                <w:p w14:paraId="610FACDF">
                  <w:pPr>
                    <w:snapToGrid w:val="0"/>
                    <w:jc w:val="center"/>
                    <w:rPr>
                      <w:color w:val="auto"/>
                    </w:rPr>
                  </w:pPr>
                  <w:r>
                    <w:rPr>
                      <w:rFonts w:hint="eastAsia"/>
                      <w:color w:val="auto"/>
                    </w:rPr>
                    <w:t>61</w:t>
                  </w:r>
                </w:p>
              </w:tc>
              <w:tc>
                <w:tcPr>
                  <w:tcW w:w="239" w:type="pct"/>
                  <w:noWrap w:val="0"/>
                  <w:vAlign w:val="center"/>
                </w:tcPr>
                <w:p w14:paraId="1E4F7959">
                  <w:pPr>
                    <w:snapToGrid w:val="0"/>
                    <w:jc w:val="center"/>
                    <w:rPr>
                      <w:rFonts w:hint="eastAsia"/>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continue"/>
                  <w:noWrap w:val="0"/>
                  <w:vAlign w:val="center"/>
                </w:tcPr>
                <w:p w14:paraId="2B893181">
                  <w:pPr>
                    <w:snapToGrid w:val="0"/>
                    <w:jc w:val="center"/>
                    <w:rPr>
                      <w:color w:val="auto"/>
                    </w:rPr>
                  </w:pPr>
                </w:p>
              </w:tc>
              <w:tc>
                <w:tcPr>
                  <w:tcW w:w="405" w:type="pct"/>
                  <w:vMerge w:val="continue"/>
                  <w:noWrap w:val="0"/>
                  <w:vAlign w:val="center"/>
                </w:tcPr>
                <w:p w14:paraId="62CED85A">
                  <w:pPr>
                    <w:snapToGrid w:val="0"/>
                    <w:jc w:val="center"/>
                    <w:rPr>
                      <w:color w:val="auto"/>
                    </w:rPr>
                  </w:pPr>
                </w:p>
              </w:tc>
              <w:tc>
                <w:tcPr>
                  <w:tcW w:w="458" w:type="pct"/>
                  <w:vMerge w:val="continue"/>
                  <w:noWrap w:val="0"/>
                  <w:vAlign w:val="center"/>
                </w:tcPr>
                <w:p w14:paraId="6AF3BA20">
                  <w:pPr>
                    <w:snapToGrid w:val="0"/>
                    <w:jc w:val="center"/>
                    <w:rPr>
                      <w:color w:val="auto"/>
                    </w:rPr>
                  </w:pPr>
                </w:p>
              </w:tc>
            </w:tr>
            <w:tr w14:paraId="2B968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78" w:type="pct"/>
                  <w:vMerge w:val="continue"/>
                  <w:noWrap w:val="0"/>
                  <w:vAlign w:val="center"/>
                </w:tcPr>
                <w:p w14:paraId="7BB4AAB3">
                  <w:pPr>
                    <w:snapToGrid w:val="0"/>
                    <w:jc w:val="center"/>
                    <w:rPr>
                      <w:color w:val="auto"/>
                    </w:rPr>
                  </w:pPr>
                </w:p>
              </w:tc>
              <w:tc>
                <w:tcPr>
                  <w:tcW w:w="656" w:type="pct"/>
                  <w:shd w:val="clear" w:color="auto" w:fill="auto"/>
                  <w:noWrap w:val="0"/>
                  <w:vAlign w:val="center"/>
                </w:tcPr>
                <w:p w14:paraId="6B7602F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空气压缩机</w:t>
                  </w:r>
                </w:p>
              </w:tc>
              <w:tc>
                <w:tcPr>
                  <w:tcW w:w="261" w:type="pct"/>
                  <w:noWrap w:val="0"/>
                  <w:vAlign w:val="center"/>
                </w:tcPr>
                <w:p w14:paraId="29FF332F">
                  <w:pPr>
                    <w:adjustRightInd w:val="0"/>
                    <w:snapToGrid w:val="0"/>
                    <w:jc w:val="center"/>
                    <w:rPr>
                      <w:bCs/>
                      <w:snapToGrid w:val="0"/>
                      <w:color w:val="auto"/>
                      <w:kern w:val="0"/>
                      <w:szCs w:val="28"/>
                    </w:rPr>
                  </w:pPr>
                  <w:r>
                    <w:rPr>
                      <w:rFonts w:hint="eastAsia"/>
                      <w:color w:val="auto"/>
                    </w:rPr>
                    <w:t>/</w:t>
                  </w:r>
                </w:p>
              </w:tc>
              <w:tc>
                <w:tcPr>
                  <w:tcW w:w="347" w:type="pct"/>
                  <w:vMerge w:val="continue"/>
                  <w:noWrap w:val="0"/>
                  <w:vAlign w:val="center"/>
                </w:tcPr>
                <w:p w14:paraId="4E4B2355">
                  <w:pPr>
                    <w:snapToGrid w:val="0"/>
                    <w:jc w:val="center"/>
                    <w:rPr>
                      <w:color w:val="auto"/>
                    </w:rPr>
                  </w:pPr>
                </w:p>
              </w:tc>
              <w:tc>
                <w:tcPr>
                  <w:tcW w:w="453" w:type="pct"/>
                  <w:noWrap w:val="0"/>
                  <w:vAlign w:val="center"/>
                </w:tcPr>
                <w:p w14:paraId="19026650">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71</w:t>
                  </w:r>
                </w:p>
              </w:tc>
              <w:tc>
                <w:tcPr>
                  <w:tcW w:w="270" w:type="pct"/>
                  <w:noWrap w:val="0"/>
                  <w:vAlign w:val="center"/>
                </w:tcPr>
                <w:p w14:paraId="3F375F04">
                  <w:pPr>
                    <w:snapToGrid w:val="0"/>
                    <w:jc w:val="center"/>
                    <w:rPr>
                      <w:rFonts w:hint="eastAsia"/>
                      <w:color w:val="auto"/>
                    </w:rPr>
                  </w:pPr>
                  <w:r>
                    <w:rPr>
                      <w:rFonts w:hint="eastAsia"/>
                      <w:color w:val="auto"/>
                    </w:rPr>
                    <w:t>5</w:t>
                  </w:r>
                </w:p>
              </w:tc>
              <w:tc>
                <w:tcPr>
                  <w:tcW w:w="298" w:type="pct"/>
                  <w:noWrap w:val="0"/>
                  <w:vAlign w:val="center"/>
                </w:tcPr>
                <w:p w14:paraId="0B50EA34">
                  <w:pPr>
                    <w:snapToGrid w:val="0"/>
                    <w:jc w:val="center"/>
                    <w:rPr>
                      <w:color w:val="auto"/>
                    </w:rPr>
                  </w:pPr>
                  <w:r>
                    <w:rPr>
                      <w:rFonts w:hint="eastAsia"/>
                      <w:color w:val="auto"/>
                    </w:rPr>
                    <w:t>40</w:t>
                  </w:r>
                </w:p>
              </w:tc>
              <w:tc>
                <w:tcPr>
                  <w:tcW w:w="248" w:type="pct"/>
                  <w:noWrap w:val="0"/>
                  <w:vAlign w:val="center"/>
                </w:tcPr>
                <w:p w14:paraId="1186F0C7">
                  <w:pPr>
                    <w:snapToGrid w:val="0"/>
                    <w:jc w:val="center"/>
                    <w:rPr>
                      <w:color w:val="auto"/>
                    </w:rPr>
                  </w:pPr>
                  <w:r>
                    <w:rPr>
                      <w:rFonts w:hint="eastAsia"/>
                      <w:color w:val="auto"/>
                    </w:rPr>
                    <w:t>3</w:t>
                  </w:r>
                </w:p>
              </w:tc>
              <w:tc>
                <w:tcPr>
                  <w:tcW w:w="337" w:type="pct"/>
                  <w:noWrap w:val="0"/>
                  <w:vAlign w:val="center"/>
                </w:tcPr>
                <w:p w14:paraId="7C8F6F6F">
                  <w:pPr>
                    <w:snapToGrid w:val="0"/>
                    <w:jc w:val="center"/>
                    <w:rPr>
                      <w:color w:val="auto"/>
                    </w:rPr>
                  </w:pPr>
                  <w:r>
                    <w:rPr>
                      <w:rFonts w:hint="eastAsia"/>
                      <w:color w:val="auto"/>
                    </w:rPr>
                    <w:t>5</w:t>
                  </w:r>
                </w:p>
              </w:tc>
              <w:tc>
                <w:tcPr>
                  <w:tcW w:w="373" w:type="pct"/>
                  <w:noWrap w:val="0"/>
                  <w:vAlign w:val="center"/>
                </w:tcPr>
                <w:p w14:paraId="09FECD14">
                  <w:pPr>
                    <w:snapToGrid w:val="0"/>
                    <w:jc w:val="center"/>
                    <w:rPr>
                      <w:color w:val="auto"/>
                    </w:rPr>
                  </w:pPr>
                  <w:r>
                    <w:rPr>
                      <w:rFonts w:hint="eastAsia"/>
                      <w:color w:val="auto"/>
                    </w:rPr>
                    <w:t>61</w:t>
                  </w:r>
                </w:p>
              </w:tc>
              <w:tc>
                <w:tcPr>
                  <w:tcW w:w="239" w:type="pct"/>
                  <w:noWrap w:val="0"/>
                  <w:vAlign w:val="center"/>
                </w:tcPr>
                <w:p w14:paraId="53B6EB7B">
                  <w:pPr>
                    <w:snapToGrid w:val="0"/>
                    <w:jc w:val="center"/>
                    <w:rPr>
                      <w:rFonts w:hint="eastAsia"/>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continue"/>
                  <w:noWrap w:val="0"/>
                  <w:vAlign w:val="center"/>
                </w:tcPr>
                <w:p w14:paraId="40D5D46D">
                  <w:pPr>
                    <w:snapToGrid w:val="0"/>
                    <w:jc w:val="center"/>
                    <w:rPr>
                      <w:color w:val="auto"/>
                    </w:rPr>
                  </w:pPr>
                </w:p>
              </w:tc>
              <w:tc>
                <w:tcPr>
                  <w:tcW w:w="405" w:type="pct"/>
                  <w:vMerge w:val="continue"/>
                  <w:noWrap w:val="0"/>
                  <w:vAlign w:val="center"/>
                </w:tcPr>
                <w:p w14:paraId="066F250C">
                  <w:pPr>
                    <w:snapToGrid w:val="0"/>
                    <w:jc w:val="center"/>
                    <w:rPr>
                      <w:color w:val="auto"/>
                    </w:rPr>
                  </w:pPr>
                </w:p>
              </w:tc>
              <w:tc>
                <w:tcPr>
                  <w:tcW w:w="458" w:type="pct"/>
                  <w:vMerge w:val="continue"/>
                  <w:noWrap w:val="0"/>
                  <w:vAlign w:val="center"/>
                </w:tcPr>
                <w:p w14:paraId="2C95E44F">
                  <w:pPr>
                    <w:snapToGrid w:val="0"/>
                    <w:jc w:val="center"/>
                    <w:rPr>
                      <w:color w:val="auto"/>
                    </w:rPr>
                  </w:pPr>
                </w:p>
              </w:tc>
            </w:tr>
            <w:tr w14:paraId="109FA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78" w:type="pct"/>
                  <w:vMerge w:val="continue"/>
                  <w:noWrap w:val="0"/>
                  <w:vAlign w:val="center"/>
                </w:tcPr>
                <w:p w14:paraId="2E216DE5">
                  <w:pPr>
                    <w:snapToGrid w:val="0"/>
                    <w:jc w:val="center"/>
                    <w:rPr>
                      <w:color w:val="auto"/>
                    </w:rPr>
                  </w:pPr>
                </w:p>
              </w:tc>
              <w:tc>
                <w:tcPr>
                  <w:tcW w:w="656" w:type="pct"/>
                  <w:shd w:val="clear" w:color="auto" w:fill="auto"/>
                  <w:noWrap w:val="0"/>
                  <w:vAlign w:val="center"/>
                </w:tcPr>
                <w:p w14:paraId="4F7A3432">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工业吸尘器</w:t>
                  </w:r>
                </w:p>
              </w:tc>
              <w:tc>
                <w:tcPr>
                  <w:tcW w:w="261" w:type="pct"/>
                  <w:noWrap w:val="0"/>
                  <w:vAlign w:val="center"/>
                </w:tcPr>
                <w:p w14:paraId="7A50CFF5">
                  <w:pPr>
                    <w:adjustRightInd w:val="0"/>
                    <w:snapToGrid w:val="0"/>
                    <w:jc w:val="center"/>
                    <w:rPr>
                      <w:bCs/>
                      <w:snapToGrid w:val="0"/>
                      <w:color w:val="auto"/>
                      <w:kern w:val="0"/>
                      <w:szCs w:val="28"/>
                    </w:rPr>
                  </w:pPr>
                  <w:r>
                    <w:rPr>
                      <w:rFonts w:hint="eastAsia"/>
                      <w:color w:val="auto"/>
                    </w:rPr>
                    <w:t>/</w:t>
                  </w:r>
                </w:p>
              </w:tc>
              <w:tc>
                <w:tcPr>
                  <w:tcW w:w="347" w:type="pct"/>
                  <w:vMerge w:val="continue"/>
                  <w:noWrap w:val="0"/>
                  <w:vAlign w:val="center"/>
                </w:tcPr>
                <w:p w14:paraId="53A3C8BE">
                  <w:pPr>
                    <w:snapToGrid w:val="0"/>
                    <w:jc w:val="center"/>
                    <w:rPr>
                      <w:color w:val="auto"/>
                    </w:rPr>
                  </w:pPr>
                </w:p>
              </w:tc>
              <w:tc>
                <w:tcPr>
                  <w:tcW w:w="453" w:type="pct"/>
                  <w:noWrap w:val="0"/>
                  <w:vAlign w:val="center"/>
                </w:tcPr>
                <w:p w14:paraId="56A0B6FC">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76</w:t>
                  </w:r>
                </w:p>
              </w:tc>
              <w:tc>
                <w:tcPr>
                  <w:tcW w:w="270" w:type="pct"/>
                  <w:noWrap w:val="0"/>
                  <w:vAlign w:val="center"/>
                </w:tcPr>
                <w:p w14:paraId="37CC1966">
                  <w:pPr>
                    <w:snapToGrid w:val="0"/>
                    <w:jc w:val="center"/>
                    <w:rPr>
                      <w:rFonts w:hint="eastAsia"/>
                      <w:color w:val="auto"/>
                    </w:rPr>
                  </w:pPr>
                  <w:r>
                    <w:rPr>
                      <w:rFonts w:hint="eastAsia"/>
                      <w:color w:val="auto"/>
                    </w:rPr>
                    <w:t>15</w:t>
                  </w:r>
                </w:p>
              </w:tc>
              <w:tc>
                <w:tcPr>
                  <w:tcW w:w="298" w:type="pct"/>
                  <w:noWrap w:val="0"/>
                  <w:vAlign w:val="center"/>
                </w:tcPr>
                <w:p w14:paraId="5D3189FA">
                  <w:pPr>
                    <w:snapToGrid w:val="0"/>
                    <w:jc w:val="center"/>
                    <w:rPr>
                      <w:rFonts w:hint="eastAsia"/>
                      <w:color w:val="auto"/>
                    </w:rPr>
                  </w:pPr>
                  <w:r>
                    <w:rPr>
                      <w:rFonts w:hint="eastAsia"/>
                      <w:color w:val="auto"/>
                    </w:rPr>
                    <w:t>40</w:t>
                  </w:r>
                </w:p>
              </w:tc>
              <w:tc>
                <w:tcPr>
                  <w:tcW w:w="248" w:type="pct"/>
                  <w:noWrap w:val="0"/>
                  <w:vAlign w:val="center"/>
                </w:tcPr>
                <w:p w14:paraId="68FFA56F">
                  <w:pPr>
                    <w:snapToGrid w:val="0"/>
                    <w:jc w:val="center"/>
                    <w:rPr>
                      <w:color w:val="auto"/>
                    </w:rPr>
                  </w:pPr>
                  <w:r>
                    <w:rPr>
                      <w:rFonts w:hint="eastAsia"/>
                      <w:color w:val="auto"/>
                    </w:rPr>
                    <w:t>3</w:t>
                  </w:r>
                </w:p>
              </w:tc>
              <w:tc>
                <w:tcPr>
                  <w:tcW w:w="337" w:type="pct"/>
                  <w:noWrap w:val="0"/>
                  <w:vAlign w:val="center"/>
                </w:tcPr>
                <w:p w14:paraId="39E89792">
                  <w:pPr>
                    <w:snapToGrid w:val="0"/>
                    <w:jc w:val="center"/>
                    <w:rPr>
                      <w:color w:val="auto"/>
                    </w:rPr>
                  </w:pPr>
                  <w:r>
                    <w:rPr>
                      <w:rFonts w:hint="eastAsia"/>
                      <w:color w:val="auto"/>
                    </w:rPr>
                    <w:t>15</w:t>
                  </w:r>
                </w:p>
              </w:tc>
              <w:tc>
                <w:tcPr>
                  <w:tcW w:w="373" w:type="pct"/>
                  <w:noWrap w:val="0"/>
                  <w:vAlign w:val="center"/>
                </w:tcPr>
                <w:p w14:paraId="498BDDC7">
                  <w:pPr>
                    <w:snapToGrid w:val="0"/>
                    <w:jc w:val="center"/>
                    <w:rPr>
                      <w:color w:val="auto"/>
                    </w:rPr>
                  </w:pPr>
                  <w:r>
                    <w:rPr>
                      <w:rFonts w:hint="eastAsia"/>
                      <w:color w:val="auto"/>
                    </w:rPr>
                    <w:t>51</w:t>
                  </w:r>
                </w:p>
              </w:tc>
              <w:tc>
                <w:tcPr>
                  <w:tcW w:w="239" w:type="pct"/>
                  <w:noWrap w:val="0"/>
                  <w:vAlign w:val="center"/>
                </w:tcPr>
                <w:p w14:paraId="66498FDB">
                  <w:pPr>
                    <w:snapToGrid w:val="0"/>
                    <w:jc w:val="center"/>
                    <w:rPr>
                      <w:rFonts w:hint="eastAsia"/>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continue"/>
                  <w:noWrap w:val="0"/>
                  <w:vAlign w:val="center"/>
                </w:tcPr>
                <w:p w14:paraId="48D86DBA">
                  <w:pPr>
                    <w:snapToGrid w:val="0"/>
                    <w:jc w:val="center"/>
                    <w:rPr>
                      <w:color w:val="auto"/>
                    </w:rPr>
                  </w:pPr>
                </w:p>
              </w:tc>
              <w:tc>
                <w:tcPr>
                  <w:tcW w:w="405" w:type="pct"/>
                  <w:vMerge w:val="continue"/>
                  <w:noWrap w:val="0"/>
                  <w:vAlign w:val="center"/>
                </w:tcPr>
                <w:p w14:paraId="1DBBC8A2">
                  <w:pPr>
                    <w:snapToGrid w:val="0"/>
                    <w:jc w:val="center"/>
                    <w:rPr>
                      <w:color w:val="auto"/>
                    </w:rPr>
                  </w:pPr>
                </w:p>
              </w:tc>
              <w:tc>
                <w:tcPr>
                  <w:tcW w:w="458" w:type="pct"/>
                  <w:vMerge w:val="continue"/>
                  <w:noWrap w:val="0"/>
                  <w:vAlign w:val="center"/>
                </w:tcPr>
                <w:p w14:paraId="7512E9F7">
                  <w:pPr>
                    <w:snapToGrid w:val="0"/>
                    <w:jc w:val="center"/>
                    <w:rPr>
                      <w:color w:val="auto"/>
                    </w:rPr>
                  </w:pPr>
                </w:p>
              </w:tc>
            </w:tr>
            <w:tr w14:paraId="54CCD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78" w:type="pct"/>
                  <w:vMerge w:val="restart"/>
                  <w:noWrap w:val="0"/>
                  <w:vAlign w:val="center"/>
                </w:tcPr>
                <w:p w14:paraId="0B13182D">
                  <w:pPr>
                    <w:snapToGrid w:val="0"/>
                    <w:jc w:val="center"/>
                    <w:rPr>
                      <w:color w:val="auto"/>
                    </w:rPr>
                  </w:pPr>
                  <w:r>
                    <w:rPr>
                      <w:rFonts w:hint="eastAsia"/>
                      <w:color w:val="auto"/>
                      <w:lang w:val="en-US" w:eastAsia="zh-CN"/>
                    </w:rPr>
                    <w:t>中药材分拣包装晾晒车间建设项目</w:t>
                  </w:r>
                </w:p>
              </w:tc>
              <w:tc>
                <w:tcPr>
                  <w:tcW w:w="656" w:type="pct"/>
                  <w:shd w:val="clear" w:color="auto" w:fill="auto"/>
                  <w:noWrap w:val="0"/>
                  <w:vAlign w:val="center"/>
                </w:tcPr>
                <w:p w14:paraId="3F2343D9">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智能分拣系统</w:t>
                  </w:r>
                </w:p>
              </w:tc>
              <w:tc>
                <w:tcPr>
                  <w:tcW w:w="261" w:type="pct"/>
                  <w:noWrap w:val="0"/>
                  <w:vAlign w:val="center"/>
                </w:tcPr>
                <w:p w14:paraId="55A8C255">
                  <w:pPr>
                    <w:adjustRightInd w:val="0"/>
                    <w:snapToGrid w:val="0"/>
                    <w:jc w:val="center"/>
                    <w:rPr>
                      <w:bCs/>
                      <w:snapToGrid w:val="0"/>
                      <w:color w:val="auto"/>
                      <w:kern w:val="0"/>
                      <w:szCs w:val="28"/>
                    </w:rPr>
                  </w:pPr>
                  <w:r>
                    <w:rPr>
                      <w:rFonts w:hint="eastAsia"/>
                      <w:color w:val="auto"/>
                    </w:rPr>
                    <w:t>/</w:t>
                  </w:r>
                </w:p>
              </w:tc>
              <w:tc>
                <w:tcPr>
                  <w:tcW w:w="347" w:type="pct"/>
                  <w:vMerge w:val="restart"/>
                  <w:noWrap w:val="0"/>
                  <w:vAlign w:val="center"/>
                </w:tcPr>
                <w:p w14:paraId="22215ECF">
                  <w:pPr>
                    <w:snapToGrid w:val="0"/>
                    <w:jc w:val="center"/>
                    <w:rPr>
                      <w:color w:val="auto"/>
                    </w:rPr>
                  </w:pPr>
                  <w:r>
                    <w:rPr>
                      <w:color w:val="auto"/>
                    </w:rPr>
                    <w:t>减振、车间隔声</w:t>
                  </w:r>
                </w:p>
              </w:tc>
              <w:tc>
                <w:tcPr>
                  <w:tcW w:w="453" w:type="pct"/>
                  <w:noWrap w:val="0"/>
                  <w:vAlign w:val="center"/>
                </w:tcPr>
                <w:p w14:paraId="6FFEA191">
                  <w:pPr>
                    <w:snapToGrid w:val="0"/>
                    <w:jc w:val="center"/>
                    <w:rPr>
                      <w:bCs/>
                      <w:snapToGrid w:val="0"/>
                      <w:color w:val="auto"/>
                      <w:kern w:val="0"/>
                      <w:sz w:val="21"/>
                      <w:szCs w:val="21"/>
                      <w:lang w:val="en-US" w:eastAsia="zh-CN" w:bidi="ar-SA"/>
                    </w:rPr>
                  </w:pPr>
                  <w:r>
                    <w:rPr>
                      <w:rFonts w:hint="eastAsia"/>
                      <w:bCs/>
                      <w:snapToGrid w:val="0"/>
                      <w:color w:val="auto"/>
                      <w:kern w:val="0"/>
                    </w:rPr>
                    <w:t>80</w:t>
                  </w:r>
                </w:p>
              </w:tc>
              <w:tc>
                <w:tcPr>
                  <w:tcW w:w="270" w:type="pct"/>
                  <w:noWrap w:val="0"/>
                  <w:vAlign w:val="center"/>
                </w:tcPr>
                <w:p w14:paraId="0939A9E3">
                  <w:pPr>
                    <w:snapToGrid w:val="0"/>
                    <w:jc w:val="center"/>
                    <w:rPr>
                      <w:rFonts w:hint="eastAsia"/>
                      <w:color w:val="auto"/>
                    </w:rPr>
                  </w:pPr>
                  <w:r>
                    <w:rPr>
                      <w:rFonts w:hint="eastAsia"/>
                      <w:color w:val="auto"/>
                    </w:rPr>
                    <w:t>25</w:t>
                  </w:r>
                </w:p>
              </w:tc>
              <w:tc>
                <w:tcPr>
                  <w:tcW w:w="298" w:type="pct"/>
                  <w:noWrap w:val="0"/>
                  <w:vAlign w:val="center"/>
                </w:tcPr>
                <w:p w14:paraId="4B6397A9">
                  <w:pPr>
                    <w:snapToGrid w:val="0"/>
                    <w:jc w:val="center"/>
                    <w:rPr>
                      <w:rFonts w:hint="eastAsia"/>
                      <w:color w:val="auto"/>
                    </w:rPr>
                  </w:pPr>
                  <w:r>
                    <w:rPr>
                      <w:rFonts w:hint="eastAsia"/>
                      <w:color w:val="auto"/>
                    </w:rPr>
                    <w:t>40</w:t>
                  </w:r>
                </w:p>
              </w:tc>
              <w:tc>
                <w:tcPr>
                  <w:tcW w:w="248" w:type="pct"/>
                  <w:noWrap w:val="0"/>
                  <w:vAlign w:val="center"/>
                </w:tcPr>
                <w:p w14:paraId="3CE393D6">
                  <w:pPr>
                    <w:snapToGrid w:val="0"/>
                    <w:jc w:val="center"/>
                    <w:rPr>
                      <w:color w:val="auto"/>
                    </w:rPr>
                  </w:pPr>
                  <w:r>
                    <w:rPr>
                      <w:rFonts w:hint="eastAsia"/>
                      <w:color w:val="auto"/>
                    </w:rPr>
                    <w:t>3</w:t>
                  </w:r>
                </w:p>
              </w:tc>
              <w:tc>
                <w:tcPr>
                  <w:tcW w:w="337" w:type="pct"/>
                  <w:noWrap w:val="0"/>
                  <w:vAlign w:val="center"/>
                </w:tcPr>
                <w:p w14:paraId="17361C51">
                  <w:pPr>
                    <w:snapToGrid w:val="0"/>
                    <w:jc w:val="center"/>
                    <w:rPr>
                      <w:color w:val="auto"/>
                    </w:rPr>
                  </w:pPr>
                  <w:r>
                    <w:rPr>
                      <w:rFonts w:hint="eastAsia"/>
                      <w:color w:val="auto"/>
                    </w:rPr>
                    <w:t>15</w:t>
                  </w:r>
                </w:p>
              </w:tc>
              <w:tc>
                <w:tcPr>
                  <w:tcW w:w="373" w:type="pct"/>
                  <w:noWrap w:val="0"/>
                  <w:vAlign w:val="center"/>
                </w:tcPr>
                <w:p w14:paraId="25338213">
                  <w:pPr>
                    <w:snapToGrid w:val="0"/>
                    <w:jc w:val="center"/>
                    <w:rPr>
                      <w:color w:val="auto"/>
                    </w:rPr>
                  </w:pPr>
                  <w:r>
                    <w:rPr>
                      <w:rFonts w:hint="eastAsia"/>
                      <w:color w:val="auto"/>
                    </w:rPr>
                    <w:t>51</w:t>
                  </w:r>
                </w:p>
              </w:tc>
              <w:tc>
                <w:tcPr>
                  <w:tcW w:w="239" w:type="pct"/>
                  <w:noWrap w:val="0"/>
                  <w:vAlign w:val="center"/>
                </w:tcPr>
                <w:p w14:paraId="4D428803">
                  <w:pPr>
                    <w:snapToGrid w:val="0"/>
                    <w:jc w:val="center"/>
                    <w:rPr>
                      <w:rFonts w:hint="eastAsia"/>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restart"/>
                  <w:shd w:val="clear" w:color="auto" w:fill="auto"/>
                  <w:noWrap w:val="0"/>
                  <w:vAlign w:val="center"/>
                </w:tcPr>
                <w:p w14:paraId="61BE2656">
                  <w:pPr>
                    <w:snapToGrid w:val="0"/>
                    <w:jc w:val="center"/>
                    <w:rPr>
                      <w:rFonts w:ascii="Times New Roman" w:hAnsi="Times New Roman" w:eastAsia="宋体" w:cs="Times New Roman"/>
                      <w:color w:val="auto"/>
                      <w:kern w:val="2"/>
                      <w:sz w:val="21"/>
                      <w:szCs w:val="24"/>
                      <w:lang w:val="en-US" w:eastAsia="zh-CN" w:bidi="ar-SA"/>
                    </w:rPr>
                  </w:pPr>
                  <w:r>
                    <w:rPr>
                      <w:color w:val="auto"/>
                    </w:rPr>
                    <w:t>15</w:t>
                  </w:r>
                </w:p>
              </w:tc>
              <w:tc>
                <w:tcPr>
                  <w:tcW w:w="405" w:type="pct"/>
                  <w:vMerge w:val="restart"/>
                  <w:shd w:val="clear" w:color="auto" w:fill="auto"/>
                  <w:noWrap w:val="0"/>
                  <w:vAlign w:val="center"/>
                </w:tcPr>
                <w:p w14:paraId="3026A555">
                  <w:pPr>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50</w:t>
                  </w:r>
                </w:p>
              </w:tc>
              <w:tc>
                <w:tcPr>
                  <w:tcW w:w="458" w:type="pct"/>
                  <w:vMerge w:val="restart"/>
                  <w:shd w:val="clear" w:color="auto" w:fill="auto"/>
                  <w:noWrap w:val="0"/>
                  <w:vAlign w:val="center"/>
                </w:tcPr>
                <w:p w14:paraId="5DD7FE97">
                  <w:pPr>
                    <w:snapToGrid w:val="0"/>
                    <w:jc w:val="center"/>
                    <w:rPr>
                      <w:rFonts w:ascii="Times New Roman" w:hAnsi="Times New Roman" w:eastAsia="宋体" w:cs="Times New Roman"/>
                      <w:color w:val="auto"/>
                      <w:kern w:val="2"/>
                      <w:sz w:val="21"/>
                      <w:szCs w:val="24"/>
                      <w:lang w:val="en-US" w:eastAsia="zh-CN" w:bidi="ar-SA"/>
                    </w:rPr>
                  </w:pPr>
                  <w:r>
                    <w:rPr>
                      <w:color w:val="auto"/>
                    </w:rPr>
                    <w:t>1m</w:t>
                  </w:r>
                </w:p>
              </w:tc>
            </w:tr>
            <w:tr w14:paraId="19996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78" w:type="pct"/>
                  <w:vMerge w:val="continue"/>
                  <w:noWrap w:val="0"/>
                  <w:vAlign w:val="center"/>
                </w:tcPr>
                <w:p w14:paraId="7DE0254A">
                  <w:pPr>
                    <w:snapToGrid w:val="0"/>
                    <w:jc w:val="center"/>
                    <w:rPr>
                      <w:color w:val="auto"/>
                    </w:rPr>
                  </w:pPr>
                </w:p>
              </w:tc>
              <w:tc>
                <w:tcPr>
                  <w:tcW w:w="656" w:type="pct"/>
                  <w:shd w:val="clear" w:color="auto" w:fill="auto"/>
                  <w:noWrap w:val="0"/>
                  <w:vAlign w:val="center"/>
                </w:tcPr>
                <w:p w14:paraId="44898E49">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自动包装机</w:t>
                  </w:r>
                </w:p>
              </w:tc>
              <w:tc>
                <w:tcPr>
                  <w:tcW w:w="261" w:type="pct"/>
                  <w:noWrap w:val="0"/>
                  <w:vAlign w:val="center"/>
                </w:tcPr>
                <w:p w14:paraId="1A3AE927">
                  <w:pPr>
                    <w:adjustRightInd w:val="0"/>
                    <w:snapToGrid w:val="0"/>
                    <w:jc w:val="center"/>
                    <w:rPr>
                      <w:bCs/>
                      <w:snapToGrid w:val="0"/>
                      <w:color w:val="auto"/>
                      <w:kern w:val="0"/>
                      <w:szCs w:val="28"/>
                    </w:rPr>
                  </w:pPr>
                  <w:r>
                    <w:rPr>
                      <w:rFonts w:hint="eastAsia"/>
                      <w:color w:val="auto"/>
                    </w:rPr>
                    <w:t>/</w:t>
                  </w:r>
                </w:p>
              </w:tc>
              <w:tc>
                <w:tcPr>
                  <w:tcW w:w="347" w:type="pct"/>
                  <w:vMerge w:val="continue"/>
                  <w:noWrap w:val="0"/>
                  <w:vAlign w:val="center"/>
                </w:tcPr>
                <w:p w14:paraId="299A022C">
                  <w:pPr>
                    <w:snapToGrid w:val="0"/>
                    <w:jc w:val="center"/>
                    <w:rPr>
                      <w:color w:val="auto"/>
                    </w:rPr>
                  </w:pPr>
                </w:p>
              </w:tc>
              <w:tc>
                <w:tcPr>
                  <w:tcW w:w="453" w:type="pct"/>
                  <w:noWrap w:val="0"/>
                  <w:vAlign w:val="center"/>
                </w:tcPr>
                <w:p w14:paraId="0B086CCF">
                  <w:pPr>
                    <w:snapToGrid w:val="0"/>
                    <w:jc w:val="center"/>
                    <w:rPr>
                      <w:bCs/>
                      <w:snapToGrid w:val="0"/>
                      <w:color w:val="auto"/>
                      <w:kern w:val="0"/>
                      <w:sz w:val="21"/>
                      <w:szCs w:val="21"/>
                      <w:lang w:val="en-US" w:eastAsia="zh-CN" w:bidi="ar-SA"/>
                    </w:rPr>
                  </w:pPr>
                  <w:r>
                    <w:rPr>
                      <w:rFonts w:hint="eastAsia"/>
                      <w:bCs/>
                      <w:snapToGrid w:val="0"/>
                      <w:color w:val="auto"/>
                      <w:kern w:val="0"/>
                    </w:rPr>
                    <w:t>80</w:t>
                  </w:r>
                </w:p>
              </w:tc>
              <w:tc>
                <w:tcPr>
                  <w:tcW w:w="270" w:type="pct"/>
                  <w:noWrap w:val="0"/>
                  <w:vAlign w:val="center"/>
                </w:tcPr>
                <w:p w14:paraId="18480F11">
                  <w:pPr>
                    <w:snapToGrid w:val="0"/>
                    <w:jc w:val="center"/>
                    <w:rPr>
                      <w:rFonts w:hint="eastAsia"/>
                      <w:color w:val="auto"/>
                    </w:rPr>
                  </w:pPr>
                  <w:r>
                    <w:rPr>
                      <w:rFonts w:hint="eastAsia"/>
                      <w:color w:val="auto"/>
                    </w:rPr>
                    <w:t>35</w:t>
                  </w:r>
                </w:p>
              </w:tc>
              <w:tc>
                <w:tcPr>
                  <w:tcW w:w="298" w:type="pct"/>
                  <w:noWrap w:val="0"/>
                  <w:vAlign w:val="center"/>
                </w:tcPr>
                <w:p w14:paraId="09D83811">
                  <w:pPr>
                    <w:snapToGrid w:val="0"/>
                    <w:jc w:val="center"/>
                    <w:rPr>
                      <w:rFonts w:hint="eastAsia"/>
                      <w:color w:val="auto"/>
                    </w:rPr>
                  </w:pPr>
                  <w:r>
                    <w:rPr>
                      <w:rFonts w:hint="eastAsia"/>
                      <w:color w:val="auto"/>
                    </w:rPr>
                    <w:t>40</w:t>
                  </w:r>
                </w:p>
              </w:tc>
              <w:tc>
                <w:tcPr>
                  <w:tcW w:w="248" w:type="pct"/>
                  <w:noWrap w:val="0"/>
                  <w:vAlign w:val="center"/>
                </w:tcPr>
                <w:p w14:paraId="0BB58F0D">
                  <w:pPr>
                    <w:snapToGrid w:val="0"/>
                    <w:jc w:val="center"/>
                    <w:rPr>
                      <w:color w:val="auto"/>
                    </w:rPr>
                  </w:pPr>
                  <w:r>
                    <w:rPr>
                      <w:rFonts w:hint="eastAsia"/>
                      <w:color w:val="auto"/>
                    </w:rPr>
                    <w:t>3</w:t>
                  </w:r>
                </w:p>
              </w:tc>
              <w:tc>
                <w:tcPr>
                  <w:tcW w:w="337" w:type="pct"/>
                  <w:noWrap w:val="0"/>
                  <w:vAlign w:val="center"/>
                </w:tcPr>
                <w:p w14:paraId="2E601773">
                  <w:pPr>
                    <w:snapToGrid w:val="0"/>
                    <w:jc w:val="center"/>
                    <w:rPr>
                      <w:color w:val="auto"/>
                    </w:rPr>
                  </w:pPr>
                  <w:r>
                    <w:rPr>
                      <w:rFonts w:hint="eastAsia"/>
                      <w:color w:val="auto"/>
                    </w:rPr>
                    <w:t>5</w:t>
                  </w:r>
                </w:p>
              </w:tc>
              <w:tc>
                <w:tcPr>
                  <w:tcW w:w="373" w:type="pct"/>
                  <w:noWrap w:val="0"/>
                  <w:vAlign w:val="center"/>
                </w:tcPr>
                <w:p w14:paraId="0B2D4C53">
                  <w:pPr>
                    <w:snapToGrid w:val="0"/>
                    <w:jc w:val="center"/>
                    <w:rPr>
                      <w:color w:val="auto"/>
                    </w:rPr>
                  </w:pPr>
                  <w:r>
                    <w:rPr>
                      <w:rFonts w:hint="eastAsia"/>
                      <w:color w:val="auto"/>
                    </w:rPr>
                    <w:t>61</w:t>
                  </w:r>
                </w:p>
              </w:tc>
              <w:tc>
                <w:tcPr>
                  <w:tcW w:w="239" w:type="pct"/>
                  <w:noWrap w:val="0"/>
                  <w:vAlign w:val="center"/>
                </w:tcPr>
                <w:p w14:paraId="4A980384">
                  <w:pPr>
                    <w:snapToGrid w:val="0"/>
                    <w:jc w:val="center"/>
                    <w:rPr>
                      <w:rFonts w:hint="eastAsia"/>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continue"/>
                  <w:noWrap w:val="0"/>
                  <w:vAlign w:val="center"/>
                </w:tcPr>
                <w:p w14:paraId="152839D7">
                  <w:pPr>
                    <w:snapToGrid w:val="0"/>
                    <w:jc w:val="center"/>
                    <w:rPr>
                      <w:color w:val="auto"/>
                    </w:rPr>
                  </w:pPr>
                </w:p>
              </w:tc>
              <w:tc>
                <w:tcPr>
                  <w:tcW w:w="405" w:type="pct"/>
                  <w:vMerge w:val="continue"/>
                  <w:noWrap w:val="0"/>
                  <w:vAlign w:val="center"/>
                </w:tcPr>
                <w:p w14:paraId="76BFBFB4">
                  <w:pPr>
                    <w:snapToGrid w:val="0"/>
                    <w:jc w:val="center"/>
                    <w:rPr>
                      <w:color w:val="auto"/>
                    </w:rPr>
                  </w:pPr>
                </w:p>
              </w:tc>
              <w:tc>
                <w:tcPr>
                  <w:tcW w:w="458" w:type="pct"/>
                  <w:vMerge w:val="continue"/>
                  <w:noWrap w:val="0"/>
                  <w:vAlign w:val="center"/>
                </w:tcPr>
                <w:p w14:paraId="6EAE3589">
                  <w:pPr>
                    <w:snapToGrid w:val="0"/>
                    <w:jc w:val="center"/>
                    <w:rPr>
                      <w:color w:val="auto"/>
                    </w:rPr>
                  </w:pPr>
                </w:p>
              </w:tc>
            </w:tr>
            <w:tr w14:paraId="10D29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 w:type="pct"/>
                  <w:vMerge w:val="continue"/>
                  <w:noWrap w:val="0"/>
                  <w:vAlign w:val="center"/>
                </w:tcPr>
                <w:p w14:paraId="701BD314">
                  <w:pPr>
                    <w:snapToGrid w:val="0"/>
                    <w:jc w:val="center"/>
                    <w:rPr>
                      <w:color w:val="auto"/>
                    </w:rPr>
                  </w:pPr>
                </w:p>
              </w:tc>
              <w:tc>
                <w:tcPr>
                  <w:tcW w:w="656" w:type="pct"/>
                  <w:shd w:val="clear" w:color="auto" w:fill="auto"/>
                  <w:noWrap w:val="0"/>
                  <w:vAlign w:val="center"/>
                </w:tcPr>
                <w:p w14:paraId="0088EF2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半自动捆扎机</w:t>
                  </w:r>
                </w:p>
              </w:tc>
              <w:tc>
                <w:tcPr>
                  <w:tcW w:w="261" w:type="pct"/>
                  <w:noWrap w:val="0"/>
                  <w:vAlign w:val="center"/>
                </w:tcPr>
                <w:p w14:paraId="5E8227FD">
                  <w:pPr>
                    <w:adjustRightInd w:val="0"/>
                    <w:snapToGrid w:val="0"/>
                    <w:jc w:val="center"/>
                    <w:rPr>
                      <w:bCs/>
                      <w:snapToGrid w:val="0"/>
                      <w:color w:val="auto"/>
                      <w:kern w:val="0"/>
                      <w:szCs w:val="28"/>
                    </w:rPr>
                  </w:pPr>
                  <w:r>
                    <w:rPr>
                      <w:rFonts w:hint="eastAsia"/>
                      <w:color w:val="auto"/>
                    </w:rPr>
                    <w:t>/</w:t>
                  </w:r>
                </w:p>
              </w:tc>
              <w:tc>
                <w:tcPr>
                  <w:tcW w:w="347" w:type="pct"/>
                  <w:vMerge w:val="continue"/>
                  <w:noWrap w:val="0"/>
                  <w:vAlign w:val="center"/>
                </w:tcPr>
                <w:p w14:paraId="22CE2B8A">
                  <w:pPr>
                    <w:snapToGrid w:val="0"/>
                    <w:jc w:val="center"/>
                    <w:rPr>
                      <w:color w:val="auto"/>
                    </w:rPr>
                  </w:pPr>
                </w:p>
              </w:tc>
              <w:tc>
                <w:tcPr>
                  <w:tcW w:w="453" w:type="pct"/>
                  <w:noWrap w:val="0"/>
                  <w:vAlign w:val="center"/>
                </w:tcPr>
                <w:p w14:paraId="2E50E52B">
                  <w:pPr>
                    <w:snapToGrid w:val="0"/>
                    <w:jc w:val="center"/>
                    <w:rPr>
                      <w:bCs/>
                      <w:snapToGrid w:val="0"/>
                      <w:color w:val="auto"/>
                      <w:kern w:val="0"/>
                      <w:sz w:val="21"/>
                      <w:szCs w:val="21"/>
                      <w:lang w:val="en-US" w:eastAsia="zh-CN" w:bidi="ar-SA"/>
                    </w:rPr>
                  </w:pPr>
                  <w:r>
                    <w:rPr>
                      <w:rFonts w:hint="eastAsia"/>
                      <w:bCs/>
                      <w:snapToGrid w:val="0"/>
                      <w:color w:val="auto"/>
                      <w:kern w:val="0"/>
                    </w:rPr>
                    <w:t>85</w:t>
                  </w:r>
                </w:p>
              </w:tc>
              <w:tc>
                <w:tcPr>
                  <w:tcW w:w="270" w:type="pct"/>
                  <w:noWrap w:val="0"/>
                  <w:vAlign w:val="center"/>
                </w:tcPr>
                <w:p w14:paraId="0EAE3E22">
                  <w:pPr>
                    <w:snapToGrid w:val="0"/>
                    <w:jc w:val="center"/>
                    <w:rPr>
                      <w:rFonts w:hint="eastAsia"/>
                      <w:color w:val="auto"/>
                    </w:rPr>
                  </w:pPr>
                  <w:r>
                    <w:rPr>
                      <w:rFonts w:hint="eastAsia"/>
                      <w:color w:val="auto"/>
                    </w:rPr>
                    <w:t>5</w:t>
                  </w:r>
                </w:p>
              </w:tc>
              <w:tc>
                <w:tcPr>
                  <w:tcW w:w="298" w:type="pct"/>
                  <w:noWrap w:val="0"/>
                  <w:vAlign w:val="center"/>
                </w:tcPr>
                <w:p w14:paraId="65494BD2">
                  <w:pPr>
                    <w:snapToGrid w:val="0"/>
                    <w:jc w:val="center"/>
                    <w:rPr>
                      <w:color w:val="auto"/>
                    </w:rPr>
                  </w:pPr>
                  <w:r>
                    <w:rPr>
                      <w:rFonts w:hint="eastAsia"/>
                      <w:color w:val="auto"/>
                    </w:rPr>
                    <w:t>30</w:t>
                  </w:r>
                </w:p>
              </w:tc>
              <w:tc>
                <w:tcPr>
                  <w:tcW w:w="248" w:type="pct"/>
                  <w:noWrap w:val="0"/>
                  <w:vAlign w:val="center"/>
                </w:tcPr>
                <w:p w14:paraId="197F54D8">
                  <w:pPr>
                    <w:snapToGrid w:val="0"/>
                    <w:jc w:val="center"/>
                    <w:rPr>
                      <w:color w:val="auto"/>
                    </w:rPr>
                  </w:pPr>
                  <w:r>
                    <w:rPr>
                      <w:rFonts w:hint="eastAsia"/>
                      <w:color w:val="auto"/>
                    </w:rPr>
                    <w:t>2</w:t>
                  </w:r>
                </w:p>
              </w:tc>
              <w:tc>
                <w:tcPr>
                  <w:tcW w:w="337" w:type="pct"/>
                  <w:noWrap w:val="0"/>
                  <w:vAlign w:val="center"/>
                </w:tcPr>
                <w:p w14:paraId="20F64A44">
                  <w:pPr>
                    <w:snapToGrid w:val="0"/>
                    <w:jc w:val="center"/>
                    <w:rPr>
                      <w:color w:val="auto"/>
                    </w:rPr>
                  </w:pPr>
                  <w:r>
                    <w:rPr>
                      <w:rFonts w:hint="eastAsia"/>
                      <w:color w:val="auto"/>
                    </w:rPr>
                    <w:t>5</w:t>
                  </w:r>
                </w:p>
              </w:tc>
              <w:tc>
                <w:tcPr>
                  <w:tcW w:w="373" w:type="pct"/>
                  <w:noWrap w:val="0"/>
                  <w:vAlign w:val="center"/>
                </w:tcPr>
                <w:p w14:paraId="57046B75">
                  <w:pPr>
                    <w:snapToGrid w:val="0"/>
                    <w:jc w:val="center"/>
                    <w:rPr>
                      <w:rFonts w:hint="eastAsia" w:eastAsia="宋体"/>
                      <w:color w:val="auto"/>
                      <w:lang w:eastAsia="zh-CN"/>
                    </w:rPr>
                  </w:pPr>
                  <w:r>
                    <w:rPr>
                      <w:rFonts w:hint="eastAsia"/>
                      <w:color w:val="auto"/>
                    </w:rPr>
                    <w:t>6</w:t>
                  </w:r>
                  <w:r>
                    <w:rPr>
                      <w:rFonts w:hint="eastAsia"/>
                      <w:color w:val="auto"/>
                      <w:lang w:val="en-US" w:eastAsia="zh-CN"/>
                    </w:rPr>
                    <w:t>5</w:t>
                  </w:r>
                </w:p>
              </w:tc>
              <w:tc>
                <w:tcPr>
                  <w:tcW w:w="239" w:type="pct"/>
                  <w:noWrap w:val="0"/>
                  <w:vAlign w:val="center"/>
                </w:tcPr>
                <w:p w14:paraId="0AEA892D">
                  <w:pPr>
                    <w:snapToGrid w:val="0"/>
                    <w:jc w:val="center"/>
                    <w:rPr>
                      <w:rFonts w:hint="eastAsia"/>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continue"/>
                  <w:noWrap w:val="0"/>
                  <w:vAlign w:val="center"/>
                </w:tcPr>
                <w:p w14:paraId="71A1378D">
                  <w:pPr>
                    <w:snapToGrid w:val="0"/>
                    <w:jc w:val="center"/>
                    <w:rPr>
                      <w:color w:val="auto"/>
                    </w:rPr>
                  </w:pPr>
                </w:p>
              </w:tc>
              <w:tc>
                <w:tcPr>
                  <w:tcW w:w="405" w:type="pct"/>
                  <w:vMerge w:val="continue"/>
                  <w:noWrap w:val="0"/>
                  <w:vAlign w:val="center"/>
                </w:tcPr>
                <w:p w14:paraId="0ADB0121">
                  <w:pPr>
                    <w:snapToGrid w:val="0"/>
                    <w:jc w:val="center"/>
                    <w:rPr>
                      <w:color w:val="auto"/>
                    </w:rPr>
                  </w:pPr>
                </w:p>
              </w:tc>
              <w:tc>
                <w:tcPr>
                  <w:tcW w:w="458" w:type="pct"/>
                  <w:vMerge w:val="continue"/>
                  <w:noWrap w:val="0"/>
                  <w:vAlign w:val="center"/>
                </w:tcPr>
                <w:p w14:paraId="1B71796D">
                  <w:pPr>
                    <w:snapToGrid w:val="0"/>
                    <w:jc w:val="center"/>
                    <w:rPr>
                      <w:color w:val="auto"/>
                    </w:rPr>
                  </w:pPr>
                </w:p>
              </w:tc>
            </w:tr>
            <w:tr w14:paraId="75CF7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78" w:type="pct"/>
                  <w:vMerge w:val="continue"/>
                  <w:noWrap w:val="0"/>
                  <w:vAlign w:val="center"/>
                </w:tcPr>
                <w:p w14:paraId="728B0C64">
                  <w:pPr>
                    <w:snapToGrid w:val="0"/>
                    <w:jc w:val="center"/>
                    <w:rPr>
                      <w:color w:val="auto"/>
                    </w:rPr>
                  </w:pPr>
                </w:p>
              </w:tc>
              <w:tc>
                <w:tcPr>
                  <w:tcW w:w="656" w:type="pct"/>
                  <w:shd w:val="clear" w:color="auto" w:fill="auto"/>
                  <w:noWrap w:val="0"/>
                  <w:vAlign w:val="center"/>
                </w:tcPr>
                <w:p w14:paraId="14842563">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贴标机</w:t>
                  </w:r>
                </w:p>
              </w:tc>
              <w:tc>
                <w:tcPr>
                  <w:tcW w:w="261" w:type="pct"/>
                  <w:noWrap w:val="0"/>
                  <w:vAlign w:val="center"/>
                </w:tcPr>
                <w:p w14:paraId="405245AA">
                  <w:pPr>
                    <w:adjustRightInd w:val="0"/>
                    <w:snapToGrid w:val="0"/>
                    <w:jc w:val="center"/>
                    <w:rPr>
                      <w:bCs/>
                      <w:snapToGrid w:val="0"/>
                      <w:color w:val="auto"/>
                      <w:kern w:val="0"/>
                      <w:szCs w:val="28"/>
                    </w:rPr>
                  </w:pPr>
                  <w:r>
                    <w:rPr>
                      <w:rFonts w:hint="eastAsia"/>
                      <w:color w:val="auto"/>
                    </w:rPr>
                    <w:t>/</w:t>
                  </w:r>
                </w:p>
              </w:tc>
              <w:tc>
                <w:tcPr>
                  <w:tcW w:w="347" w:type="pct"/>
                  <w:vMerge w:val="continue"/>
                  <w:noWrap w:val="0"/>
                  <w:vAlign w:val="center"/>
                </w:tcPr>
                <w:p w14:paraId="7833ED0A">
                  <w:pPr>
                    <w:snapToGrid w:val="0"/>
                    <w:jc w:val="center"/>
                    <w:rPr>
                      <w:color w:val="auto"/>
                    </w:rPr>
                  </w:pPr>
                </w:p>
              </w:tc>
              <w:tc>
                <w:tcPr>
                  <w:tcW w:w="453" w:type="pct"/>
                  <w:noWrap w:val="0"/>
                  <w:vAlign w:val="center"/>
                </w:tcPr>
                <w:p w14:paraId="52D1F8F5">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78</w:t>
                  </w:r>
                </w:p>
              </w:tc>
              <w:tc>
                <w:tcPr>
                  <w:tcW w:w="270" w:type="pct"/>
                  <w:noWrap w:val="0"/>
                  <w:vAlign w:val="center"/>
                </w:tcPr>
                <w:p w14:paraId="500A30E1">
                  <w:pPr>
                    <w:snapToGrid w:val="0"/>
                    <w:jc w:val="center"/>
                    <w:rPr>
                      <w:rFonts w:hint="eastAsia"/>
                      <w:color w:val="auto"/>
                    </w:rPr>
                  </w:pPr>
                  <w:r>
                    <w:rPr>
                      <w:rFonts w:hint="eastAsia"/>
                      <w:color w:val="auto"/>
                    </w:rPr>
                    <w:t>15</w:t>
                  </w:r>
                </w:p>
              </w:tc>
              <w:tc>
                <w:tcPr>
                  <w:tcW w:w="298" w:type="pct"/>
                  <w:noWrap w:val="0"/>
                  <w:vAlign w:val="center"/>
                </w:tcPr>
                <w:p w14:paraId="4985C59D">
                  <w:pPr>
                    <w:snapToGrid w:val="0"/>
                    <w:jc w:val="center"/>
                    <w:rPr>
                      <w:rFonts w:hint="eastAsia"/>
                      <w:color w:val="auto"/>
                    </w:rPr>
                  </w:pPr>
                  <w:r>
                    <w:rPr>
                      <w:rFonts w:hint="eastAsia"/>
                      <w:color w:val="auto"/>
                    </w:rPr>
                    <w:t>30</w:t>
                  </w:r>
                </w:p>
              </w:tc>
              <w:tc>
                <w:tcPr>
                  <w:tcW w:w="248" w:type="pct"/>
                  <w:noWrap w:val="0"/>
                  <w:vAlign w:val="center"/>
                </w:tcPr>
                <w:p w14:paraId="3C6A342D">
                  <w:pPr>
                    <w:snapToGrid w:val="0"/>
                    <w:jc w:val="center"/>
                    <w:rPr>
                      <w:color w:val="auto"/>
                    </w:rPr>
                  </w:pPr>
                  <w:r>
                    <w:rPr>
                      <w:rFonts w:hint="eastAsia"/>
                      <w:color w:val="auto"/>
                    </w:rPr>
                    <w:t>2</w:t>
                  </w:r>
                </w:p>
              </w:tc>
              <w:tc>
                <w:tcPr>
                  <w:tcW w:w="337" w:type="pct"/>
                  <w:noWrap w:val="0"/>
                  <w:vAlign w:val="center"/>
                </w:tcPr>
                <w:p w14:paraId="69E754D0">
                  <w:pPr>
                    <w:snapToGrid w:val="0"/>
                    <w:jc w:val="center"/>
                    <w:rPr>
                      <w:color w:val="auto"/>
                    </w:rPr>
                  </w:pPr>
                  <w:r>
                    <w:rPr>
                      <w:rFonts w:hint="eastAsia"/>
                      <w:color w:val="auto"/>
                    </w:rPr>
                    <w:t>15</w:t>
                  </w:r>
                </w:p>
              </w:tc>
              <w:tc>
                <w:tcPr>
                  <w:tcW w:w="373" w:type="pct"/>
                  <w:noWrap w:val="0"/>
                  <w:vAlign w:val="center"/>
                </w:tcPr>
                <w:p w14:paraId="2F3445E2">
                  <w:pPr>
                    <w:snapToGrid w:val="0"/>
                    <w:jc w:val="center"/>
                    <w:rPr>
                      <w:color w:val="auto"/>
                    </w:rPr>
                  </w:pPr>
                  <w:r>
                    <w:rPr>
                      <w:rFonts w:hint="eastAsia"/>
                      <w:color w:val="auto"/>
                    </w:rPr>
                    <w:t>56</w:t>
                  </w:r>
                </w:p>
              </w:tc>
              <w:tc>
                <w:tcPr>
                  <w:tcW w:w="239" w:type="pct"/>
                  <w:noWrap w:val="0"/>
                  <w:vAlign w:val="center"/>
                </w:tcPr>
                <w:p w14:paraId="2EA3808A">
                  <w:pPr>
                    <w:snapToGrid w:val="0"/>
                    <w:jc w:val="center"/>
                    <w:rPr>
                      <w:rFonts w:hint="eastAsia"/>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continue"/>
                  <w:noWrap w:val="0"/>
                  <w:vAlign w:val="center"/>
                </w:tcPr>
                <w:p w14:paraId="6B19A8E6">
                  <w:pPr>
                    <w:snapToGrid w:val="0"/>
                    <w:jc w:val="center"/>
                    <w:rPr>
                      <w:color w:val="auto"/>
                    </w:rPr>
                  </w:pPr>
                </w:p>
              </w:tc>
              <w:tc>
                <w:tcPr>
                  <w:tcW w:w="405" w:type="pct"/>
                  <w:vMerge w:val="continue"/>
                  <w:noWrap w:val="0"/>
                  <w:vAlign w:val="center"/>
                </w:tcPr>
                <w:p w14:paraId="30488D86">
                  <w:pPr>
                    <w:snapToGrid w:val="0"/>
                    <w:jc w:val="center"/>
                    <w:rPr>
                      <w:color w:val="auto"/>
                    </w:rPr>
                  </w:pPr>
                </w:p>
              </w:tc>
              <w:tc>
                <w:tcPr>
                  <w:tcW w:w="458" w:type="pct"/>
                  <w:vMerge w:val="continue"/>
                  <w:noWrap w:val="0"/>
                  <w:vAlign w:val="center"/>
                </w:tcPr>
                <w:p w14:paraId="5F1AE774">
                  <w:pPr>
                    <w:snapToGrid w:val="0"/>
                    <w:jc w:val="center"/>
                    <w:rPr>
                      <w:color w:val="auto"/>
                    </w:rPr>
                  </w:pPr>
                </w:p>
              </w:tc>
            </w:tr>
            <w:tr w14:paraId="161176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78" w:type="pct"/>
                  <w:vMerge w:val="restart"/>
                  <w:noWrap w:val="0"/>
                  <w:vAlign w:val="center"/>
                </w:tcPr>
                <w:p w14:paraId="7100570E">
                  <w:pPr>
                    <w:snapToGrid w:val="0"/>
                    <w:jc w:val="center"/>
                    <w:rPr>
                      <w:color w:val="auto"/>
                    </w:rPr>
                  </w:pPr>
                  <w:r>
                    <w:rPr>
                      <w:rFonts w:hint="eastAsia"/>
                      <w:color w:val="auto"/>
                      <w:lang w:val="en-US" w:eastAsia="zh-CN"/>
                    </w:rPr>
                    <w:t>大湾乡中药材分拣包装晾晒车间建设工程</w:t>
                  </w:r>
                </w:p>
              </w:tc>
              <w:tc>
                <w:tcPr>
                  <w:tcW w:w="656" w:type="pct"/>
                  <w:shd w:val="clear" w:color="auto" w:fill="auto"/>
                  <w:noWrap w:val="0"/>
                  <w:vAlign w:val="center"/>
                </w:tcPr>
                <w:p w14:paraId="4C126E3D">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包装设备</w:t>
                  </w:r>
                </w:p>
              </w:tc>
              <w:tc>
                <w:tcPr>
                  <w:tcW w:w="261" w:type="pct"/>
                  <w:noWrap w:val="0"/>
                  <w:vAlign w:val="center"/>
                </w:tcPr>
                <w:p w14:paraId="2FFC87A4">
                  <w:pPr>
                    <w:adjustRightInd w:val="0"/>
                    <w:snapToGrid w:val="0"/>
                    <w:jc w:val="center"/>
                    <w:rPr>
                      <w:bCs/>
                      <w:snapToGrid w:val="0"/>
                      <w:color w:val="auto"/>
                      <w:kern w:val="0"/>
                      <w:szCs w:val="28"/>
                    </w:rPr>
                  </w:pPr>
                  <w:r>
                    <w:rPr>
                      <w:rFonts w:hint="eastAsia"/>
                      <w:color w:val="auto"/>
                    </w:rPr>
                    <w:t>/</w:t>
                  </w:r>
                </w:p>
              </w:tc>
              <w:tc>
                <w:tcPr>
                  <w:tcW w:w="347" w:type="pct"/>
                  <w:vMerge w:val="restart"/>
                  <w:noWrap w:val="0"/>
                  <w:vAlign w:val="center"/>
                </w:tcPr>
                <w:p w14:paraId="602794F6">
                  <w:pPr>
                    <w:snapToGrid w:val="0"/>
                    <w:jc w:val="center"/>
                    <w:rPr>
                      <w:color w:val="auto"/>
                    </w:rPr>
                  </w:pPr>
                  <w:r>
                    <w:rPr>
                      <w:color w:val="auto"/>
                    </w:rPr>
                    <w:t>减振、车间隔声</w:t>
                  </w:r>
                </w:p>
              </w:tc>
              <w:tc>
                <w:tcPr>
                  <w:tcW w:w="453" w:type="pct"/>
                  <w:noWrap w:val="0"/>
                  <w:vAlign w:val="center"/>
                </w:tcPr>
                <w:p w14:paraId="4AC284E6">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76</w:t>
                  </w:r>
                </w:p>
              </w:tc>
              <w:tc>
                <w:tcPr>
                  <w:tcW w:w="270" w:type="pct"/>
                  <w:noWrap w:val="0"/>
                  <w:vAlign w:val="center"/>
                </w:tcPr>
                <w:p w14:paraId="21E1AB88">
                  <w:pPr>
                    <w:snapToGrid w:val="0"/>
                    <w:jc w:val="center"/>
                    <w:rPr>
                      <w:rFonts w:hint="eastAsia"/>
                      <w:color w:val="auto"/>
                    </w:rPr>
                  </w:pPr>
                  <w:r>
                    <w:rPr>
                      <w:rFonts w:hint="eastAsia"/>
                      <w:color w:val="auto"/>
                    </w:rPr>
                    <w:t>25</w:t>
                  </w:r>
                </w:p>
              </w:tc>
              <w:tc>
                <w:tcPr>
                  <w:tcW w:w="298" w:type="pct"/>
                  <w:noWrap w:val="0"/>
                  <w:vAlign w:val="center"/>
                </w:tcPr>
                <w:p w14:paraId="450988EC">
                  <w:pPr>
                    <w:snapToGrid w:val="0"/>
                    <w:jc w:val="center"/>
                    <w:rPr>
                      <w:rFonts w:hint="eastAsia"/>
                      <w:color w:val="auto"/>
                    </w:rPr>
                  </w:pPr>
                  <w:r>
                    <w:rPr>
                      <w:rFonts w:hint="eastAsia"/>
                      <w:color w:val="auto"/>
                    </w:rPr>
                    <w:t>30</w:t>
                  </w:r>
                </w:p>
              </w:tc>
              <w:tc>
                <w:tcPr>
                  <w:tcW w:w="248" w:type="pct"/>
                  <w:noWrap w:val="0"/>
                  <w:vAlign w:val="center"/>
                </w:tcPr>
                <w:p w14:paraId="41D40B56">
                  <w:pPr>
                    <w:snapToGrid w:val="0"/>
                    <w:jc w:val="center"/>
                    <w:rPr>
                      <w:color w:val="auto"/>
                    </w:rPr>
                  </w:pPr>
                  <w:r>
                    <w:rPr>
                      <w:rFonts w:hint="eastAsia"/>
                      <w:color w:val="auto"/>
                    </w:rPr>
                    <w:t>2</w:t>
                  </w:r>
                </w:p>
              </w:tc>
              <w:tc>
                <w:tcPr>
                  <w:tcW w:w="337" w:type="pct"/>
                  <w:noWrap w:val="0"/>
                  <w:vAlign w:val="center"/>
                </w:tcPr>
                <w:p w14:paraId="39746A20">
                  <w:pPr>
                    <w:snapToGrid w:val="0"/>
                    <w:jc w:val="center"/>
                    <w:rPr>
                      <w:color w:val="auto"/>
                    </w:rPr>
                  </w:pPr>
                  <w:r>
                    <w:rPr>
                      <w:rFonts w:hint="eastAsia"/>
                      <w:color w:val="auto"/>
                    </w:rPr>
                    <w:t>15</w:t>
                  </w:r>
                </w:p>
              </w:tc>
              <w:tc>
                <w:tcPr>
                  <w:tcW w:w="373" w:type="pct"/>
                  <w:noWrap w:val="0"/>
                  <w:vAlign w:val="center"/>
                </w:tcPr>
                <w:p w14:paraId="006AEA67">
                  <w:pPr>
                    <w:snapToGrid w:val="0"/>
                    <w:jc w:val="center"/>
                    <w:rPr>
                      <w:color w:val="auto"/>
                    </w:rPr>
                  </w:pPr>
                  <w:r>
                    <w:rPr>
                      <w:rFonts w:hint="eastAsia"/>
                      <w:color w:val="auto"/>
                    </w:rPr>
                    <w:t>56</w:t>
                  </w:r>
                </w:p>
              </w:tc>
              <w:tc>
                <w:tcPr>
                  <w:tcW w:w="239" w:type="pct"/>
                  <w:noWrap w:val="0"/>
                  <w:vAlign w:val="center"/>
                </w:tcPr>
                <w:p w14:paraId="339E5F0D">
                  <w:pPr>
                    <w:snapToGrid w:val="0"/>
                    <w:jc w:val="center"/>
                    <w:rPr>
                      <w:rFonts w:hint="eastAsia"/>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restart"/>
                  <w:shd w:val="clear" w:color="auto" w:fill="auto"/>
                  <w:noWrap w:val="0"/>
                  <w:vAlign w:val="center"/>
                </w:tcPr>
                <w:p w14:paraId="12B56D55">
                  <w:pPr>
                    <w:snapToGrid w:val="0"/>
                    <w:jc w:val="center"/>
                    <w:rPr>
                      <w:rFonts w:ascii="Times New Roman" w:hAnsi="Times New Roman" w:eastAsia="宋体" w:cs="Times New Roman"/>
                      <w:color w:val="auto"/>
                      <w:kern w:val="2"/>
                      <w:sz w:val="21"/>
                      <w:szCs w:val="24"/>
                      <w:lang w:val="en-US" w:eastAsia="zh-CN" w:bidi="ar-SA"/>
                    </w:rPr>
                  </w:pPr>
                  <w:r>
                    <w:rPr>
                      <w:color w:val="auto"/>
                    </w:rPr>
                    <w:t>15</w:t>
                  </w:r>
                </w:p>
              </w:tc>
              <w:tc>
                <w:tcPr>
                  <w:tcW w:w="405" w:type="pct"/>
                  <w:vMerge w:val="restart"/>
                  <w:shd w:val="clear" w:color="auto" w:fill="auto"/>
                  <w:noWrap w:val="0"/>
                  <w:vAlign w:val="center"/>
                </w:tcPr>
                <w:p w14:paraId="1F7C9625">
                  <w:pPr>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51</w:t>
                  </w:r>
                </w:p>
              </w:tc>
              <w:tc>
                <w:tcPr>
                  <w:tcW w:w="458" w:type="pct"/>
                  <w:vMerge w:val="restart"/>
                  <w:shd w:val="clear" w:color="auto" w:fill="auto"/>
                  <w:noWrap w:val="0"/>
                  <w:vAlign w:val="center"/>
                </w:tcPr>
                <w:p w14:paraId="0A507B3F">
                  <w:pPr>
                    <w:snapToGrid w:val="0"/>
                    <w:jc w:val="center"/>
                    <w:rPr>
                      <w:rFonts w:ascii="Times New Roman" w:hAnsi="Times New Roman" w:eastAsia="宋体" w:cs="Times New Roman"/>
                      <w:color w:val="auto"/>
                      <w:kern w:val="2"/>
                      <w:sz w:val="21"/>
                      <w:szCs w:val="24"/>
                      <w:lang w:val="en-US" w:eastAsia="zh-CN" w:bidi="ar-SA"/>
                    </w:rPr>
                  </w:pPr>
                  <w:r>
                    <w:rPr>
                      <w:color w:val="auto"/>
                    </w:rPr>
                    <w:t>1m</w:t>
                  </w:r>
                </w:p>
              </w:tc>
            </w:tr>
            <w:tr w14:paraId="653F9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8" w:type="pct"/>
                  <w:vMerge w:val="continue"/>
                  <w:noWrap w:val="0"/>
                  <w:vAlign w:val="center"/>
                </w:tcPr>
                <w:p w14:paraId="2E0A0AD8">
                  <w:pPr>
                    <w:snapToGrid w:val="0"/>
                    <w:jc w:val="center"/>
                    <w:rPr>
                      <w:color w:val="auto"/>
                    </w:rPr>
                  </w:pPr>
                </w:p>
              </w:tc>
              <w:tc>
                <w:tcPr>
                  <w:tcW w:w="656" w:type="pct"/>
                  <w:shd w:val="clear" w:color="auto" w:fill="auto"/>
                  <w:noWrap w:val="0"/>
                  <w:vAlign w:val="center"/>
                </w:tcPr>
                <w:p w14:paraId="39BDD345">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晾晒架</w:t>
                  </w:r>
                </w:p>
              </w:tc>
              <w:tc>
                <w:tcPr>
                  <w:tcW w:w="261" w:type="pct"/>
                  <w:noWrap w:val="0"/>
                  <w:vAlign w:val="center"/>
                </w:tcPr>
                <w:p w14:paraId="5BFBE2E2">
                  <w:pPr>
                    <w:adjustRightInd w:val="0"/>
                    <w:snapToGrid w:val="0"/>
                    <w:jc w:val="center"/>
                    <w:rPr>
                      <w:bCs/>
                      <w:snapToGrid w:val="0"/>
                      <w:color w:val="auto"/>
                      <w:kern w:val="0"/>
                      <w:szCs w:val="28"/>
                    </w:rPr>
                  </w:pPr>
                  <w:r>
                    <w:rPr>
                      <w:rFonts w:hint="eastAsia"/>
                      <w:color w:val="auto"/>
                    </w:rPr>
                    <w:t>/</w:t>
                  </w:r>
                </w:p>
              </w:tc>
              <w:tc>
                <w:tcPr>
                  <w:tcW w:w="347" w:type="pct"/>
                  <w:vMerge w:val="continue"/>
                  <w:noWrap w:val="0"/>
                  <w:vAlign w:val="center"/>
                </w:tcPr>
                <w:p w14:paraId="252B0A00">
                  <w:pPr>
                    <w:snapToGrid w:val="0"/>
                    <w:jc w:val="center"/>
                    <w:rPr>
                      <w:color w:val="auto"/>
                    </w:rPr>
                  </w:pPr>
                </w:p>
              </w:tc>
              <w:tc>
                <w:tcPr>
                  <w:tcW w:w="453" w:type="pct"/>
                  <w:noWrap w:val="0"/>
                  <w:vAlign w:val="center"/>
                </w:tcPr>
                <w:p w14:paraId="0B2F9A62">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78</w:t>
                  </w:r>
                </w:p>
              </w:tc>
              <w:tc>
                <w:tcPr>
                  <w:tcW w:w="270" w:type="pct"/>
                  <w:noWrap w:val="0"/>
                  <w:vAlign w:val="center"/>
                </w:tcPr>
                <w:p w14:paraId="40509C60">
                  <w:pPr>
                    <w:snapToGrid w:val="0"/>
                    <w:jc w:val="center"/>
                    <w:rPr>
                      <w:rFonts w:hint="eastAsia"/>
                      <w:color w:val="auto"/>
                    </w:rPr>
                  </w:pPr>
                  <w:r>
                    <w:rPr>
                      <w:rFonts w:hint="eastAsia"/>
                      <w:color w:val="auto"/>
                    </w:rPr>
                    <w:t>35</w:t>
                  </w:r>
                </w:p>
              </w:tc>
              <w:tc>
                <w:tcPr>
                  <w:tcW w:w="298" w:type="pct"/>
                  <w:noWrap w:val="0"/>
                  <w:vAlign w:val="center"/>
                </w:tcPr>
                <w:p w14:paraId="391E034B">
                  <w:pPr>
                    <w:snapToGrid w:val="0"/>
                    <w:jc w:val="center"/>
                    <w:rPr>
                      <w:rFonts w:hint="eastAsia"/>
                      <w:color w:val="auto"/>
                    </w:rPr>
                  </w:pPr>
                  <w:r>
                    <w:rPr>
                      <w:rFonts w:hint="eastAsia"/>
                      <w:color w:val="auto"/>
                    </w:rPr>
                    <w:t>30</w:t>
                  </w:r>
                </w:p>
              </w:tc>
              <w:tc>
                <w:tcPr>
                  <w:tcW w:w="248" w:type="pct"/>
                  <w:noWrap w:val="0"/>
                  <w:vAlign w:val="center"/>
                </w:tcPr>
                <w:p w14:paraId="0D51137D">
                  <w:pPr>
                    <w:snapToGrid w:val="0"/>
                    <w:jc w:val="center"/>
                    <w:rPr>
                      <w:color w:val="auto"/>
                    </w:rPr>
                  </w:pPr>
                  <w:r>
                    <w:rPr>
                      <w:rFonts w:hint="eastAsia"/>
                      <w:color w:val="auto"/>
                    </w:rPr>
                    <w:t>2</w:t>
                  </w:r>
                </w:p>
              </w:tc>
              <w:tc>
                <w:tcPr>
                  <w:tcW w:w="337" w:type="pct"/>
                  <w:noWrap w:val="0"/>
                  <w:vAlign w:val="center"/>
                </w:tcPr>
                <w:p w14:paraId="32ED940D">
                  <w:pPr>
                    <w:snapToGrid w:val="0"/>
                    <w:jc w:val="center"/>
                    <w:rPr>
                      <w:color w:val="auto"/>
                    </w:rPr>
                  </w:pPr>
                  <w:r>
                    <w:rPr>
                      <w:rFonts w:hint="eastAsia"/>
                      <w:color w:val="auto"/>
                    </w:rPr>
                    <w:t>5</w:t>
                  </w:r>
                </w:p>
              </w:tc>
              <w:tc>
                <w:tcPr>
                  <w:tcW w:w="373" w:type="pct"/>
                  <w:noWrap w:val="0"/>
                  <w:vAlign w:val="center"/>
                </w:tcPr>
                <w:p w14:paraId="724E4E07">
                  <w:pPr>
                    <w:snapToGrid w:val="0"/>
                    <w:jc w:val="center"/>
                    <w:rPr>
                      <w:color w:val="auto"/>
                    </w:rPr>
                  </w:pPr>
                  <w:r>
                    <w:rPr>
                      <w:rFonts w:hint="eastAsia"/>
                      <w:color w:val="auto"/>
                    </w:rPr>
                    <w:t>66</w:t>
                  </w:r>
                </w:p>
              </w:tc>
              <w:tc>
                <w:tcPr>
                  <w:tcW w:w="239" w:type="pct"/>
                  <w:noWrap w:val="0"/>
                  <w:vAlign w:val="center"/>
                </w:tcPr>
                <w:p w14:paraId="7F03D3EE">
                  <w:pPr>
                    <w:snapToGrid w:val="0"/>
                    <w:jc w:val="center"/>
                    <w:rPr>
                      <w:rFonts w:hint="eastAsia"/>
                      <w:color w:val="auto"/>
                    </w:rPr>
                  </w:pPr>
                  <w:r>
                    <w:rPr>
                      <w:rFonts w:hint="eastAsia"/>
                      <w:color w:val="auto"/>
                      <w:lang w:val="en-US" w:eastAsia="zh-CN"/>
                    </w:rPr>
                    <w:t>10</w:t>
                  </w:r>
                  <w:r>
                    <w:rPr>
                      <w:rFonts w:hint="eastAsia"/>
                      <w:color w:val="auto"/>
                    </w:rPr>
                    <w:t>h</w:t>
                  </w:r>
                </w:p>
              </w:tc>
              <w:tc>
                <w:tcPr>
                  <w:tcW w:w="373" w:type="pct"/>
                  <w:vMerge w:val="continue"/>
                  <w:noWrap w:val="0"/>
                  <w:vAlign w:val="center"/>
                </w:tcPr>
                <w:p w14:paraId="4AFAB158">
                  <w:pPr>
                    <w:snapToGrid w:val="0"/>
                    <w:jc w:val="center"/>
                    <w:rPr>
                      <w:color w:val="auto"/>
                    </w:rPr>
                  </w:pPr>
                </w:p>
              </w:tc>
              <w:tc>
                <w:tcPr>
                  <w:tcW w:w="405" w:type="pct"/>
                  <w:vMerge w:val="continue"/>
                  <w:noWrap w:val="0"/>
                  <w:vAlign w:val="center"/>
                </w:tcPr>
                <w:p w14:paraId="6826D41F">
                  <w:pPr>
                    <w:snapToGrid w:val="0"/>
                    <w:jc w:val="center"/>
                    <w:rPr>
                      <w:color w:val="auto"/>
                    </w:rPr>
                  </w:pPr>
                </w:p>
              </w:tc>
              <w:tc>
                <w:tcPr>
                  <w:tcW w:w="458" w:type="pct"/>
                  <w:vMerge w:val="continue"/>
                  <w:noWrap w:val="0"/>
                  <w:vAlign w:val="center"/>
                </w:tcPr>
                <w:p w14:paraId="39D120E9">
                  <w:pPr>
                    <w:snapToGrid w:val="0"/>
                    <w:jc w:val="center"/>
                    <w:rPr>
                      <w:color w:val="auto"/>
                    </w:rPr>
                  </w:pPr>
                </w:p>
              </w:tc>
            </w:tr>
            <w:tr w14:paraId="63F32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8" w:type="pct"/>
                  <w:vMerge w:val="continue"/>
                  <w:noWrap w:val="0"/>
                  <w:vAlign w:val="center"/>
                </w:tcPr>
                <w:p w14:paraId="28B94DCF">
                  <w:pPr>
                    <w:snapToGrid w:val="0"/>
                    <w:jc w:val="center"/>
                    <w:rPr>
                      <w:color w:val="auto"/>
                    </w:rPr>
                  </w:pPr>
                </w:p>
              </w:tc>
              <w:tc>
                <w:tcPr>
                  <w:tcW w:w="656" w:type="pct"/>
                  <w:shd w:val="clear" w:color="auto" w:fill="auto"/>
                  <w:noWrap w:val="0"/>
                  <w:vAlign w:val="center"/>
                </w:tcPr>
                <w:p w14:paraId="54830A6B">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振动筛</w:t>
                  </w:r>
                </w:p>
              </w:tc>
              <w:tc>
                <w:tcPr>
                  <w:tcW w:w="261" w:type="pct"/>
                  <w:noWrap w:val="0"/>
                  <w:vAlign w:val="center"/>
                </w:tcPr>
                <w:p w14:paraId="08562939">
                  <w:pPr>
                    <w:adjustRightInd w:val="0"/>
                    <w:snapToGrid w:val="0"/>
                    <w:jc w:val="center"/>
                    <w:rPr>
                      <w:rFonts w:hint="eastAsia" w:eastAsia="宋体"/>
                      <w:color w:val="auto"/>
                      <w:lang w:val="en-US" w:eastAsia="zh-CN"/>
                    </w:rPr>
                  </w:pPr>
                  <w:r>
                    <w:rPr>
                      <w:rFonts w:hint="eastAsia"/>
                      <w:color w:val="auto"/>
                      <w:lang w:val="en-US" w:eastAsia="zh-CN"/>
                    </w:rPr>
                    <w:t>/</w:t>
                  </w:r>
                </w:p>
              </w:tc>
              <w:tc>
                <w:tcPr>
                  <w:tcW w:w="347" w:type="pct"/>
                  <w:vMerge w:val="continue"/>
                  <w:noWrap w:val="0"/>
                  <w:vAlign w:val="center"/>
                </w:tcPr>
                <w:p w14:paraId="4A6A6942">
                  <w:pPr>
                    <w:snapToGrid w:val="0"/>
                    <w:jc w:val="center"/>
                    <w:rPr>
                      <w:color w:val="auto"/>
                    </w:rPr>
                  </w:pPr>
                </w:p>
              </w:tc>
              <w:tc>
                <w:tcPr>
                  <w:tcW w:w="453" w:type="pct"/>
                  <w:noWrap w:val="0"/>
                  <w:vAlign w:val="center"/>
                </w:tcPr>
                <w:p w14:paraId="3E19B64F">
                  <w:pPr>
                    <w:snapToGrid w:val="0"/>
                    <w:jc w:val="center"/>
                    <w:rPr>
                      <w:rFonts w:hint="default" w:eastAsia="宋体"/>
                      <w:bCs/>
                      <w:snapToGrid w:val="0"/>
                      <w:color w:val="auto"/>
                      <w:kern w:val="0"/>
                      <w:sz w:val="21"/>
                      <w:szCs w:val="21"/>
                      <w:lang w:val="en-US" w:eastAsia="zh-CN" w:bidi="ar-SA"/>
                    </w:rPr>
                  </w:pPr>
                  <w:r>
                    <w:rPr>
                      <w:rFonts w:hint="eastAsia"/>
                      <w:bCs/>
                      <w:snapToGrid w:val="0"/>
                      <w:color w:val="auto"/>
                      <w:kern w:val="0"/>
                      <w:lang w:val="en-US" w:eastAsia="zh-CN"/>
                    </w:rPr>
                    <w:t>73</w:t>
                  </w:r>
                </w:p>
              </w:tc>
              <w:tc>
                <w:tcPr>
                  <w:tcW w:w="270" w:type="pct"/>
                  <w:noWrap w:val="0"/>
                  <w:vAlign w:val="center"/>
                </w:tcPr>
                <w:p w14:paraId="325B466B">
                  <w:pPr>
                    <w:snapToGrid w:val="0"/>
                    <w:jc w:val="center"/>
                    <w:rPr>
                      <w:rFonts w:hint="eastAsia"/>
                      <w:color w:val="auto"/>
                      <w:kern w:val="2"/>
                      <w:sz w:val="21"/>
                      <w:szCs w:val="21"/>
                      <w:lang w:val="en-US" w:eastAsia="zh-CN" w:bidi="ar-SA"/>
                    </w:rPr>
                  </w:pPr>
                  <w:r>
                    <w:rPr>
                      <w:rFonts w:hint="eastAsia"/>
                      <w:color w:val="auto"/>
                    </w:rPr>
                    <w:t>35</w:t>
                  </w:r>
                </w:p>
              </w:tc>
              <w:tc>
                <w:tcPr>
                  <w:tcW w:w="298" w:type="pct"/>
                  <w:noWrap w:val="0"/>
                  <w:vAlign w:val="center"/>
                </w:tcPr>
                <w:p w14:paraId="60DCFD75">
                  <w:pPr>
                    <w:snapToGrid w:val="0"/>
                    <w:jc w:val="center"/>
                    <w:rPr>
                      <w:rFonts w:hint="eastAsia"/>
                      <w:color w:val="auto"/>
                      <w:kern w:val="2"/>
                      <w:sz w:val="21"/>
                      <w:szCs w:val="21"/>
                      <w:lang w:val="en-US" w:eastAsia="zh-CN" w:bidi="ar-SA"/>
                    </w:rPr>
                  </w:pPr>
                  <w:r>
                    <w:rPr>
                      <w:rFonts w:hint="eastAsia"/>
                      <w:color w:val="auto"/>
                    </w:rPr>
                    <w:t>90</w:t>
                  </w:r>
                </w:p>
              </w:tc>
              <w:tc>
                <w:tcPr>
                  <w:tcW w:w="248" w:type="pct"/>
                  <w:noWrap w:val="0"/>
                  <w:vAlign w:val="center"/>
                </w:tcPr>
                <w:p w14:paraId="1CAB3E7A">
                  <w:pPr>
                    <w:snapToGrid w:val="0"/>
                    <w:jc w:val="center"/>
                    <w:rPr>
                      <w:rFonts w:hint="eastAsia"/>
                      <w:color w:val="auto"/>
                      <w:kern w:val="2"/>
                      <w:sz w:val="21"/>
                      <w:szCs w:val="21"/>
                      <w:lang w:val="en-US" w:eastAsia="zh-CN" w:bidi="ar-SA"/>
                    </w:rPr>
                  </w:pPr>
                  <w:r>
                    <w:rPr>
                      <w:rFonts w:hint="eastAsia"/>
                      <w:color w:val="auto"/>
                    </w:rPr>
                    <w:t>2</w:t>
                  </w:r>
                </w:p>
              </w:tc>
              <w:tc>
                <w:tcPr>
                  <w:tcW w:w="337" w:type="pct"/>
                  <w:noWrap w:val="0"/>
                  <w:vAlign w:val="center"/>
                </w:tcPr>
                <w:p w14:paraId="1B75E9C6">
                  <w:pPr>
                    <w:snapToGrid w:val="0"/>
                    <w:jc w:val="center"/>
                    <w:rPr>
                      <w:rFonts w:hint="eastAsia"/>
                      <w:color w:val="auto"/>
                      <w:kern w:val="2"/>
                      <w:sz w:val="21"/>
                      <w:szCs w:val="21"/>
                      <w:lang w:val="en-US" w:eastAsia="zh-CN" w:bidi="ar-SA"/>
                    </w:rPr>
                  </w:pPr>
                  <w:r>
                    <w:rPr>
                      <w:rFonts w:hint="eastAsia"/>
                      <w:color w:val="auto"/>
                    </w:rPr>
                    <w:t>5</w:t>
                  </w:r>
                </w:p>
              </w:tc>
              <w:tc>
                <w:tcPr>
                  <w:tcW w:w="373" w:type="pct"/>
                  <w:noWrap w:val="0"/>
                  <w:vAlign w:val="center"/>
                </w:tcPr>
                <w:p w14:paraId="5A5C3CF1">
                  <w:pPr>
                    <w:snapToGrid w:val="0"/>
                    <w:jc w:val="center"/>
                    <w:rPr>
                      <w:rFonts w:hint="default" w:eastAsia="宋体"/>
                      <w:color w:val="auto"/>
                      <w:kern w:val="2"/>
                      <w:sz w:val="21"/>
                      <w:szCs w:val="21"/>
                      <w:lang w:val="en-US" w:eastAsia="zh-CN" w:bidi="ar-SA"/>
                    </w:rPr>
                  </w:pPr>
                  <w:r>
                    <w:rPr>
                      <w:rFonts w:hint="eastAsia"/>
                      <w:color w:val="auto"/>
                      <w:lang w:val="en-US" w:eastAsia="zh-CN"/>
                    </w:rPr>
                    <w:t>64</w:t>
                  </w:r>
                </w:p>
              </w:tc>
              <w:tc>
                <w:tcPr>
                  <w:tcW w:w="239" w:type="pct"/>
                  <w:noWrap w:val="0"/>
                  <w:vAlign w:val="center"/>
                </w:tcPr>
                <w:p w14:paraId="5E91FAC2">
                  <w:pPr>
                    <w:snapToGrid w:val="0"/>
                    <w:jc w:val="center"/>
                    <w:rPr>
                      <w:rFonts w:hint="eastAsia"/>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continue"/>
                  <w:noWrap w:val="0"/>
                  <w:vAlign w:val="center"/>
                </w:tcPr>
                <w:p w14:paraId="16A06891">
                  <w:pPr>
                    <w:snapToGrid w:val="0"/>
                    <w:jc w:val="center"/>
                    <w:rPr>
                      <w:color w:val="auto"/>
                    </w:rPr>
                  </w:pPr>
                </w:p>
              </w:tc>
              <w:tc>
                <w:tcPr>
                  <w:tcW w:w="405" w:type="pct"/>
                  <w:vMerge w:val="continue"/>
                  <w:noWrap w:val="0"/>
                  <w:vAlign w:val="center"/>
                </w:tcPr>
                <w:p w14:paraId="0B4EB7C3">
                  <w:pPr>
                    <w:snapToGrid w:val="0"/>
                    <w:jc w:val="center"/>
                    <w:rPr>
                      <w:color w:val="auto"/>
                    </w:rPr>
                  </w:pPr>
                </w:p>
              </w:tc>
              <w:tc>
                <w:tcPr>
                  <w:tcW w:w="458" w:type="pct"/>
                  <w:vMerge w:val="continue"/>
                  <w:noWrap w:val="0"/>
                  <w:vAlign w:val="center"/>
                </w:tcPr>
                <w:p w14:paraId="25873BD8">
                  <w:pPr>
                    <w:snapToGrid w:val="0"/>
                    <w:jc w:val="center"/>
                    <w:rPr>
                      <w:color w:val="auto"/>
                    </w:rPr>
                  </w:pPr>
                </w:p>
              </w:tc>
            </w:tr>
            <w:tr w14:paraId="54362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8" w:type="pct"/>
                  <w:vMerge w:val="continue"/>
                </w:tcPr>
                <w:p w14:paraId="39AC69AE">
                  <w:pPr>
                    <w:snapToGrid w:val="0"/>
                    <w:jc w:val="center"/>
                    <w:rPr>
                      <w:color w:val="auto"/>
                    </w:rPr>
                  </w:pPr>
                </w:p>
              </w:tc>
              <w:tc>
                <w:tcPr>
                  <w:tcW w:w="0" w:type="auto"/>
                  <w:shd w:val="clear" w:color="auto" w:fill="auto"/>
                  <w:vAlign w:val="center"/>
                </w:tcPr>
                <w:p w14:paraId="29AB746A">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色选机</w:t>
                  </w:r>
                </w:p>
              </w:tc>
              <w:tc>
                <w:tcPr>
                  <w:tcW w:w="0" w:type="auto"/>
                  <w:shd w:val="clear" w:color="auto" w:fill="auto"/>
                  <w:vAlign w:val="center"/>
                </w:tcPr>
                <w:p w14:paraId="272A728B">
                  <w:pPr>
                    <w:adjustRightInd w:val="0"/>
                    <w:snapToGrid w:val="0"/>
                    <w:jc w:val="center"/>
                    <w:rPr>
                      <w:rFonts w:hint="eastAsia" w:ascii="Times New Roman" w:hAnsi="Times New Roman" w:eastAsia="宋体" w:cs="Times New Roman"/>
                      <w:bCs/>
                      <w:snapToGrid w:val="0"/>
                      <w:color w:val="auto"/>
                      <w:kern w:val="0"/>
                      <w:sz w:val="21"/>
                      <w:szCs w:val="28"/>
                      <w:lang w:val="en-US" w:eastAsia="zh-CN" w:bidi="ar-SA"/>
                    </w:rPr>
                  </w:pPr>
                  <w:r>
                    <w:rPr>
                      <w:rFonts w:hint="eastAsia"/>
                      <w:color w:val="auto"/>
                    </w:rPr>
                    <w:t>/</w:t>
                  </w:r>
                </w:p>
              </w:tc>
              <w:tc>
                <w:tcPr>
                  <w:tcW w:w="347" w:type="pct"/>
                  <w:vMerge w:val="continue"/>
                </w:tcPr>
                <w:p w14:paraId="1070EE80">
                  <w:pPr>
                    <w:snapToGrid w:val="0"/>
                    <w:jc w:val="center"/>
                    <w:rPr>
                      <w:color w:val="auto"/>
                    </w:rPr>
                  </w:pPr>
                </w:p>
              </w:tc>
              <w:tc>
                <w:tcPr>
                  <w:tcW w:w="0" w:type="auto"/>
                  <w:shd w:val="clear" w:color="auto" w:fill="auto"/>
                  <w:vAlign w:val="center"/>
                </w:tcPr>
                <w:p w14:paraId="2F235E1F">
                  <w:pPr>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bCs/>
                      <w:snapToGrid w:val="0"/>
                      <w:color w:val="auto"/>
                      <w:kern w:val="0"/>
                      <w:lang w:val="en-US" w:eastAsia="zh-CN"/>
                    </w:rPr>
                    <w:t>80</w:t>
                  </w:r>
                </w:p>
              </w:tc>
              <w:tc>
                <w:tcPr>
                  <w:tcW w:w="0" w:type="auto"/>
                  <w:shd w:val="clear" w:color="auto" w:fill="auto"/>
                  <w:vAlign w:val="center"/>
                </w:tcPr>
                <w:p w14:paraId="67554BA1">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15</w:t>
                  </w:r>
                </w:p>
              </w:tc>
              <w:tc>
                <w:tcPr>
                  <w:tcW w:w="0" w:type="auto"/>
                  <w:shd w:val="clear" w:color="auto" w:fill="auto"/>
                  <w:vAlign w:val="center"/>
                </w:tcPr>
                <w:p w14:paraId="48BB5F78">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50</w:t>
                  </w:r>
                </w:p>
              </w:tc>
              <w:tc>
                <w:tcPr>
                  <w:tcW w:w="0" w:type="auto"/>
                  <w:shd w:val="clear" w:color="auto" w:fill="auto"/>
                  <w:vAlign w:val="center"/>
                </w:tcPr>
                <w:p w14:paraId="583FCB48">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2</w:t>
                  </w:r>
                </w:p>
              </w:tc>
              <w:tc>
                <w:tcPr>
                  <w:tcW w:w="0" w:type="auto"/>
                  <w:shd w:val="clear" w:color="auto" w:fill="auto"/>
                  <w:vAlign w:val="center"/>
                </w:tcPr>
                <w:p w14:paraId="62F6A919">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15</w:t>
                  </w:r>
                </w:p>
              </w:tc>
              <w:tc>
                <w:tcPr>
                  <w:tcW w:w="0" w:type="auto"/>
                  <w:shd w:val="clear" w:color="auto" w:fill="auto"/>
                  <w:vAlign w:val="center"/>
                </w:tcPr>
                <w:p w14:paraId="423DFCBD">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51</w:t>
                  </w:r>
                </w:p>
              </w:tc>
              <w:tc>
                <w:tcPr>
                  <w:tcW w:w="0" w:type="auto"/>
                  <w:shd w:val="clear" w:color="auto" w:fill="auto"/>
                  <w:vAlign w:val="center"/>
                </w:tcPr>
                <w:p w14:paraId="06BBA9D1">
                  <w:pPr>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continue"/>
                </w:tcPr>
                <w:p w14:paraId="003D266A">
                  <w:pPr>
                    <w:snapToGrid w:val="0"/>
                    <w:jc w:val="center"/>
                    <w:rPr>
                      <w:color w:val="auto"/>
                    </w:rPr>
                  </w:pPr>
                </w:p>
              </w:tc>
              <w:tc>
                <w:tcPr>
                  <w:tcW w:w="405" w:type="pct"/>
                  <w:vMerge w:val="continue"/>
                </w:tcPr>
                <w:p w14:paraId="00C0CAD4">
                  <w:pPr>
                    <w:snapToGrid w:val="0"/>
                    <w:jc w:val="center"/>
                    <w:rPr>
                      <w:color w:val="auto"/>
                    </w:rPr>
                  </w:pPr>
                </w:p>
              </w:tc>
              <w:tc>
                <w:tcPr>
                  <w:tcW w:w="458" w:type="pct"/>
                  <w:vMerge w:val="continue"/>
                </w:tcPr>
                <w:p w14:paraId="46597FEC">
                  <w:pPr>
                    <w:snapToGrid w:val="0"/>
                    <w:jc w:val="center"/>
                    <w:rPr>
                      <w:color w:val="auto"/>
                    </w:rPr>
                  </w:pPr>
                </w:p>
              </w:tc>
            </w:tr>
            <w:tr w14:paraId="6D3E4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8" w:type="pct"/>
                  <w:vMerge w:val="continue"/>
                </w:tcPr>
                <w:p w14:paraId="24554F2D">
                  <w:pPr>
                    <w:snapToGrid w:val="0"/>
                    <w:jc w:val="center"/>
                    <w:rPr>
                      <w:color w:val="auto"/>
                    </w:rPr>
                  </w:pPr>
                </w:p>
              </w:tc>
              <w:tc>
                <w:tcPr>
                  <w:tcW w:w="0" w:type="auto"/>
                  <w:shd w:val="clear" w:color="auto" w:fill="auto"/>
                  <w:vAlign w:val="center"/>
                </w:tcPr>
                <w:p w14:paraId="1771F7F8">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default" w:ascii="Times New Roman" w:hAnsi="Times New Roman" w:eastAsia="宋体" w:cs="Times New Roman"/>
                      <w:color w:val="auto"/>
                      <w:sz w:val="21"/>
                      <w:szCs w:val="21"/>
                      <w:u w:val="none" w:color="auto"/>
                      <w:lang w:val="en-US" w:eastAsia="zh-CN"/>
                    </w:rPr>
                    <w:t>封口机</w:t>
                  </w:r>
                </w:p>
              </w:tc>
              <w:tc>
                <w:tcPr>
                  <w:tcW w:w="0" w:type="auto"/>
                  <w:shd w:val="clear" w:color="auto" w:fill="auto"/>
                  <w:vAlign w:val="center"/>
                </w:tcPr>
                <w:p w14:paraId="5482227A">
                  <w:pPr>
                    <w:adjustRightInd w:val="0"/>
                    <w:snapToGrid w:val="0"/>
                    <w:jc w:val="center"/>
                    <w:rPr>
                      <w:rFonts w:hint="eastAsia" w:ascii="Times New Roman" w:hAnsi="Times New Roman" w:eastAsia="宋体" w:cs="Times New Roman"/>
                      <w:bCs/>
                      <w:snapToGrid w:val="0"/>
                      <w:color w:val="auto"/>
                      <w:kern w:val="0"/>
                      <w:sz w:val="21"/>
                      <w:szCs w:val="28"/>
                      <w:lang w:val="en-US" w:eastAsia="zh-CN" w:bidi="ar-SA"/>
                    </w:rPr>
                  </w:pPr>
                  <w:r>
                    <w:rPr>
                      <w:rFonts w:hint="eastAsia"/>
                      <w:color w:val="auto"/>
                    </w:rPr>
                    <w:t>/</w:t>
                  </w:r>
                </w:p>
              </w:tc>
              <w:tc>
                <w:tcPr>
                  <w:tcW w:w="347" w:type="pct"/>
                  <w:vMerge w:val="continue"/>
                </w:tcPr>
                <w:p w14:paraId="4A0C5440">
                  <w:pPr>
                    <w:snapToGrid w:val="0"/>
                    <w:jc w:val="center"/>
                    <w:rPr>
                      <w:color w:val="auto"/>
                    </w:rPr>
                  </w:pPr>
                </w:p>
              </w:tc>
              <w:tc>
                <w:tcPr>
                  <w:tcW w:w="0" w:type="auto"/>
                  <w:shd w:val="clear" w:color="auto" w:fill="auto"/>
                  <w:vAlign w:val="center"/>
                </w:tcPr>
                <w:p w14:paraId="524D3DDD">
                  <w:pPr>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bCs/>
                      <w:snapToGrid w:val="0"/>
                      <w:color w:val="auto"/>
                      <w:kern w:val="0"/>
                      <w:lang w:val="en-US" w:eastAsia="zh-CN"/>
                    </w:rPr>
                    <w:t>74</w:t>
                  </w:r>
                </w:p>
              </w:tc>
              <w:tc>
                <w:tcPr>
                  <w:tcW w:w="0" w:type="auto"/>
                  <w:shd w:val="clear" w:color="auto" w:fill="auto"/>
                  <w:vAlign w:val="center"/>
                </w:tcPr>
                <w:p w14:paraId="2E9328E4">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25</w:t>
                  </w:r>
                </w:p>
              </w:tc>
              <w:tc>
                <w:tcPr>
                  <w:tcW w:w="0" w:type="auto"/>
                  <w:shd w:val="clear" w:color="auto" w:fill="auto"/>
                  <w:vAlign w:val="center"/>
                </w:tcPr>
                <w:p w14:paraId="660D7049">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50</w:t>
                  </w:r>
                </w:p>
              </w:tc>
              <w:tc>
                <w:tcPr>
                  <w:tcW w:w="0" w:type="auto"/>
                  <w:shd w:val="clear" w:color="auto" w:fill="auto"/>
                  <w:vAlign w:val="center"/>
                </w:tcPr>
                <w:p w14:paraId="5BD1EE30">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2</w:t>
                  </w:r>
                </w:p>
              </w:tc>
              <w:tc>
                <w:tcPr>
                  <w:tcW w:w="0" w:type="auto"/>
                  <w:shd w:val="clear" w:color="auto" w:fill="auto"/>
                  <w:vAlign w:val="center"/>
                </w:tcPr>
                <w:p w14:paraId="10042EBF">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15</w:t>
                  </w:r>
                </w:p>
              </w:tc>
              <w:tc>
                <w:tcPr>
                  <w:tcW w:w="0" w:type="auto"/>
                  <w:shd w:val="clear" w:color="auto" w:fill="auto"/>
                  <w:vAlign w:val="center"/>
                </w:tcPr>
                <w:p w14:paraId="66DCB5A5">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51</w:t>
                  </w:r>
                </w:p>
              </w:tc>
              <w:tc>
                <w:tcPr>
                  <w:tcW w:w="0" w:type="auto"/>
                  <w:shd w:val="clear" w:color="auto" w:fill="auto"/>
                  <w:vAlign w:val="center"/>
                </w:tcPr>
                <w:p w14:paraId="5B3454D0">
                  <w:pPr>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continue"/>
                </w:tcPr>
                <w:p w14:paraId="154065AF">
                  <w:pPr>
                    <w:snapToGrid w:val="0"/>
                    <w:jc w:val="center"/>
                    <w:rPr>
                      <w:color w:val="auto"/>
                    </w:rPr>
                  </w:pPr>
                </w:p>
              </w:tc>
              <w:tc>
                <w:tcPr>
                  <w:tcW w:w="405" w:type="pct"/>
                  <w:vMerge w:val="continue"/>
                </w:tcPr>
                <w:p w14:paraId="76D281D9">
                  <w:pPr>
                    <w:snapToGrid w:val="0"/>
                    <w:jc w:val="center"/>
                    <w:rPr>
                      <w:color w:val="auto"/>
                    </w:rPr>
                  </w:pPr>
                </w:p>
              </w:tc>
              <w:tc>
                <w:tcPr>
                  <w:tcW w:w="458" w:type="pct"/>
                  <w:vMerge w:val="continue"/>
                </w:tcPr>
                <w:p w14:paraId="45506C26">
                  <w:pPr>
                    <w:snapToGrid w:val="0"/>
                    <w:jc w:val="center"/>
                    <w:rPr>
                      <w:color w:val="auto"/>
                    </w:rPr>
                  </w:pPr>
                </w:p>
              </w:tc>
            </w:tr>
            <w:tr w14:paraId="59742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8" w:type="pct"/>
                  <w:vMerge w:val="continue"/>
                </w:tcPr>
                <w:p w14:paraId="3802E08F">
                  <w:pPr>
                    <w:snapToGrid w:val="0"/>
                    <w:jc w:val="center"/>
                    <w:rPr>
                      <w:color w:val="auto"/>
                    </w:rPr>
                  </w:pPr>
                </w:p>
              </w:tc>
              <w:tc>
                <w:tcPr>
                  <w:tcW w:w="0" w:type="auto"/>
                  <w:shd w:val="clear" w:color="auto" w:fill="auto"/>
                  <w:vAlign w:val="center"/>
                </w:tcPr>
                <w:p w14:paraId="7CB465C1">
                  <w:pPr>
                    <w:pStyle w:val="6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zh-CN"/>
                    </w:rPr>
                  </w:pPr>
                  <w:r>
                    <w:rPr>
                      <w:rFonts w:hint="eastAsia" w:eastAsia="宋体" w:cs="Times New Roman"/>
                      <w:color w:val="auto"/>
                      <w:sz w:val="21"/>
                      <w:szCs w:val="21"/>
                      <w:u w:val="none" w:color="auto"/>
                      <w:lang w:val="en-US" w:eastAsia="zh-CN"/>
                    </w:rPr>
                    <w:t>打包机</w:t>
                  </w:r>
                </w:p>
              </w:tc>
              <w:tc>
                <w:tcPr>
                  <w:tcW w:w="0" w:type="auto"/>
                  <w:shd w:val="clear" w:color="auto" w:fill="auto"/>
                  <w:vAlign w:val="center"/>
                </w:tcPr>
                <w:p w14:paraId="4DE754AE">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w:t>
                  </w:r>
                </w:p>
              </w:tc>
              <w:tc>
                <w:tcPr>
                  <w:tcW w:w="347" w:type="pct"/>
                  <w:vMerge w:val="continue"/>
                </w:tcPr>
                <w:p w14:paraId="512383FD">
                  <w:pPr>
                    <w:snapToGrid w:val="0"/>
                    <w:jc w:val="center"/>
                    <w:rPr>
                      <w:color w:val="auto"/>
                    </w:rPr>
                  </w:pPr>
                </w:p>
              </w:tc>
              <w:tc>
                <w:tcPr>
                  <w:tcW w:w="0" w:type="auto"/>
                  <w:shd w:val="clear" w:color="auto" w:fill="auto"/>
                  <w:vAlign w:val="center"/>
                </w:tcPr>
                <w:p w14:paraId="5C049523">
                  <w:pPr>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bCs/>
                      <w:snapToGrid w:val="0"/>
                      <w:color w:val="auto"/>
                      <w:kern w:val="0"/>
                    </w:rPr>
                    <w:t>85</w:t>
                  </w:r>
                </w:p>
              </w:tc>
              <w:tc>
                <w:tcPr>
                  <w:tcW w:w="0" w:type="auto"/>
                  <w:shd w:val="clear" w:color="auto" w:fill="auto"/>
                  <w:vAlign w:val="center"/>
                </w:tcPr>
                <w:p w14:paraId="3B3444E2">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35</w:t>
                  </w:r>
                </w:p>
              </w:tc>
              <w:tc>
                <w:tcPr>
                  <w:tcW w:w="0" w:type="auto"/>
                  <w:shd w:val="clear" w:color="auto" w:fill="auto"/>
                  <w:vAlign w:val="center"/>
                </w:tcPr>
                <w:p w14:paraId="3DB50901">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50</w:t>
                  </w:r>
                </w:p>
              </w:tc>
              <w:tc>
                <w:tcPr>
                  <w:tcW w:w="0" w:type="auto"/>
                  <w:shd w:val="clear" w:color="auto" w:fill="auto"/>
                  <w:vAlign w:val="center"/>
                </w:tcPr>
                <w:p w14:paraId="3DEF7B3E">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2</w:t>
                  </w:r>
                </w:p>
              </w:tc>
              <w:tc>
                <w:tcPr>
                  <w:tcW w:w="0" w:type="auto"/>
                  <w:shd w:val="clear" w:color="auto" w:fill="auto"/>
                  <w:vAlign w:val="center"/>
                </w:tcPr>
                <w:p w14:paraId="565A83C1">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5</w:t>
                  </w:r>
                </w:p>
              </w:tc>
              <w:tc>
                <w:tcPr>
                  <w:tcW w:w="0" w:type="auto"/>
                  <w:shd w:val="clear" w:color="auto" w:fill="auto"/>
                  <w:vAlign w:val="center"/>
                </w:tcPr>
                <w:p w14:paraId="0BF0A872">
                  <w:pPr>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61</w:t>
                  </w:r>
                </w:p>
              </w:tc>
              <w:tc>
                <w:tcPr>
                  <w:tcW w:w="0" w:type="auto"/>
                  <w:shd w:val="clear" w:color="auto" w:fill="auto"/>
                  <w:vAlign w:val="center"/>
                </w:tcPr>
                <w:p w14:paraId="6A12B0CD">
                  <w:pPr>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10</w:t>
                  </w:r>
                  <w:r>
                    <w:rPr>
                      <w:rFonts w:hint="eastAsia"/>
                      <w:color w:val="auto"/>
                    </w:rPr>
                    <w:t>h</w:t>
                  </w:r>
                </w:p>
              </w:tc>
              <w:tc>
                <w:tcPr>
                  <w:tcW w:w="373" w:type="pct"/>
                  <w:vMerge w:val="continue"/>
                </w:tcPr>
                <w:p w14:paraId="19239BAD">
                  <w:pPr>
                    <w:snapToGrid w:val="0"/>
                    <w:jc w:val="center"/>
                    <w:rPr>
                      <w:color w:val="auto"/>
                    </w:rPr>
                  </w:pPr>
                </w:p>
              </w:tc>
              <w:tc>
                <w:tcPr>
                  <w:tcW w:w="405" w:type="pct"/>
                  <w:vMerge w:val="continue"/>
                </w:tcPr>
                <w:p w14:paraId="05F99627">
                  <w:pPr>
                    <w:snapToGrid w:val="0"/>
                    <w:jc w:val="center"/>
                    <w:rPr>
                      <w:color w:val="auto"/>
                    </w:rPr>
                  </w:pPr>
                </w:p>
              </w:tc>
              <w:tc>
                <w:tcPr>
                  <w:tcW w:w="458" w:type="pct"/>
                  <w:vMerge w:val="continue"/>
                </w:tcPr>
                <w:p w14:paraId="226B880F">
                  <w:pPr>
                    <w:snapToGrid w:val="0"/>
                    <w:jc w:val="center"/>
                    <w:rPr>
                      <w:color w:val="auto"/>
                    </w:rPr>
                  </w:pPr>
                </w:p>
              </w:tc>
            </w:tr>
          </w:tbl>
          <w:p w14:paraId="511704AA">
            <w:pPr>
              <w:pStyle w:val="4"/>
              <w:rPr>
                <w:rFonts w:hint="eastAsia"/>
                <w:color w:val="auto"/>
              </w:rPr>
            </w:pPr>
          </w:p>
        </w:tc>
      </w:tr>
    </w:tbl>
    <w:p w14:paraId="56ACD8BD">
      <w:pPr>
        <w:pStyle w:val="4"/>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p w14:paraId="75047620">
      <w:pPr>
        <w:rPr>
          <w:color w:val="auto"/>
        </w:rPr>
      </w:pPr>
    </w:p>
    <w:tbl>
      <w:tblPr>
        <w:tblStyle w:val="33"/>
        <w:tblW w:w="920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679"/>
        <w:gridCol w:w="8522"/>
      </w:tblGrid>
      <w:tr w14:paraId="31CA051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583" w:hRule="atLeast"/>
          <w:jc w:val="center"/>
        </w:trPr>
        <w:tc>
          <w:tcPr>
            <w:tcW w:w="679" w:type="dxa"/>
            <w:tcBorders>
              <w:tl2br w:val="nil"/>
              <w:tr2bl w:val="nil"/>
            </w:tcBorders>
            <w:tcMar>
              <w:left w:w="28" w:type="dxa"/>
              <w:right w:w="28" w:type="dxa"/>
            </w:tcMar>
            <w:vAlign w:val="center"/>
          </w:tcPr>
          <w:p w14:paraId="5D5D9CBA">
            <w:pPr>
              <w:rPr>
                <w:rFonts w:hint="default"/>
                <w:color w:val="auto"/>
                <w:highlight w:val="none"/>
                <w:lang w:eastAsia="zh-CN"/>
              </w:rPr>
            </w:pPr>
          </w:p>
        </w:tc>
        <w:tc>
          <w:tcPr>
            <w:tcW w:w="8522" w:type="dxa"/>
            <w:tcBorders>
              <w:tl2br w:val="nil"/>
              <w:tr2bl w:val="nil"/>
            </w:tcBorders>
            <w:vAlign w:val="top"/>
          </w:tcPr>
          <w:p w14:paraId="29E6254C">
            <w:pPr>
              <w:pStyle w:val="89"/>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ascii="Times New Roman" w:hAnsi="Times New Roman" w:eastAsia="仿宋_GB2312" w:cs="Times New Roman"/>
                <w:b/>
                <w:bCs/>
                <w:color w:val="auto"/>
                <w:spacing w:val="0"/>
                <w:kern w:val="2"/>
                <w:sz w:val="24"/>
                <w:szCs w:val="24"/>
                <w:highlight w:val="none"/>
                <w:lang w:val="en-US" w:eastAsia="zh-CN" w:bidi="ar-SA"/>
              </w:rPr>
            </w:pPr>
            <w:r>
              <w:rPr>
                <w:rFonts w:hint="eastAsia" w:ascii="Times New Roman" w:hAnsi="Times New Roman" w:eastAsia="仿宋_GB2312" w:cs="Times New Roman"/>
                <w:b/>
                <w:bCs/>
                <w:color w:val="auto"/>
                <w:spacing w:val="0"/>
                <w:kern w:val="2"/>
                <w:sz w:val="24"/>
                <w:szCs w:val="24"/>
                <w:highlight w:val="none"/>
                <w:lang w:val="en-US" w:eastAsia="zh-CN" w:bidi="ar-SA"/>
              </w:rPr>
              <w:t>3.2减噪措施</w:t>
            </w:r>
          </w:p>
          <w:p w14:paraId="66415FA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本项目运营期噪声主要为</w:t>
            </w:r>
            <w:r>
              <w:rPr>
                <w:rFonts w:hint="eastAsia" w:ascii="Times New Roman" w:hAnsi="Times New Roman" w:eastAsia="仿宋_GB2312" w:cs="Times New Roman"/>
                <w:color w:val="auto"/>
                <w:kern w:val="2"/>
                <w:sz w:val="24"/>
                <w:szCs w:val="24"/>
                <w:highlight w:val="none"/>
                <w:lang w:val="en-US" w:eastAsia="zh-CN" w:bidi="ar-SA"/>
              </w:rPr>
              <w:t>废气处理装置</w:t>
            </w:r>
            <w:r>
              <w:rPr>
                <w:rFonts w:hint="default" w:ascii="Times New Roman" w:hAnsi="Times New Roman" w:eastAsia="仿宋_GB2312" w:cs="Times New Roman"/>
                <w:color w:val="auto"/>
                <w:kern w:val="2"/>
                <w:sz w:val="24"/>
                <w:szCs w:val="24"/>
                <w:highlight w:val="none"/>
                <w:lang w:val="en-US" w:eastAsia="zh-CN" w:bidi="ar-SA"/>
              </w:rPr>
              <w:t>风机噪声，通过选用低噪音设备、基础</w:t>
            </w:r>
            <w:r>
              <w:rPr>
                <w:rFonts w:hint="eastAsia" w:eastAsia="仿宋_GB2312" w:cs="Times New Roman"/>
                <w:color w:val="auto"/>
                <w:kern w:val="2"/>
                <w:sz w:val="24"/>
                <w:szCs w:val="24"/>
                <w:highlight w:val="none"/>
                <w:lang w:val="en-US" w:eastAsia="zh-CN" w:bidi="ar-SA"/>
              </w:rPr>
              <w:t>减振</w:t>
            </w:r>
            <w:r>
              <w:rPr>
                <w:rFonts w:hint="default" w:ascii="Times New Roman" w:hAnsi="Times New Roman" w:eastAsia="仿宋_GB2312" w:cs="Times New Roman"/>
                <w:color w:val="auto"/>
                <w:kern w:val="2"/>
                <w:sz w:val="24"/>
                <w:szCs w:val="24"/>
                <w:highlight w:val="none"/>
                <w:lang w:val="en-US" w:eastAsia="zh-CN" w:bidi="ar-SA"/>
              </w:rPr>
              <w:t>等措施，可进一步降低噪声源强。</w:t>
            </w:r>
          </w:p>
          <w:p w14:paraId="41146010">
            <w:pPr>
              <w:pStyle w:val="89"/>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eastAsia" w:ascii="Times New Roman" w:hAnsi="Times New Roman" w:eastAsia="仿宋_GB2312" w:cs="Times New Roman"/>
                <w:b/>
                <w:bCs/>
                <w:color w:val="auto"/>
                <w:spacing w:val="0"/>
                <w:kern w:val="2"/>
                <w:sz w:val="24"/>
                <w:szCs w:val="24"/>
                <w:highlight w:val="none"/>
                <w:lang w:val="en-US" w:eastAsia="zh-CN" w:bidi="ar-SA"/>
              </w:rPr>
              <w:t>3.3噪声预测</w:t>
            </w:r>
          </w:p>
          <w:p w14:paraId="2411DC1A">
            <w:pPr>
              <w:adjustRightInd w:val="0"/>
              <w:snapToGrid w:val="0"/>
              <w:ind w:firstLine="420" w:firstLineChars="200"/>
              <w:jc w:val="both"/>
              <w:rPr>
                <w:rFonts w:hint="default" w:ascii="Times New Roman" w:hAnsi="Times New Roman" w:eastAsia="宋体" w:cs="Times New Roman"/>
                <w:b/>
                <w:color w:val="auto"/>
                <w:highlight w:val="none"/>
              </w:rPr>
            </w:pPr>
            <w:r>
              <w:rPr>
                <w:rFonts w:hint="default" w:ascii="Times New Roman" w:hAnsi="Times New Roman" w:eastAsia="宋体" w:cs="Times New Roman"/>
                <w:b w:val="0"/>
                <w:bCs/>
                <w:color w:val="auto"/>
                <w:kern w:val="2"/>
                <w:sz w:val="21"/>
                <w:szCs w:val="21"/>
                <w:lang w:val="en-US" w:eastAsia="zh-CN" w:bidi="ar-SA"/>
              </w:rPr>
              <w:t>表</w:t>
            </w:r>
            <w:r>
              <w:rPr>
                <w:rFonts w:hint="eastAsia" w:ascii="Times New Roman" w:hAnsi="Times New Roman" w:eastAsia="宋体" w:cs="Times New Roman"/>
                <w:b w:val="0"/>
                <w:bCs/>
                <w:color w:val="auto"/>
                <w:kern w:val="2"/>
                <w:sz w:val="21"/>
                <w:szCs w:val="21"/>
                <w:lang w:val="en-US" w:eastAsia="zh-CN" w:bidi="ar-SA"/>
              </w:rPr>
              <w:t>4</w:t>
            </w:r>
            <w:r>
              <w:rPr>
                <w:rFonts w:hint="eastAsia" w:cs="Times New Roman"/>
                <w:b w:val="0"/>
                <w:bCs/>
                <w:color w:val="auto"/>
                <w:kern w:val="2"/>
                <w:sz w:val="21"/>
                <w:szCs w:val="21"/>
                <w:lang w:val="en-US" w:eastAsia="zh-CN" w:bidi="ar-SA"/>
              </w:rPr>
              <w:t>4</w:t>
            </w:r>
            <w:r>
              <w:rPr>
                <w:rFonts w:hint="default" w:ascii="Times New Roman" w:hAnsi="Times New Roman" w:eastAsia="宋体" w:cs="Times New Roman"/>
                <w:b w:val="0"/>
                <w:bCs/>
                <w:color w:val="auto"/>
                <w:kern w:val="2"/>
                <w:sz w:val="21"/>
                <w:szCs w:val="21"/>
                <w:lang w:val="en-US" w:eastAsia="zh-CN" w:bidi="ar-SA"/>
              </w:rPr>
              <w:t xml:space="preserve">  </w:t>
            </w:r>
            <w:r>
              <w:rPr>
                <w:rFonts w:hint="default" w:ascii="Times New Roman" w:hAnsi="Times New Roman" w:eastAsia="宋体" w:cs="Times New Roman"/>
                <w:b/>
                <w:color w:val="auto"/>
                <w:sz w:val="24"/>
                <w:szCs w:val="24"/>
                <w:highlight w:val="none"/>
              </w:rPr>
              <w:t xml:space="preserve">          噪声预测结果一览表            单位：dB（A）</w:t>
            </w:r>
          </w:p>
          <w:tbl>
            <w:tblPr>
              <w:tblStyle w:val="33"/>
              <w:tblW w:w="82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026"/>
              <w:gridCol w:w="1113"/>
              <w:gridCol w:w="1159"/>
              <w:gridCol w:w="1177"/>
              <w:gridCol w:w="1004"/>
              <w:gridCol w:w="970"/>
              <w:gridCol w:w="992"/>
            </w:tblGrid>
            <w:tr w14:paraId="7F88D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804" w:type="dxa"/>
                  <w:gridSpan w:val="2"/>
                  <w:vMerge w:val="restart"/>
                  <w:noWrap w:val="0"/>
                  <w:vAlign w:val="center"/>
                </w:tcPr>
                <w:p w14:paraId="23C2F28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厂界噪声声级</w:t>
                  </w:r>
                </w:p>
              </w:tc>
              <w:tc>
                <w:tcPr>
                  <w:tcW w:w="4453" w:type="dxa"/>
                  <w:gridSpan w:val="4"/>
                  <w:noWrap w:val="0"/>
                  <w:vAlign w:val="center"/>
                </w:tcPr>
                <w:p w14:paraId="484D70EC">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位     置</w:t>
                  </w:r>
                </w:p>
              </w:tc>
              <w:tc>
                <w:tcPr>
                  <w:tcW w:w="970" w:type="dxa"/>
                  <w:vMerge w:val="restart"/>
                  <w:noWrap w:val="0"/>
                  <w:vAlign w:val="center"/>
                </w:tcPr>
                <w:p w14:paraId="46E2C5A6">
                  <w:pPr>
                    <w:overflowPunct w:val="0"/>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w:t>
                  </w:r>
                </w:p>
              </w:tc>
              <w:tc>
                <w:tcPr>
                  <w:tcW w:w="992" w:type="dxa"/>
                  <w:vMerge w:val="restart"/>
                  <w:noWrap w:val="0"/>
                  <w:vAlign w:val="center"/>
                </w:tcPr>
                <w:p w14:paraId="02B8342B">
                  <w:pPr>
                    <w:overflowPunct w:val="0"/>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达标情况</w:t>
                  </w:r>
                </w:p>
              </w:tc>
            </w:tr>
            <w:tr w14:paraId="3C438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0" w:hRule="atLeast"/>
                <w:jc w:val="center"/>
              </w:trPr>
              <w:tc>
                <w:tcPr>
                  <w:tcW w:w="1804" w:type="dxa"/>
                  <w:gridSpan w:val="2"/>
                  <w:vMerge w:val="continue"/>
                  <w:noWrap w:val="0"/>
                  <w:vAlign w:val="center"/>
                </w:tcPr>
                <w:p w14:paraId="292FE4D9">
                  <w:pPr>
                    <w:adjustRightInd w:val="0"/>
                    <w:snapToGrid w:val="0"/>
                    <w:jc w:val="center"/>
                    <w:rPr>
                      <w:rFonts w:hint="default" w:ascii="Times New Roman" w:hAnsi="Times New Roman" w:cs="Times New Roman"/>
                      <w:color w:val="auto"/>
                      <w:sz w:val="21"/>
                      <w:szCs w:val="21"/>
                    </w:rPr>
                  </w:pPr>
                </w:p>
              </w:tc>
              <w:tc>
                <w:tcPr>
                  <w:tcW w:w="1113" w:type="dxa"/>
                  <w:noWrap w:val="0"/>
                  <w:vAlign w:val="center"/>
                </w:tcPr>
                <w:p w14:paraId="4DC31E8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东厂界</w:t>
                  </w:r>
                </w:p>
              </w:tc>
              <w:tc>
                <w:tcPr>
                  <w:tcW w:w="1159" w:type="dxa"/>
                  <w:noWrap w:val="0"/>
                  <w:vAlign w:val="center"/>
                </w:tcPr>
                <w:p w14:paraId="54B42BA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南厂界</w:t>
                  </w:r>
                </w:p>
              </w:tc>
              <w:tc>
                <w:tcPr>
                  <w:tcW w:w="1177" w:type="dxa"/>
                  <w:noWrap w:val="0"/>
                  <w:vAlign w:val="center"/>
                </w:tcPr>
                <w:p w14:paraId="7FE820E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西厂界</w:t>
                  </w:r>
                </w:p>
              </w:tc>
              <w:tc>
                <w:tcPr>
                  <w:tcW w:w="1004" w:type="dxa"/>
                  <w:noWrap w:val="0"/>
                  <w:vAlign w:val="center"/>
                </w:tcPr>
                <w:p w14:paraId="7F3EC5D1">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北厂界</w:t>
                  </w:r>
                </w:p>
              </w:tc>
              <w:tc>
                <w:tcPr>
                  <w:tcW w:w="970" w:type="dxa"/>
                  <w:vMerge w:val="continue"/>
                  <w:noWrap w:val="0"/>
                  <w:vAlign w:val="center"/>
                </w:tcPr>
                <w:p w14:paraId="57589457">
                  <w:pPr>
                    <w:adjustRightInd w:val="0"/>
                    <w:snapToGrid w:val="0"/>
                    <w:jc w:val="center"/>
                    <w:rPr>
                      <w:rFonts w:hint="default" w:ascii="Times New Roman" w:hAnsi="Times New Roman" w:cs="Times New Roman"/>
                      <w:color w:val="auto"/>
                      <w:sz w:val="21"/>
                      <w:szCs w:val="21"/>
                    </w:rPr>
                  </w:pPr>
                </w:p>
              </w:tc>
              <w:tc>
                <w:tcPr>
                  <w:tcW w:w="992" w:type="dxa"/>
                  <w:vMerge w:val="continue"/>
                  <w:noWrap w:val="0"/>
                  <w:vAlign w:val="center"/>
                </w:tcPr>
                <w:p w14:paraId="7B785413">
                  <w:pPr>
                    <w:adjustRightInd w:val="0"/>
                    <w:snapToGrid w:val="0"/>
                    <w:jc w:val="center"/>
                    <w:rPr>
                      <w:rFonts w:hint="default" w:ascii="Times New Roman" w:hAnsi="Times New Roman" w:cs="Times New Roman"/>
                      <w:color w:val="auto"/>
                      <w:sz w:val="21"/>
                      <w:szCs w:val="21"/>
                    </w:rPr>
                  </w:pPr>
                </w:p>
              </w:tc>
            </w:tr>
            <w:tr w14:paraId="03CB4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78" w:type="dxa"/>
                  <w:vMerge w:val="restart"/>
                  <w:noWrap w:val="0"/>
                  <w:vAlign w:val="center"/>
                </w:tcPr>
                <w:p w14:paraId="4372A5F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声级dB(A)</w:t>
                  </w:r>
                </w:p>
              </w:tc>
              <w:tc>
                <w:tcPr>
                  <w:tcW w:w="1026" w:type="dxa"/>
                  <w:noWrap w:val="0"/>
                  <w:vAlign w:val="center"/>
                </w:tcPr>
                <w:p w14:paraId="35712B4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昼间（dB）</w:t>
                  </w:r>
                </w:p>
              </w:tc>
              <w:tc>
                <w:tcPr>
                  <w:tcW w:w="1113" w:type="dxa"/>
                  <w:noWrap w:val="0"/>
                  <w:vAlign w:val="center"/>
                </w:tcPr>
                <w:p w14:paraId="51C105C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42.11</w:t>
                  </w:r>
                </w:p>
              </w:tc>
              <w:tc>
                <w:tcPr>
                  <w:tcW w:w="1159" w:type="dxa"/>
                  <w:noWrap w:val="0"/>
                  <w:vAlign w:val="center"/>
                </w:tcPr>
                <w:p w14:paraId="67E21D4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36.09</w:t>
                  </w:r>
                </w:p>
              </w:tc>
              <w:tc>
                <w:tcPr>
                  <w:tcW w:w="1177" w:type="dxa"/>
                  <w:noWrap w:val="0"/>
                  <w:vAlign w:val="center"/>
                </w:tcPr>
                <w:p w14:paraId="55019379">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41.4</w:t>
                  </w:r>
                </w:p>
              </w:tc>
              <w:tc>
                <w:tcPr>
                  <w:tcW w:w="1004" w:type="dxa"/>
                  <w:noWrap w:val="0"/>
                  <w:vAlign w:val="center"/>
                </w:tcPr>
                <w:p w14:paraId="473A1B54">
                  <w:pPr>
                    <w:adjustRightInd w:val="0"/>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4.05</w:t>
                  </w:r>
                </w:p>
              </w:tc>
              <w:tc>
                <w:tcPr>
                  <w:tcW w:w="970" w:type="dxa"/>
                  <w:noWrap w:val="0"/>
                  <w:vAlign w:val="center"/>
                </w:tcPr>
                <w:p w14:paraId="21C69BD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992" w:type="dxa"/>
                  <w:noWrap w:val="0"/>
                  <w:vAlign w:val="center"/>
                </w:tcPr>
                <w:p w14:paraId="4984D529">
                  <w:pPr>
                    <w:overflowPunct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D859F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78" w:type="dxa"/>
                  <w:vMerge w:val="continue"/>
                  <w:noWrap w:val="0"/>
                  <w:vAlign w:val="center"/>
                </w:tcPr>
                <w:p w14:paraId="6F48CF9B">
                  <w:pPr>
                    <w:adjustRightInd w:val="0"/>
                    <w:snapToGrid w:val="0"/>
                    <w:jc w:val="center"/>
                    <w:rPr>
                      <w:rFonts w:hint="default" w:ascii="Times New Roman" w:hAnsi="Times New Roman" w:cs="Times New Roman"/>
                      <w:color w:val="auto"/>
                      <w:sz w:val="21"/>
                      <w:szCs w:val="21"/>
                    </w:rPr>
                  </w:pPr>
                </w:p>
              </w:tc>
              <w:tc>
                <w:tcPr>
                  <w:tcW w:w="1026" w:type="dxa"/>
                  <w:noWrap w:val="0"/>
                  <w:vAlign w:val="center"/>
                </w:tcPr>
                <w:p w14:paraId="3CD3078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夜间（dB）</w:t>
                  </w:r>
                </w:p>
              </w:tc>
              <w:tc>
                <w:tcPr>
                  <w:tcW w:w="1113" w:type="dxa"/>
                  <w:noWrap w:val="0"/>
                  <w:vAlign w:val="center"/>
                </w:tcPr>
                <w:p w14:paraId="22D4B3B7">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42.11</w:t>
                  </w:r>
                </w:p>
              </w:tc>
              <w:tc>
                <w:tcPr>
                  <w:tcW w:w="1159" w:type="dxa"/>
                  <w:noWrap w:val="0"/>
                  <w:vAlign w:val="center"/>
                </w:tcPr>
                <w:p w14:paraId="0C919B9A">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36.09</w:t>
                  </w:r>
                </w:p>
              </w:tc>
              <w:tc>
                <w:tcPr>
                  <w:tcW w:w="1177" w:type="dxa"/>
                  <w:noWrap w:val="0"/>
                  <w:vAlign w:val="center"/>
                </w:tcPr>
                <w:p w14:paraId="605D1D3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41.4</w:t>
                  </w:r>
                </w:p>
              </w:tc>
              <w:tc>
                <w:tcPr>
                  <w:tcW w:w="1004" w:type="dxa"/>
                  <w:noWrap w:val="0"/>
                  <w:vAlign w:val="center"/>
                </w:tcPr>
                <w:p w14:paraId="69EB1E98">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4.05</w:t>
                  </w:r>
                </w:p>
              </w:tc>
              <w:tc>
                <w:tcPr>
                  <w:tcW w:w="970" w:type="dxa"/>
                  <w:noWrap w:val="0"/>
                  <w:vAlign w:val="center"/>
                </w:tcPr>
                <w:p w14:paraId="0D33363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992" w:type="dxa"/>
                  <w:noWrap w:val="0"/>
                  <w:vAlign w:val="center"/>
                </w:tcPr>
                <w:p w14:paraId="34FDBB6A">
                  <w:pPr>
                    <w:overflowPunct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14:paraId="7599A9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kern w:val="0"/>
                <w:sz w:val="24"/>
                <w:szCs w:val="24"/>
                <w:highlight w:val="yellow"/>
                <w:lang w:val="en-US" w:eastAsia="zh-CN" w:bidi="ar-SA"/>
              </w:rPr>
            </w:pPr>
            <w:r>
              <w:rPr>
                <w:rFonts w:hint="default" w:ascii="Times New Roman" w:hAnsi="Times New Roman" w:eastAsia="仿宋_GB2312" w:cs="Times New Roman"/>
                <w:color w:val="auto"/>
                <w:kern w:val="0"/>
                <w:sz w:val="24"/>
                <w:szCs w:val="24"/>
                <w:highlight w:val="none"/>
                <w:lang w:val="en-US" w:eastAsia="zh-CN" w:bidi="ar-SA"/>
              </w:rPr>
              <w:t>综上所述，通过以上降噪措施，可以使厂界噪声达到《工业企业厂界环境噪声排放标准》（GB12348-2008）</w:t>
            </w:r>
            <w:r>
              <w:rPr>
                <w:rFonts w:hint="eastAsia" w:ascii="Times New Roman" w:hAnsi="Times New Roman" w:eastAsia="仿宋_GB2312" w:cs="Times New Roman"/>
                <w:color w:val="auto"/>
                <w:kern w:val="0"/>
                <w:sz w:val="24"/>
                <w:szCs w:val="24"/>
                <w:highlight w:val="none"/>
                <w:lang w:val="en-US" w:eastAsia="zh-CN" w:bidi="ar-SA"/>
              </w:rPr>
              <w:t>1</w:t>
            </w:r>
            <w:r>
              <w:rPr>
                <w:rFonts w:hint="default" w:ascii="Times New Roman" w:hAnsi="Times New Roman" w:eastAsia="仿宋_GB2312" w:cs="Times New Roman"/>
                <w:color w:val="auto"/>
                <w:kern w:val="0"/>
                <w:sz w:val="24"/>
                <w:szCs w:val="24"/>
                <w:highlight w:val="none"/>
                <w:lang w:val="en-US" w:eastAsia="zh-CN" w:bidi="ar-SA"/>
              </w:rPr>
              <w:t>类标准</w:t>
            </w:r>
            <w:r>
              <w:rPr>
                <w:rFonts w:hint="eastAsia" w:ascii="Times New Roman" w:hAnsi="Times New Roman" w:eastAsia="仿宋_GB2312" w:cs="Times New Roman"/>
                <w:color w:val="auto"/>
                <w:kern w:val="0"/>
                <w:sz w:val="24"/>
                <w:szCs w:val="24"/>
                <w:highlight w:val="none"/>
                <w:lang w:val="en-US" w:eastAsia="zh-CN" w:bidi="ar-SA"/>
              </w:rPr>
              <w:t>。</w:t>
            </w:r>
          </w:p>
          <w:p w14:paraId="797F0C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为更进一步降低项目噪声对周边声环境的影响，项目须采取以下措施：①设备选型时优先选用振动小、噪声低的设备；②隔振基础，采用弹性支架，以减少振动、降低噪声；③采取设置绿化带、隔离带等绿化降噪措施；④对进入厂区的所有车辆实行禁鸣和限速，并对车流进行定向控制和分流。</w:t>
            </w:r>
          </w:p>
          <w:p w14:paraId="58E7C1D2">
            <w:pPr>
              <w:pStyle w:val="89"/>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ascii="Times New Roman" w:hAnsi="Times New Roman" w:eastAsia="仿宋_GB2312" w:cs="Times New Roman"/>
                <w:b/>
                <w:bCs/>
                <w:color w:val="auto"/>
                <w:spacing w:val="0"/>
                <w:kern w:val="2"/>
                <w:sz w:val="24"/>
                <w:szCs w:val="24"/>
                <w:highlight w:val="none"/>
                <w:lang w:val="en-US" w:eastAsia="zh-CN" w:bidi="ar-SA"/>
              </w:rPr>
            </w:pPr>
            <w:r>
              <w:rPr>
                <w:rFonts w:hint="eastAsia" w:ascii="Times New Roman" w:hAnsi="Times New Roman" w:eastAsia="仿宋_GB2312" w:cs="Times New Roman"/>
                <w:b/>
                <w:bCs/>
                <w:color w:val="auto"/>
                <w:spacing w:val="0"/>
                <w:kern w:val="2"/>
                <w:sz w:val="24"/>
                <w:szCs w:val="24"/>
                <w:highlight w:val="none"/>
                <w:lang w:val="en-US" w:eastAsia="zh-CN" w:bidi="ar-SA"/>
              </w:rPr>
              <w:t>3.4运营期噪声监测计划</w:t>
            </w:r>
          </w:p>
          <w:p w14:paraId="7FF0EC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对照《排污单位自行监测技术指南 总则》（HJ819-2017）中的有关规定，本项目营运期噪声监测计划见下表</w:t>
            </w:r>
            <w:r>
              <w:rPr>
                <w:rFonts w:hint="default" w:ascii="Times New Roman" w:hAnsi="Times New Roman" w:eastAsia="仿宋_GB2312" w:cs="Times New Roman"/>
                <w:color w:val="auto"/>
                <w:kern w:val="0"/>
                <w:sz w:val="24"/>
                <w:szCs w:val="20"/>
                <w:lang w:val="en-US" w:eastAsia="zh-CN" w:bidi="ar-SA"/>
              </w:rPr>
              <w:t>。</w:t>
            </w:r>
          </w:p>
          <w:p w14:paraId="7D975F84">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b/>
                <w:bCs/>
                <w:color w:val="auto"/>
                <w:sz w:val="24"/>
              </w:rPr>
            </w:pPr>
            <w:r>
              <w:rPr>
                <w:b/>
                <w:bCs/>
                <w:color w:val="auto"/>
                <w:sz w:val="24"/>
              </w:rPr>
              <w:t>表</w:t>
            </w:r>
            <w:r>
              <w:rPr>
                <w:rFonts w:hint="eastAsia"/>
                <w:b/>
                <w:bCs/>
                <w:color w:val="auto"/>
                <w:sz w:val="24"/>
                <w:lang w:val="en-US" w:eastAsia="zh-CN"/>
              </w:rPr>
              <w:t>45</w:t>
            </w:r>
            <w:r>
              <w:rPr>
                <w:b/>
                <w:bCs/>
                <w:color w:val="auto"/>
                <w:sz w:val="24"/>
              </w:rPr>
              <w:t xml:space="preserve">   项目运营期</w:t>
            </w:r>
            <w:r>
              <w:rPr>
                <w:rFonts w:hint="eastAsia"/>
                <w:b/>
                <w:bCs/>
                <w:color w:val="auto"/>
                <w:sz w:val="24"/>
              </w:rPr>
              <w:t>噪声</w:t>
            </w:r>
            <w:r>
              <w:rPr>
                <w:b/>
                <w:bCs/>
                <w:color w:val="auto"/>
                <w:sz w:val="24"/>
              </w:rPr>
              <w:t>监测计划表</w:t>
            </w:r>
          </w:p>
          <w:tbl>
            <w:tblPr>
              <w:tblStyle w:val="33"/>
              <w:tblW w:w="823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428"/>
              <w:gridCol w:w="1415"/>
              <w:gridCol w:w="1413"/>
              <w:gridCol w:w="2873"/>
            </w:tblGrid>
            <w:tr w14:paraId="16E29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dxa"/>
                  <w:tcBorders>
                    <w:tl2br w:val="nil"/>
                    <w:tr2bl w:val="nil"/>
                  </w:tcBorders>
                  <w:vAlign w:val="center"/>
                </w:tcPr>
                <w:p w14:paraId="28C03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监测要素</w:t>
                  </w:r>
                </w:p>
              </w:tc>
              <w:tc>
                <w:tcPr>
                  <w:tcW w:w="1428" w:type="dxa"/>
                  <w:tcBorders>
                    <w:tl2br w:val="nil"/>
                    <w:tr2bl w:val="nil"/>
                  </w:tcBorders>
                  <w:vAlign w:val="center"/>
                </w:tcPr>
                <w:p w14:paraId="1FF008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监测点位</w:t>
                  </w:r>
                </w:p>
              </w:tc>
              <w:tc>
                <w:tcPr>
                  <w:tcW w:w="1415" w:type="dxa"/>
                  <w:tcBorders>
                    <w:tl2br w:val="nil"/>
                    <w:tr2bl w:val="nil"/>
                  </w:tcBorders>
                  <w:vAlign w:val="center"/>
                </w:tcPr>
                <w:p w14:paraId="114391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监测项目</w:t>
                  </w:r>
                </w:p>
              </w:tc>
              <w:tc>
                <w:tcPr>
                  <w:tcW w:w="1413" w:type="dxa"/>
                  <w:tcBorders>
                    <w:tl2br w:val="nil"/>
                    <w:tr2bl w:val="nil"/>
                  </w:tcBorders>
                  <w:vAlign w:val="center"/>
                </w:tcPr>
                <w:p w14:paraId="053902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监测频次</w:t>
                  </w:r>
                </w:p>
              </w:tc>
              <w:tc>
                <w:tcPr>
                  <w:tcW w:w="2873" w:type="dxa"/>
                  <w:tcBorders>
                    <w:tl2br w:val="nil"/>
                    <w:tr2bl w:val="nil"/>
                  </w:tcBorders>
                  <w:vAlign w:val="center"/>
                </w:tcPr>
                <w:p w14:paraId="3BC42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执行标准</w:t>
                  </w:r>
                </w:p>
              </w:tc>
            </w:tr>
            <w:tr w14:paraId="45F36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3" w:type="dxa"/>
                  <w:tcBorders>
                    <w:tl2br w:val="nil"/>
                    <w:tr2bl w:val="nil"/>
                  </w:tcBorders>
                  <w:vAlign w:val="center"/>
                </w:tcPr>
                <w:p w14:paraId="6E90F1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噪声</w:t>
                  </w:r>
                </w:p>
              </w:tc>
              <w:tc>
                <w:tcPr>
                  <w:tcW w:w="1428" w:type="dxa"/>
                  <w:tcBorders>
                    <w:tl2br w:val="nil"/>
                    <w:tr2bl w:val="nil"/>
                  </w:tcBorders>
                  <w:vAlign w:val="center"/>
                </w:tcPr>
                <w:p w14:paraId="3E3536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厂界外1m</w:t>
                  </w:r>
                </w:p>
              </w:tc>
              <w:tc>
                <w:tcPr>
                  <w:tcW w:w="1415" w:type="dxa"/>
                  <w:tcBorders>
                    <w:tl2br w:val="nil"/>
                    <w:tr2bl w:val="nil"/>
                  </w:tcBorders>
                  <w:vAlign w:val="center"/>
                </w:tcPr>
                <w:p w14:paraId="03B829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等效连续A声级</w:t>
                  </w:r>
                </w:p>
              </w:tc>
              <w:tc>
                <w:tcPr>
                  <w:tcW w:w="1413" w:type="dxa"/>
                  <w:tcBorders>
                    <w:tl2br w:val="nil"/>
                    <w:tr2bl w:val="nil"/>
                  </w:tcBorders>
                  <w:vAlign w:val="center"/>
                </w:tcPr>
                <w:p w14:paraId="223A6D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1次/季，昼</w:t>
                  </w:r>
                  <w:r>
                    <w:rPr>
                      <w:rFonts w:hint="eastAsia"/>
                      <w:color w:val="auto"/>
                      <w:sz w:val="21"/>
                      <w:szCs w:val="21"/>
                      <w:lang w:eastAsia="zh-CN"/>
                    </w:rPr>
                    <w:t>间监测</w:t>
                  </w:r>
                  <w:r>
                    <w:rPr>
                      <w:color w:val="auto"/>
                      <w:sz w:val="21"/>
                      <w:szCs w:val="21"/>
                    </w:rPr>
                    <w:t>，连续监测2天</w:t>
                  </w:r>
                </w:p>
              </w:tc>
              <w:tc>
                <w:tcPr>
                  <w:tcW w:w="2873" w:type="dxa"/>
                  <w:tcBorders>
                    <w:tl2br w:val="nil"/>
                    <w:tr2bl w:val="nil"/>
                  </w:tcBorders>
                  <w:vAlign w:val="center"/>
                </w:tcPr>
                <w:p w14:paraId="51934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《工业企业厂界环境噪声排放标准》（GB12348-2008）中的</w:t>
                  </w:r>
                  <w:r>
                    <w:rPr>
                      <w:rFonts w:hint="eastAsia"/>
                      <w:color w:val="auto"/>
                      <w:sz w:val="21"/>
                      <w:szCs w:val="21"/>
                      <w:lang w:val="en-US" w:eastAsia="zh-CN"/>
                    </w:rPr>
                    <w:t>1</w:t>
                  </w:r>
                  <w:r>
                    <w:rPr>
                      <w:color w:val="auto"/>
                      <w:sz w:val="21"/>
                      <w:szCs w:val="21"/>
                    </w:rPr>
                    <w:t>类标准</w:t>
                  </w:r>
                </w:p>
              </w:tc>
            </w:tr>
          </w:tbl>
          <w:p w14:paraId="215D0585">
            <w:pPr>
              <w:pStyle w:val="89"/>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eastAsia" w:ascii="Times New Roman" w:hAnsi="Times New Roman" w:eastAsia="仿宋_GB2312" w:cs="Times New Roman"/>
                <w:b/>
                <w:bCs/>
                <w:color w:val="auto"/>
                <w:spacing w:val="0"/>
                <w:kern w:val="2"/>
                <w:sz w:val="24"/>
                <w:szCs w:val="24"/>
                <w:highlight w:val="none"/>
                <w:lang w:val="en-US" w:eastAsia="zh-CN" w:bidi="ar-SA"/>
              </w:rPr>
              <w:t>4.</w:t>
            </w:r>
            <w:r>
              <w:rPr>
                <w:rFonts w:hint="default" w:ascii="Times New Roman" w:hAnsi="Times New Roman" w:eastAsia="仿宋_GB2312" w:cs="Times New Roman"/>
                <w:b/>
                <w:bCs/>
                <w:color w:val="auto"/>
                <w:spacing w:val="0"/>
                <w:kern w:val="2"/>
                <w:sz w:val="24"/>
                <w:szCs w:val="24"/>
                <w:highlight w:val="none"/>
                <w:lang w:val="en-US" w:eastAsia="zh-CN" w:bidi="ar-SA"/>
              </w:rPr>
              <w:t>固体废物环境影响分析</w:t>
            </w:r>
          </w:p>
          <w:p w14:paraId="0800012F">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本项目产生的一般固废主要是生活垃圾</w:t>
            </w:r>
            <w:r>
              <w:rPr>
                <w:rFonts w:hint="eastAsia" w:ascii="Times New Roman" w:hAnsi="Times New Roman" w:eastAsia="仿宋_GB2312" w:cs="Times New Roman"/>
                <w:color w:val="auto"/>
                <w:spacing w:val="0"/>
                <w:kern w:val="2"/>
                <w:sz w:val="24"/>
                <w:szCs w:val="24"/>
                <w:highlight w:val="none"/>
                <w:lang w:val="en-US" w:eastAsia="zh-CN" w:bidi="ar-SA"/>
              </w:rPr>
              <w:t>、修剪枝叶</w:t>
            </w:r>
            <w:r>
              <w:rPr>
                <w:rFonts w:hint="default" w:ascii="Times New Roman" w:hAnsi="Times New Roman" w:eastAsia="仿宋_GB2312" w:cs="Times New Roman"/>
                <w:color w:val="auto"/>
                <w:spacing w:val="0"/>
                <w:kern w:val="2"/>
                <w:sz w:val="24"/>
                <w:szCs w:val="24"/>
                <w:highlight w:val="none"/>
                <w:lang w:val="en-US" w:eastAsia="zh-CN" w:bidi="ar-SA"/>
              </w:rPr>
              <w:t>；产生的危险废物主要有废试剂瓶/桶、实验废液、废标液、废培养皿、废培养基、过期药品、过期试剂</w:t>
            </w:r>
            <w:r>
              <w:rPr>
                <w:rFonts w:hint="eastAsia" w:ascii="Times New Roman" w:hAnsi="Times New Roman" w:eastAsia="仿宋_GB2312" w:cs="Times New Roman"/>
                <w:color w:val="auto"/>
                <w:spacing w:val="0"/>
                <w:kern w:val="2"/>
                <w:sz w:val="24"/>
                <w:szCs w:val="24"/>
                <w:highlight w:val="none"/>
                <w:lang w:val="en-US" w:eastAsia="zh-CN" w:bidi="ar-SA"/>
              </w:rPr>
              <w:t>。</w:t>
            </w:r>
          </w:p>
          <w:p w14:paraId="578A98D6">
            <w:pPr>
              <w:pStyle w:val="89"/>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eastAsia" w:ascii="Times New Roman" w:hAnsi="Times New Roman" w:eastAsia="仿宋_GB2312" w:cs="Times New Roman"/>
                <w:b/>
                <w:bCs/>
                <w:color w:val="auto"/>
                <w:spacing w:val="0"/>
                <w:kern w:val="2"/>
                <w:sz w:val="24"/>
                <w:szCs w:val="24"/>
                <w:highlight w:val="none"/>
                <w:lang w:val="en-US" w:eastAsia="zh-CN" w:bidi="ar-SA"/>
              </w:rPr>
              <w:t>4.1</w:t>
            </w:r>
            <w:r>
              <w:rPr>
                <w:rFonts w:hint="default" w:ascii="Times New Roman" w:hAnsi="Times New Roman" w:eastAsia="仿宋_GB2312" w:cs="Times New Roman"/>
                <w:b/>
                <w:bCs/>
                <w:color w:val="auto"/>
                <w:spacing w:val="0"/>
                <w:kern w:val="2"/>
                <w:sz w:val="24"/>
                <w:szCs w:val="24"/>
                <w:highlight w:val="none"/>
                <w:lang w:val="en-US" w:eastAsia="zh-CN" w:bidi="ar-SA"/>
              </w:rPr>
              <w:t>固体废物产排情况</w:t>
            </w:r>
          </w:p>
          <w:p w14:paraId="54B5A92E">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（1）固体废物产排情况汇总</w:t>
            </w:r>
          </w:p>
          <w:p w14:paraId="65317364">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本项目固体废物产生及排放情况详见表</w:t>
            </w:r>
            <w:r>
              <w:rPr>
                <w:rFonts w:hint="eastAsia" w:ascii="Times New Roman" w:hAnsi="Times New Roman" w:eastAsia="仿宋_GB2312" w:cs="Times New Roman"/>
                <w:color w:val="auto"/>
                <w:spacing w:val="0"/>
                <w:kern w:val="2"/>
                <w:sz w:val="24"/>
                <w:szCs w:val="24"/>
                <w:highlight w:val="none"/>
                <w:lang w:val="en-US" w:eastAsia="zh-CN" w:bidi="ar-SA"/>
              </w:rPr>
              <w:t>46</w:t>
            </w:r>
            <w:r>
              <w:rPr>
                <w:rFonts w:hint="default" w:ascii="Times New Roman" w:hAnsi="Times New Roman" w:eastAsia="仿宋_GB2312" w:cs="Times New Roman"/>
                <w:color w:val="auto"/>
                <w:spacing w:val="0"/>
                <w:kern w:val="2"/>
                <w:sz w:val="24"/>
                <w:szCs w:val="24"/>
                <w:highlight w:val="none"/>
                <w:lang w:val="en-US" w:eastAsia="zh-CN" w:bidi="ar-SA"/>
              </w:rPr>
              <w:t>。</w:t>
            </w:r>
          </w:p>
          <w:p w14:paraId="02507BCA">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w:t>
            </w:r>
            <w:r>
              <w:rPr>
                <w:rFonts w:hint="eastAsia" w:cs="Times New Roman"/>
                <w:b/>
                <w:bCs/>
                <w:color w:val="auto"/>
                <w:sz w:val="24"/>
                <w:lang w:val="en-US" w:eastAsia="zh-CN"/>
              </w:rPr>
              <w:t>46</w:t>
            </w:r>
            <w:r>
              <w:rPr>
                <w:rFonts w:hint="default" w:ascii="Times New Roman" w:hAnsi="Times New Roman" w:eastAsia="宋体" w:cs="Times New Roman"/>
                <w:b/>
                <w:bCs/>
                <w:color w:val="auto"/>
                <w:sz w:val="24"/>
                <w:lang w:val="en-US" w:eastAsia="zh-CN"/>
              </w:rPr>
              <w:t xml:space="preserve">   固体废物产生及排放情况表</w:t>
            </w:r>
          </w:p>
          <w:tbl>
            <w:tblPr>
              <w:tblStyle w:val="33"/>
              <w:tblW w:w="83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750"/>
              <w:gridCol w:w="771"/>
              <w:gridCol w:w="890"/>
              <w:gridCol w:w="760"/>
              <w:gridCol w:w="762"/>
              <w:gridCol w:w="405"/>
              <w:gridCol w:w="795"/>
              <w:gridCol w:w="589"/>
              <w:gridCol w:w="699"/>
              <w:gridCol w:w="1188"/>
            </w:tblGrid>
            <w:tr w14:paraId="7C32D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dxa"/>
                  <w:noWrap w:val="0"/>
                  <w:vAlign w:val="center"/>
                </w:tcPr>
                <w:p w14:paraId="0D2C49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废物</w:t>
                  </w:r>
                </w:p>
                <w:p w14:paraId="71B78C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750" w:type="dxa"/>
                  <w:noWrap w:val="0"/>
                  <w:vAlign w:val="center"/>
                </w:tcPr>
                <w:p w14:paraId="1FFCC8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固体</w:t>
                  </w:r>
                </w:p>
                <w:p w14:paraId="5F9D6D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废物</w:t>
                  </w:r>
                </w:p>
                <w:p w14:paraId="144E0E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771" w:type="dxa"/>
                  <w:noWrap w:val="0"/>
                  <w:vAlign w:val="center"/>
                </w:tcPr>
                <w:p w14:paraId="1E2DE4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产生环节</w:t>
                  </w:r>
                </w:p>
              </w:tc>
              <w:tc>
                <w:tcPr>
                  <w:tcW w:w="890" w:type="dxa"/>
                  <w:noWrap w:val="0"/>
                  <w:vAlign w:val="center"/>
                </w:tcPr>
                <w:p w14:paraId="002509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危废类别/代码</w:t>
                  </w:r>
                </w:p>
              </w:tc>
              <w:tc>
                <w:tcPr>
                  <w:tcW w:w="760" w:type="dxa"/>
                  <w:noWrap w:val="0"/>
                  <w:vAlign w:val="center"/>
                </w:tcPr>
                <w:p w14:paraId="748486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产生量（吨）</w:t>
                  </w:r>
                </w:p>
              </w:tc>
              <w:tc>
                <w:tcPr>
                  <w:tcW w:w="762" w:type="dxa"/>
                  <w:noWrap w:val="0"/>
                  <w:vAlign w:val="center"/>
                </w:tcPr>
                <w:p w14:paraId="747343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405" w:type="dxa"/>
                  <w:noWrap w:val="0"/>
                  <w:vAlign w:val="center"/>
                </w:tcPr>
                <w:p w14:paraId="3045F1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形态</w:t>
                  </w:r>
                </w:p>
              </w:tc>
              <w:tc>
                <w:tcPr>
                  <w:tcW w:w="795" w:type="dxa"/>
                  <w:noWrap w:val="0"/>
                  <w:vAlign w:val="center"/>
                </w:tcPr>
                <w:p w14:paraId="662E1C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主要成分</w:t>
                  </w:r>
                </w:p>
              </w:tc>
              <w:tc>
                <w:tcPr>
                  <w:tcW w:w="589" w:type="dxa"/>
                  <w:noWrap w:val="0"/>
                  <w:vAlign w:val="center"/>
                </w:tcPr>
                <w:p w14:paraId="3A7C73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周期</w:t>
                  </w:r>
                </w:p>
              </w:tc>
              <w:tc>
                <w:tcPr>
                  <w:tcW w:w="699" w:type="dxa"/>
                  <w:noWrap w:val="0"/>
                  <w:vAlign w:val="center"/>
                </w:tcPr>
                <w:p w14:paraId="5332B8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危险</w:t>
                  </w:r>
                </w:p>
                <w:p w14:paraId="22CBDD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特性</w:t>
                  </w:r>
                </w:p>
              </w:tc>
              <w:tc>
                <w:tcPr>
                  <w:tcW w:w="1188" w:type="dxa"/>
                  <w:noWrap w:val="0"/>
                  <w:vAlign w:val="center"/>
                </w:tcPr>
                <w:p w14:paraId="6C03C4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去向</w:t>
                  </w:r>
                </w:p>
              </w:tc>
            </w:tr>
            <w:tr w14:paraId="3C2CF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noWrap w:val="0"/>
                  <w:vAlign w:val="center"/>
                </w:tcPr>
                <w:p w14:paraId="33978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w:t>
                  </w:r>
                </w:p>
                <w:p w14:paraId="34D1C7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垃圾</w:t>
                  </w:r>
                </w:p>
              </w:tc>
              <w:tc>
                <w:tcPr>
                  <w:tcW w:w="750" w:type="dxa"/>
                  <w:noWrap w:val="0"/>
                  <w:vAlign w:val="center"/>
                </w:tcPr>
                <w:p w14:paraId="36F023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771" w:type="dxa"/>
                  <w:noWrap w:val="0"/>
                  <w:vAlign w:val="center"/>
                </w:tcPr>
                <w:p w14:paraId="29D0E6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职工生活</w:t>
                  </w:r>
                </w:p>
              </w:tc>
              <w:tc>
                <w:tcPr>
                  <w:tcW w:w="890" w:type="dxa"/>
                  <w:noWrap w:val="0"/>
                  <w:vAlign w:val="center"/>
                </w:tcPr>
                <w:p w14:paraId="41E4E3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60" w:type="dxa"/>
                  <w:noWrap w:val="0"/>
                  <w:vAlign w:val="center"/>
                </w:tcPr>
                <w:p w14:paraId="58996B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762" w:type="dxa"/>
                  <w:noWrap w:val="0"/>
                  <w:vAlign w:val="center"/>
                </w:tcPr>
                <w:p w14:paraId="480150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垃圾桶</w:t>
                  </w:r>
                </w:p>
              </w:tc>
              <w:tc>
                <w:tcPr>
                  <w:tcW w:w="405" w:type="dxa"/>
                  <w:noWrap w:val="0"/>
                  <w:vAlign w:val="center"/>
                </w:tcPr>
                <w:p w14:paraId="3316F4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95" w:type="dxa"/>
                  <w:noWrap w:val="0"/>
                  <w:vAlign w:val="center"/>
                </w:tcPr>
                <w:p w14:paraId="16C66F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9" w:type="dxa"/>
                  <w:noWrap w:val="0"/>
                  <w:vAlign w:val="center"/>
                </w:tcPr>
                <w:p w14:paraId="17A27F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699" w:type="dxa"/>
                  <w:noWrap w:val="0"/>
                  <w:vAlign w:val="center"/>
                </w:tcPr>
                <w:p w14:paraId="1A5A17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88" w:type="dxa"/>
                  <w:noWrap w:val="0"/>
                  <w:vAlign w:val="center"/>
                </w:tcPr>
                <w:p w14:paraId="6C0623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集中收集后由环卫部门统一处置</w:t>
                  </w:r>
                </w:p>
              </w:tc>
            </w:tr>
            <w:tr w14:paraId="26D58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noWrap w:val="0"/>
                  <w:vAlign w:val="center"/>
                </w:tcPr>
                <w:p w14:paraId="11F2B6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废试</w:t>
                  </w:r>
                </w:p>
                <w:p w14:paraId="47F6A3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剂瓶/桶</w:t>
                  </w:r>
                </w:p>
              </w:tc>
              <w:tc>
                <w:tcPr>
                  <w:tcW w:w="750" w:type="dxa"/>
                  <w:noWrap w:val="0"/>
                  <w:vAlign w:val="center"/>
                </w:tcPr>
                <w:p w14:paraId="6B92F6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771" w:type="dxa"/>
                  <w:noWrap w:val="0"/>
                  <w:vAlign w:val="center"/>
                </w:tcPr>
                <w:p w14:paraId="0C0028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实验室</w:t>
                  </w:r>
                </w:p>
              </w:tc>
              <w:tc>
                <w:tcPr>
                  <w:tcW w:w="890" w:type="dxa"/>
                  <w:noWrap w:val="0"/>
                  <w:vAlign w:val="center"/>
                </w:tcPr>
                <w:p w14:paraId="52AF40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p w14:paraId="576BF5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760" w:type="dxa"/>
                  <w:noWrap w:val="0"/>
                  <w:vAlign w:val="center"/>
                </w:tcPr>
                <w:p w14:paraId="3470A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0.58</w:t>
                  </w:r>
                </w:p>
              </w:tc>
              <w:tc>
                <w:tcPr>
                  <w:tcW w:w="762" w:type="dxa"/>
                  <w:noWrap w:val="0"/>
                  <w:vAlign w:val="center"/>
                </w:tcPr>
                <w:p w14:paraId="2ADA16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桶内密封储存</w:t>
                  </w:r>
                </w:p>
              </w:tc>
              <w:tc>
                <w:tcPr>
                  <w:tcW w:w="405" w:type="dxa"/>
                  <w:noWrap w:val="0"/>
                  <w:vAlign w:val="center"/>
                </w:tcPr>
                <w:p w14:paraId="19DCA9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95" w:type="dxa"/>
                  <w:noWrap w:val="0"/>
                  <w:vAlign w:val="center"/>
                </w:tcPr>
                <w:p w14:paraId="2F2EDC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废试剂瓶</w:t>
                  </w:r>
                </w:p>
              </w:tc>
              <w:tc>
                <w:tcPr>
                  <w:tcW w:w="589" w:type="dxa"/>
                  <w:noWrap w:val="0"/>
                  <w:vAlign w:val="center"/>
                </w:tcPr>
                <w:p w14:paraId="62F47C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699" w:type="dxa"/>
                  <w:noWrap w:val="0"/>
                  <w:vAlign w:val="center"/>
                </w:tcPr>
                <w:p w14:paraId="0D47CD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88" w:type="dxa"/>
                  <w:vMerge w:val="restart"/>
                  <w:noWrap w:val="0"/>
                  <w:vAlign w:val="center"/>
                </w:tcPr>
                <w:p w14:paraId="158E86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09AE3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noWrap w:val="0"/>
                  <w:vAlign w:val="center"/>
                </w:tcPr>
                <w:p w14:paraId="7874ED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实验废液/废标样</w:t>
                  </w:r>
                </w:p>
              </w:tc>
              <w:tc>
                <w:tcPr>
                  <w:tcW w:w="750" w:type="dxa"/>
                  <w:noWrap w:val="0"/>
                  <w:vAlign w:val="center"/>
                </w:tcPr>
                <w:p w14:paraId="35F6D5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771" w:type="dxa"/>
                  <w:noWrap w:val="0"/>
                  <w:vAlign w:val="center"/>
                </w:tcPr>
                <w:p w14:paraId="26567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实验室</w:t>
                  </w:r>
                </w:p>
              </w:tc>
              <w:tc>
                <w:tcPr>
                  <w:tcW w:w="890" w:type="dxa"/>
                  <w:noWrap w:val="0"/>
                  <w:vAlign w:val="center"/>
                </w:tcPr>
                <w:p w14:paraId="0C63D6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p w14:paraId="5B8035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900-047-49</w:t>
                  </w:r>
                </w:p>
              </w:tc>
              <w:tc>
                <w:tcPr>
                  <w:tcW w:w="760" w:type="dxa"/>
                  <w:noWrap w:val="0"/>
                  <w:vAlign w:val="center"/>
                </w:tcPr>
                <w:p w14:paraId="37261A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762" w:type="dxa"/>
                  <w:noWrap w:val="0"/>
                  <w:vAlign w:val="center"/>
                </w:tcPr>
                <w:p w14:paraId="58386E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塑料桶</w:t>
                  </w:r>
                </w:p>
              </w:tc>
              <w:tc>
                <w:tcPr>
                  <w:tcW w:w="405" w:type="dxa"/>
                  <w:noWrap w:val="0"/>
                  <w:vAlign w:val="center"/>
                </w:tcPr>
                <w:p w14:paraId="324B9D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液态/半固态</w:t>
                  </w:r>
                </w:p>
              </w:tc>
              <w:tc>
                <w:tcPr>
                  <w:tcW w:w="795" w:type="dxa"/>
                  <w:noWrap w:val="0"/>
                  <w:vAlign w:val="center"/>
                </w:tcPr>
                <w:p w14:paraId="0C48EE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废弃有机物</w:t>
                  </w:r>
                </w:p>
              </w:tc>
              <w:tc>
                <w:tcPr>
                  <w:tcW w:w="589" w:type="dxa"/>
                  <w:noWrap w:val="0"/>
                  <w:vAlign w:val="center"/>
                </w:tcPr>
                <w:p w14:paraId="01D969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699" w:type="dxa"/>
                  <w:noWrap w:val="0"/>
                  <w:vAlign w:val="center"/>
                </w:tcPr>
                <w:p w14:paraId="5B2942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88" w:type="dxa"/>
                  <w:vMerge w:val="continue"/>
                  <w:noWrap w:val="0"/>
                  <w:vAlign w:val="center"/>
                </w:tcPr>
                <w:p w14:paraId="553841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443DE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noWrap w:val="0"/>
                  <w:vAlign w:val="center"/>
                </w:tcPr>
                <w:p w14:paraId="0B5882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废培养皿、废培养基</w:t>
                  </w:r>
                </w:p>
              </w:tc>
              <w:tc>
                <w:tcPr>
                  <w:tcW w:w="750" w:type="dxa"/>
                  <w:noWrap w:val="0"/>
                  <w:vAlign w:val="center"/>
                </w:tcPr>
                <w:p w14:paraId="0D1394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771" w:type="dxa"/>
                  <w:noWrap w:val="0"/>
                  <w:vAlign w:val="center"/>
                </w:tcPr>
                <w:p w14:paraId="31F1B7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实验室</w:t>
                  </w:r>
                </w:p>
              </w:tc>
              <w:tc>
                <w:tcPr>
                  <w:tcW w:w="890" w:type="dxa"/>
                  <w:noWrap w:val="0"/>
                  <w:vAlign w:val="center"/>
                </w:tcPr>
                <w:p w14:paraId="179113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p w14:paraId="768808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900-047-49</w:t>
                  </w:r>
                </w:p>
              </w:tc>
              <w:tc>
                <w:tcPr>
                  <w:tcW w:w="760" w:type="dxa"/>
                  <w:noWrap w:val="0"/>
                  <w:vAlign w:val="center"/>
                </w:tcPr>
                <w:p w14:paraId="7FBE14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w:t>
                  </w:r>
                </w:p>
              </w:tc>
              <w:tc>
                <w:tcPr>
                  <w:tcW w:w="762" w:type="dxa"/>
                  <w:noWrap w:val="0"/>
                  <w:vAlign w:val="center"/>
                </w:tcPr>
                <w:p w14:paraId="371088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塑料桶</w:t>
                  </w:r>
                </w:p>
              </w:tc>
              <w:tc>
                <w:tcPr>
                  <w:tcW w:w="405" w:type="dxa"/>
                  <w:noWrap w:val="0"/>
                  <w:vAlign w:val="center"/>
                </w:tcPr>
                <w:p w14:paraId="1C2DFE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95" w:type="dxa"/>
                  <w:noWrap w:val="0"/>
                  <w:vAlign w:val="center"/>
                </w:tcPr>
                <w:p w14:paraId="6465D3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废弃微生物</w:t>
                  </w:r>
                </w:p>
              </w:tc>
              <w:tc>
                <w:tcPr>
                  <w:tcW w:w="589" w:type="dxa"/>
                  <w:noWrap w:val="0"/>
                  <w:vAlign w:val="center"/>
                </w:tcPr>
                <w:p w14:paraId="60C528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699" w:type="dxa"/>
                  <w:noWrap w:val="0"/>
                  <w:vAlign w:val="center"/>
                </w:tcPr>
                <w:p w14:paraId="5B5E2E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88" w:type="dxa"/>
                  <w:vMerge w:val="continue"/>
                  <w:noWrap w:val="0"/>
                  <w:vAlign w:val="center"/>
                </w:tcPr>
                <w:p w14:paraId="4F54D8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37B64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noWrap w:val="0"/>
                  <w:vAlign w:val="center"/>
                </w:tcPr>
                <w:p w14:paraId="47EC12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过期药品、试剂</w:t>
                  </w:r>
                </w:p>
              </w:tc>
              <w:tc>
                <w:tcPr>
                  <w:tcW w:w="750" w:type="dxa"/>
                  <w:noWrap w:val="0"/>
                  <w:vAlign w:val="center"/>
                </w:tcPr>
                <w:p w14:paraId="1C50E4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771" w:type="dxa"/>
                  <w:noWrap w:val="0"/>
                  <w:vAlign w:val="center"/>
                </w:tcPr>
                <w:p w14:paraId="71450D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试剂室</w:t>
                  </w:r>
                </w:p>
              </w:tc>
              <w:tc>
                <w:tcPr>
                  <w:tcW w:w="890" w:type="dxa"/>
                  <w:noWrap w:val="0"/>
                  <w:vAlign w:val="center"/>
                </w:tcPr>
                <w:p w14:paraId="1E08B2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p w14:paraId="4C64EF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760" w:type="dxa"/>
                  <w:noWrap w:val="0"/>
                  <w:vAlign w:val="center"/>
                </w:tcPr>
                <w:p w14:paraId="3A20FD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w:t>
                  </w:r>
                </w:p>
              </w:tc>
              <w:tc>
                <w:tcPr>
                  <w:tcW w:w="762" w:type="dxa"/>
                  <w:noWrap w:val="0"/>
                  <w:vAlign w:val="center"/>
                </w:tcPr>
                <w:p w14:paraId="3BBCAF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桶内密封储存</w:t>
                  </w:r>
                </w:p>
              </w:tc>
              <w:tc>
                <w:tcPr>
                  <w:tcW w:w="405" w:type="dxa"/>
                  <w:noWrap w:val="0"/>
                  <w:vAlign w:val="center"/>
                </w:tcPr>
                <w:p w14:paraId="7FB42F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液态/固态</w:t>
                  </w:r>
                </w:p>
              </w:tc>
              <w:tc>
                <w:tcPr>
                  <w:tcW w:w="795" w:type="dxa"/>
                  <w:noWrap w:val="0"/>
                  <w:vAlign w:val="center"/>
                </w:tcPr>
                <w:p w14:paraId="38D508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废药品、试剂</w:t>
                  </w:r>
                </w:p>
              </w:tc>
              <w:tc>
                <w:tcPr>
                  <w:tcW w:w="589" w:type="dxa"/>
                  <w:noWrap w:val="0"/>
                  <w:vAlign w:val="center"/>
                </w:tcPr>
                <w:p w14:paraId="1073DD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699" w:type="dxa"/>
                  <w:noWrap w:val="0"/>
                  <w:vAlign w:val="center"/>
                </w:tcPr>
                <w:p w14:paraId="4747F2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88" w:type="dxa"/>
                  <w:vMerge w:val="continue"/>
                  <w:noWrap w:val="0"/>
                  <w:vAlign w:val="center"/>
                </w:tcPr>
                <w:p w14:paraId="20372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63DA8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noWrap w:val="0"/>
                  <w:vAlign w:val="center"/>
                </w:tcPr>
                <w:p w14:paraId="16F1B5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废实验样品</w:t>
                  </w:r>
                </w:p>
              </w:tc>
              <w:tc>
                <w:tcPr>
                  <w:tcW w:w="750" w:type="dxa"/>
                  <w:noWrap w:val="0"/>
                  <w:vAlign w:val="center"/>
                </w:tcPr>
                <w:p w14:paraId="0376E3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771" w:type="dxa"/>
                  <w:noWrap w:val="0"/>
                  <w:vAlign w:val="center"/>
                </w:tcPr>
                <w:p w14:paraId="27E2A7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实验室</w:t>
                  </w:r>
                </w:p>
              </w:tc>
              <w:tc>
                <w:tcPr>
                  <w:tcW w:w="890" w:type="dxa"/>
                  <w:noWrap w:val="0"/>
                  <w:vAlign w:val="center"/>
                </w:tcPr>
                <w:p w14:paraId="1B984A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p w14:paraId="11A94A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760" w:type="dxa"/>
                  <w:noWrap w:val="0"/>
                  <w:vAlign w:val="center"/>
                </w:tcPr>
                <w:p w14:paraId="6FB4B3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w:t>
                  </w:r>
                </w:p>
              </w:tc>
              <w:tc>
                <w:tcPr>
                  <w:tcW w:w="762" w:type="dxa"/>
                  <w:noWrap w:val="0"/>
                  <w:vAlign w:val="center"/>
                </w:tcPr>
                <w:p w14:paraId="6F587D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塑料桶</w:t>
                  </w:r>
                </w:p>
              </w:tc>
              <w:tc>
                <w:tcPr>
                  <w:tcW w:w="405" w:type="dxa"/>
                  <w:noWrap w:val="0"/>
                  <w:vAlign w:val="center"/>
                </w:tcPr>
                <w:p w14:paraId="2FDA72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95" w:type="dxa"/>
                  <w:noWrap w:val="0"/>
                  <w:vAlign w:val="center"/>
                </w:tcPr>
                <w:p w14:paraId="10D93C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废实验样品</w:t>
                  </w:r>
                </w:p>
              </w:tc>
              <w:tc>
                <w:tcPr>
                  <w:tcW w:w="589" w:type="dxa"/>
                  <w:noWrap w:val="0"/>
                  <w:vAlign w:val="center"/>
                </w:tcPr>
                <w:p w14:paraId="00839A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699" w:type="dxa"/>
                  <w:noWrap w:val="0"/>
                  <w:vAlign w:val="center"/>
                </w:tcPr>
                <w:p w14:paraId="11FA71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88" w:type="dxa"/>
                  <w:vMerge w:val="continue"/>
                  <w:noWrap w:val="0"/>
                  <w:vAlign w:val="center"/>
                </w:tcPr>
                <w:p w14:paraId="6F77EE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258F4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noWrap w:val="0"/>
                  <w:vAlign w:val="center"/>
                </w:tcPr>
                <w:p w14:paraId="2582E8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修剪枝叶</w:t>
                  </w:r>
                </w:p>
              </w:tc>
              <w:tc>
                <w:tcPr>
                  <w:tcW w:w="750" w:type="dxa"/>
                  <w:shd w:val="clear" w:color="auto" w:fill="auto"/>
                  <w:noWrap w:val="0"/>
                  <w:vAlign w:val="center"/>
                </w:tcPr>
                <w:p w14:paraId="3A9F72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一般固废</w:t>
                  </w:r>
                </w:p>
              </w:tc>
              <w:tc>
                <w:tcPr>
                  <w:tcW w:w="771" w:type="dxa"/>
                  <w:shd w:val="clear" w:color="auto" w:fill="auto"/>
                  <w:noWrap w:val="0"/>
                  <w:vAlign w:val="center"/>
                </w:tcPr>
                <w:p w14:paraId="5BB10F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种植过程</w:t>
                  </w:r>
                </w:p>
              </w:tc>
              <w:tc>
                <w:tcPr>
                  <w:tcW w:w="890" w:type="dxa"/>
                  <w:shd w:val="clear" w:color="auto" w:fill="auto"/>
                  <w:noWrap w:val="0"/>
                  <w:vAlign w:val="center"/>
                </w:tcPr>
                <w:p w14:paraId="130849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60" w:type="dxa"/>
                  <w:shd w:val="clear" w:color="auto" w:fill="auto"/>
                  <w:noWrap w:val="0"/>
                  <w:vAlign w:val="center"/>
                </w:tcPr>
                <w:p w14:paraId="79C881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p>
              </w:tc>
              <w:tc>
                <w:tcPr>
                  <w:tcW w:w="762" w:type="dxa"/>
                  <w:shd w:val="clear" w:color="auto" w:fill="auto"/>
                  <w:noWrap w:val="0"/>
                  <w:vAlign w:val="center"/>
                </w:tcPr>
                <w:p w14:paraId="2A780A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袋装</w:t>
                  </w:r>
                </w:p>
              </w:tc>
              <w:tc>
                <w:tcPr>
                  <w:tcW w:w="405" w:type="dxa"/>
                  <w:shd w:val="clear" w:color="auto" w:fill="auto"/>
                  <w:noWrap w:val="0"/>
                  <w:vAlign w:val="center"/>
                </w:tcPr>
                <w:p w14:paraId="583B52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795" w:type="dxa"/>
                  <w:shd w:val="clear" w:color="auto" w:fill="auto"/>
                  <w:noWrap w:val="0"/>
                  <w:vAlign w:val="center"/>
                </w:tcPr>
                <w:p w14:paraId="0B9E6E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9" w:type="dxa"/>
                  <w:shd w:val="clear" w:color="auto" w:fill="auto"/>
                  <w:noWrap w:val="0"/>
                  <w:vAlign w:val="center"/>
                </w:tcPr>
                <w:p w14:paraId="444380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t/a</w:t>
                  </w:r>
                </w:p>
              </w:tc>
              <w:tc>
                <w:tcPr>
                  <w:tcW w:w="699" w:type="dxa"/>
                  <w:shd w:val="clear" w:color="auto" w:fill="auto"/>
                  <w:noWrap w:val="0"/>
                  <w:vAlign w:val="center"/>
                </w:tcPr>
                <w:p w14:paraId="2048EF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188" w:type="dxa"/>
                  <w:noWrap w:val="0"/>
                  <w:vAlign w:val="center"/>
                </w:tcPr>
                <w:p w14:paraId="3D3F1C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集中收集后外售综合利用</w:t>
                  </w:r>
                </w:p>
              </w:tc>
            </w:tr>
          </w:tbl>
          <w:p w14:paraId="0996E101">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（2）源强核算</w:t>
            </w:r>
          </w:p>
          <w:p w14:paraId="105B2E7C">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①生活垃圾</w:t>
            </w:r>
          </w:p>
          <w:p w14:paraId="2C85F1A8">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生活垃圾按每人0.5kg/d计，产生量为1t/a，设置垃圾箱，生活垃圾集中收集后由环卫部门统一处置。</w:t>
            </w:r>
          </w:p>
          <w:p w14:paraId="0A73308C">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②废试剂瓶/桶</w:t>
            </w:r>
          </w:p>
          <w:p w14:paraId="6F83E023">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根据实验室目前运行情况，废试剂瓶/桶产生量约为0.5t/a（主要是各类500g规模的试剂瓶及4L规模的试剂桶）。对照《国家危险废物名录（202</w:t>
            </w:r>
            <w:r>
              <w:rPr>
                <w:rFonts w:hint="eastAsia" w:ascii="Times New Roman" w:hAnsi="Times New Roman" w:eastAsia="仿宋_GB2312" w:cs="Times New Roman"/>
                <w:color w:val="auto"/>
                <w:spacing w:val="0"/>
                <w:kern w:val="2"/>
                <w:sz w:val="24"/>
                <w:szCs w:val="24"/>
                <w:highlight w:val="none"/>
                <w:lang w:val="en-US" w:eastAsia="zh-CN" w:bidi="ar-SA"/>
              </w:rPr>
              <w:t>5</w:t>
            </w:r>
            <w:r>
              <w:rPr>
                <w:rFonts w:hint="default" w:ascii="Times New Roman" w:hAnsi="Times New Roman" w:eastAsia="仿宋_GB2312" w:cs="Times New Roman"/>
                <w:color w:val="auto"/>
                <w:spacing w:val="0"/>
                <w:kern w:val="2"/>
                <w:sz w:val="24"/>
                <w:szCs w:val="24"/>
                <w:highlight w:val="none"/>
                <w:lang w:val="en-US" w:eastAsia="zh-CN" w:bidi="ar-SA"/>
              </w:rPr>
              <w:t>）》，废试剂瓶/桶属于HW49其他废物，代码900-041-49，暂存于危废暂存间，</w:t>
            </w:r>
            <w:r>
              <w:rPr>
                <w:rFonts w:hint="eastAsia" w:ascii="Times New Roman" w:hAnsi="Times New Roman" w:eastAsia="仿宋_GB2312" w:cs="Times New Roman"/>
                <w:color w:val="auto"/>
                <w:spacing w:val="0"/>
                <w:kern w:val="2"/>
                <w:sz w:val="24"/>
                <w:szCs w:val="24"/>
                <w:highlight w:val="none"/>
                <w:lang w:val="en-US" w:eastAsia="zh-CN" w:bidi="ar-SA"/>
              </w:rPr>
              <w:t>后交由有资质单位进行处置</w:t>
            </w:r>
            <w:r>
              <w:rPr>
                <w:rFonts w:hint="default" w:ascii="Times New Roman" w:hAnsi="Times New Roman" w:eastAsia="仿宋_GB2312" w:cs="Times New Roman"/>
                <w:color w:val="auto"/>
                <w:spacing w:val="0"/>
                <w:kern w:val="2"/>
                <w:sz w:val="24"/>
                <w:szCs w:val="24"/>
                <w:highlight w:val="none"/>
                <w:lang w:val="en-US" w:eastAsia="zh-CN" w:bidi="ar-SA"/>
              </w:rPr>
              <w:t>。</w:t>
            </w:r>
          </w:p>
          <w:p w14:paraId="50D60F3E">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③实验废液、废标液</w:t>
            </w:r>
          </w:p>
          <w:p w14:paraId="23DDA557">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实验过程中会用到多种试剂，实验结束后会产生部分废液，部分实验产物送检结束后也将失去作用，该种类废物类别为HW49其他废物，废物代码为900-047-49研究、开发和教学活动中，化学和生物实验室产生的废物，根据实验废液统计，产生量约为6.5t/a，经各实验室危废收集桶收集后送至危险废物暂存间，</w:t>
            </w:r>
            <w:r>
              <w:rPr>
                <w:rFonts w:hint="eastAsia" w:ascii="Times New Roman" w:hAnsi="Times New Roman" w:eastAsia="仿宋_GB2312" w:cs="Times New Roman"/>
                <w:color w:val="auto"/>
                <w:spacing w:val="0"/>
                <w:kern w:val="2"/>
                <w:sz w:val="24"/>
                <w:szCs w:val="24"/>
                <w:highlight w:val="none"/>
                <w:lang w:val="en-US" w:eastAsia="zh-CN" w:bidi="ar-SA"/>
              </w:rPr>
              <w:t>后交由有资质单位进行处置</w:t>
            </w:r>
            <w:r>
              <w:rPr>
                <w:rFonts w:hint="default" w:ascii="Times New Roman" w:hAnsi="Times New Roman" w:eastAsia="仿宋_GB2312" w:cs="Times New Roman"/>
                <w:color w:val="auto"/>
                <w:spacing w:val="0"/>
                <w:kern w:val="2"/>
                <w:sz w:val="24"/>
                <w:szCs w:val="24"/>
                <w:highlight w:val="none"/>
                <w:lang w:val="en-US" w:eastAsia="zh-CN" w:bidi="ar-SA"/>
              </w:rPr>
              <w:t>。</w:t>
            </w:r>
          </w:p>
          <w:p w14:paraId="38208F90">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fldChar w:fldCharType="begin"/>
            </w:r>
            <w:r>
              <w:rPr>
                <w:rFonts w:hint="default" w:ascii="Times New Roman" w:hAnsi="Times New Roman" w:eastAsia="仿宋_GB2312" w:cs="Times New Roman"/>
                <w:color w:val="auto"/>
                <w:spacing w:val="0"/>
                <w:kern w:val="2"/>
                <w:sz w:val="24"/>
                <w:szCs w:val="24"/>
                <w:highlight w:val="none"/>
                <w:lang w:val="en-US" w:eastAsia="zh-CN" w:bidi="ar-SA"/>
              </w:rPr>
              <w:instrText xml:space="preserve"> = 4 \* GB3 \* MERGEFORMAT </w:instrText>
            </w:r>
            <w:r>
              <w:rPr>
                <w:rFonts w:hint="default" w:ascii="Times New Roman" w:hAnsi="Times New Roman" w:eastAsia="仿宋_GB2312" w:cs="Times New Roman"/>
                <w:color w:val="auto"/>
                <w:spacing w:val="0"/>
                <w:kern w:val="2"/>
                <w:sz w:val="24"/>
                <w:szCs w:val="24"/>
                <w:highlight w:val="none"/>
                <w:lang w:val="en-US" w:eastAsia="zh-CN" w:bidi="ar-SA"/>
              </w:rPr>
              <w:fldChar w:fldCharType="separate"/>
            </w:r>
            <w:r>
              <w:rPr>
                <w:rFonts w:hint="default" w:ascii="Times New Roman" w:hAnsi="Times New Roman" w:eastAsia="仿宋_GB2312" w:cs="Times New Roman"/>
                <w:color w:val="auto"/>
                <w:spacing w:val="0"/>
                <w:kern w:val="2"/>
                <w:sz w:val="24"/>
                <w:szCs w:val="24"/>
                <w:highlight w:val="none"/>
                <w:lang w:val="en-US" w:eastAsia="zh-CN" w:bidi="ar-SA"/>
              </w:rPr>
              <w:t>④</w:t>
            </w:r>
            <w:r>
              <w:rPr>
                <w:rFonts w:hint="default" w:ascii="Times New Roman" w:hAnsi="Times New Roman" w:eastAsia="仿宋_GB2312" w:cs="Times New Roman"/>
                <w:color w:val="auto"/>
                <w:spacing w:val="0"/>
                <w:kern w:val="2"/>
                <w:sz w:val="24"/>
                <w:szCs w:val="24"/>
                <w:highlight w:val="none"/>
                <w:lang w:val="en-US" w:eastAsia="zh-CN" w:bidi="ar-SA"/>
              </w:rPr>
              <w:fldChar w:fldCharType="end"/>
            </w:r>
            <w:r>
              <w:rPr>
                <w:rFonts w:hint="default" w:ascii="Times New Roman" w:hAnsi="Times New Roman" w:eastAsia="仿宋_GB2312" w:cs="Times New Roman"/>
                <w:color w:val="auto"/>
                <w:spacing w:val="0"/>
                <w:kern w:val="2"/>
                <w:sz w:val="24"/>
                <w:szCs w:val="24"/>
                <w:highlight w:val="none"/>
                <w:lang w:val="en-US" w:eastAsia="zh-CN" w:bidi="ar-SA"/>
              </w:rPr>
              <w:t>废培养皿、废培养基</w:t>
            </w:r>
          </w:p>
          <w:p w14:paraId="4F026E9C">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根据实验室运行情况，产生量约为0.1t/a，该种类废物类别为HW49其他废物，废物代码为900-047-49研究、开发和教学活动中，化学和生物实验室产生的废物，经微生物室内烘箱烘干后送至危险废物暂存间，</w:t>
            </w:r>
            <w:r>
              <w:rPr>
                <w:rFonts w:hint="eastAsia" w:ascii="Times New Roman" w:hAnsi="Times New Roman" w:eastAsia="仿宋_GB2312" w:cs="Times New Roman"/>
                <w:color w:val="auto"/>
                <w:spacing w:val="0"/>
                <w:kern w:val="2"/>
                <w:sz w:val="24"/>
                <w:szCs w:val="24"/>
                <w:highlight w:val="none"/>
                <w:lang w:val="en-US" w:eastAsia="zh-CN" w:bidi="ar-SA"/>
              </w:rPr>
              <w:t>后交由有资质单位进行处置</w:t>
            </w:r>
            <w:r>
              <w:rPr>
                <w:rFonts w:hint="default" w:ascii="Times New Roman" w:hAnsi="Times New Roman" w:eastAsia="仿宋_GB2312" w:cs="Times New Roman"/>
                <w:color w:val="auto"/>
                <w:spacing w:val="0"/>
                <w:kern w:val="2"/>
                <w:sz w:val="24"/>
                <w:szCs w:val="24"/>
                <w:highlight w:val="none"/>
                <w:lang w:val="en-US" w:eastAsia="zh-CN" w:bidi="ar-SA"/>
              </w:rPr>
              <w:t>。</w:t>
            </w:r>
          </w:p>
          <w:p w14:paraId="008A5F81">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fldChar w:fldCharType="begin"/>
            </w:r>
            <w:r>
              <w:rPr>
                <w:rFonts w:hint="default" w:ascii="Times New Roman" w:hAnsi="Times New Roman" w:eastAsia="仿宋_GB2312" w:cs="Times New Roman"/>
                <w:color w:val="auto"/>
                <w:spacing w:val="0"/>
                <w:kern w:val="2"/>
                <w:sz w:val="24"/>
                <w:szCs w:val="24"/>
                <w:highlight w:val="none"/>
                <w:lang w:val="en-US" w:eastAsia="zh-CN" w:bidi="ar-SA"/>
              </w:rPr>
              <w:instrText xml:space="preserve"> = 5 \* GB3 \* MERGEFORMAT </w:instrText>
            </w:r>
            <w:r>
              <w:rPr>
                <w:rFonts w:hint="default" w:ascii="Times New Roman" w:hAnsi="Times New Roman" w:eastAsia="仿宋_GB2312" w:cs="Times New Roman"/>
                <w:color w:val="auto"/>
                <w:spacing w:val="0"/>
                <w:kern w:val="2"/>
                <w:sz w:val="24"/>
                <w:szCs w:val="24"/>
                <w:highlight w:val="none"/>
                <w:lang w:val="en-US" w:eastAsia="zh-CN" w:bidi="ar-SA"/>
              </w:rPr>
              <w:fldChar w:fldCharType="separate"/>
            </w:r>
            <w:r>
              <w:rPr>
                <w:rFonts w:hint="default" w:ascii="Times New Roman" w:hAnsi="Times New Roman" w:eastAsia="仿宋_GB2312" w:cs="Times New Roman"/>
                <w:color w:val="auto"/>
                <w:spacing w:val="0"/>
                <w:kern w:val="2"/>
                <w:sz w:val="24"/>
                <w:szCs w:val="24"/>
                <w:highlight w:val="none"/>
                <w:lang w:val="en-US" w:eastAsia="zh-CN" w:bidi="ar-SA"/>
              </w:rPr>
              <w:t>⑤</w:t>
            </w:r>
            <w:r>
              <w:rPr>
                <w:rFonts w:hint="default" w:ascii="Times New Roman" w:hAnsi="Times New Roman" w:eastAsia="仿宋_GB2312" w:cs="Times New Roman"/>
                <w:color w:val="auto"/>
                <w:spacing w:val="0"/>
                <w:kern w:val="2"/>
                <w:sz w:val="24"/>
                <w:szCs w:val="24"/>
                <w:highlight w:val="none"/>
                <w:lang w:val="en-US" w:eastAsia="zh-CN" w:bidi="ar-SA"/>
              </w:rPr>
              <w:fldChar w:fldCharType="end"/>
            </w:r>
            <w:r>
              <w:rPr>
                <w:rFonts w:hint="default" w:ascii="Times New Roman" w:hAnsi="Times New Roman" w:eastAsia="仿宋_GB2312" w:cs="Times New Roman"/>
                <w:color w:val="auto"/>
                <w:spacing w:val="0"/>
                <w:kern w:val="2"/>
                <w:sz w:val="24"/>
                <w:szCs w:val="24"/>
                <w:highlight w:val="none"/>
                <w:lang w:val="en-US" w:eastAsia="zh-CN" w:bidi="ar-SA"/>
              </w:rPr>
              <w:t>过期药品、过期试剂</w:t>
            </w:r>
          </w:p>
          <w:p w14:paraId="30AFF1FF">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本项目所用试剂以及药品部分在保质期内未使用完的情况下需进行处理，根据原实验室运行情况，产生量约0.03t/a。对照《国家危险废物名录（2021）》，废试剂瓶/桶属于HW49其他废物，代码900-041-49，暂存于危废暂存间，</w:t>
            </w:r>
            <w:r>
              <w:rPr>
                <w:rFonts w:hint="eastAsia" w:ascii="Times New Roman" w:hAnsi="Times New Roman" w:eastAsia="仿宋_GB2312" w:cs="Times New Roman"/>
                <w:color w:val="auto"/>
                <w:spacing w:val="0"/>
                <w:kern w:val="2"/>
                <w:sz w:val="24"/>
                <w:szCs w:val="24"/>
                <w:highlight w:val="none"/>
                <w:lang w:val="en-US" w:eastAsia="zh-CN" w:bidi="ar-SA"/>
              </w:rPr>
              <w:t>后交由有资质单位进行处置</w:t>
            </w:r>
            <w:r>
              <w:rPr>
                <w:rFonts w:hint="default" w:ascii="Times New Roman" w:hAnsi="Times New Roman" w:eastAsia="仿宋_GB2312" w:cs="Times New Roman"/>
                <w:color w:val="auto"/>
                <w:spacing w:val="0"/>
                <w:kern w:val="2"/>
                <w:sz w:val="24"/>
                <w:szCs w:val="24"/>
                <w:highlight w:val="none"/>
                <w:lang w:val="en-US" w:eastAsia="zh-CN" w:bidi="ar-SA"/>
              </w:rPr>
              <w:t>。</w:t>
            </w:r>
          </w:p>
          <w:p w14:paraId="114AF861">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fldChar w:fldCharType="begin"/>
            </w:r>
            <w:r>
              <w:rPr>
                <w:rFonts w:hint="default" w:ascii="Times New Roman" w:hAnsi="Times New Roman" w:eastAsia="仿宋_GB2312" w:cs="Times New Roman"/>
                <w:color w:val="auto"/>
                <w:spacing w:val="0"/>
                <w:kern w:val="2"/>
                <w:sz w:val="24"/>
                <w:szCs w:val="24"/>
                <w:highlight w:val="none"/>
                <w:lang w:val="en-US" w:eastAsia="zh-CN" w:bidi="ar-SA"/>
              </w:rPr>
              <w:instrText xml:space="preserve"> = 6 \* GB3 \* MERGEFORMAT </w:instrText>
            </w:r>
            <w:r>
              <w:rPr>
                <w:rFonts w:hint="default" w:ascii="Times New Roman" w:hAnsi="Times New Roman" w:eastAsia="仿宋_GB2312" w:cs="Times New Roman"/>
                <w:color w:val="auto"/>
                <w:spacing w:val="0"/>
                <w:kern w:val="2"/>
                <w:sz w:val="24"/>
                <w:szCs w:val="24"/>
                <w:highlight w:val="none"/>
                <w:lang w:val="en-US" w:eastAsia="zh-CN" w:bidi="ar-SA"/>
              </w:rPr>
              <w:fldChar w:fldCharType="separate"/>
            </w:r>
            <w:r>
              <w:rPr>
                <w:rFonts w:hint="default" w:ascii="Times New Roman" w:hAnsi="Times New Roman" w:eastAsia="仿宋_GB2312" w:cs="Times New Roman"/>
                <w:color w:val="auto"/>
                <w:spacing w:val="0"/>
                <w:kern w:val="2"/>
                <w:sz w:val="24"/>
                <w:szCs w:val="24"/>
                <w:highlight w:val="none"/>
                <w:lang w:val="en-US" w:eastAsia="zh-CN" w:bidi="ar-SA"/>
              </w:rPr>
              <w:t>⑥</w:t>
            </w:r>
            <w:r>
              <w:rPr>
                <w:rFonts w:hint="default" w:ascii="Times New Roman" w:hAnsi="Times New Roman" w:eastAsia="仿宋_GB2312" w:cs="Times New Roman"/>
                <w:color w:val="auto"/>
                <w:spacing w:val="0"/>
                <w:kern w:val="2"/>
                <w:sz w:val="24"/>
                <w:szCs w:val="24"/>
                <w:highlight w:val="none"/>
                <w:lang w:val="en-US" w:eastAsia="zh-CN" w:bidi="ar-SA"/>
              </w:rPr>
              <w:fldChar w:fldCharType="end"/>
            </w:r>
            <w:r>
              <w:rPr>
                <w:rFonts w:hint="default" w:ascii="Times New Roman" w:hAnsi="Times New Roman" w:eastAsia="仿宋_GB2312" w:cs="Times New Roman"/>
                <w:color w:val="auto"/>
                <w:spacing w:val="0"/>
                <w:kern w:val="2"/>
                <w:sz w:val="24"/>
                <w:szCs w:val="24"/>
                <w:highlight w:val="none"/>
                <w:lang w:val="en-US" w:eastAsia="zh-CN" w:bidi="ar-SA"/>
              </w:rPr>
              <w:t>废实验样品</w:t>
            </w:r>
          </w:p>
          <w:p w14:paraId="581E4260">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在检测样品过程中会产生废检测样品，产生量约为0.1t/a，该种类废物类别为HW49其他废物，废物代码为900-047-49研究、开发和教学活动中，化学和生物实验室产生的废物，经集中收集后暂存于危废暂存间，</w:t>
            </w:r>
            <w:r>
              <w:rPr>
                <w:rFonts w:hint="eastAsia" w:ascii="Times New Roman" w:hAnsi="Times New Roman" w:eastAsia="仿宋_GB2312" w:cs="Times New Roman"/>
                <w:color w:val="auto"/>
                <w:spacing w:val="0"/>
                <w:kern w:val="2"/>
                <w:sz w:val="24"/>
                <w:szCs w:val="24"/>
                <w:highlight w:val="none"/>
                <w:lang w:val="en-US" w:eastAsia="zh-CN" w:bidi="ar-SA"/>
              </w:rPr>
              <w:t>后交由有资质单位进行处置</w:t>
            </w:r>
            <w:r>
              <w:rPr>
                <w:rFonts w:hint="default" w:ascii="Times New Roman" w:hAnsi="Times New Roman" w:eastAsia="仿宋_GB2312" w:cs="Times New Roman"/>
                <w:color w:val="auto"/>
                <w:spacing w:val="0"/>
                <w:kern w:val="2"/>
                <w:sz w:val="24"/>
                <w:szCs w:val="24"/>
                <w:highlight w:val="none"/>
                <w:lang w:val="en-US" w:eastAsia="zh-CN" w:bidi="ar-SA"/>
              </w:rPr>
              <w:t>。</w:t>
            </w:r>
          </w:p>
          <w:p w14:paraId="201BEC42">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⑦</w:t>
            </w:r>
            <w:r>
              <w:rPr>
                <w:rFonts w:hint="eastAsia" w:ascii="Times New Roman" w:hAnsi="Times New Roman" w:eastAsia="仿宋_GB2312" w:cs="Times New Roman"/>
                <w:color w:val="auto"/>
                <w:spacing w:val="0"/>
                <w:kern w:val="2"/>
                <w:sz w:val="24"/>
                <w:szCs w:val="24"/>
                <w:highlight w:val="none"/>
                <w:lang w:val="en-US" w:eastAsia="zh-CN" w:bidi="ar-SA"/>
              </w:rPr>
              <w:t>修剪枝叶</w:t>
            </w:r>
          </w:p>
          <w:p w14:paraId="32844FF8">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运营期产生的修剪晾晒枝叶集中收集外售</w:t>
            </w:r>
            <w:r>
              <w:rPr>
                <w:rFonts w:hint="eastAsia" w:ascii="Times New Roman" w:hAnsi="Times New Roman" w:eastAsia="仿宋_GB2312" w:cs="Times New Roman"/>
                <w:color w:val="auto"/>
                <w:spacing w:val="0"/>
                <w:kern w:val="2"/>
                <w:sz w:val="24"/>
                <w:szCs w:val="24"/>
                <w:highlight w:val="none"/>
                <w:lang w:val="en-US" w:eastAsia="zh-CN" w:bidi="ar-SA"/>
              </w:rPr>
              <w:t>综合利用。</w:t>
            </w:r>
          </w:p>
          <w:p w14:paraId="56A6B9A7">
            <w:pPr>
              <w:pStyle w:val="89"/>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eastAsia" w:ascii="Times New Roman" w:hAnsi="Times New Roman" w:eastAsia="仿宋_GB2312" w:cs="Times New Roman"/>
                <w:b/>
                <w:bCs/>
                <w:color w:val="auto"/>
                <w:spacing w:val="0"/>
                <w:kern w:val="2"/>
                <w:sz w:val="24"/>
                <w:szCs w:val="24"/>
                <w:highlight w:val="none"/>
                <w:lang w:val="en-US" w:eastAsia="zh-CN" w:bidi="ar-SA"/>
              </w:rPr>
              <w:t>4.2</w:t>
            </w:r>
            <w:r>
              <w:rPr>
                <w:rFonts w:hint="default" w:ascii="Times New Roman" w:hAnsi="Times New Roman" w:eastAsia="仿宋_GB2312" w:cs="Times New Roman"/>
                <w:b/>
                <w:bCs/>
                <w:color w:val="auto"/>
                <w:spacing w:val="0"/>
                <w:kern w:val="2"/>
                <w:sz w:val="24"/>
                <w:szCs w:val="24"/>
                <w:highlight w:val="none"/>
                <w:lang w:val="en-US" w:eastAsia="zh-CN" w:bidi="ar-SA"/>
              </w:rPr>
              <w:t>环境管理要求</w:t>
            </w:r>
          </w:p>
          <w:p w14:paraId="3C1E76F4">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本项目建设1座</w:t>
            </w:r>
            <w:r>
              <w:rPr>
                <w:rFonts w:hint="eastAsia" w:ascii="Times New Roman" w:hAnsi="Times New Roman" w:eastAsia="仿宋_GB2312" w:cs="Times New Roman"/>
                <w:color w:val="auto"/>
                <w:spacing w:val="0"/>
                <w:kern w:val="2"/>
                <w:sz w:val="24"/>
                <w:szCs w:val="24"/>
                <w:highlight w:val="none"/>
                <w:lang w:val="en-US" w:eastAsia="zh-CN" w:bidi="ar-SA"/>
              </w:rPr>
              <w:t>10</w:t>
            </w:r>
            <w:r>
              <w:rPr>
                <w:rFonts w:hint="default" w:ascii="Times New Roman" w:hAnsi="Times New Roman" w:eastAsia="仿宋_GB2312" w:cs="Times New Roman"/>
                <w:color w:val="auto"/>
                <w:spacing w:val="0"/>
                <w:kern w:val="2"/>
                <w:sz w:val="24"/>
                <w:szCs w:val="24"/>
                <w:highlight w:val="none"/>
                <w:lang w:val="en-US" w:eastAsia="zh-CN" w:bidi="ar-SA"/>
              </w:rPr>
              <w:t>m</w:t>
            </w:r>
            <w:r>
              <w:rPr>
                <w:rFonts w:hint="default" w:ascii="Times New Roman" w:hAnsi="Times New Roman" w:eastAsia="仿宋_GB2312" w:cs="Times New Roman"/>
                <w:color w:val="auto"/>
                <w:spacing w:val="0"/>
                <w:kern w:val="2"/>
                <w:sz w:val="24"/>
                <w:szCs w:val="24"/>
                <w:highlight w:val="none"/>
                <w:vertAlign w:val="superscript"/>
                <w:lang w:val="en-US" w:eastAsia="zh-CN" w:bidi="ar-SA"/>
              </w:rPr>
              <w:t>2</w:t>
            </w:r>
            <w:r>
              <w:rPr>
                <w:rFonts w:hint="default" w:ascii="Times New Roman" w:hAnsi="Times New Roman" w:eastAsia="仿宋_GB2312" w:cs="Times New Roman"/>
                <w:color w:val="auto"/>
                <w:spacing w:val="0"/>
                <w:kern w:val="2"/>
                <w:sz w:val="24"/>
                <w:szCs w:val="24"/>
                <w:highlight w:val="none"/>
                <w:lang w:val="en-US" w:eastAsia="zh-CN" w:bidi="ar-SA"/>
              </w:rPr>
              <w:t>危险废物暂存间，门口张贴标识牌及管理制度。本项目危废主要为废试剂瓶/桶、实验废液、废标液、废培养皿、废培养基、过期药品、过期试剂，均为塑料桶盛装，不直接与危废暂存间地面接触。项目已根据《危险废物贮存污染控制标准》（GB18597-202</w:t>
            </w:r>
            <w:r>
              <w:rPr>
                <w:rFonts w:hint="eastAsia" w:ascii="Times New Roman" w:hAnsi="Times New Roman" w:eastAsia="仿宋_GB2312" w:cs="Times New Roman"/>
                <w:color w:val="auto"/>
                <w:spacing w:val="0"/>
                <w:kern w:val="2"/>
                <w:sz w:val="24"/>
                <w:szCs w:val="24"/>
                <w:highlight w:val="none"/>
                <w:lang w:val="en-US" w:eastAsia="zh-CN" w:bidi="ar-SA"/>
              </w:rPr>
              <w:t>3</w:t>
            </w:r>
            <w:r>
              <w:rPr>
                <w:rFonts w:hint="default" w:ascii="Times New Roman" w:hAnsi="Times New Roman" w:eastAsia="仿宋_GB2312" w:cs="Times New Roman"/>
                <w:color w:val="auto"/>
                <w:spacing w:val="0"/>
                <w:kern w:val="2"/>
                <w:sz w:val="24"/>
                <w:szCs w:val="24"/>
                <w:highlight w:val="none"/>
                <w:lang w:val="en-US" w:eastAsia="zh-CN" w:bidi="ar-SA"/>
              </w:rPr>
              <w:t>）中防渗要求，对危废暂存间进行防渗。</w:t>
            </w:r>
          </w:p>
          <w:p w14:paraId="6C5588C2">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相关管理要求如下：</w:t>
            </w:r>
          </w:p>
          <w:p w14:paraId="7202D882">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1.</w:t>
            </w:r>
            <w:r>
              <w:rPr>
                <w:rFonts w:hint="default" w:ascii="Times New Roman" w:hAnsi="Times New Roman" w:eastAsia="仿宋_GB2312" w:cs="Times New Roman"/>
                <w:color w:val="auto"/>
                <w:spacing w:val="0"/>
                <w:kern w:val="2"/>
                <w:sz w:val="24"/>
                <w:szCs w:val="24"/>
                <w:highlight w:val="none"/>
                <w:lang w:val="en-US" w:eastAsia="zh-CN" w:bidi="ar-SA"/>
              </w:rPr>
              <w:t>落实污染环境防治责任制度，建立健全工业危险废物产生、收集、贮存、运输、利用、处置全过程的污染环境防治责任制度。企业应公示</w:t>
            </w:r>
            <w:r>
              <w:rPr>
                <w:rFonts w:hint="eastAsia" w:ascii="Times New Roman" w:hAnsi="Times New Roman" w:eastAsia="仿宋_GB2312" w:cs="Times New Roman"/>
                <w:color w:val="auto"/>
                <w:spacing w:val="0"/>
                <w:kern w:val="2"/>
                <w:sz w:val="24"/>
                <w:szCs w:val="24"/>
                <w:highlight w:val="none"/>
                <w:lang w:val="en-US" w:eastAsia="zh-CN" w:bidi="ar-SA"/>
              </w:rPr>
              <w:t>其</w:t>
            </w:r>
            <w:r>
              <w:rPr>
                <w:rFonts w:hint="default" w:ascii="Times New Roman" w:hAnsi="Times New Roman" w:eastAsia="仿宋_GB2312" w:cs="Times New Roman"/>
                <w:color w:val="auto"/>
                <w:spacing w:val="0"/>
                <w:kern w:val="2"/>
                <w:sz w:val="24"/>
                <w:szCs w:val="24"/>
                <w:highlight w:val="none"/>
                <w:lang w:val="en-US" w:eastAsia="zh-CN" w:bidi="ar-SA"/>
              </w:rPr>
              <w:t>制度情况。</w:t>
            </w:r>
          </w:p>
          <w:p w14:paraId="2D385FD8">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2.</w:t>
            </w:r>
            <w:r>
              <w:rPr>
                <w:rFonts w:hint="default" w:ascii="Times New Roman" w:hAnsi="Times New Roman" w:eastAsia="仿宋_GB2312" w:cs="Times New Roman"/>
                <w:color w:val="auto"/>
                <w:spacing w:val="0"/>
                <w:kern w:val="2"/>
                <w:sz w:val="24"/>
                <w:szCs w:val="24"/>
                <w:highlight w:val="none"/>
                <w:lang w:val="en-US" w:eastAsia="zh-CN" w:bidi="ar-SA"/>
              </w:rPr>
              <w:t>落实危险废物识别标志制度，按照《危险废物贮存污染控制标准》（GB18597-2023）等有关规定，对危险废物的容器和包装物以及收集、贮存、运输、利用、处置危险废物的设施、场所设置危险废物识别标志。本项目危废暂存间、危废容器均按要求设置识别标识。</w:t>
            </w:r>
          </w:p>
          <w:p w14:paraId="3E2BC4B7">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3.</w:t>
            </w:r>
            <w:r>
              <w:rPr>
                <w:rFonts w:hint="default" w:ascii="Times New Roman" w:hAnsi="Times New Roman" w:eastAsia="仿宋_GB2312" w:cs="Times New Roman"/>
                <w:color w:val="auto"/>
                <w:spacing w:val="0"/>
                <w:kern w:val="2"/>
                <w:sz w:val="24"/>
                <w:szCs w:val="24"/>
                <w:highlight w:val="none"/>
                <w:lang w:val="en-US" w:eastAsia="zh-CN" w:bidi="ar-SA"/>
              </w:rPr>
              <w:t>落实危险废物管理计划制度，按照《危险废物产生单位管理计划制定指南》等有关要求制定危险废物管理计划，并报所在地生态环境主管部门备案。</w:t>
            </w:r>
          </w:p>
          <w:p w14:paraId="298E29DA">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4.</w:t>
            </w:r>
            <w:r>
              <w:rPr>
                <w:rFonts w:hint="default" w:ascii="Times New Roman" w:hAnsi="Times New Roman" w:eastAsia="仿宋_GB2312" w:cs="Times New Roman"/>
                <w:color w:val="auto"/>
                <w:spacing w:val="0"/>
                <w:kern w:val="2"/>
                <w:sz w:val="24"/>
                <w:szCs w:val="24"/>
                <w:highlight w:val="none"/>
                <w:lang w:val="en-US" w:eastAsia="zh-CN" w:bidi="ar-SA"/>
              </w:rPr>
              <w:t>落实危险废物管理台账及申报制度，建立危险废物管理台账，如实记录有关信息，并通过宁夏危险废物信息管理系统向所在地生态环境主管部门申报危险废物的种类、产生量、流向、贮存、处置等有关资料。</w:t>
            </w:r>
          </w:p>
          <w:p w14:paraId="2D9BDB9B">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5.</w:t>
            </w:r>
            <w:r>
              <w:rPr>
                <w:rFonts w:hint="default" w:ascii="Times New Roman" w:hAnsi="Times New Roman" w:eastAsia="仿宋_GB2312" w:cs="Times New Roman"/>
                <w:color w:val="auto"/>
                <w:spacing w:val="0"/>
                <w:kern w:val="2"/>
                <w:sz w:val="24"/>
                <w:szCs w:val="24"/>
                <w:highlight w:val="none"/>
                <w:lang w:val="en-US" w:eastAsia="zh-CN" w:bidi="ar-SA"/>
              </w:rPr>
              <w:t>落实危险废物经营许可证制度，禁止将危险废物提供或委托给无危险废物经营许可证的单位或者其他生产经营者从事收集、贮存、利用、处置活动。</w:t>
            </w:r>
          </w:p>
          <w:p w14:paraId="581F2890">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6.</w:t>
            </w:r>
            <w:r>
              <w:rPr>
                <w:rFonts w:hint="default" w:ascii="Times New Roman" w:hAnsi="Times New Roman" w:eastAsia="仿宋_GB2312" w:cs="Times New Roman"/>
                <w:color w:val="auto"/>
                <w:spacing w:val="0"/>
                <w:kern w:val="2"/>
                <w:sz w:val="24"/>
                <w:szCs w:val="24"/>
                <w:highlight w:val="none"/>
                <w:lang w:val="en-US" w:eastAsia="zh-CN" w:bidi="ar-SA"/>
              </w:rPr>
              <w:t>落实危险废物转移联单制度，转移危险废物的，应当按照《危险废物转移管理办法》的有关规定填写、运行危险废物转移联单。运输危险废物，应当采取防止污染环境的措施，并遵守国家有关危险货物运输管理的规定。</w:t>
            </w:r>
          </w:p>
          <w:p w14:paraId="6F03D9A1">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7.</w:t>
            </w:r>
            <w:r>
              <w:rPr>
                <w:rFonts w:hint="default" w:ascii="Times New Roman" w:hAnsi="Times New Roman" w:eastAsia="仿宋_GB2312" w:cs="Times New Roman"/>
                <w:color w:val="auto"/>
                <w:spacing w:val="0"/>
                <w:kern w:val="2"/>
                <w:sz w:val="24"/>
                <w:szCs w:val="24"/>
                <w:highlight w:val="none"/>
                <w:lang w:val="en-US" w:eastAsia="zh-CN" w:bidi="ar-SA"/>
              </w:rPr>
              <w:t>产生工业危险废物的单位应当落实排污许可制度，本项目应执行排污许可登记管理制度的规定。</w:t>
            </w:r>
          </w:p>
          <w:p w14:paraId="37150B13">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8.</w:t>
            </w:r>
            <w:r>
              <w:rPr>
                <w:rFonts w:hint="default" w:ascii="Times New Roman" w:hAnsi="Times New Roman" w:eastAsia="仿宋_GB2312" w:cs="Times New Roman"/>
                <w:color w:val="auto"/>
                <w:spacing w:val="0"/>
                <w:kern w:val="2"/>
                <w:sz w:val="24"/>
                <w:szCs w:val="24"/>
                <w:highlight w:val="none"/>
                <w:lang w:val="en-US" w:eastAsia="zh-CN" w:bidi="ar-SA"/>
              </w:rPr>
              <w:t>落实环境保护标准制度，按照国家有关规定和环境保护标准要求贮存、利用、处置危险废物，不得将其擅自倾倒处置；禁止混合收集、贮存、运输、处置性质不相容或未经安全性处置的危险废物。危险废物收集、贮存应当按照其特性分类进行：禁止将危险废物混入非危险废物中贮存。危险废物收集、贮存和运输过程的污染控制执行《危险废物贮存污染控制标准》(GB18597-2023)《危险废物收集贮存运输技术规范》(HJ2025-2012）等有关规定。</w:t>
            </w:r>
          </w:p>
          <w:p w14:paraId="5981FEFC">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9、落实环境影响评价制度及环境保护三同时制度，需要配套建设的危险废物贮存、利用和处置设施应当与主体工程同时设计、同时施工、同时投入使用。</w:t>
            </w:r>
          </w:p>
          <w:p w14:paraId="47318EA8">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10.</w:t>
            </w:r>
            <w:r>
              <w:rPr>
                <w:rFonts w:hint="default" w:ascii="Times New Roman" w:hAnsi="Times New Roman" w:eastAsia="仿宋_GB2312" w:cs="Times New Roman"/>
                <w:color w:val="auto"/>
                <w:spacing w:val="0"/>
                <w:kern w:val="2"/>
                <w:sz w:val="24"/>
                <w:szCs w:val="24"/>
                <w:highlight w:val="none"/>
                <w:lang w:val="en-US" w:eastAsia="zh-CN" w:bidi="ar-SA"/>
              </w:rPr>
              <w:t>加强危险废物规范化环境管理，按照《危险废物规范化环境管理评估指标》有关要求，提升危险废物规范化环境管理水平。</w:t>
            </w:r>
          </w:p>
          <w:p w14:paraId="6A487C10">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根据危废产生量和贮存要求，危废暂存</w:t>
            </w:r>
            <w:r>
              <w:rPr>
                <w:rFonts w:hint="eastAsia" w:ascii="Times New Roman" w:hAnsi="Times New Roman" w:eastAsia="仿宋_GB2312" w:cs="Times New Roman"/>
                <w:color w:val="auto"/>
                <w:spacing w:val="0"/>
                <w:kern w:val="2"/>
                <w:sz w:val="24"/>
                <w:szCs w:val="24"/>
                <w:highlight w:val="none"/>
                <w:lang w:val="en-US" w:eastAsia="zh-CN" w:bidi="ar-SA"/>
              </w:rPr>
              <w:t>贮存点</w:t>
            </w:r>
            <w:r>
              <w:rPr>
                <w:rFonts w:hint="default" w:ascii="Times New Roman" w:hAnsi="Times New Roman" w:eastAsia="仿宋_GB2312" w:cs="Times New Roman"/>
                <w:color w:val="auto"/>
                <w:spacing w:val="0"/>
                <w:kern w:val="2"/>
                <w:sz w:val="24"/>
                <w:szCs w:val="24"/>
                <w:highlight w:val="none"/>
                <w:lang w:val="en-US" w:eastAsia="zh-CN" w:bidi="ar-SA"/>
              </w:rPr>
              <w:t>应符合按照《危险废物贮存污染控制标准》（GB18597-2023)要求：</w:t>
            </w:r>
          </w:p>
          <w:p w14:paraId="7B268E23">
            <w:pPr>
              <w:pStyle w:val="42"/>
              <w:rPr>
                <w:rFonts w:hint="eastAsia" w:ascii="Times New Roman" w:hAnsi="Times New Roman" w:eastAsia="仿宋_GB2312" w:cs="Times New Roman"/>
                <w:b/>
                <w:bCs/>
                <w:color w:val="auto"/>
                <w:sz w:val="24"/>
                <w:highlight w:val="none"/>
                <w:lang w:val="en-US" w:eastAsia="zh-CN"/>
              </w:rPr>
            </w:pPr>
            <w:r>
              <w:rPr>
                <w:rFonts w:hint="eastAsia" w:ascii="Times New Roman" w:hAnsi="Times New Roman" w:eastAsia="仿宋_GB2312" w:cs="Times New Roman"/>
                <w:b/>
                <w:bCs/>
                <w:color w:val="auto"/>
                <w:sz w:val="24"/>
                <w:highlight w:val="none"/>
                <w:lang w:val="en-US" w:eastAsia="zh-CN"/>
              </w:rPr>
              <w:t>环境风险分析：</w:t>
            </w:r>
          </w:p>
          <w:p w14:paraId="3F342701">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（1）危险物质数量与临界量比值（Q）</w:t>
            </w:r>
          </w:p>
          <w:p w14:paraId="6A62BA26">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对照《建设项目环境风险评价技术导则》（HJ169-2018）附录B，</w:t>
            </w:r>
            <w:r>
              <w:rPr>
                <w:rFonts w:hint="default" w:ascii="Times New Roman" w:hAnsi="Times New Roman" w:eastAsia="仿宋_GB2312" w:cs="Times New Roman"/>
                <w:color w:val="auto"/>
                <w:spacing w:val="0"/>
                <w:kern w:val="2"/>
                <w:sz w:val="24"/>
                <w:szCs w:val="24"/>
                <w:highlight w:val="none"/>
                <w:lang w:val="en-US" w:eastAsia="zh-CN" w:bidi="ar-SA"/>
              </w:rPr>
              <w:t>计算所涉及的每种危险物质在厂界内最大存在量与附录B中临界量的比值Q具体计算方法如下；</w:t>
            </w:r>
          </w:p>
          <w:p w14:paraId="2797E529">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当涉及一种危险物质时，计算该物质的总量与其临界量比值，即为Q；</w:t>
            </w:r>
          </w:p>
          <w:p w14:paraId="50E07D7E">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当存在多种危险物质时，则按如下式计算物质总量与其临界量比值（Q）：</w:t>
            </w:r>
          </w:p>
          <w:p w14:paraId="562AF29B">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object>
                <v:shape id="_x0000_i1029" o:spt="75" type="#_x0000_t75" style="height:34pt;width:104.85pt;" o:ole="t" filled="f" o:preferrelative="t" stroked="f" coordsize="21600,21600">
                  <v:path/>
                  <v:fill on="f" focussize="0,0"/>
                  <v:stroke on="f"/>
                  <v:imagedata r:id="rId25" o:title=""/>
                  <o:lock v:ext="edit" aspectratio="t"/>
                  <w10:wrap type="none"/>
                  <w10:anchorlock/>
                </v:shape>
                <o:OLEObject Type="Embed" ProgID="Equation.KSEE3" ShapeID="_x0000_i1029" DrawAspect="Content" ObjectID="_1468075729" r:id="rId24">
                  <o:LockedField>false</o:LockedField>
                </o:OLEObject>
              </w:object>
            </w:r>
          </w:p>
          <w:p w14:paraId="5FE93EA0">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式中：q1、q2···，qn为每种危险物质的最大存在总量，t。</w:t>
            </w:r>
          </w:p>
          <w:p w14:paraId="075C7336">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Q1、Q2···，Qn为每种危险物质的临界量，t。</w:t>
            </w:r>
          </w:p>
          <w:p w14:paraId="39DEEC60">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针对项目的涉风险试剂情况等，对照《建设项目环境风险评价技术导则》（HJ169-2018）附录B环境风险物质，该项目危险物质数量与临界量比值情况具体见表</w:t>
            </w:r>
            <w:r>
              <w:rPr>
                <w:rFonts w:hint="eastAsia" w:ascii="Times New Roman" w:hAnsi="Times New Roman" w:eastAsia="仿宋_GB2312" w:cs="Times New Roman"/>
                <w:color w:val="auto"/>
                <w:spacing w:val="0"/>
                <w:kern w:val="2"/>
                <w:sz w:val="24"/>
                <w:szCs w:val="24"/>
                <w:highlight w:val="none"/>
                <w:lang w:val="en-US" w:eastAsia="zh-CN" w:bidi="ar-SA"/>
              </w:rPr>
              <w:t>47</w:t>
            </w:r>
            <w:r>
              <w:rPr>
                <w:rFonts w:hint="default" w:ascii="Times New Roman" w:hAnsi="Times New Roman" w:eastAsia="仿宋_GB2312" w:cs="Times New Roman"/>
                <w:color w:val="auto"/>
                <w:spacing w:val="0"/>
                <w:kern w:val="2"/>
                <w:sz w:val="24"/>
                <w:szCs w:val="24"/>
                <w:highlight w:val="none"/>
                <w:lang w:val="en-US" w:eastAsia="zh-CN" w:bidi="ar-SA"/>
              </w:rPr>
              <w:t>。</w:t>
            </w:r>
          </w:p>
          <w:p w14:paraId="7DD7BDF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szCs w:val="21"/>
              </w:rPr>
              <w:t>表</w:t>
            </w:r>
            <w:r>
              <w:rPr>
                <w:rFonts w:hint="eastAsia" w:cs="Times New Roman"/>
                <w:b/>
                <w:bCs/>
                <w:color w:val="auto"/>
                <w:sz w:val="24"/>
                <w:szCs w:val="21"/>
                <w:lang w:val="en-US" w:eastAsia="zh-CN"/>
              </w:rPr>
              <w:t>47</w:t>
            </w:r>
            <w:r>
              <w:rPr>
                <w:rFonts w:hint="default" w:ascii="Times New Roman" w:hAnsi="Times New Roman" w:eastAsia="宋体" w:cs="Times New Roman"/>
                <w:b/>
                <w:bCs/>
                <w:color w:val="auto"/>
                <w:sz w:val="24"/>
              </w:rPr>
              <w:t xml:space="preserve">   风险物质数量与临界量比值情况一览表</w:t>
            </w:r>
          </w:p>
          <w:tbl>
            <w:tblPr>
              <w:tblStyle w:val="34"/>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2067"/>
              <w:gridCol w:w="2074"/>
              <w:gridCol w:w="2069"/>
            </w:tblGrid>
            <w:tr w14:paraId="093A4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048B88AF">
                  <w:pPr>
                    <w:widowControl/>
                    <w:jc w:val="center"/>
                    <w:rPr>
                      <w:rFonts w:hint="default" w:ascii="Times New Roman" w:hAnsi="Times New Roman" w:eastAsia="宋体" w:cs="Times New Roman"/>
                      <w:b/>
                      <w:bCs/>
                      <w:color w:val="auto"/>
                      <w:kern w:val="0"/>
                      <w:sz w:val="21"/>
                      <w:szCs w:val="21"/>
                      <w:u w:val="none" w:color="auto"/>
                    </w:rPr>
                  </w:pPr>
                  <w:r>
                    <w:rPr>
                      <w:rFonts w:hint="default" w:ascii="Times New Roman" w:hAnsi="Times New Roman" w:eastAsia="宋体" w:cs="Times New Roman"/>
                      <w:b/>
                      <w:bCs/>
                      <w:color w:val="auto"/>
                      <w:kern w:val="0"/>
                      <w:sz w:val="21"/>
                      <w:szCs w:val="21"/>
                      <w:u w:val="none" w:color="auto"/>
                    </w:rPr>
                    <w:t>风险因子</w:t>
                  </w:r>
                </w:p>
              </w:tc>
              <w:tc>
                <w:tcPr>
                  <w:tcW w:w="1249" w:type="pct"/>
                  <w:noWrap w:val="0"/>
                  <w:vAlign w:val="center"/>
                </w:tcPr>
                <w:p w14:paraId="32C2967C">
                  <w:pPr>
                    <w:widowControl/>
                    <w:jc w:val="center"/>
                    <w:rPr>
                      <w:rFonts w:hint="default" w:ascii="Times New Roman" w:hAnsi="Times New Roman" w:eastAsia="宋体" w:cs="Times New Roman"/>
                      <w:b/>
                      <w:bCs/>
                      <w:color w:val="auto"/>
                      <w:kern w:val="0"/>
                      <w:sz w:val="21"/>
                      <w:szCs w:val="21"/>
                      <w:u w:val="none" w:color="auto"/>
                    </w:rPr>
                  </w:pPr>
                  <w:r>
                    <w:rPr>
                      <w:rFonts w:hint="default" w:ascii="Times New Roman" w:hAnsi="Times New Roman" w:eastAsia="宋体" w:cs="Times New Roman"/>
                      <w:b/>
                      <w:bCs/>
                      <w:color w:val="auto"/>
                      <w:kern w:val="0"/>
                      <w:sz w:val="21"/>
                      <w:szCs w:val="21"/>
                      <w:u w:val="none" w:color="auto"/>
                    </w:rPr>
                    <w:t>最大储存量</w:t>
                  </w:r>
                </w:p>
              </w:tc>
              <w:tc>
                <w:tcPr>
                  <w:tcW w:w="1252" w:type="pct"/>
                  <w:noWrap w:val="0"/>
                  <w:vAlign w:val="center"/>
                </w:tcPr>
                <w:p w14:paraId="221B34BA">
                  <w:pPr>
                    <w:widowControl/>
                    <w:jc w:val="center"/>
                    <w:rPr>
                      <w:rFonts w:hint="default" w:ascii="Times New Roman" w:hAnsi="Times New Roman" w:eastAsia="宋体" w:cs="Times New Roman"/>
                      <w:b/>
                      <w:bCs/>
                      <w:color w:val="auto"/>
                      <w:kern w:val="0"/>
                      <w:sz w:val="21"/>
                      <w:szCs w:val="21"/>
                      <w:u w:val="none" w:color="auto"/>
                    </w:rPr>
                  </w:pPr>
                  <w:r>
                    <w:rPr>
                      <w:rFonts w:hint="default" w:ascii="Times New Roman" w:hAnsi="Times New Roman" w:eastAsia="宋体" w:cs="Times New Roman"/>
                      <w:b/>
                      <w:bCs/>
                      <w:color w:val="auto"/>
                      <w:kern w:val="0"/>
                      <w:sz w:val="21"/>
                      <w:szCs w:val="21"/>
                      <w:u w:val="none" w:color="auto"/>
                    </w:rPr>
                    <w:t>临界量</w:t>
                  </w:r>
                </w:p>
              </w:tc>
              <w:tc>
                <w:tcPr>
                  <w:tcW w:w="1250" w:type="pct"/>
                  <w:noWrap w:val="0"/>
                  <w:vAlign w:val="center"/>
                </w:tcPr>
                <w:p w14:paraId="6A3EE6BC">
                  <w:pPr>
                    <w:widowControl/>
                    <w:jc w:val="center"/>
                    <w:rPr>
                      <w:rFonts w:hint="default" w:ascii="Times New Roman" w:hAnsi="Times New Roman" w:eastAsia="宋体" w:cs="Times New Roman"/>
                      <w:b/>
                      <w:bCs/>
                      <w:color w:val="auto"/>
                      <w:kern w:val="0"/>
                      <w:sz w:val="21"/>
                      <w:szCs w:val="21"/>
                      <w:u w:val="none" w:color="auto"/>
                    </w:rPr>
                  </w:pPr>
                  <w:r>
                    <w:rPr>
                      <w:rFonts w:hint="default" w:ascii="Times New Roman" w:hAnsi="Times New Roman" w:eastAsia="宋体" w:cs="Times New Roman"/>
                      <w:b/>
                      <w:bCs/>
                      <w:color w:val="auto"/>
                      <w:kern w:val="0"/>
                      <w:sz w:val="21"/>
                      <w:szCs w:val="21"/>
                      <w:u w:val="none" w:color="auto"/>
                    </w:rPr>
                    <w:t>Q值</w:t>
                  </w:r>
                </w:p>
              </w:tc>
            </w:tr>
            <w:tr w14:paraId="65304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6B0E23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GB" w:eastAsia="zh-CN"/>
                    </w:rPr>
                  </w:pPr>
                  <w:r>
                    <w:rPr>
                      <w:rFonts w:hint="default" w:ascii="Times New Roman" w:hAnsi="Times New Roman" w:eastAsia="宋体" w:cs="Times New Roman"/>
                      <w:color w:val="auto"/>
                      <w:kern w:val="0"/>
                      <w:sz w:val="21"/>
                      <w:szCs w:val="21"/>
                      <w:lang w:val="en-GB" w:eastAsia="zh-CN"/>
                    </w:rPr>
                    <w:t>石油醚</w:t>
                  </w:r>
                </w:p>
              </w:tc>
              <w:tc>
                <w:tcPr>
                  <w:tcW w:w="1249" w:type="pct"/>
                  <w:noWrap w:val="0"/>
                  <w:vAlign w:val="center"/>
                </w:tcPr>
                <w:p w14:paraId="449D01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56.6L</w:t>
                  </w:r>
                </w:p>
              </w:tc>
              <w:tc>
                <w:tcPr>
                  <w:tcW w:w="1252" w:type="pct"/>
                  <w:noWrap w:val="0"/>
                  <w:vAlign w:val="center"/>
                </w:tcPr>
                <w:p w14:paraId="75F86C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10t</w:t>
                  </w:r>
                </w:p>
              </w:tc>
              <w:tc>
                <w:tcPr>
                  <w:tcW w:w="1250" w:type="pct"/>
                  <w:noWrap w:val="0"/>
                  <w:vAlign w:val="center"/>
                </w:tcPr>
                <w:p w14:paraId="62E402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0.00566</w:t>
                  </w:r>
                </w:p>
              </w:tc>
            </w:tr>
            <w:tr w14:paraId="6A7C5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3C4376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GB" w:eastAsia="zh-CN"/>
                    </w:rPr>
                    <w:t>乙腈</w:t>
                  </w:r>
                </w:p>
              </w:tc>
              <w:tc>
                <w:tcPr>
                  <w:tcW w:w="1249" w:type="pct"/>
                  <w:noWrap w:val="0"/>
                  <w:vAlign w:val="center"/>
                </w:tcPr>
                <w:p w14:paraId="31323E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92L</w:t>
                  </w:r>
                </w:p>
              </w:tc>
              <w:tc>
                <w:tcPr>
                  <w:tcW w:w="1252" w:type="pct"/>
                  <w:noWrap w:val="0"/>
                  <w:vAlign w:val="center"/>
                </w:tcPr>
                <w:p w14:paraId="584B9C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10t</w:t>
                  </w:r>
                </w:p>
              </w:tc>
              <w:tc>
                <w:tcPr>
                  <w:tcW w:w="1250" w:type="pct"/>
                  <w:noWrap w:val="0"/>
                  <w:vAlign w:val="center"/>
                </w:tcPr>
                <w:p w14:paraId="2AE84A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0.0092</w:t>
                  </w:r>
                </w:p>
              </w:tc>
            </w:tr>
            <w:tr w14:paraId="6A9E5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5E6F4F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盐酸</w:t>
                  </w:r>
                </w:p>
              </w:tc>
              <w:tc>
                <w:tcPr>
                  <w:tcW w:w="1249" w:type="pct"/>
                  <w:noWrap w:val="0"/>
                  <w:vAlign w:val="center"/>
                </w:tcPr>
                <w:p w14:paraId="3C3D4D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3.5L</w:t>
                  </w:r>
                </w:p>
              </w:tc>
              <w:tc>
                <w:tcPr>
                  <w:tcW w:w="1252" w:type="pct"/>
                  <w:noWrap w:val="0"/>
                  <w:vAlign w:val="center"/>
                </w:tcPr>
                <w:p w14:paraId="1A4B03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7.5t</w:t>
                  </w:r>
                </w:p>
              </w:tc>
              <w:tc>
                <w:tcPr>
                  <w:tcW w:w="1250" w:type="pct"/>
                  <w:noWrap w:val="0"/>
                  <w:vAlign w:val="center"/>
                </w:tcPr>
                <w:p w14:paraId="0D78F1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0.00047</w:t>
                  </w:r>
                </w:p>
              </w:tc>
            </w:tr>
            <w:tr w14:paraId="48D91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25EDC3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硫酸</w:t>
                  </w:r>
                </w:p>
              </w:tc>
              <w:tc>
                <w:tcPr>
                  <w:tcW w:w="1249" w:type="pct"/>
                  <w:noWrap w:val="0"/>
                  <w:vAlign w:val="center"/>
                </w:tcPr>
                <w:p w14:paraId="67B292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5L</w:t>
                  </w:r>
                </w:p>
              </w:tc>
              <w:tc>
                <w:tcPr>
                  <w:tcW w:w="1252" w:type="pct"/>
                  <w:noWrap w:val="0"/>
                  <w:vAlign w:val="center"/>
                </w:tcPr>
                <w:p w14:paraId="180FF1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10t</w:t>
                  </w:r>
                </w:p>
              </w:tc>
              <w:tc>
                <w:tcPr>
                  <w:tcW w:w="1250" w:type="pct"/>
                  <w:noWrap w:val="0"/>
                  <w:vAlign w:val="center"/>
                </w:tcPr>
                <w:p w14:paraId="78A8E9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0.0005</w:t>
                  </w:r>
                </w:p>
              </w:tc>
            </w:tr>
            <w:tr w14:paraId="441DF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202067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GB" w:eastAsia="zh-CN"/>
                    </w:rPr>
                    <w:t>硝酸</w:t>
                  </w:r>
                </w:p>
              </w:tc>
              <w:tc>
                <w:tcPr>
                  <w:tcW w:w="1249" w:type="pct"/>
                  <w:noWrap w:val="0"/>
                  <w:vAlign w:val="center"/>
                </w:tcPr>
                <w:p w14:paraId="405ECB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0.5L</w:t>
                  </w:r>
                </w:p>
              </w:tc>
              <w:tc>
                <w:tcPr>
                  <w:tcW w:w="1252" w:type="pct"/>
                  <w:noWrap w:val="0"/>
                  <w:vAlign w:val="center"/>
                </w:tcPr>
                <w:p w14:paraId="799040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7.5t</w:t>
                  </w:r>
                </w:p>
              </w:tc>
              <w:tc>
                <w:tcPr>
                  <w:tcW w:w="1250" w:type="pct"/>
                  <w:noWrap w:val="0"/>
                  <w:vAlign w:val="center"/>
                </w:tcPr>
                <w:p w14:paraId="783E6E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0.00007</w:t>
                  </w:r>
                </w:p>
              </w:tc>
            </w:tr>
            <w:tr w14:paraId="748BC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3D522E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GB" w:eastAsia="zh-CN"/>
                    </w:rPr>
                    <w:t>乙醚</w:t>
                  </w:r>
                </w:p>
              </w:tc>
              <w:tc>
                <w:tcPr>
                  <w:tcW w:w="1249" w:type="pct"/>
                  <w:noWrap w:val="0"/>
                  <w:vAlign w:val="center"/>
                </w:tcPr>
                <w:p w14:paraId="1FE267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6L</w:t>
                  </w:r>
                </w:p>
              </w:tc>
              <w:tc>
                <w:tcPr>
                  <w:tcW w:w="1252" w:type="pct"/>
                  <w:noWrap w:val="0"/>
                  <w:vAlign w:val="center"/>
                </w:tcPr>
                <w:p w14:paraId="22B14D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10t</w:t>
                  </w:r>
                </w:p>
              </w:tc>
              <w:tc>
                <w:tcPr>
                  <w:tcW w:w="1250" w:type="pct"/>
                  <w:noWrap w:val="0"/>
                  <w:vAlign w:val="center"/>
                </w:tcPr>
                <w:p w14:paraId="0CE873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0.0006</w:t>
                  </w:r>
                </w:p>
              </w:tc>
            </w:tr>
            <w:tr w14:paraId="70BDB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662A13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氢氧化钠</w:t>
                  </w:r>
                </w:p>
              </w:tc>
              <w:tc>
                <w:tcPr>
                  <w:tcW w:w="1249" w:type="pct"/>
                  <w:noWrap w:val="0"/>
                  <w:vAlign w:val="center"/>
                </w:tcPr>
                <w:p w14:paraId="08AD78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kg</w:t>
                  </w:r>
                </w:p>
              </w:tc>
              <w:tc>
                <w:tcPr>
                  <w:tcW w:w="1252" w:type="pct"/>
                  <w:noWrap w:val="0"/>
                  <w:vAlign w:val="center"/>
                </w:tcPr>
                <w:p w14:paraId="5A02B3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10t</w:t>
                  </w:r>
                </w:p>
              </w:tc>
              <w:tc>
                <w:tcPr>
                  <w:tcW w:w="1250" w:type="pct"/>
                  <w:noWrap w:val="0"/>
                  <w:vAlign w:val="center"/>
                </w:tcPr>
                <w:p w14:paraId="46A2C8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0.0005</w:t>
                  </w:r>
                </w:p>
              </w:tc>
            </w:tr>
            <w:tr w14:paraId="43219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12726E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GB" w:eastAsia="zh-CN"/>
                    </w:rPr>
                    <w:t>三氯甲烷</w:t>
                  </w:r>
                </w:p>
              </w:tc>
              <w:tc>
                <w:tcPr>
                  <w:tcW w:w="1249" w:type="pct"/>
                  <w:noWrap w:val="0"/>
                  <w:vAlign w:val="center"/>
                </w:tcPr>
                <w:p w14:paraId="15091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0.475L</w:t>
                  </w:r>
                </w:p>
              </w:tc>
              <w:tc>
                <w:tcPr>
                  <w:tcW w:w="1252" w:type="pct"/>
                  <w:noWrap w:val="0"/>
                  <w:vAlign w:val="center"/>
                </w:tcPr>
                <w:p w14:paraId="043546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10t</w:t>
                  </w:r>
                </w:p>
              </w:tc>
              <w:tc>
                <w:tcPr>
                  <w:tcW w:w="1250" w:type="pct"/>
                  <w:noWrap w:val="0"/>
                  <w:vAlign w:val="center"/>
                </w:tcPr>
                <w:p w14:paraId="2932D2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0.00005</w:t>
                  </w:r>
                </w:p>
              </w:tc>
            </w:tr>
            <w:tr w14:paraId="7B0AA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48E20B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GB" w:eastAsia="zh-CN"/>
                    </w:rPr>
                    <w:t>四氯化碳</w:t>
                  </w:r>
                </w:p>
              </w:tc>
              <w:tc>
                <w:tcPr>
                  <w:tcW w:w="1249" w:type="pct"/>
                  <w:noWrap w:val="0"/>
                  <w:vAlign w:val="center"/>
                </w:tcPr>
                <w:p w14:paraId="5AEDF4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3.75kg</w:t>
                  </w:r>
                </w:p>
              </w:tc>
              <w:tc>
                <w:tcPr>
                  <w:tcW w:w="1252" w:type="pct"/>
                  <w:noWrap w:val="0"/>
                  <w:vAlign w:val="center"/>
                </w:tcPr>
                <w:p w14:paraId="31C57B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7.5kg</w:t>
                  </w:r>
                </w:p>
              </w:tc>
              <w:tc>
                <w:tcPr>
                  <w:tcW w:w="1250" w:type="pct"/>
                  <w:noWrap w:val="0"/>
                  <w:vAlign w:val="center"/>
                </w:tcPr>
                <w:p w14:paraId="163BEB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0.0005</w:t>
                  </w:r>
                </w:p>
              </w:tc>
            </w:tr>
            <w:tr w14:paraId="59D2B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082B48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GB" w:eastAsia="zh-CN"/>
                    </w:rPr>
                    <w:t>乙酸乙酯</w:t>
                  </w:r>
                </w:p>
              </w:tc>
              <w:tc>
                <w:tcPr>
                  <w:tcW w:w="1249" w:type="pct"/>
                  <w:noWrap w:val="0"/>
                  <w:vAlign w:val="center"/>
                </w:tcPr>
                <w:p w14:paraId="42FE61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3L</w:t>
                  </w:r>
                </w:p>
              </w:tc>
              <w:tc>
                <w:tcPr>
                  <w:tcW w:w="1252" w:type="pct"/>
                  <w:noWrap w:val="0"/>
                  <w:vAlign w:val="center"/>
                </w:tcPr>
                <w:p w14:paraId="1E60C8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10t</w:t>
                  </w:r>
                </w:p>
              </w:tc>
              <w:tc>
                <w:tcPr>
                  <w:tcW w:w="1250" w:type="pct"/>
                  <w:noWrap w:val="0"/>
                  <w:vAlign w:val="center"/>
                </w:tcPr>
                <w:p w14:paraId="6B57E3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0.0003</w:t>
                  </w:r>
                </w:p>
              </w:tc>
            </w:tr>
            <w:tr w14:paraId="02B8C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0C974A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GB" w:eastAsia="zh-CN"/>
                    </w:rPr>
                    <w:t>正乙烷</w:t>
                  </w:r>
                </w:p>
              </w:tc>
              <w:tc>
                <w:tcPr>
                  <w:tcW w:w="1249" w:type="pct"/>
                  <w:noWrap w:val="0"/>
                  <w:vAlign w:val="center"/>
                </w:tcPr>
                <w:p w14:paraId="079201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16L</w:t>
                  </w:r>
                </w:p>
              </w:tc>
              <w:tc>
                <w:tcPr>
                  <w:tcW w:w="1252" w:type="pct"/>
                  <w:noWrap w:val="0"/>
                  <w:vAlign w:val="center"/>
                </w:tcPr>
                <w:p w14:paraId="69A7A0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10t</w:t>
                  </w:r>
                </w:p>
              </w:tc>
              <w:tc>
                <w:tcPr>
                  <w:tcW w:w="1250" w:type="pct"/>
                  <w:noWrap w:val="0"/>
                  <w:vAlign w:val="center"/>
                </w:tcPr>
                <w:p w14:paraId="16C49E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0.0016</w:t>
                  </w:r>
                </w:p>
              </w:tc>
            </w:tr>
            <w:tr w14:paraId="0C10D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2E591A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GB" w:eastAsia="zh-CN"/>
                    </w:rPr>
                    <w:t>丙酮</w:t>
                  </w:r>
                </w:p>
              </w:tc>
              <w:tc>
                <w:tcPr>
                  <w:tcW w:w="1249" w:type="pct"/>
                  <w:noWrap w:val="0"/>
                  <w:vAlign w:val="center"/>
                </w:tcPr>
                <w:p w14:paraId="0C822B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6.75L</w:t>
                  </w:r>
                </w:p>
              </w:tc>
              <w:tc>
                <w:tcPr>
                  <w:tcW w:w="1252" w:type="pct"/>
                  <w:noWrap w:val="0"/>
                  <w:vAlign w:val="center"/>
                </w:tcPr>
                <w:p w14:paraId="46A9B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10t</w:t>
                  </w:r>
                </w:p>
              </w:tc>
              <w:tc>
                <w:tcPr>
                  <w:tcW w:w="1250" w:type="pct"/>
                  <w:noWrap w:val="0"/>
                  <w:vAlign w:val="center"/>
                </w:tcPr>
                <w:p w14:paraId="565DEA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0.00068</w:t>
                  </w:r>
                </w:p>
              </w:tc>
            </w:tr>
            <w:tr w14:paraId="39683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noWrap w:val="0"/>
                  <w:vAlign w:val="center"/>
                </w:tcPr>
                <w:p w14:paraId="2D6B99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GB" w:eastAsia="zh-CN"/>
                    </w:rPr>
                    <w:t>甲酸</w:t>
                  </w:r>
                </w:p>
              </w:tc>
              <w:tc>
                <w:tcPr>
                  <w:tcW w:w="1249" w:type="pct"/>
                  <w:noWrap w:val="0"/>
                  <w:vAlign w:val="center"/>
                </w:tcPr>
                <w:p w14:paraId="7D01C2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0.5L</w:t>
                  </w:r>
                </w:p>
              </w:tc>
              <w:tc>
                <w:tcPr>
                  <w:tcW w:w="1252" w:type="pct"/>
                  <w:noWrap w:val="0"/>
                  <w:vAlign w:val="center"/>
                </w:tcPr>
                <w:p w14:paraId="40193F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10t</w:t>
                  </w:r>
                </w:p>
              </w:tc>
              <w:tc>
                <w:tcPr>
                  <w:tcW w:w="1250" w:type="pct"/>
                  <w:noWrap w:val="0"/>
                  <w:vAlign w:val="center"/>
                </w:tcPr>
                <w:p w14:paraId="16D512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0.00005</w:t>
                  </w:r>
                </w:p>
              </w:tc>
            </w:tr>
            <w:tr w14:paraId="10815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9" w:type="pct"/>
                  <w:gridSpan w:val="3"/>
                  <w:noWrap w:val="0"/>
                  <w:vAlign w:val="center"/>
                </w:tcPr>
                <w:p w14:paraId="1AD5C9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GB" w:eastAsia="zh-CN"/>
                    </w:rPr>
                  </w:pPr>
                  <w:r>
                    <w:rPr>
                      <w:rFonts w:hint="default" w:ascii="Times New Roman" w:hAnsi="Times New Roman" w:eastAsia="宋体" w:cs="Times New Roman"/>
                      <w:color w:val="auto"/>
                      <w:kern w:val="0"/>
                      <w:sz w:val="21"/>
                      <w:szCs w:val="21"/>
                      <w:lang w:val="en-GB" w:eastAsia="zh-CN"/>
                    </w:rPr>
                    <w:t>合计</w:t>
                  </w:r>
                </w:p>
              </w:tc>
              <w:tc>
                <w:tcPr>
                  <w:tcW w:w="1250" w:type="pct"/>
                  <w:noWrap w:val="0"/>
                  <w:vAlign w:val="center"/>
                </w:tcPr>
                <w:p w14:paraId="3E9F66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0.02018</w:t>
                  </w:r>
                </w:p>
              </w:tc>
            </w:tr>
          </w:tbl>
          <w:p w14:paraId="192E87CE">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本项目Q值为Q=0.02018＜1，项目环境风险潜势为</w:t>
            </w:r>
            <w:r>
              <w:rPr>
                <w:rFonts w:hint="eastAsia" w:ascii="微软雅黑" w:hAnsi="微软雅黑" w:eastAsia="微软雅黑" w:cs="微软雅黑"/>
                <w:color w:val="auto"/>
                <w:spacing w:val="0"/>
                <w:kern w:val="2"/>
                <w:sz w:val="24"/>
                <w:szCs w:val="24"/>
                <w:highlight w:val="none"/>
                <w:lang w:val="en-US" w:eastAsia="zh-CN" w:bidi="ar-SA"/>
              </w:rPr>
              <w:t>Ⅰ</w:t>
            </w:r>
            <w:r>
              <w:rPr>
                <w:rFonts w:hint="eastAsia" w:ascii="Times New Roman" w:hAnsi="Times New Roman" w:eastAsia="仿宋_GB2312" w:cs="Times New Roman"/>
                <w:color w:val="auto"/>
                <w:spacing w:val="0"/>
                <w:kern w:val="2"/>
                <w:sz w:val="24"/>
                <w:szCs w:val="24"/>
                <w:highlight w:val="none"/>
                <w:lang w:val="en-US" w:eastAsia="zh-CN" w:bidi="ar-SA"/>
              </w:rPr>
              <w:t>，根据《建设项目环境风险评价技术导则》（HJ169-2018），只需做简单分析。</w:t>
            </w:r>
          </w:p>
          <w:p w14:paraId="5522AE6F">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（2）风险物质可能影响途径</w:t>
            </w:r>
          </w:p>
          <w:p w14:paraId="4043BFE0">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根据物质危险性识别、生产系统危险性识别，本项目的环境风险类型包括风险物质泄漏，以及发生火灾、爆炸等引发的伴生/次生污染物的排放。</w:t>
            </w:r>
          </w:p>
          <w:p w14:paraId="1B6AC976">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根据物质危险性识别、生产系统危险性识别结果，分析给出项目危险物质的环境风险类型、向环境的转移途径和影响方式，具体如下：</w:t>
            </w:r>
          </w:p>
          <w:p w14:paraId="5E212460">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①大气污染影响途径</w:t>
            </w:r>
          </w:p>
          <w:p w14:paraId="1F03B2A8">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本项目所用石油醚、甲醇等有机试剂易发生火灾事故，高氯酸、硝酸、硫酸等试剂泄漏易发生爆炸事故。火灾、爆炸等次生污染物的排放以及毒性物质泄漏通过大气影响周围环境，与区域的气象条件密切相关，直接受风向、风速影响。小风和静风条件是事故下最不利天气，对大气污染物的扩散较为不利。</w:t>
            </w:r>
          </w:p>
          <w:p w14:paraId="39434A44">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②水体污染影响途径</w:t>
            </w:r>
          </w:p>
          <w:p w14:paraId="43FA5B47">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实验室地面已全部进行硬化，正常状况下可有效防范事故废水进入实验室外水体。</w:t>
            </w:r>
          </w:p>
          <w:p w14:paraId="207AE54A">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③地下水污染影响途径</w:t>
            </w:r>
          </w:p>
          <w:p w14:paraId="6061564B">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本项目实验室内全部硬化，没有直接裸露的土地存在，因此，本项目发生泄漏时对地下水影响有限。极端情况下，可燃、易燃物料泄漏遇明火发生爆炸事故，有可能会穿透实验室防渗系统，伴随着防渗层的失效，未完全燃烧的物料可能会伴随着消防废水通过土壤下渗，对地下水产生污染。</w:t>
            </w:r>
          </w:p>
          <w:p w14:paraId="76BBA5EA">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④人群暴露途径分析</w:t>
            </w:r>
          </w:p>
          <w:p w14:paraId="4D6B30E8">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人群健康的环境风险暴露行为模式包括四个方面，一是人体生理特征，如身高、体重、呼吸量等；二是人接触空气、水等环境介质中污染物的时间、频率、途径和方式；三是人居环境中污染源分布情况；四是人对暴露风险的防范行为。就本项目而言，人群健康的风险暴露途径主要为实验人员接触的环境空气污染物，造成人群健康的不利影响。</w:t>
            </w:r>
          </w:p>
          <w:p w14:paraId="0C0AC7B0">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（3）环境风险防范措施</w:t>
            </w:r>
          </w:p>
          <w:p w14:paraId="03B07B48">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为防止事故的发生，项目须采取以下措施防止事故的发生：</w:t>
            </w:r>
          </w:p>
          <w:p w14:paraId="41BA165C">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严格按《危险化学品安全管理条例》的要求，制定易燃易爆、危险化学品安全操作规程，要求操作人员严格按操作规程作业；对从事危险化学作业人员定期进行安全培训教育；经常性对危险化学品作业场所进行安全检查。</w:t>
            </w:r>
          </w:p>
          <w:p w14:paraId="1FEA1F6F">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建立健全安全规程及值勤制度，设置通讯、报警装置，确保其处于完好状态；对储存危险化学品的容器，应经有关检验部门定期检验合格后，才能使用，并设置明显的标识及警示牌；对使用危险化学品的名称、数量进行严格登记；凡储存、使用危险化学品的岗位，都应配置合格的防毒器材、消防器材，并确保其处于完好状态；所有进入储存、使用危险化学品的人员，都必须严格遵守《危险化学品管理制度》。采购危险化学品时，应到已获得危险化学品经营许可证的企业进行采购，并要求供应商提供技术说明书及相关技术资料；采购人员必须进行专业培训并取证；危险化学品的包装物、容器必须有专业检测机构检验合格才能使用。</w:t>
            </w:r>
          </w:p>
          <w:p w14:paraId="4205FFCE">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针对试剂管理，应遵循以下原则：</w:t>
            </w:r>
          </w:p>
          <w:p w14:paraId="06B0C76A">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①实验室的药剂由专人对其负责摆放，严禁危险药品、普通试剂、玻璃仪器、常用药品在同一层货架摆放。</w:t>
            </w:r>
          </w:p>
          <w:p w14:paraId="663759D1">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②化学危险品应分类、分开存贮，并做好标识；毒害品、强酸类、强碱类、易燃易爆品应存放于阴凉干燥、通风良好处、远离火种热源，避免阳光直射、强酸、强碱等应分开存放。</w:t>
            </w:r>
          </w:p>
          <w:p w14:paraId="4110DF6A">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③实验室药品的领取由专人负责；试剂应存放在柜中，做到双人双锁、专人保管。</w:t>
            </w:r>
          </w:p>
          <w:p w14:paraId="7A1A3A64">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④使用氢氟酸、甲醇、硝酸、盐酸等具有挥发特性试剂时，必须在通风橱内进行操作，严格按照实验室操作规程开展。</w:t>
            </w:r>
          </w:p>
          <w:p w14:paraId="3C151BB4">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⑤使用后的废酸、废试剂等应由专人负责处理，并填好处理记录，不得随意抛弃污染环境。</w:t>
            </w:r>
          </w:p>
          <w:p w14:paraId="44FBB6BF">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⑥使用通风橱时，先打开楼顶废气处理装置后，再打开通风橱使用；关闭通风橱时，先关闭通风橱，后关闭废气处理装置。</w:t>
            </w:r>
          </w:p>
          <w:p w14:paraId="02928EA7">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（4）分析结论</w:t>
            </w:r>
          </w:p>
          <w:p w14:paraId="18FD9CF3">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环境风险影响分析结论：</w:t>
            </w:r>
          </w:p>
          <w:p w14:paraId="3F621369">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项目在危化试剂的使用、高危工艺的操作过程中由于设备质量、人为操作等原因，存在着发生泄漏和突发性污染事故风险的可能性。对于这种风险，公司应制定相应的防范措施及应急预案，明确责任人员，配备一定的防治设备和应急响应能力。</w:t>
            </w:r>
          </w:p>
          <w:p w14:paraId="55D5BD51">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由于本项目的环境风险主要是人为事件，完全可以通过政府各有关职能部门加强监督指导，公司内部制定严格的管理条例和岗位责任制，加强实验人员的安全教育，提高风险意识。在项目采取相应的防范措施后，可以减少项目的环境风险，降低环境风险事故的危害程度，且在加强管理及提高实验人员操作水平的前提下，本项目的环境风险是可防可控的。</w:t>
            </w:r>
          </w:p>
          <w:p w14:paraId="59DBF17F">
            <w:pPr>
              <w:pStyle w:val="89"/>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eastAsia" w:ascii="Times New Roman" w:hAnsi="Times New Roman" w:eastAsia="仿宋_GB2312" w:cs="Times New Roman"/>
                <w:b/>
                <w:bCs/>
                <w:color w:val="auto"/>
                <w:spacing w:val="0"/>
                <w:kern w:val="2"/>
                <w:sz w:val="24"/>
                <w:szCs w:val="24"/>
                <w:highlight w:val="none"/>
                <w:lang w:val="en-US" w:eastAsia="zh-CN" w:bidi="ar-SA"/>
              </w:rPr>
              <w:t>5.</w:t>
            </w:r>
            <w:r>
              <w:rPr>
                <w:rFonts w:hint="default" w:ascii="Times New Roman" w:hAnsi="Times New Roman" w:eastAsia="仿宋_GB2312" w:cs="Times New Roman"/>
                <w:b/>
                <w:bCs/>
                <w:color w:val="auto"/>
                <w:spacing w:val="0"/>
                <w:kern w:val="2"/>
                <w:sz w:val="24"/>
                <w:szCs w:val="24"/>
                <w:highlight w:val="none"/>
                <w:lang w:val="en-US" w:eastAsia="zh-CN" w:bidi="ar-SA"/>
              </w:rPr>
              <w:t>地下水、土壤环境影响分析</w:t>
            </w:r>
          </w:p>
          <w:p w14:paraId="4674CB8C">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本项目运营期正常状况下对区域地下水及土壤环境不产生影响；各类试剂及实验室废液均由专门容器盛装且单个容器储存量很少，危险废物暂存间内废液均由专用废液桶收集，废液量较少并及时进行转运，且危险废物暂存间地面已有相应硬化处理，结合实验室已有混凝土结构，非正常状况下发生渗漏极易被发现及收集处置；因此项目运营期不涉及地下水、土壤污染源及污染途径，项目建设对区域地下水及土壤不会造成影响。</w:t>
            </w:r>
          </w:p>
          <w:p w14:paraId="03D9E6DC">
            <w:pPr>
              <w:pStyle w:val="89"/>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eastAsia" w:ascii="Times New Roman" w:hAnsi="Times New Roman" w:eastAsia="仿宋_GB2312" w:cs="Times New Roman"/>
                <w:b/>
                <w:bCs/>
                <w:color w:val="auto"/>
                <w:spacing w:val="0"/>
                <w:kern w:val="2"/>
                <w:sz w:val="24"/>
                <w:szCs w:val="24"/>
                <w:highlight w:val="none"/>
                <w:lang w:val="en-US" w:eastAsia="zh-CN" w:bidi="ar-SA"/>
              </w:rPr>
              <w:t>4.</w:t>
            </w:r>
            <w:r>
              <w:rPr>
                <w:rFonts w:hint="default" w:ascii="Times New Roman" w:hAnsi="Times New Roman" w:eastAsia="仿宋_GB2312" w:cs="Times New Roman"/>
                <w:b/>
                <w:bCs/>
                <w:color w:val="auto"/>
                <w:spacing w:val="0"/>
                <w:kern w:val="2"/>
                <w:sz w:val="24"/>
                <w:szCs w:val="24"/>
                <w:highlight w:val="none"/>
                <w:lang w:val="en-US" w:eastAsia="zh-CN" w:bidi="ar-SA"/>
              </w:rPr>
              <w:t>生态影响分析</w:t>
            </w:r>
          </w:p>
          <w:p w14:paraId="1633F366">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（1）植被影响分析</w:t>
            </w:r>
          </w:p>
          <w:p w14:paraId="5088CA18">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本项目运行后，种植的</w:t>
            </w:r>
            <w:r>
              <w:rPr>
                <w:rFonts w:hint="eastAsia" w:ascii="Times New Roman" w:hAnsi="Times New Roman" w:eastAsia="仿宋_GB2312" w:cs="Times New Roman"/>
                <w:color w:val="auto"/>
                <w:spacing w:val="0"/>
                <w:kern w:val="2"/>
                <w:sz w:val="24"/>
                <w:szCs w:val="24"/>
                <w:highlight w:val="none"/>
                <w:lang w:val="en-US" w:eastAsia="zh-CN" w:bidi="ar-SA"/>
              </w:rPr>
              <w:t>柴胡、黄芪</w:t>
            </w:r>
            <w:r>
              <w:rPr>
                <w:rFonts w:hint="default" w:ascii="Times New Roman" w:hAnsi="Times New Roman" w:eastAsia="仿宋_GB2312" w:cs="Times New Roman"/>
                <w:color w:val="auto"/>
                <w:spacing w:val="0"/>
                <w:kern w:val="2"/>
                <w:sz w:val="24"/>
                <w:szCs w:val="24"/>
                <w:highlight w:val="none"/>
                <w:lang w:val="en-US" w:eastAsia="zh-CN" w:bidi="ar-SA"/>
              </w:rPr>
              <w:t>能够大大增加区域地表植被覆盖度，项目运行期能够增加区域地表植被数量，黄芪、柴胡为人工引入物种，可丰富当地农田植被类型，黄芪为豆科植物，具有固氮作用，可改善土壤肥力；柴胡为深根系植物，有助于疏松土壤，减少水土流失。规范化种植可替代对野生黄芪、柴胡的滥采，保护六盘山野生药用植物资源。</w:t>
            </w:r>
          </w:p>
          <w:p w14:paraId="3DDD539B">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 xml:space="preserve">（2）野生动物影响分析 </w:t>
            </w:r>
          </w:p>
          <w:p w14:paraId="64E2B18C">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本项目的建设对一些小型动物活动有一定影响，使其活动范围受到限制，对其觅食、交偶存在一定影响。本项目</w:t>
            </w:r>
            <w:r>
              <w:rPr>
                <w:rFonts w:hint="eastAsia" w:ascii="Times New Roman" w:hAnsi="Times New Roman" w:eastAsia="仿宋_GB2312" w:cs="Times New Roman"/>
                <w:color w:val="auto"/>
                <w:spacing w:val="0"/>
                <w:kern w:val="2"/>
                <w:sz w:val="24"/>
                <w:szCs w:val="24"/>
                <w:highlight w:val="none"/>
                <w:lang w:val="en-US" w:eastAsia="zh-CN" w:bidi="ar-SA"/>
              </w:rPr>
              <w:t>实施</w:t>
            </w:r>
            <w:r>
              <w:rPr>
                <w:rFonts w:hint="default" w:ascii="Times New Roman" w:hAnsi="Times New Roman" w:eastAsia="仿宋_GB2312" w:cs="Times New Roman"/>
                <w:color w:val="auto"/>
                <w:spacing w:val="0"/>
                <w:kern w:val="2"/>
                <w:sz w:val="24"/>
                <w:szCs w:val="24"/>
                <w:highlight w:val="none"/>
                <w:lang w:val="en-US" w:eastAsia="zh-CN" w:bidi="ar-SA"/>
              </w:rPr>
              <w:t>后，随着施工时的人为干扰逐渐消失，一部分外迁动物又会回归到原地，特别是一些小型动物会较快</w:t>
            </w:r>
            <w:r>
              <w:rPr>
                <w:rFonts w:hint="eastAsia" w:ascii="Times New Roman" w:hAnsi="Times New Roman" w:eastAsia="仿宋_GB2312" w:cs="Times New Roman"/>
                <w:color w:val="auto"/>
                <w:spacing w:val="0"/>
                <w:kern w:val="2"/>
                <w:sz w:val="24"/>
                <w:szCs w:val="24"/>
                <w:highlight w:val="none"/>
                <w:lang w:val="en-US" w:eastAsia="zh-CN" w:bidi="ar-SA"/>
              </w:rPr>
              <w:t>地</w:t>
            </w:r>
            <w:r>
              <w:rPr>
                <w:rFonts w:hint="default" w:ascii="Times New Roman" w:hAnsi="Times New Roman" w:eastAsia="仿宋_GB2312" w:cs="Times New Roman"/>
                <w:color w:val="auto"/>
                <w:spacing w:val="0"/>
                <w:kern w:val="2"/>
                <w:sz w:val="24"/>
                <w:szCs w:val="24"/>
                <w:highlight w:val="none"/>
                <w:lang w:val="en-US" w:eastAsia="zh-CN" w:bidi="ar-SA"/>
              </w:rPr>
              <w:t>在此重新出现。因此，运营期不会影响野生动物的生存、活动空间。黄芪、柴胡花期可为蜜蜂等传粉昆虫提供蜜源，合理的种植结构（如保留田埂植被）可为小型动物提供临时栖息地。</w:t>
            </w:r>
          </w:p>
          <w:p w14:paraId="3F643FB1">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 xml:space="preserve">（3）土地利用影响分析 </w:t>
            </w:r>
          </w:p>
          <w:p w14:paraId="629FF45C">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项目建设会占用一定的</w:t>
            </w:r>
            <w:r>
              <w:rPr>
                <w:rFonts w:hint="eastAsia" w:ascii="Times New Roman" w:hAnsi="Times New Roman" w:eastAsia="仿宋_GB2312" w:cs="Times New Roman"/>
                <w:color w:val="auto"/>
                <w:spacing w:val="0"/>
                <w:kern w:val="2"/>
                <w:sz w:val="24"/>
                <w:szCs w:val="24"/>
                <w:highlight w:val="none"/>
                <w:lang w:val="en-US" w:eastAsia="zh-CN" w:bidi="ar-SA"/>
              </w:rPr>
              <w:t>耕地</w:t>
            </w:r>
            <w:r>
              <w:rPr>
                <w:rFonts w:hint="default" w:ascii="Times New Roman" w:hAnsi="Times New Roman" w:eastAsia="仿宋_GB2312" w:cs="Times New Roman"/>
                <w:color w:val="auto"/>
                <w:spacing w:val="0"/>
                <w:kern w:val="2"/>
                <w:sz w:val="24"/>
                <w:szCs w:val="24"/>
                <w:highlight w:val="none"/>
                <w:lang w:val="en-US" w:eastAsia="zh-CN" w:bidi="ar-SA"/>
              </w:rPr>
              <w:t>。若项目占用的是耕地，且没有制定合理的土地复垦计划，会导致耕地面积减少，影响当地的农业生产。</w:t>
            </w:r>
          </w:p>
          <w:p w14:paraId="266C0F33">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（4）水土流失影响</w:t>
            </w:r>
          </w:p>
          <w:p w14:paraId="0CD67B66">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b/>
                <w:bCs/>
                <w:color w:val="auto"/>
                <w:spacing w:val="-3"/>
                <w:highlight w:val="none"/>
                <w:lang w:val="en-US" w:eastAsia="zh-CN"/>
              </w:rPr>
            </w:pPr>
            <w:r>
              <w:rPr>
                <w:rFonts w:hint="default" w:ascii="Times New Roman" w:hAnsi="Times New Roman" w:eastAsia="仿宋_GB2312" w:cs="Times New Roman"/>
                <w:color w:val="auto"/>
                <w:spacing w:val="0"/>
                <w:kern w:val="2"/>
                <w:sz w:val="24"/>
                <w:szCs w:val="24"/>
                <w:highlight w:val="none"/>
                <w:lang w:val="en-US" w:eastAsia="zh-CN" w:bidi="ar-SA"/>
              </w:rPr>
              <w:t>项目建设过程中，平田整地、厂房建设、道路修建等工程会破坏地表植被，使土壤裸露。黄芪、柴胡为深根性中药材，种植前期的土地整理（如深耕）可能破坏表层土壤结构，在降水作用下，裸露的土壤容易被雨水冲刷，造成水土流失。特别是中药材种苗培育基地的平田整地工程，涉及面积较大，若不及时采取防护措施，水土流失现象可能较为严重，会导致土壤肥力下降，影响中药材的生长，同时流失的泥沙还会淤积河道、水库等。</w:t>
            </w:r>
          </w:p>
        </w:tc>
      </w:tr>
      <w:tr w14:paraId="501E93C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atLeast"/>
          <w:jc w:val="center"/>
        </w:trPr>
        <w:tc>
          <w:tcPr>
            <w:tcW w:w="679" w:type="dxa"/>
            <w:tcBorders>
              <w:tl2br w:val="nil"/>
              <w:tr2bl w:val="nil"/>
            </w:tcBorders>
            <w:tcMar>
              <w:left w:w="28" w:type="dxa"/>
              <w:right w:w="28" w:type="dxa"/>
            </w:tcMar>
            <w:vAlign w:val="center"/>
          </w:tcPr>
          <w:p w14:paraId="5FD65432">
            <w:pPr>
              <w:adjustRightInd w:val="0"/>
              <w:snapToGrid w:val="0"/>
              <w:jc w:val="center"/>
              <w:rPr>
                <w:rFonts w:hint="default" w:ascii="Times New Roman" w:hAnsi="Times New Roman" w:eastAsia="仿宋_GB2312" w:cs="Times New Roman"/>
                <w:b/>
                <w:bCs/>
                <w:color w:val="auto"/>
                <w:sz w:val="24"/>
                <w:highlight w:val="none"/>
                <w:lang w:eastAsia="zh-CN"/>
              </w:rPr>
            </w:pPr>
          </w:p>
          <w:p w14:paraId="7738E353">
            <w:pPr>
              <w:adjustRightInd w:val="0"/>
              <w:snapToGrid w:val="0"/>
              <w:jc w:val="center"/>
              <w:rPr>
                <w:rFonts w:hint="default" w:ascii="Times New Roman" w:hAnsi="Times New Roman" w:eastAsia="仿宋_GB2312" w:cs="Times New Roman"/>
                <w:b/>
                <w:bCs/>
                <w:color w:val="auto"/>
                <w:sz w:val="24"/>
                <w:highlight w:val="none"/>
                <w:lang w:eastAsia="zh-CN"/>
              </w:rPr>
            </w:pPr>
          </w:p>
          <w:p w14:paraId="110C578E">
            <w:pPr>
              <w:adjustRightInd w:val="0"/>
              <w:snapToGrid w:val="0"/>
              <w:jc w:val="center"/>
              <w:rPr>
                <w:rFonts w:hint="default" w:ascii="Times New Roman" w:hAnsi="Times New Roman" w:eastAsia="仿宋_GB2312" w:cs="Times New Roman"/>
                <w:b/>
                <w:bCs/>
                <w:color w:val="auto"/>
                <w:sz w:val="24"/>
                <w:highlight w:val="none"/>
                <w:lang w:eastAsia="zh-CN"/>
              </w:rPr>
            </w:pPr>
          </w:p>
          <w:p w14:paraId="1C37A8C5">
            <w:pPr>
              <w:adjustRightInd w:val="0"/>
              <w:snapToGrid w:val="0"/>
              <w:jc w:val="center"/>
              <w:rPr>
                <w:rFonts w:hint="default" w:ascii="Times New Roman" w:hAnsi="Times New Roman" w:eastAsia="仿宋_GB2312" w:cs="Times New Roman"/>
                <w:b/>
                <w:bCs/>
                <w:color w:val="auto"/>
                <w:sz w:val="24"/>
                <w:highlight w:val="none"/>
                <w:lang w:eastAsia="zh-CN"/>
              </w:rPr>
            </w:pPr>
          </w:p>
          <w:p w14:paraId="45CE2FC0">
            <w:pPr>
              <w:adjustRightInd w:val="0"/>
              <w:snapToGrid w:val="0"/>
              <w:jc w:val="center"/>
              <w:rPr>
                <w:rFonts w:hint="default" w:ascii="Times New Roman" w:hAnsi="Times New Roman" w:eastAsia="仿宋_GB2312" w:cs="Times New Roman"/>
                <w:b/>
                <w:bCs/>
                <w:color w:val="auto"/>
                <w:sz w:val="24"/>
                <w:highlight w:val="none"/>
                <w:lang w:eastAsia="zh-CN"/>
              </w:rPr>
            </w:pPr>
          </w:p>
          <w:p w14:paraId="766DE817">
            <w:pPr>
              <w:adjustRightInd w:val="0"/>
              <w:snapToGrid w:val="0"/>
              <w:jc w:val="both"/>
              <w:rPr>
                <w:rFonts w:hint="default" w:ascii="Times New Roman" w:hAnsi="Times New Roman" w:eastAsia="仿宋_GB2312" w:cs="Times New Roman"/>
                <w:b/>
                <w:bCs/>
                <w:color w:val="auto"/>
                <w:sz w:val="24"/>
                <w:highlight w:val="none"/>
                <w:lang w:eastAsia="zh-CN"/>
              </w:rPr>
            </w:pPr>
          </w:p>
          <w:p w14:paraId="711246A7">
            <w:pPr>
              <w:pStyle w:val="2"/>
              <w:rPr>
                <w:rFonts w:hint="default" w:ascii="Times New Roman" w:hAnsi="Times New Roman" w:eastAsia="仿宋_GB2312" w:cs="Times New Roman"/>
                <w:b/>
                <w:bCs/>
                <w:color w:val="auto"/>
                <w:sz w:val="24"/>
                <w:highlight w:val="none"/>
                <w:lang w:eastAsia="zh-CN"/>
              </w:rPr>
            </w:pPr>
          </w:p>
          <w:p w14:paraId="2AC7AFC9">
            <w:pPr>
              <w:pStyle w:val="2"/>
              <w:rPr>
                <w:rFonts w:hint="default" w:ascii="Times New Roman" w:hAnsi="Times New Roman" w:eastAsia="仿宋_GB2312" w:cs="Times New Roman"/>
                <w:b/>
                <w:bCs/>
                <w:color w:val="auto"/>
                <w:sz w:val="24"/>
                <w:highlight w:val="none"/>
                <w:lang w:eastAsia="zh-CN"/>
              </w:rPr>
            </w:pPr>
          </w:p>
          <w:p w14:paraId="6E1BBE20">
            <w:pPr>
              <w:pStyle w:val="2"/>
              <w:rPr>
                <w:rFonts w:hint="default" w:ascii="Times New Roman" w:hAnsi="Times New Roman" w:eastAsia="仿宋_GB2312" w:cs="Times New Roman"/>
                <w:b/>
                <w:bCs/>
                <w:color w:val="auto"/>
                <w:sz w:val="24"/>
                <w:highlight w:val="none"/>
                <w:lang w:eastAsia="zh-CN"/>
              </w:rPr>
            </w:pPr>
          </w:p>
          <w:p w14:paraId="336413DC">
            <w:pPr>
              <w:pStyle w:val="2"/>
              <w:rPr>
                <w:rFonts w:hint="default" w:ascii="Times New Roman" w:hAnsi="Times New Roman" w:eastAsia="仿宋_GB2312" w:cs="Times New Roman"/>
                <w:b/>
                <w:bCs/>
                <w:color w:val="auto"/>
                <w:sz w:val="24"/>
                <w:highlight w:val="none"/>
                <w:lang w:eastAsia="zh-CN"/>
              </w:rPr>
            </w:pPr>
          </w:p>
          <w:p w14:paraId="45AFFDC2">
            <w:pPr>
              <w:pStyle w:val="2"/>
              <w:rPr>
                <w:rFonts w:hint="default" w:ascii="Times New Roman" w:hAnsi="Times New Roman" w:eastAsia="仿宋_GB2312" w:cs="Times New Roman"/>
                <w:b/>
                <w:bCs/>
                <w:color w:val="auto"/>
                <w:sz w:val="24"/>
                <w:highlight w:val="none"/>
                <w:lang w:eastAsia="zh-CN"/>
              </w:rPr>
            </w:pPr>
          </w:p>
          <w:p w14:paraId="16A73075">
            <w:pPr>
              <w:pStyle w:val="2"/>
              <w:rPr>
                <w:rFonts w:hint="default" w:ascii="Times New Roman" w:hAnsi="Times New Roman" w:eastAsia="仿宋_GB2312" w:cs="Times New Roman"/>
                <w:b/>
                <w:bCs/>
                <w:color w:val="auto"/>
                <w:sz w:val="24"/>
                <w:highlight w:val="none"/>
                <w:lang w:eastAsia="zh-CN"/>
              </w:rPr>
            </w:pPr>
          </w:p>
          <w:p w14:paraId="4F08A743">
            <w:pPr>
              <w:pStyle w:val="2"/>
              <w:rPr>
                <w:rFonts w:hint="default" w:ascii="Times New Roman" w:hAnsi="Times New Roman" w:eastAsia="仿宋_GB2312" w:cs="Times New Roman"/>
                <w:b/>
                <w:bCs/>
                <w:color w:val="auto"/>
                <w:sz w:val="24"/>
                <w:highlight w:val="none"/>
                <w:lang w:eastAsia="zh-CN"/>
              </w:rPr>
            </w:pPr>
          </w:p>
          <w:p w14:paraId="7754D685">
            <w:pPr>
              <w:pStyle w:val="2"/>
              <w:rPr>
                <w:rFonts w:hint="default" w:ascii="Times New Roman" w:hAnsi="Times New Roman" w:eastAsia="仿宋_GB2312" w:cs="Times New Roman"/>
                <w:b/>
                <w:bCs/>
                <w:color w:val="auto"/>
                <w:sz w:val="24"/>
                <w:highlight w:val="none"/>
                <w:lang w:eastAsia="zh-CN"/>
              </w:rPr>
            </w:pPr>
          </w:p>
          <w:p w14:paraId="2BCFD34B">
            <w:pPr>
              <w:pStyle w:val="2"/>
              <w:rPr>
                <w:rFonts w:hint="default" w:ascii="Times New Roman" w:hAnsi="Times New Roman" w:eastAsia="仿宋_GB2312" w:cs="Times New Roman"/>
                <w:b/>
                <w:bCs/>
                <w:color w:val="auto"/>
                <w:sz w:val="24"/>
                <w:highlight w:val="none"/>
                <w:lang w:eastAsia="zh-CN"/>
              </w:rPr>
            </w:pPr>
          </w:p>
          <w:p w14:paraId="07B585F5">
            <w:pPr>
              <w:pStyle w:val="2"/>
              <w:rPr>
                <w:rFonts w:hint="default" w:ascii="Times New Roman" w:hAnsi="Times New Roman" w:eastAsia="仿宋_GB2312" w:cs="Times New Roman"/>
                <w:b/>
                <w:bCs/>
                <w:color w:val="auto"/>
                <w:sz w:val="24"/>
                <w:highlight w:val="none"/>
                <w:lang w:eastAsia="zh-CN"/>
              </w:rPr>
            </w:pPr>
          </w:p>
          <w:p w14:paraId="206439BC">
            <w:pPr>
              <w:pStyle w:val="2"/>
              <w:rPr>
                <w:rFonts w:hint="default" w:ascii="Times New Roman" w:hAnsi="Times New Roman" w:eastAsia="仿宋_GB2312" w:cs="Times New Roman"/>
                <w:b/>
                <w:bCs/>
                <w:color w:val="auto"/>
                <w:sz w:val="24"/>
                <w:highlight w:val="none"/>
                <w:lang w:eastAsia="zh-CN"/>
              </w:rPr>
            </w:pPr>
          </w:p>
          <w:p w14:paraId="35D58ADD">
            <w:pPr>
              <w:adjustRightInd w:val="0"/>
              <w:snapToGrid w:val="0"/>
              <w:jc w:val="center"/>
              <w:rPr>
                <w:rFonts w:hint="default" w:ascii="Times New Roman" w:hAnsi="Times New Roman" w:eastAsia="仿宋_GB2312" w:cs="Times New Roman"/>
                <w:b/>
                <w:bCs/>
                <w:color w:val="auto"/>
                <w:sz w:val="24"/>
                <w:highlight w:val="none"/>
                <w:lang w:eastAsia="zh-CN"/>
              </w:rPr>
            </w:pPr>
          </w:p>
          <w:p w14:paraId="184C8481">
            <w:pPr>
              <w:adjustRightInd w:val="0"/>
              <w:snapToGrid w:val="0"/>
              <w:jc w:val="both"/>
              <w:rPr>
                <w:rFonts w:hint="default" w:ascii="Times New Roman" w:hAnsi="Times New Roman" w:eastAsia="仿宋_GB2312" w:cs="Times New Roman"/>
                <w:b/>
                <w:bCs/>
                <w:color w:val="auto"/>
                <w:sz w:val="24"/>
                <w:highlight w:val="none"/>
                <w:lang w:eastAsia="zh-CN"/>
              </w:rPr>
            </w:pPr>
          </w:p>
          <w:p w14:paraId="0F1920F2">
            <w:pPr>
              <w:adjustRightInd w:val="0"/>
              <w:snapToGrid w:val="0"/>
              <w:jc w:val="center"/>
              <w:rPr>
                <w:rFonts w:hint="default" w:ascii="Times New Roman" w:hAnsi="Times New Roman" w:eastAsia="仿宋_GB2312" w:cs="Times New Roman"/>
                <w:b/>
                <w:bCs/>
                <w:color w:val="auto"/>
                <w:sz w:val="24"/>
                <w:highlight w:val="none"/>
                <w:lang w:eastAsia="zh-CN"/>
              </w:rPr>
            </w:pPr>
            <w:r>
              <w:rPr>
                <w:rFonts w:hint="default" w:ascii="Times New Roman" w:hAnsi="Times New Roman" w:eastAsia="仿宋_GB2312" w:cs="Times New Roman"/>
                <w:b/>
                <w:bCs/>
                <w:color w:val="auto"/>
                <w:sz w:val="24"/>
                <w:highlight w:val="none"/>
                <w:lang w:eastAsia="zh-CN"/>
              </w:rPr>
              <w:t>选址选线环境</w:t>
            </w:r>
            <w:r>
              <w:rPr>
                <w:rFonts w:hint="eastAsia" w:eastAsia="仿宋_GB2312" w:cs="Times New Roman"/>
                <w:b/>
                <w:bCs/>
                <w:color w:val="auto"/>
                <w:sz w:val="24"/>
                <w:highlight w:val="none"/>
                <w:lang w:eastAsia="zh-CN"/>
              </w:rPr>
              <w:t>合</w:t>
            </w:r>
            <w:r>
              <w:rPr>
                <w:rFonts w:hint="default" w:ascii="Times New Roman" w:hAnsi="Times New Roman" w:eastAsia="仿宋_GB2312" w:cs="Times New Roman"/>
                <w:b/>
                <w:bCs/>
                <w:color w:val="auto"/>
                <w:sz w:val="24"/>
                <w:highlight w:val="none"/>
                <w:lang w:eastAsia="zh-CN"/>
              </w:rPr>
              <w:t>理性分析</w:t>
            </w:r>
          </w:p>
          <w:p w14:paraId="6B13CC9A">
            <w:pPr>
              <w:pStyle w:val="9"/>
              <w:rPr>
                <w:rFonts w:hint="default" w:ascii="Times New Roman" w:hAnsi="Times New Roman" w:eastAsia="仿宋_GB2312" w:cs="Times New Roman"/>
                <w:b/>
                <w:bCs/>
                <w:color w:val="auto"/>
                <w:sz w:val="24"/>
                <w:highlight w:val="none"/>
                <w:lang w:eastAsia="zh-CN"/>
              </w:rPr>
            </w:pPr>
          </w:p>
          <w:p w14:paraId="73E9115C">
            <w:pPr>
              <w:rPr>
                <w:rFonts w:hint="default" w:ascii="Times New Roman" w:hAnsi="Times New Roman" w:eastAsia="仿宋_GB2312" w:cs="Times New Roman"/>
                <w:b/>
                <w:bCs/>
                <w:color w:val="auto"/>
                <w:sz w:val="24"/>
                <w:highlight w:val="none"/>
                <w:lang w:eastAsia="zh-CN"/>
              </w:rPr>
            </w:pPr>
          </w:p>
          <w:p w14:paraId="18DFB947">
            <w:pPr>
              <w:pStyle w:val="9"/>
              <w:rPr>
                <w:rFonts w:hint="default" w:ascii="Times New Roman" w:hAnsi="Times New Roman" w:eastAsia="仿宋_GB2312" w:cs="Times New Roman"/>
                <w:b/>
                <w:bCs/>
                <w:color w:val="auto"/>
                <w:sz w:val="24"/>
                <w:highlight w:val="none"/>
                <w:lang w:eastAsia="zh-CN"/>
              </w:rPr>
            </w:pPr>
          </w:p>
          <w:p w14:paraId="3DA081B6">
            <w:pPr>
              <w:rPr>
                <w:rFonts w:hint="default" w:ascii="Times New Roman" w:hAnsi="Times New Roman" w:eastAsia="仿宋_GB2312" w:cs="Times New Roman"/>
                <w:b/>
                <w:bCs/>
                <w:color w:val="auto"/>
                <w:sz w:val="24"/>
                <w:highlight w:val="none"/>
                <w:lang w:eastAsia="zh-CN"/>
              </w:rPr>
            </w:pPr>
          </w:p>
          <w:p w14:paraId="6B74C549">
            <w:pPr>
              <w:rPr>
                <w:rFonts w:hint="default" w:ascii="Times New Roman" w:hAnsi="Times New Roman" w:eastAsia="仿宋_GB2312" w:cs="Times New Roman"/>
                <w:b/>
                <w:bCs/>
                <w:color w:val="auto"/>
                <w:sz w:val="24"/>
                <w:highlight w:val="none"/>
                <w:lang w:eastAsia="zh-CN"/>
              </w:rPr>
            </w:pPr>
          </w:p>
          <w:p w14:paraId="1445F0DF">
            <w:pPr>
              <w:rPr>
                <w:rFonts w:hint="default" w:ascii="Times New Roman" w:hAnsi="Times New Roman" w:eastAsia="仿宋_GB2312" w:cs="Times New Roman"/>
                <w:b/>
                <w:bCs/>
                <w:color w:val="auto"/>
                <w:sz w:val="24"/>
                <w:highlight w:val="none"/>
                <w:lang w:eastAsia="zh-CN"/>
              </w:rPr>
            </w:pPr>
          </w:p>
          <w:p w14:paraId="3F69BABB">
            <w:pPr>
              <w:rPr>
                <w:rFonts w:hint="default" w:ascii="Times New Roman" w:hAnsi="Times New Roman" w:eastAsia="仿宋_GB2312" w:cs="Times New Roman"/>
                <w:b/>
                <w:bCs/>
                <w:color w:val="auto"/>
                <w:sz w:val="24"/>
                <w:highlight w:val="none"/>
                <w:lang w:eastAsia="zh-CN"/>
              </w:rPr>
            </w:pPr>
          </w:p>
          <w:p w14:paraId="4B647303">
            <w:pPr>
              <w:rPr>
                <w:rFonts w:hint="default" w:ascii="Times New Roman" w:hAnsi="Times New Roman" w:eastAsia="仿宋_GB2312" w:cs="Times New Roman"/>
                <w:b/>
                <w:bCs/>
                <w:color w:val="auto"/>
                <w:sz w:val="24"/>
                <w:highlight w:val="none"/>
                <w:lang w:eastAsia="zh-CN"/>
              </w:rPr>
            </w:pPr>
          </w:p>
          <w:p w14:paraId="66D820C5">
            <w:pPr>
              <w:rPr>
                <w:rFonts w:hint="default" w:ascii="Times New Roman" w:hAnsi="Times New Roman" w:eastAsia="仿宋_GB2312" w:cs="Times New Roman"/>
                <w:b/>
                <w:bCs/>
                <w:color w:val="auto"/>
                <w:sz w:val="24"/>
                <w:highlight w:val="none"/>
                <w:lang w:eastAsia="zh-CN"/>
              </w:rPr>
            </w:pPr>
          </w:p>
          <w:p w14:paraId="4E082B2A">
            <w:pPr>
              <w:rPr>
                <w:rFonts w:hint="default" w:ascii="Times New Roman" w:hAnsi="Times New Roman" w:eastAsia="仿宋_GB2312" w:cs="Times New Roman"/>
                <w:b/>
                <w:bCs/>
                <w:color w:val="auto"/>
                <w:sz w:val="24"/>
                <w:highlight w:val="none"/>
                <w:lang w:eastAsia="zh-CN"/>
              </w:rPr>
            </w:pPr>
          </w:p>
          <w:p w14:paraId="6347DD70">
            <w:pPr>
              <w:rPr>
                <w:rFonts w:hint="default" w:ascii="Times New Roman" w:hAnsi="Times New Roman" w:eastAsia="仿宋_GB2312" w:cs="Times New Roman"/>
                <w:b/>
                <w:bCs/>
                <w:color w:val="auto"/>
                <w:sz w:val="24"/>
                <w:highlight w:val="none"/>
                <w:lang w:eastAsia="zh-CN"/>
              </w:rPr>
            </w:pPr>
          </w:p>
          <w:p w14:paraId="0940E74E">
            <w:pPr>
              <w:rPr>
                <w:rFonts w:hint="default" w:ascii="Times New Roman" w:hAnsi="Times New Roman" w:eastAsia="仿宋_GB2312" w:cs="Times New Roman"/>
                <w:b/>
                <w:bCs/>
                <w:color w:val="auto"/>
                <w:sz w:val="24"/>
                <w:highlight w:val="none"/>
                <w:lang w:eastAsia="zh-CN"/>
              </w:rPr>
            </w:pPr>
          </w:p>
          <w:p w14:paraId="460255DF">
            <w:pPr>
              <w:rPr>
                <w:rFonts w:hint="default" w:ascii="Times New Roman" w:hAnsi="Times New Roman" w:eastAsia="仿宋_GB2312" w:cs="Times New Roman"/>
                <w:b/>
                <w:bCs/>
                <w:color w:val="auto"/>
                <w:sz w:val="24"/>
                <w:highlight w:val="none"/>
                <w:lang w:eastAsia="zh-CN"/>
              </w:rPr>
            </w:pPr>
          </w:p>
          <w:p w14:paraId="53BD0EF2">
            <w:pPr>
              <w:rPr>
                <w:rFonts w:hint="default" w:ascii="Times New Roman" w:hAnsi="Times New Roman" w:eastAsia="仿宋_GB2312" w:cs="Times New Roman"/>
                <w:b/>
                <w:bCs/>
                <w:color w:val="auto"/>
                <w:sz w:val="24"/>
                <w:highlight w:val="none"/>
                <w:lang w:eastAsia="zh-CN"/>
              </w:rPr>
            </w:pPr>
          </w:p>
          <w:p w14:paraId="65034482">
            <w:pPr>
              <w:rPr>
                <w:rFonts w:hint="default" w:ascii="Times New Roman" w:hAnsi="Times New Roman" w:eastAsia="仿宋_GB2312" w:cs="Times New Roman"/>
                <w:b/>
                <w:bCs/>
                <w:color w:val="auto"/>
                <w:sz w:val="24"/>
                <w:highlight w:val="none"/>
                <w:lang w:eastAsia="zh-CN"/>
              </w:rPr>
            </w:pPr>
          </w:p>
          <w:p w14:paraId="07EB5459">
            <w:pPr>
              <w:rPr>
                <w:rFonts w:hint="default" w:ascii="Times New Roman" w:hAnsi="Times New Roman" w:eastAsia="仿宋_GB2312" w:cs="Times New Roman"/>
                <w:b/>
                <w:bCs/>
                <w:color w:val="auto"/>
                <w:sz w:val="24"/>
                <w:highlight w:val="none"/>
                <w:lang w:eastAsia="zh-CN"/>
              </w:rPr>
            </w:pPr>
          </w:p>
          <w:p w14:paraId="24E3FB24">
            <w:pPr>
              <w:rPr>
                <w:rFonts w:hint="default" w:ascii="Times New Roman" w:hAnsi="Times New Roman" w:eastAsia="仿宋_GB2312" w:cs="Times New Roman"/>
                <w:b/>
                <w:bCs/>
                <w:color w:val="auto"/>
                <w:sz w:val="24"/>
                <w:highlight w:val="none"/>
                <w:lang w:eastAsia="zh-CN"/>
              </w:rPr>
            </w:pPr>
          </w:p>
          <w:p w14:paraId="6C87FD43">
            <w:pPr>
              <w:rPr>
                <w:rFonts w:hint="default" w:ascii="Times New Roman" w:hAnsi="Times New Roman" w:eastAsia="仿宋_GB2312" w:cs="Times New Roman"/>
                <w:b/>
                <w:bCs/>
                <w:color w:val="auto"/>
                <w:sz w:val="24"/>
                <w:highlight w:val="none"/>
                <w:lang w:eastAsia="zh-CN"/>
              </w:rPr>
            </w:pPr>
          </w:p>
          <w:p w14:paraId="332C60BC">
            <w:pPr>
              <w:rPr>
                <w:rFonts w:hint="default" w:ascii="Times New Roman" w:hAnsi="Times New Roman" w:eastAsia="仿宋_GB2312" w:cs="Times New Roman"/>
                <w:b/>
                <w:bCs/>
                <w:color w:val="auto"/>
                <w:sz w:val="24"/>
                <w:highlight w:val="none"/>
                <w:lang w:eastAsia="zh-CN"/>
              </w:rPr>
            </w:pPr>
          </w:p>
          <w:p w14:paraId="16820A67">
            <w:pPr>
              <w:rPr>
                <w:rFonts w:hint="default" w:ascii="Times New Roman" w:hAnsi="Times New Roman" w:eastAsia="仿宋_GB2312" w:cs="Times New Roman"/>
                <w:b/>
                <w:bCs/>
                <w:color w:val="auto"/>
                <w:sz w:val="24"/>
                <w:highlight w:val="none"/>
                <w:lang w:eastAsia="zh-CN"/>
              </w:rPr>
            </w:pPr>
          </w:p>
          <w:p w14:paraId="7C4BCDEA">
            <w:pPr>
              <w:rPr>
                <w:rFonts w:hint="default" w:ascii="Times New Roman" w:hAnsi="Times New Roman" w:eastAsia="仿宋_GB2312" w:cs="Times New Roman"/>
                <w:b/>
                <w:bCs/>
                <w:color w:val="auto"/>
                <w:sz w:val="24"/>
                <w:highlight w:val="none"/>
                <w:lang w:eastAsia="zh-CN"/>
              </w:rPr>
            </w:pPr>
          </w:p>
          <w:p w14:paraId="142D51FD">
            <w:pPr>
              <w:rPr>
                <w:rFonts w:hint="default" w:ascii="Times New Roman" w:hAnsi="Times New Roman" w:eastAsia="仿宋_GB2312" w:cs="Times New Roman"/>
                <w:b/>
                <w:bCs/>
                <w:color w:val="auto"/>
                <w:sz w:val="24"/>
                <w:highlight w:val="none"/>
                <w:lang w:eastAsia="zh-CN"/>
              </w:rPr>
            </w:pPr>
          </w:p>
          <w:p w14:paraId="6CAF8ABC">
            <w:pPr>
              <w:rPr>
                <w:rFonts w:hint="default" w:ascii="Times New Roman" w:hAnsi="Times New Roman" w:eastAsia="仿宋_GB2312" w:cs="Times New Roman"/>
                <w:b/>
                <w:bCs/>
                <w:color w:val="auto"/>
                <w:sz w:val="24"/>
                <w:highlight w:val="none"/>
                <w:lang w:eastAsia="zh-CN"/>
              </w:rPr>
            </w:pPr>
          </w:p>
          <w:p w14:paraId="61D38834">
            <w:pPr>
              <w:rPr>
                <w:rFonts w:hint="default" w:ascii="Times New Roman" w:hAnsi="Times New Roman" w:eastAsia="仿宋_GB2312" w:cs="Times New Roman"/>
                <w:b/>
                <w:bCs/>
                <w:color w:val="auto"/>
                <w:sz w:val="24"/>
                <w:highlight w:val="none"/>
                <w:lang w:eastAsia="zh-CN"/>
              </w:rPr>
            </w:pPr>
          </w:p>
          <w:p w14:paraId="0F47D993">
            <w:pPr>
              <w:rPr>
                <w:rFonts w:hint="default" w:ascii="Times New Roman" w:hAnsi="Times New Roman" w:eastAsia="仿宋_GB2312" w:cs="Times New Roman"/>
                <w:b/>
                <w:bCs/>
                <w:color w:val="auto"/>
                <w:sz w:val="24"/>
                <w:highlight w:val="none"/>
                <w:lang w:eastAsia="zh-CN"/>
              </w:rPr>
            </w:pPr>
          </w:p>
          <w:p w14:paraId="2E29B1E3">
            <w:pPr>
              <w:rPr>
                <w:rFonts w:hint="default" w:ascii="Times New Roman" w:hAnsi="Times New Roman" w:eastAsia="仿宋_GB2312" w:cs="Times New Roman"/>
                <w:b/>
                <w:bCs/>
                <w:color w:val="auto"/>
                <w:sz w:val="24"/>
                <w:highlight w:val="none"/>
                <w:lang w:eastAsia="zh-CN"/>
              </w:rPr>
            </w:pPr>
          </w:p>
          <w:p w14:paraId="0B9F6D8E">
            <w:pPr>
              <w:rPr>
                <w:rFonts w:hint="default" w:ascii="Times New Roman" w:hAnsi="Times New Roman" w:eastAsia="仿宋_GB2312" w:cs="Times New Roman"/>
                <w:b/>
                <w:bCs/>
                <w:color w:val="auto"/>
                <w:sz w:val="24"/>
                <w:highlight w:val="none"/>
                <w:lang w:eastAsia="zh-CN"/>
              </w:rPr>
            </w:pPr>
          </w:p>
          <w:p w14:paraId="3552FB63">
            <w:pPr>
              <w:rPr>
                <w:rFonts w:hint="default" w:ascii="Times New Roman" w:hAnsi="Times New Roman" w:eastAsia="仿宋_GB2312" w:cs="Times New Roman"/>
                <w:b/>
                <w:bCs/>
                <w:color w:val="auto"/>
                <w:sz w:val="24"/>
                <w:highlight w:val="none"/>
                <w:lang w:eastAsia="zh-CN"/>
              </w:rPr>
            </w:pPr>
          </w:p>
          <w:p w14:paraId="569F592A">
            <w:pPr>
              <w:rPr>
                <w:rFonts w:hint="default" w:ascii="Times New Roman" w:hAnsi="Times New Roman" w:eastAsia="仿宋_GB2312" w:cs="Times New Roman"/>
                <w:b/>
                <w:bCs/>
                <w:color w:val="auto"/>
                <w:sz w:val="24"/>
                <w:highlight w:val="none"/>
                <w:lang w:eastAsia="zh-CN"/>
              </w:rPr>
            </w:pPr>
          </w:p>
          <w:p w14:paraId="3AD31BEF">
            <w:pPr>
              <w:rPr>
                <w:rFonts w:hint="default" w:ascii="Times New Roman" w:hAnsi="Times New Roman" w:eastAsia="仿宋_GB2312" w:cs="Times New Roman"/>
                <w:b/>
                <w:bCs/>
                <w:color w:val="auto"/>
                <w:sz w:val="24"/>
                <w:highlight w:val="none"/>
                <w:lang w:eastAsia="zh-CN"/>
              </w:rPr>
            </w:pPr>
          </w:p>
          <w:p w14:paraId="253E21CE">
            <w:pPr>
              <w:rPr>
                <w:rFonts w:hint="default" w:ascii="Times New Roman" w:hAnsi="Times New Roman" w:eastAsia="仿宋_GB2312" w:cs="Times New Roman"/>
                <w:b/>
                <w:bCs/>
                <w:color w:val="auto"/>
                <w:sz w:val="24"/>
                <w:highlight w:val="none"/>
                <w:lang w:eastAsia="zh-CN"/>
              </w:rPr>
            </w:pPr>
          </w:p>
          <w:p w14:paraId="262D7429">
            <w:pPr>
              <w:rPr>
                <w:rFonts w:hint="default" w:ascii="Times New Roman" w:hAnsi="Times New Roman" w:eastAsia="仿宋_GB2312" w:cs="Times New Roman"/>
                <w:b/>
                <w:bCs/>
                <w:color w:val="auto"/>
                <w:sz w:val="24"/>
                <w:highlight w:val="none"/>
                <w:lang w:eastAsia="zh-CN"/>
              </w:rPr>
            </w:pPr>
          </w:p>
          <w:p w14:paraId="705504EF">
            <w:pPr>
              <w:rPr>
                <w:rFonts w:hint="default" w:ascii="Times New Roman" w:hAnsi="Times New Roman" w:eastAsia="仿宋_GB2312" w:cs="Times New Roman"/>
                <w:b/>
                <w:bCs/>
                <w:color w:val="auto"/>
                <w:sz w:val="24"/>
                <w:highlight w:val="none"/>
                <w:lang w:eastAsia="zh-CN"/>
              </w:rPr>
            </w:pPr>
          </w:p>
          <w:p w14:paraId="5366B734">
            <w:pPr>
              <w:rPr>
                <w:rFonts w:hint="default" w:ascii="Times New Roman" w:hAnsi="Times New Roman" w:eastAsia="仿宋_GB2312" w:cs="Times New Roman"/>
                <w:b/>
                <w:bCs/>
                <w:color w:val="auto"/>
                <w:sz w:val="24"/>
                <w:highlight w:val="none"/>
                <w:lang w:eastAsia="zh-CN"/>
              </w:rPr>
            </w:pPr>
          </w:p>
          <w:p w14:paraId="7578677F">
            <w:pPr>
              <w:rPr>
                <w:rFonts w:hint="default" w:ascii="Times New Roman" w:hAnsi="Times New Roman" w:eastAsia="仿宋_GB2312" w:cs="Times New Roman"/>
                <w:b/>
                <w:bCs/>
                <w:color w:val="auto"/>
                <w:sz w:val="24"/>
                <w:highlight w:val="none"/>
                <w:lang w:eastAsia="zh-CN"/>
              </w:rPr>
            </w:pPr>
          </w:p>
          <w:p w14:paraId="3BDA723D">
            <w:pPr>
              <w:rPr>
                <w:rFonts w:hint="default" w:ascii="Times New Roman" w:hAnsi="Times New Roman" w:eastAsia="仿宋_GB2312" w:cs="Times New Roman"/>
                <w:b/>
                <w:bCs/>
                <w:color w:val="auto"/>
                <w:sz w:val="24"/>
                <w:highlight w:val="none"/>
                <w:lang w:eastAsia="zh-CN"/>
              </w:rPr>
            </w:pPr>
          </w:p>
          <w:p w14:paraId="34EB1D7A">
            <w:pPr>
              <w:rPr>
                <w:rFonts w:hint="default" w:ascii="Times New Roman" w:hAnsi="Times New Roman" w:eastAsia="仿宋_GB2312" w:cs="Times New Roman"/>
                <w:b/>
                <w:bCs/>
                <w:color w:val="auto"/>
                <w:sz w:val="24"/>
                <w:highlight w:val="none"/>
                <w:lang w:eastAsia="zh-CN"/>
              </w:rPr>
            </w:pPr>
          </w:p>
          <w:p w14:paraId="643DC178">
            <w:pPr>
              <w:rPr>
                <w:rFonts w:hint="default" w:ascii="Times New Roman" w:hAnsi="Times New Roman" w:eastAsia="仿宋_GB2312" w:cs="Times New Roman"/>
                <w:b/>
                <w:bCs/>
                <w:color w:val="auto"/>
                <w:sz w:val="24"/>
                <w:highlight w:val="none"/>
                <w:lang w:eastAsia="zh-CN"/>
              </w:rPr>
            </w:pPr>
          </w:p>
          <w:p w14:paraId="4E84FD72">
            <w:pPr>
              <w:pStyle w:val="9"/>
              <w:ind w:left="0" w:leftChars="0" w:firstLine="0" w:firstLineChars="0"/>
              <w:rPr>
                <w:rFonts w:hint="default"/>
                <w:color w:val="auto"/>
                <w:highlight w:val="none"/>
                <w:lang w:eastAsia="zh-CN"/>
              </w:rPr>
            </w:pPr>
          </w:p>
          <w:p w14:paraId="055A35DD">
            <w:pPr>
              <w:pStyle w:val="9"/>
              <w:rPr>
                <w:rFonts w:hint="default"/>
                <w:color w:val="auto"/>
                <w:highlight w:val="none"/>
                <w:lang w:eastAsia="zh-CN"/>
              </w:rPr>
            </w:pPr>
          </w:p>
        </w:tc>
        <w:tc>
          <w:tcPr>
            <w:tcW w:w="8522" w:type="dxa"/>
            <w:tcBorders>
              <w:tl2br w:val="nil"/>
              <w:tr2bl w:val="nil"/>
            </w:tcBorders>
            <w:vAlign w:val="center"/>
          </w:tcPr>
          <w:p w14:paraId="32E902D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default"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1.六盘山镇蜂蜜加工包装车间建设工程选址合理性分析</w:t>
            </w:r>
          </w:p>
          <w:p w14:paraId="3B29B071">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场地位于泾源县六盘山镇，现状用地为建设用地。市政基础设施配套完善，已规划给水、排水、电力外网系统，道路包含硬化处理路段，可满足产业运输及作业需求。场地整体地势较为平坦，地面高程在一定范围内略有起伏，坡度平缓，有利于工程建设的平面布局和土方平衡。场地地貌类型属于黄土丘陵区，地表覆盖层主要为第四纪黄土，土层厚度较大，采用平坡式竖向布置，充分利用场地自然坡度，避免大规模土方工程，实现场地地表平顺过渡。地表雨水排除采用自然坡度引导雨水流向低洼区域或沟渠，确保排水顺畅，无内涝风险，与室外排水系统形成有效衔接。</w:t>
            </w:r>
          </w:p>
          <w:p w14:paraId="290EF96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eastAsia"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2.泾源县智能化蜂箱改造建设工程选址合理性分析</w:t>
            </w:r>
          </w:p>
          <w:p w14:paraId="6CB1D4E4">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 xml:space="preserve">项目位于六盘山镇总平面布置遵循“智能适配、分区科学、便于管理”的原则，结合场地开阔平缓的地形特征，以满足智能化养殖需求为核心优化布局，分别布置于兴盛乡兴盛村、黄花乡羊槽村、泾河源镇冶家村、六盘山镇智能化蜂场等。6个智慧蜂场采用均匀分散式布局，分别设置于场地内生态条件适宜的区域，每个智慧蜂场划定独立养殖单元。单元内，2000箱智能蜂箱按行列式集中摆放，行距1.5米、列距2米，既保障蜂群活动空间，又便于物联网传感器安装与数据传输；7000箱普通蜂箱围绕智能蜂箱单元周边有序布置，形成规模化养殖集群，与智能蜂箱协同构建高效养殖体系。 </w:t>
            </w:r>
          </w:p>
          <w:p w14:paraId="3698FA79">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eastAsia"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3.六盘山镇中药材种苗培育基地建设项目</w:t>
            </w:r>
            <w:r>
              <w:rPr>
                <w:rFonts w:hint="eastAsia" w:eastAsia="仿宋_GB2312" w:cs="Times New Roman"/>
                <w:b/>
                <w:bCs/>
                <w:color w:val="auto"/>
                <w:sz w:val="24"/>
                <w:szCs w:val="24"/>
                <w:highlight w:val="none"/>
                <w:lang w:val="en-US" w:eastAsia="zh-CN"/>
              </w:rPr>
              <w:t>选址合理性分析</w:t>
            </w:r>
          </w:p>
          <w:p w14:paraId="36B2881C">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场地位于泾源县六盘山镇什字村，现状用地为耕地，自然环境以农田生态为主。</w:t>
            </w:r>
            <w:r>
              <w:rPr>
                <w:rFonts w:hint="eastAsia" w:ascii="Times New Roman" w:hAnsi="Times New Roman" w:eastAsia="仿宋_GB2312" w:cs="Times New Roman"/>
                <w:color w:val="auto"/>
                <w:sz w:val="24"/>
                <w:szCs w:val="24"/>
                <w:highlight w:val="none"/>
                <w:lang w:val="en-US" w:eastAsia="zh-CN"/>
              </w:rPr>
              <w:t>东侧紧邻乡村主干道，交通便利，便于种苗运输及生产物资的进场；南侧为连片农田，种植结构以粮食作物为主，可形成天然的生态隔离带，减少病虫害交叉传播风险；西侧和北侧为低矮丘陵，植被覆盖率高，既能调节区域微气候，又能为种苗培育提供良好的生态屏障。周边现有天然水系从场地北侧经过，可通过蓄水池及泵房接入基地灌溉系统，保障种苗培育过程中的稳定水源供应，同时电力设施已覆盖至场地边缘，无需大规模线路改造即可满足基地生产用电需求。</w:t>
            </w:r>
            <w:r>
              <w:rPr>
                <w:rFonts w:hint="default" w:ascii="Times New Roman" w:hAnsi="Times New Roman" w:eastAsia="仿宋_GB2312" w:cs="Times New Roman"/>
                <w:color w:val="auto"/>
                <w:sz w:val="24"/>
                <w:szCs w:val="24"/>
                <w:highlight w:val="none"/>
                <w:lang w:val="en-US" w:eastAsia="zh-CN"/>
              </w:rPr>
              <w:t>项目区利用现状河流新建1000m³</w:t>
            </w:r>
            <w:r>
              <w:rPr>
                <w:rFonts w:hint="eastAsia" w:ascii="Times New Roman" w:hAnsi="Times New Roman" w:eastAsia="仿宋_GB2312" w:cs="Times New Roman"/>
                <w:color w:val="auto"/>
                <w:sz w:val="24"/>
                <w:szCs w:val="24"/>
                <w:highlight w:val="none"/>
                <w:lang w:val="en-US" w:eastAsia="zh-CN"/>
              </w:rPr>
              <w:t>蓄水池作为水源，下游修建截水墙实施蓄水，接近水泵房位置设置集水槽，再通过泵房接至田间实施灌溉。布置</w:t>
            </w:r>
            <w:r>
              <w:rPr>
                <w:rFonts w:hint="default" w:ascii="Times New Roman" w:hAnsi="Times New Roman" w:eastAsia="仿宋_GB2312" w:cs="Times New Roman"/>
                <w:color w:val="auto"/>
                <w:sz w:val="24"/>
                <w:szCs w:val="24"/>
                <w:highlight w:val="none"/>
                <w:lang w:val="en-US" w:eastAsia="zh-CN"/>
              </w:rPr>
              <w:t>1100</w:t>
            </w:r>
            <w:r>
              <w:rPr>
                <w:rFonts w:hint="eastAsia" w:ascii="Times New Roman" w:hAnsi="Times New Roman" w:eastAsia="仿宋_GB2312" w:cs="Times New Roman"/>
                <w:color w:val="auto"/>
                <w:sz w:val="24"/>
                <w:szCs w:val="24"/>
                <w:highlight w:val="none"/>
                <w:lang w:val="en-US" w:eastAsia="zh-CN"/>
              </w:rPr>
              <w:t>亩耕地种植中药材。</w:t>
            </w:r>
          </w:p>
          <w:p w14:paraId="5920C1E6">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default"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六盘山镇中药材物流中转集散地建设工程</w:t>
            </w:r>
            <w:r>
              <w:rPr>
                <w:rFonts w:hint="eastAsia" w:eastAsia="仿宋_GB2312" w:cs="Times New Roman"/>
                <w:b/>
                <w:bCs/>
                <w:color w:val="auto"/>
                <w:sz w:val="24"/>
                <w:szCs w:val="24"/>
                <w:highlight w:val="none"/>
                <w:lang w:val="en-US" w:eastAsia="zh-CN"/>
              </w:rPr>
              <w:t>选址合理性分析</w:t>
            </w:r>
          </w:p>
          <w:p w14:paraId="37843F28">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现状地形为长条形地块，建筑布置沿长向合理布置。</w:t>
            </w:r>
            <w:r>
              <w:rPr>
                <w:rFonts w:hint="eastAsia" w:ascii="Times New Roman" w:hAnsi="Times New Roman" w:eastAsia="仿宋_GB2312" w:cs="Times New Roman"/>
                <w:color w:val="auto"/>
                <w:sz w:val="24"/>
                <w:szCs w:val="24"/>
                <w:highlight w:val="none"/>
                <w:lang w:val="en-US" w:eastAsia="zh-CN"/>
              </w:rPr>
              <w:t>功能分区明确：综合保障与核心加工区是综合保障与核心加工区，位于场地相对中心或重要位置，承担主要加工与存储功能。精加工与质量控制区：“新建中药材分拣与包装区”和“新建中药材质量检测中心”在功能上紧密关联，布局上应相邻或靠近，形成从分拣、包装到质量检测的连贯流水线。物流转运区：“新建物流中转区”作为对外的枢纽，其位置紧邻场区道路，便于货物运输车辆的进出、装卸，有效避免了物流流线与生产流线的交叉干扰。流线组织合理：物流流线：从“物流中转区”到“综合保障区”，再到“分拣包装区”和“质量检测中心”，最后成品返回“物流中转区”运出，形成了一个清晰、单向的物料流动路径，有利于提高生产效率。人流与车流：场地内设置了“硬化”地面和“铺砖”区域，明确了交通路径。主</w:t>
            </w:r>
            <w:r>
              <w:rPr>
                <w:rFonts w:hint="default" w:ascii="Times New Roman" w:hAnsi="Times New Roman" w:eastAsia="仿宋_GB2312" w:cs="Times New Roman"/>
                <w:color w:val="auto"/>
                <w:sz w:val="24"/>
                <w:szCs w:val="24"/>
                <w:highlight w:val="none"/>
                <w:lang w:val="en-US" w:eastAsia="zh-CN"/>
              </w:rPr>
              <w:t>要道路系统能够连接各个功能区，并满足消防通道的要求。</w:t>
            </w:r>
          </w:p>
          <w:p w14:paraId="25E2024E">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5</w:t>
            </w:r>
            <w:r>
              <w:rPr>
                <w:rFonts w:hint="eastAsia" w:ascii="Times New Roman" w:hAnsi="Times New Roman" w:eastAsia="仿宋_GB2312" w:cs="Times New Roman"/>
                <w:b/>
                <w:bCs/>
                <w:color w:val="auto"/>
                <w:sz w:val="24"/>
                <w:szCs w:val="24"/>
                <w:highlight w:val="none"/>
                <w:lang w:val="en-US" w:eastAsia="zh-CN"/>
              </w:rPr>
              <w:t>.</w:t>
            </w:r>
            <w:r>
              <w:rPr>
                <w:rFonts w:hint="default" w:ascii="Times New Roman" w:hAnsi="Times New Roman" w:eastAsia="仿宋_GB2312" w:cs="Times New Roman"/>
                <w:b/>
                <w:bCs/>
                <w:color w:val="auto"/>
                <w:sz w:val="24"/>
                <w:szCs w:val="24"/>
                <w:highlight w:val="none"/>
                <w:lang w:val="en-US" w:eastAsia="zh-CN"/>
              </w:rPr>
              <w:t>六盘山镇中药材分拣包装晾晒车间建设项目</w:t>
            </w:r>
            <w:r>
              <w:rPr>
                <w:rFonts w:hint="eastAsia" w:eastAsia="仿宋_GB2312" w:cs="Times New Roman"/>
                <w:b/>
                <w:bCs/>
                <w:color w:val="auto"/>
                <w:sz w:val="24"/>
                <w:szCs w:val="24"/>
                <w:highlight w:val="none"/>
                <w:lang w:val="en-US" w:eastAsia="zh-CN"/>
              </w:rPr>
              <w:t>选址合理性分析</w:t>
            </w:r>
          </w:p>
          <w:p w14:paraId="35405FCB">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现状地形为较为方正地块，建筑在空地位置合理布置。本项目成品库布置于建设用地的西侧空地位置，车间东侧设置原料入口及成品出口及装车区域，车间东侧区域实施混凝土硬化，便于原料卸载与成品运输的高效周转。场地较为宽裕，能满足消防车辆通行要求，整体布局实现了生产、仓储、办公、物流的有机融合，兼顾了操作便捷性与空间利用率。</w:t>
            </w:r>
          </w:p>
          <w:p w14:paraId="49F3E76D">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textAlignment w:val="auto"/>
              <w:rPr>
                <w:rFonts w:hint="default"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6.</w:t>
            </w:r>
            <w:r>
              <w:rPr>
                <w:rFonts w:hint="default" w:ascii="Times New Roman" w:hAnsi="Times New Roman" w:eastAsia="仿宋_GB2312" w:cs="Times New Roman"/>
                <w:b/>
                <w:bCs/>
                <w:color w:val="auto"/>
                <w:sz w:val="24"/>
                <w:szCs w:val="24"/>
                <w:highlight w:val="none"/>
                <w:lang w:val="en-US" w:eastAsia="zh-CN"/>
              </w:rPr>
              <w:t>大湾乡中药材分拣包装晾晒车间建设工程</w:t>
            </w:r>
            <w:r>
              <w:rPr>
                <w:rFonts w:hint="eastAsia" w:eastAsia="仿宋_GB2312" w:cs="Times New Roman"/>
                <w:b/>
                <w:bCs/>
                <w:color w:val="auto"/>
                <w:sz w:val="24"/>
                <w:szCs w:val="24"/>
                <w:highlight w:val="none"/>
                <w:lang w:val="en-US" w:eastAsia="zh-CN"/>
              </w:rPr>
              <w:t>选址合理性分析</w:t>
            </w:r>
          </w:p>
          <w:p w14:paraId="1E7BA68A">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现状地形为较为方正地块，建筑在空地位置合理布置。本项目中药材分拣包装车间布置于建设用地的中心位置，车间南侧设置原料入口及成品出口及装车区域，车间南侧区域实施混凝土硬化，便于原料卸载与成品运输的高效周转。场地较为宽裕，能满足消防车辆通行要求，整体布局实现了生产、仓储、物流的有机融合，兼顾了操作便捷性与空间利用率。</w:t>
            </w:r>
          </w:p>
          <w:p w14:paraId="38BB476A">
            <w:pPr>
              <w:pStyle w:val="100"/>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rPr>
              <w:t>综上所述，本工程布局紧凑、合理，扰动面积小，从而减轻了水土流失危害，工程建设方案总体合理，符合水土保持要求。在此基础上，本项目建成后完善了现状灌区高效灌溉调蓄体系，提高灌溉保证率。</w:t>
            </w:r>
          </w:p>
        </w:tc>
      </w:tr>
    </w:tbl>
    <w:p w14:paraId="47A83D3A">
      <w:pPr>
        <w:tabs>
          <w:tab w:val="left" w:pos="5412"/>
        </w:tabs>
        <w:adjustRightInd w:val="0"/>
        <w:snapToGrid w:val="0"/>
        <w:spacing w:line="360" w:lineRule="auto"/>
        <w:rPr>
          <w:rFonts w:hint="eastAsia" w:ascii="宋体" w:eastAsia="宋体" w:cs="宋体"/>
          <w:b/>
          <w:color w:val="auto"/>
          <w:kern w:val="0"/>
          <w:sz w:val="28"/>
          <w:szCs w:val="28"/>
          <w:highlight w:val="none"/>
          <w:lang w:eastAsia="zh-CN"/>
        </w:rPr>
        <w:sectPr>
          <w:pgSz w:w="11907" w:h="16840"/>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10FE9444">
      <w:pPr>
        <w:pStyle w:val="28"/>
        <w:keepNext w:val="0"/>
        <w:keepLines w:val="0"/>
        <w:pageBreakBefore w:val="0"/>
        <w:widowControl/>
        <w:kinsoku/>
        <w:wordWrap/>
        <w:overflowPunct/>
        <w:topLinePunct w:val="0"/>
        <w:autoSpaceDE/>
        <w:autoSpaceDN/>
        <w:bidi w:val="0"/>
        <w:adjustRightInd/>
        <w:snapToGrid/>
        <w:spacing w:after="0" w:afterAutospacing="0"/>
        <w:jc w:val="center"/>
        <w:textAlignment w:val="auto"/>
        <w:outlineLvl w:val="0"/>
        <w:rPr>
          <w:rFonts w:hint="eastAsia" w:ascii="黑体" w:hAnsi="黑体" w:eastAsia="黑体"/>
          <w:snapToGrid w:val="0"/>
          <w:color w:val="auto"/>
          <w:sz w:val="30"/>
          <w:szCs w:val="30"/>
          <w:highlight w:val="none"/>
          <w:lang w:eastAsia="zh-CN"/>
        </w:rPr>
      </w:pPr>
      <w:r>
        <w:rPr>
          <w:rFonts w:hint="eastAsia" w:ascii="黑体" w:hAnsi="黑体" w:eastAsia="黑体"/>
          <w:snapToGrid w:val="0"/>
          <w:color w:val="auto"/>
          <w:sz w:val="30"/>
          <w:szCs w:val="30"/>
          <w:highlight w:val="none"/>
          <w:lang w:eastAsia="zh-CN"/>
        </w:rPr>
        <w:t>五</w:t>
      </w:r>
      <w:r>
        <w:rPr>
          <w:rFonts w:hint="eastAsia" w:ascii="黑体" w:hAnsi="黑体" w:eastAsia="黑体"/>
          <w:snapToGrid w:val="0"/>
          <w:color w:val="auto"/>
          <w:sz w:val="30"/>
          <w:szCs w:val="30"/>
          <w:highlight w:val="none"/>
        </w:rPr>
        <w:t>、</w:t>
      </w:r>
      <w:r>
        <w:rPr>
          <w:rFonts w:hint="eastAsia" w:ascii="黑体" w:hAnsi="黑体" w:eastAsia="黑体"/>
          <w:snapToGrid w:val="0"/>
          <w:color w:val="auto"/>
          <w:sz w:val="30"/>
          <w:szCs w:val="30"/>
          <w:highlight w:val="none"/>
          <w:lang w:eastAsia="zh-CN"/>
        </w:rPr>
        <w:t>主要生态环境保护措施</w:t>
      </w:r>
    </w:p>
    <w:tbl>
      <w:tblPr>
        <w:tblStyle w:val="33"/>
        <w:tblW w:w="920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511"/>
        <w:gridCol w:w="8690"/>
      </w:tblGrid>
      <w:tr w14:paraId="08084AF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atLeast"/>
          <w:jc w:val="center"/>
        </w:trPr>
        <w:tc>
          <w:tcPr>
            <w:tcW w:w="511" w:type="dxa"/>
            <w:tcBorders>
              <w:tl2br w:val="nil"/>
              <w:tr2bl w:val="nil"/>
            </w:tcBorders>
            <w:tcMar>
              <w:left w:w="28" w:type="dxa"/>
              <w:right w:w="28" w:type="dxa"/>
            </w:tcMar>
            <w:vAlign w:val="center"/>
          </w:tcPr>
          <w:p w14:paraId="6A630AD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A105FC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5A372D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A4B6BD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292A4C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6C30D1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6F5830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502E5E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E1C374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A31E57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52491D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01BF53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88AAE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2207F4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A2D75D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11C03A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A6462E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A56D1E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043F13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施工期生态环境保护措施</w:t>
            </w:r>
          </w:p>
          <w:p w14:paraId="3CB771F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14CFBA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543DD3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B04871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482D2B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44D81D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620BF0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BD523F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A06B57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2E4EB3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2723A1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0124E9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B1C793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20D76D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BFC346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6EBF75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EE55FC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204794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1AD963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D04389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887A544">
            <w:pPr>
              <w:pStyle w:val="28"/>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7F3CD5E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7581E3B">
            <w:pPr>
              <w:pStyle w:val="28"/>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1CBFD1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5732A9B">
            <w:pPr>
              <w:pStyle w:val="28"/>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46A48B4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196A68D">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DB439BD">
            <w:pPr>
              <w:pStyle w:val="28"/>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303C0C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施工期生态环境保护措施</w:t>
            </w:r>
          </w:p>
          <w:p w14:paraId="6A52EEE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CA0ABC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2B9960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642C9B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5B0944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333570D">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7E3455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AF707D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3E3170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5DE164D">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09A318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188C4C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B38D6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D90A78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1ED960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434314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50A440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F578B0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BE355A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9CB095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4A2465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D11CC5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062A75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5D986F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9E7E58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F8A796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321A9B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74FAC2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A40AD8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F083E2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1F1035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41E69C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FBCA8A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95D494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D64D41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C595D2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3E324C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99118F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78CE19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BE4143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0F961A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1283C7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1A80CA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9C1F817">
            <w:pPr>
              <w:pStyle w:val="28"/>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3E8C883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施工期生态环境保护措施</w:t>
            </w:r>
          </w:p>
          <w:p w14:paraId="2FFA542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0CBE1A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2C0952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50FA7C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092AC0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BF7110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1D23AF4">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CF0559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C9D6E6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23A498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B1AC49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77BD4C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AEF062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E95899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ED1DD6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6362E9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2E29A2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6FBF5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53DED09">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CB24D5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6C3A65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7D11A1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A3B44F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7A1C4A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74F071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19C8A76">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F65A89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19C548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0BF809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C2A05A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968E892">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CB40FBD">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施工期生态环境保护措施</w:t>
            </w:r>
          </w:p>
          <w:p w14:paraId="1507A56F">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E366E1A">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963CBFB">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C9BC26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2BBD060">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113152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BFB118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F7BA3F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5804017">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1579F8">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C04AF2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74CE6D1">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4BF3EDE">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A98E97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F25B81C">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5985E1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F8C6675">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DD71B33">
            <w:pPr>
              <w:pStyle w:val="28"/>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2607628">
            <w:pPr>
              <w:pStyle w:val="28"/>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tc>
        <w:tc>
          <w:tcPr>
            <w:tcW w:w="8690" w:type="dxa"/>
            <w:tcBorders>
              <w:tl2br w:val="nil"/>
              <w:tr2bl w:val="nil"/>
            </w:tcBorders>
            <w:vAlign w:val="center"/>
          </w:tcPr>
          <w:p w14:paraId="400E8AA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b/>
                <w:bCs/>
                <w:color w:val="auto"/>
                <w:sz w:val="24"/>
                <w:szCs w:val="24"/>
                <w:highlight w:val="none"/>
                <w:lang w:val="en-US" w:eastAsia="zh-CN"/>
              </w:rPr>
              <w:t>1.</w:t>
            </w:r>
            <w:r>
              <w:rPr>
                <w:rFonts w:hint="eastAsia" w:ascii="Times New Roman" w:hAnsi="Times New Roman" w:eastAsia="仿宋_GB2312" w:cs="Times New Roman"/>
                <w:b/>
                <w:bCs/>
                <w:color w:val="auto"/>
                <w:sz w:val="24"/>
                <w:szCs w:val="24"/>
                <w:highlight w:val="none"/>
                <w:lang w:val="en-US" w:eastAsia="zh-CN"/>
              </w:rPr>
              <w:t>施工期</w:t>
            </w:r>
            <w:r>
              <w:rPr>
                <w:rFonts w:hint="eastAsia" w:eastAsia="仿宋_GB2312" w:cs="Times New Roman"/>
                <w:b/>
                <w:bCs/>
                <w:color w:val="auto"/>
                <w:sz w:val="24"/>
                <w:szCs w:val="24"/>
                <w:highlight w:val="none"/>
                <w:lang w:val="en-US" w:eastAsia="zh-CN"/>
              </w:rPr>
              <w:t>生态减缓</w:t>
            </w:r>
            <w:r>
              <w:rPr>
                <w:rFonts w:hint="eastAsia" w:ascii="Times New Roman" w:hAnsi="Times New Roman" w:eastAsia="仿宋_GB2312" w:cs="Times New Roman"/>
                <w:b/>
                <w:bCs/>
                <w:color w:val="auto"/>
                <w:sz w:val="24"/>
                <w:szCs w:val="24"/>
                <w:highlight w:val="none"/>
                <w:lang w:val="en-US" w:eastAsia="zh-CN"/>
              </w:rPr>
              <w:t>措施</w:t>
            </w:r>
          </w:p>
          <w:p w14:paraId="6EE329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根据生态影响分析，本项目</w:t>
            </w:r>
            <w:r>
              <w:rPr>
                <w:rFonts w:hint="eastAsia" w:eastAsia="仿宋_GB2312" w:cs="Times New Roman"/>
                <w:color w:val="auto"/>
                <w:kern w:val="0"/>
                <w:sz w:val="24"/>
                <w:highlight w:val="none"/>
                <w:lang w:val="en-US" w:eastAsia="zh-CN"/>
              </w:rPr>
              <w:t>施工期</w:t>
            </w:r>
            <w:r>
              <w:rPr>
                <w:rFonts w:hint="default" w:ascii="Times New Roman" w:hAnsi="Times New Roman" w:eastAsia="仿宋_GB2312" w:cs="Times New Roman"/>
                <w:color w:val="auto"/>
                <w:kern w:val="0"/>
                <w:sz w:val="24"/>
                <w:highlight w:val="none"/>
                <w:lang w:val="en-US" w:eastAsia="zh-CN"/>
              </w:rPr>
              <w:t>对生态环境的影响主要为土壤扰动后，可能造成植物覆盖率降低。</w:t>
            </w:r>
          </w:p>
          <w:p w14:paraId="4DE784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为保护当地的生态环境，在项目施工过程中拟采取以下保护措施：</w:t>
            </w:r>
          </w:p>
          <w:p w14:paraId="46CA1A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(1)生态环境影响避让措施</w:t>
            </w:r>
          </w:p>
          <w:p w14:paraId="61F3C0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①项目</w:t>
            </w:r>
            <w:r>
              <w:rPr>
                <w:rFonts w:hint="eastAsia" w:ascii="Times New Roman" w:hAnsi="Times New Roman" w:eastAsia="仿宋_GB2312" w:cs="Times New Roman"/>
                <w:color w:val="auto"/>
                <w:kern w:val="0"/>
                <w:sz w:val="24"/>
                <w:highlight w:val="none"/>
                <w:lang w:val="en-US" w:eastAsia="zh-CN"/>
              </w:rPr>
              <w:t>设置的</w:t>
            </w:r>
            <w:r>
              <w:rPr>
                <w:rFonts w:hint="eastAsia" w:eastAsia="仿宋_GB2312" w:cs="Times New Roman"/>
                <w:color w:val="auto"/>
                <w:kern w:val="0"/>
                <w:sz w:val="24"/>
                <w:highlight w:val="none"/>
                <w:lang w:val="en-US" w:eastAsia="zh-CN"/>
              </w:rPr>
              <w:t>最短</w:t>
            </w:r>
            <w:r>
              <w:rPr>
                <w:rFonts w:hint="eastAsia" w:ascii="Times New Roman" w:hAnsi="Times New Roman" w:eastAsia="仿宋_GB2312" w:cs="Times New Roman"/>
                <w:color w:val="auto"/>
                <w:kern w:val="0"/>
                <w:sz w:val="24"/>
                <w:highlight w:val="none"/>
                <w:lang w:val="en-US" w:eastAsia="zh-CN"/>
              </w:rPr>
              <w:t>临时道路</w:t>
            </w:r>
            <w:r>
              <w:rPr>
                <w:rFonts w:hint="default" w:ascii="Times New Roman" w:hAnsi="Times New Roman" w:eastAsia="仿宋_GB2312" w:cs="Times New Roman"/>
                <w:color w:val="auto"/>
                <w:kern w:val="0"/>
                <w:sz w:val="24"/>
                <w:highlight w:val="none"/>
                <w:lang w:val="en-US" w:eastAsia="zh-CN"/>
              </w:rPr>
              <w:t>，减少永久占地面积和土壤扰动区域。</w:t>
            </w:r>
          </w:p>
          <w:p w14:paraId="3F7F422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②控制最小施工作业带范围。</w:t>
            </w:r>
            <w:r>
              <w:rPr>
                <w:rFonts w:hint="eastAsia" w:ascii="Times New Roman" w:hAnsi="Times New Roman" w:eastAsia="仿宋_GB2312" w:cs="Times New Roman"/>
                <w:color w:val="auto"/>
                <w:kern w:val="0"/>
                <w:sz w:val="24"/>
                <w:highlight w:val="none"/>
                <w:lang w:val="en-US" w:eastAsia="zh-CN"/>
              </w:rPr>
              <w:t>土料</w:t>
            </w:r>
            <w:r>
              <w:rPr>
                <w:rFonts w:hint="eastAsia" w:eastAsia="仿宋_GB2312" w:cs="Times New Roman"/>
                <w:color w:val="auto"/>
                <w:kern w:val="0"/>
                <w:sz w:val="24"/>
                <w:highlight w:val="none"/>
                <w:lang w:val="en-US" w:eastAsia="zh-CN"/>
              </w:rPr>
              <w:t>开挖后及时进行平整回填</w:t>
            </w:r>
            <w:r>
              <w:rPr>
                <w:rFonts w:hint="default" w:ascii="Times New Roman" w:hAnsi="Times New Roman" w:eastAsia="仿宋_GB2312" w:cs="Times New Roman"/>
                <w:color w:val="auto"/>
                <w:kern w:val="0"/>
                <w:sz w:val="24"/>
                <w:highlight w:val="none"/>
                <w:lang w:val="en-US" w:eastAsia="zh-CN"/>
              </w:rPr>
              <w:t>。</w:t>
            </w:r>
          </w:p>
          <w:p w14:paraId="5A6FDF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③建设单位、监理单位加强施工现场管理，切实做到文明施工，尽可能减小施工过程中对周边环境的影响。</w:t>
            </w:r>
          </w:p>
          <w:p w14:paraId="388CE37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(2)生态环境影响减缓措施</w:t>
            </w:r>
          </w:p>
          <w:p w14:paraId="478E33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①从保护生态环境的角度出发，建议本工程开发建设前，尽量做好施工规划期工作，施工期间加强</w:t>
            </w:r>
            <w:r>
              <w:rPr>
                <w:rFonts w:hint="eastAsia" w:ascii="Times New Roman" w:hAnsi="Times New Roman" w:eastAsia="仿宋_GB2312" w:cs="Times New Roman"/>
                <w:color w:val="auto"/>
                <w:kern w:val="0"/>
                <w:sz w:val="24"/>
                <w:highlight w:val="none"/>
                <w:lang w:val="en-US" w:eastAsia="zh-CN"/>
              </w:rPr>
              <w:t>土料</w:t>
            </w:r>
            <w:r>
              <w:rPr>
                <w:rFonts w:hint="default" w:ascii="Times New Roman" w:hAnsi="Times New Roman" w:eastAsia="仿宋_GB2312" w:cs="Times New Roman"/>
                <w:color w:val="auto"/>
                <w:kern w:val="0"/>
                <w:sz w:val="24"/>
                <w:highlight w:val="none"/>
                <w:lang w:val="en-US" w:eastAsia="zh-CN"/>
              </w:rPr>
              <w:t>临时堆集防护，加强施工人员的各类卫生管理，避免生活垃圾乱扔乱放，污染环境；做好工程完工后生态环境的恢复工作，以尽量减少植被破坏及水土流失等不利影响；加强管理、减少污染；加强生态保护宣传教育。</w:t>
            </w:r>
          </w:p>
          <w:p w14:paraId="4D7D7E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②施工过程中加强管理，能不碾压的地方不碾压，能不动用的地方不动用，尽量不损坏植被。</w:t>
            </w:r>
          </w:p>
          <w:p w14:paraId="7DB51B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③建设单位应以合同形式要求施工单位在施工过程中严格按照设计要求，控制开挖范围及开挖量，将施工活动限制在</w:t>
            </w:r>
            <w:r>
              <w:rPr>
                <w:rFonts w:hint="eastAsia" w:ascii="Times New Roman" w:hAnsi="Times New Roman" w:eastAsia="仿宋_GB2312" w:cs="Times New Roman"/>
                <w:color w:val="auto"/>
                <w:kern w:val="0"/>
                <w:sz w:val="24"/>
                <w:highlight w:val="none"/>
                <w:lang w:val="en-US" w:eastAsia="zh-CN"/>
              </w:rPr>
              <w:t>施工区</w:t>
            </w:r>
            <w:r>
              <w:rPr>
                <w:rFonts w:hint="default" w:ascii="Times New Roman" w:hAnsi="Times New Roman" w:eastAsia="仿宋_GB2312" w:cs="Times New Roman"/>
                <w:color w:val="auto"/>
                <w:kern w:val="0"/>
                <w:sz w:val="24"/>
                <w:highlight w:val="none"/>
                <w:lang w:val="en-US" w:eastAsia="zh-CN"/>
              </w:rPr>
              <w:t>范围内。</w:t>
            </w:r>
          </w:p>
          <w:p w14:paraId="04A634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(3)生态环境影响修复措施</w:t>
            </w:r>
          </w:p>
          <w:p w14:paraId="3896F5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①工程施工破坏植被的，提出植被恢复与生态修复等措施。</w:t>
            </w:r>
          </w:p>
          <w:p w14:paraId="2B737F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(4)生态环境影响管理措施</w:t>
            </w:r>
          </w:p>
          <w:p w14:paraId="7731D6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①加大生态环境保护管理力度，施工单位必须严格执行环境保护管理规定和措施。</w:t>
            </w:r>
          </w:p>
          <w:p w14:paraId="6AC593E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②加强对施工人员和职工的教育，强化保护野生植物的观念，不得随意砍伐野生植物，不得将野生植物作为薪柴使用。</w:t>
            </w:r>
          </w:p>
          <w:p w14:paraId="4ACF95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④强化风险意识，制订切实可行的风险防范与应急预案，最大限度降低风险概率，避免事故泄漏和火灾爆炸事故可能对野生动植物的生命及生存环境的威胁。</w:t>
            </w:r>
          </w:p>
          <w:p w14:paraId="1D1DB7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⑤加强对施工人员的环保宣传和培训工作，提高各级管理人员环保意识，使其自觉做好保护区域内野生动植物的工作。</w:t>
            </w:r>
          </w:p>
          <w:p w14:paraId="59540D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⑥建立环境保护人员培训制度，环境监测人员、统计人员、污染治理设施操作人员应经培训合格后上岗。</w:t>
            </w:r>
          </w:p>
          <w:p w14:paraId="0AD314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通过采取上述生态保护措施，使本项目对评价区域周围生态环境的影响保持在环境可接受范围内，项目施工不会导致区域生态环境现状的改变。</w:t>
            </w:r>
          </w:p>
          <w:p w14:paraId="69906A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(5)生态环境影响监测措施</w:t>
            </w:r>
          </w:p>
          <w:p w14:paraId="09A0BB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指定专人定期对项目区域植被面积、破坏程度、破坏量以及施工占用场地进行勘探记录，特别是正在施工的区域，对于植被损坏量大的区域进行记录，施工结束后进行植被恢复，对于人为破坏的植被、不按规定堆放</w:t>
            </w:r>
            <w:r>
              <w:rPr>
                <w:rFonts w:hint="eastAsia" w:ascii="Times New Roman" w:hAnsi="Times New Roman" w:eastAsia="仿宋_GB2312" w:cs="Times New Roman"/>
                <w:color w:val="auto"/>
                <w:kern w:val="0"/>
                <w:sz w:val="24"/>
                <w:highlight w:val="none"/>
                <w:lang w:val="en-US" w:eastAsia="zh-CN"/>
              </w:rPr>
              <w:t>土料</w:t>
            </w:r>
            <w:r>
              <w:rPr>
                <w:rFonts w:hint="default" w:ascii="Times New Roman" w:hAnsi="Times New Roman" w:eastAsia="仿宋_GB2312" w:cs="Times New Roman"/>
                <w:color w:val="auto"/>
                <w:kern w:val="0"/>
                <w:sz w:val="24"/>
                <w:highlight w:val="none"/>
                <w:lang w:val="en-US" w:eastAsia="zh-CN"/>
              </w:rPr>
              <w:t>、不按规定路线运输设备或机械进场等行为进行处罚，并对影响区域提出补偿措施。</w:t>
            </w:r>
          </w:p>
          <w:p w14:paraId="6D69CE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eastAsia" w:ascii="Times New Roman" w:hAnsi="Times New Roman" w:eastAsia="仿宋_GB2312" w:cs="Times New Roman"/>
                <w:color w:val="auto"/>
                <w:kern w:val="0"/>
                <w:sz w:val="24"/>
                <w:highlight w:val="none"/>
                <w:lang w:val="en-US" w:eastAsia="zh-CN"/>
              </w:rPr>
              <w:t>(6)</w:t>
            </w:r>
            <w:r>
              <w:rPr>
                <w:rFonts w:hint="default" w:ascii="Times New Roman" w:hAnsi="Times New Roman" w:eastAsia="仿宋_GB2312" w:cs="Times New Roman"/>
                <w:color w:val="auto"/>
                <w:kern w:val="0"/>
                <w:sz w:val="24"/>
                <w:highlight w:val="none"/>
                <w:lang w:val="en-US" w:eastAsia="zh-CN"/>
              </w:rPr>
              <w:t xml:space="preserve">地表、土壤保护措施 </w:t>
            </w:r>
          </w:p>
          <w:p w14:paraId="53CBF9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施工中应加强施工管理，施工期间在划定的施工范围内进行施工，严格限制施工人员及施工机械的活动范围，严禁跨越施工作业范围外进行施工活动，尽量减少扰动面积，减少地表植被和土壤破坏。施工设计时，施工道路尽可能利用已有的交通道路；优化设计和施工方案，尽量减少施工作业面和施工量；合理安排施工时序，严禁大风天气及强降雨天气施工，减少项目区水土流失。施工结束后尽快清理施工现场，尽快完成种植。</w:t>
            </w:r>
          </w:p>
          <w:p w14:paraId="2518B4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⑵植物保护措施</w:t>
            </w:r>
          </w:p>
          <w:p w14:paraId="355F15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default" w:ascii="Times New Roman" w:hAnsi="Times New Roman" w:eastAsia="仿宋_GB2312" w:cs="Times New Roman"/>
                <w:color w:val="auto"/>
                <w:kern w:val="0"/>
                <w:sz w:val="24"/>
                <w:highlight w:val="none"/>
                <w:lang w:val="en-US" w:eastAsia="zh-CN"/>
              </w:rPr>
              <w:t>尽量减少施工占地，减少地表植被破坏；施工场地及施工临时用地，待施工结束及时清理、松土、整平，进行药材种植；对施工人员进行职业教育，严禁施工人员随意破坏植物。同时，项目实施过程应边施工、边恢复，严格按水土保持方案设计进行</w:t>
            </w:r>
            <w:r>
              <w:rPr>
                <w:rFonts w:hint="eastAsia" w:ascii="Times New Roman" w:hAnsi="Times New Roman" w:eastAsia="仿宋_GB2312" w:cs="Times New Roman"/>
                <w:color w:val="auto"/>
                <w:kern w:val="0"/>
                <w:sz w:val="24"/>
                <w:highlight w:val="none"/>
                <w:lang w:val="en-US" w:eastAsia="zh-CN"/>
              </w:rPr>
              <w:t>。</w:t>
            </w:r>
          </w:p>
          <w:p w14:paraId="16E06F9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2.</w:t>
            </w:r>
            <w:r>
              <w:rPr>
                <w:rFonts w:hint="eastAsia" w:ascii="Times New Roman" w:hAnsi="Times New Roman" w:eastAsia="仿宋_GB2312" w:cs="Times New Roman"/>
                <w:b/>
                <w:bCs/>
                <w:color w:val="auto"/>
                <w:sz w:val="24"/>
                <w:szCs w:val="24"/>
                <w:highlight w:val="none"/>
                <w:lang w:val="en-US" w:eastAsia="zh-CN"/>
              </w:rPr>
              <w:t>施工期大气污染防治措施</w:t>
            </w:r>
          </w:p>
          <w:p w14:paraId="10B257AF">
            <w:pPr>
              <w:adjustRightInd w:val="0"/>
              <w:snapToGrid w:val="0"/>
              <w:spacing w:line="360" w:lineRule="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2.1</w:t>
            </w:r>
            <w:r>
              <w:rPr>
                <w:rFonts w:hint="eastAsia" w:eastAsia="仿宋_GB2312" w:cs="Times New Roman"/>
                <w:b/>
                <w:bCs/>
                <w:color w:val="auto"/>
                <w:sz w:val="24"/>
                <w:szCs w:val="24"/>
                <w:highlight w:val="none"/>
                <w:lang w:val="en-US" w:eastAsia="zh-CN"/>
              </w:rPr>
              <w:t xml:space="preserve"> </w:t>
            </w:r>
            <w:r>
              <w:rPr>
                <w:rFonts w:hint="eastAsia" w:ascii="Times New Roman" w:hAnsi="Times New Roman" w:eastAsia="仿宋_GB2312" w:cs="Times New Roman"/>
                <w:b/>
                <w:bCs/>
                <w:color w:val="auto"/>
                <w:sz w:val="24"/>
                <w:szCs w:val="24"/>
                <w:highlight w:val="none"/>
                <w:lang w:val="en-US" w:eastAsia="zh-CN"/>
              </w:rPr>
              <w:t>施工扬尘</w:t>
            </w:r>
          </w:p>
          <w:p w14:paraId="46989452">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仿宋_GB2312" w:cs="Times New Roman"/>
                <w:b w:val="0"/>
                <w:bCs w:val="0"/>
                <w:color w:val="auto"/>
                <w:sz w:val="24"/>
                <w:szCs w:val="24"/>
                <w:highlight w:val="none"/>
                <w:lang w:val="en-US" w:eastAsia="zh-CN"/>
              </w:rPr>
            </w:pPr>
            <w:r>
              <w:rPr>
                <w:rFonts w:hint="eastAsia" w:eastAsia="仿宋_GB2312" w:cs="Times New Roman"/>
                <w:b w:val="0"/>
                <w:bCs w:val="0"/>
                <w:color w:val="auto"/>
                <w:sz w:val="24"/>
                <w:szCs w:val="24"/>
                <w:highlight w:val="none"/>
                <w:lang w:val="en-US" w:eastAsia="zh-CN"/>
              </w:rPr>
              <w:t>在施工过程中，施工单位必须严格按照规定进行施工，尽量减少扬尘对环境的影响。为此，施工单位应采取以下措施：</w:t>
            </w:r>
          </w:p>
          <w:p w14:paraId="0CD736E3">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仿宋_GB2312" w:cs="Times New Roman"/>
                <w:b w:val="0"/>
                <w:bCs w:val="0"/>
                <w:color w:val="auto"/>
                <w:sz w:val="24"/>
                <w:szCs w:val="24"/>
                <w:highlight w:val="none"/>
                <w:lang w:val="en-US" w:eastAsia="zh-CN"/>
              </w:rPr>
            </w:pPr>
            <w:r>
              <w:rPr>
                <w:rFonts w:hint="eastAsia" w:eastAsia="仿宋_GB2312" w:cs="Times New Roman"/>
                <w:b w:val="0"/>
                <w:bCs w:val="0"/>
                <w:color w:val="auto"/>
                <w:sz w:val="24"/>
                <w:szCs w:val="24"/>
                <w:highlight w:val="none"/>
                <w:lang w:val="en-US" w:eastAsia="zh-CN"/>
              </w:rPr>
              <w:t xml:space="preserve">①加强运输管理，科学选择运输路线，保证汽车安全、文明、中速行驶。容易散落、飞扬、流漏物料在运输过程中，运输车辆须加盖篷布，最大程度减少物料的散落及飞扬； </w:t>
            </w:r>
          </w:p>
          <w:p w14:paraId="12BB5C14">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仿宋_GB2312" w:cs="Times New Roman"/>
                <w:b w:val="0"/>
                <w:bCs w:val="0"/>
                <w:color w:val="auto"/>
                <w:sz w:val="24"/>
                <w:szCs w:val="24"/>
                <w:highlight w:val="none"/>
                <w:lang w:val="en-US" w:eastAsia="zh-CN"/>
              </w:rPr>
            </w:pPr>
            <w:r>
              <w:rPr>
                <w:rFonts w:hint="eastAsia" w:eastAsia="仿宋_GB2312" w:cs="Times New Roman"/>
                <w:b w:val="0"/>
                <w:bCs w:val="0"/>
                <w:color w:val="auto"/>
                <w:sz w:val="24"/>
                <w:szCs w:val="24"/>
                <w:highlight w:val="none"/>
                <w:lang w:val="en-US" w:eastAsia="zh-CN"/>
              </w:rPr>
              <w:t>②施工场地防尘：在施工期间，应根据不同空气污染指数范围和大风、高温、干燥、晴天、雨天等各种不同气象条件要求，明确保洁制度，包括洒水、清扫方式、频率、次数、用水量等。4级以上大风干燥天气不许进行土方作业；</w:t>
            </w:r>
          </w:p>
          <w:p w14:paraId="1FFBA036">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仿宋_GB2312" w:cs="Times New Roman"/>
                <w:b w:val="0"/>
                <w:bCs w:val="0"/>
                <w:color w:val="auto"/>
                <w:sz w:val="24"/>
                <w:szCs w:val="24"/>
                <w:highlight w:val="none"/>
                <w:lang w:val="en-US" w:eastAsia="zh-CN"/>
              </w:rPr>
            </w:pPr>
            <w:r>
              <w:rPr>
                <w:rFonts w:hint="eastAsia" w:eastAsia="仿宋_GB2312" w:cs="Times New Roman"/>
                <w:b w:val="0"/>
                <w:bCs w:val="0"/>
                <w:color w:val="auto"/>
                <w:sz w:val="24"/>
                <w:szCs w:val="24"/>
                <w:highlight w:val="none"/>
                <w:lang w:val="en-US" w:eastAsia="zh-CN"/>
              </w:rPr>
              <w:t xml:space="preserve">③对项目厂区内道路采用石子路硬化措施，减少运输车辆行驶产生的扬尘； </w:t>
            </w:r>
          </w:p>
          <w:p w14:paraId="7D4C20D4">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仿宋_GB2312" w:cs="Times New Roman"/>
                <w:b w:val="0"/>
                <w:bCs w:val="0"/>
                <w:color w:val="auto"/>
                <w:sz w:val="24"/>
                <w:szCs w:val="24"/>
                <w:highlight w:val="none"/>
                <w:lang w:val="en-US" w:eastAsia="zh-CN"/>
              </w:rPr>
            </w:pPr>
            <w:r>
              <w:rPr>
                <w:rFonts w:hint="eastAsia" w:eastAsia="仿宋_GB2312" w:cs="Times New Roman"/>
                <w:b w:val="0"/>
                <w:bCs w:val="0"/>
                <w:color w:val="auto"/>
                <w:sz w:val="24"/>
                <w:szCs w:val="24"/>
                <w:highlight w:val="none"/>
                <w:lang w:val="en-US" w:eastAsia="zh-CN"/>
              </w:rPr>
              <w:t>④5级以上大风天气禁止施工；</w:t>
            </w:r>
          </w:p>
          <w:p w14:paraId="39D90656">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仿宋_GB2312" w:cs="Times New Roman"/>
                <w:b w:val="0"/>
                <w:bCs w:val="0"/>
                <w:color w:val="auto"/>
                <w:sz w:val="24"/>
                <w:szCs w:val="24"/>
                <w:highlight w:val="none"/>
                <w:lang w:val="en-US" w:eastAsia="zh-CN"/>
              </w:rPr>
            </w:pPr>
            <w:r>
              <w:rPr>
                <w:rFonts w:hint="eastAsia" w:eastAsia="仿宋_GB2312" w:cs="Times New Roman"/>
                <w:b w:val="0"/>
                <w:bCs w:val="0"/>
                <w:color w:val="auto"/>
                <w:sz w:val="24"/>
                <w:szCs w:val="24"/>
                <w:highlight w:val="none"/>
                <w:lang w:val="en-US" w:eastAsia="zh-CN"/>
              </w:rPr>
              <w:t>⑤施工单位配备现场定期洒水，在干噪天气增加洒水次数。</w:t>
            </w:r>
          </w:p>
          <w:p w14:paraId="36DB91C2">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仿宋_GB2312" w:cs="Times New Roman"/>
                <w:b w:val="0"/>
                <w:bCs w:val="0"/>
                <w:color w:val="auto"/>
                <w:sz w:val="24"/>
                <w:szCs w:val="24"/>
                <w:highlight w:val="none"/>
                <w:lang w:val="en-US" w:eastAsia="zh-CN"/>
              </w:rPr>
            </w:pPr>
            <w:r>
              <w:rPr>
                <w:rFonts w:hint="eastAsia" w:eastAsia="仿宋_GB2312" w:cs="Times New Roman"/>
                <w:b w:val="0"/>
                <w:bCs w:val="0"/>
                <w:color w:val="auto"/>
                <w:sz w:val="24"/>
                <w:szCs w:val="24"/>
                <w:highlight w:val="none"/>
                <w:lang w:val="en-US" w:eastAsia="zh-CN"/>
              </w:rPr>
              <w:t>⑥施工中应选择排气污染物稳定且达到国家规定排放标准的施工机械。使之处于良好运行状态。加强对施工机械的科学管理，合理安排运行时间，发挥其最大效率。</w:t>
            </w:r>
          </w:p>
          <w:p w14:paraId="38E346A6">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仿宋_GB2312" w:cs="Times New Roman"/>
                <w:b w:val="0"/>
                <w:bCs w:val="0"/>
                <w:color w:val="auto"/>
                <w:sz w:val="24"/>
                <w:szCs w:val="24"/>
                <w:highlight w:val="none"/>
                <w:lang w:val="en-US" w:eastAsia="zh-CN"/>
              </w:rPr>
            </w:pPr>
            <w:r>
              <w:rPr>
                <w:rFonts w:hint="eastAsia" w:eastAsia="仿宋_GB2312" w:cs="Times New Roman"/>
                <w:b w:val="0"/>
                <w:bCs w:val="0"/>
                <w:color w:val="auto"/>
                <w:sz w:val="24"/>
                <w:szCs w:val="24"/>
                <w:highlight w:val="none"/>
                <w:lang w:val="en-US" w:eastAsia="zh-CN"/>
              </w:rPr>
              <w:t>⑦加强施工机械和车辆的维护和保养，经常检查汽车的密封元件及进、排气系统是否工作正常，以减少汽、柴油的泄漏，保证进、排气系统畅通，并使用优质燃料，减少废气排放。综上所述，本项目施工期产生的扬尘、施工机械废气采取以上治理措施可得到有效控制，对环境影响较小。</w:t>
            </w:r>
          </w:p>
          <w:p w14:paraId="2C0B53C3">
            <w:pPr>
              <w:keepNext w:val="0"/>
              <w:keepLines w:val="0"/>
              <w:pageBreakBefore w:val="0"/>
              <w:widowControl w:val="0"/>
              <w:kinsoku/>
              <w:wordWrap/>
              <w:overflowPunct/>
              <w:topLinePunct w:val="0"/>
              <w:autoSpaceDE/>
              <w:autoSpaceDN/>
              <w:bidi w:val="0"/>
              <w:adjustRightInd w:val="0"/>
              <w:snapToGrid w:val="0"/>
              <w:spacing w:line="348" w:lineRule="auto"/>
              <w:textAlignment w:val="auto"/>
              <w:rPr>
                <w:rFonts w:hint="eastAsia"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3.</w:t>
            </w:r>
            <w:r>
              <w:rPr>
                <w:rFonts w:hint="eastAsia" w:ascii="Times New Roman" w:hAnsi="Times New Roman" w:eastAsia="仿宋_GB2312" w:cs="Times New Roman"/>
                <w:b/>
                <w:bCs/>
                <w:color w:val="auto"/>
                <w:sz w:val="24"/>
                <w:szCs w:val="24"/>
                <w:highlight w:val="none"/>
                <w:lang w:val="en-US" w:eastAsia="zh-CN"/>
              </w:rPr>
              <w:t>施工期水污染防治措施</w:t>
            </w:r>
          </w:p>
          <w:p w14:paraId="6FF8B388">
            <w:pPr>
              <w:pStyle w:val="89"/>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sz w:val="24"/>
                <w:szCs w:val="24"/>
                <w:highlight w:val="none"/>
                <w:lang w:val="zh-CN" w:eastAsia="zh-CN"/>
              </w:rPr>
              <w:t>生活污水利用周边居民旱厕，定期清掏，用于周边农田施肥。少量盥洗废水用于泼洒抑尘。施工结束后拆除恢复土地</w:t>
            </w:r>
            <w:r>
              <w:rPr>
                <w:rFonts w:hint="eastAsia" w:ascii="Times New Roman" w:hAns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kern w:val="2"/>
                <w:sz w:val="24"/>
                <w:szCs w:val="24"/>
                <w:highlight w:val="none"/>
                <w:lang w:val="en-US" w:eastAsia="zh-CN" w:bidi="ar-SA"/>
              </w:rPr>
              <w:t>本工程施工采用商品混凝土，少量现浇混凝土养护产生少量废水。</w:t>
            </w:r>
            <w:r>
              <w:rPr>
                <w:rFonts w:hint="eastAsia" w:ascii="Times New Roman" w:hAnsi="Times New Roman" w:eastAsia="仿宋_GB2312" w:cs="Times New Roman"/>
                <w:color w:val="auto"/>
                <w:kern w:val="2"/>
                <w:sz w:val="24"/>
                <w:szCs w:val="24"/>
                <w:highlight w:val="none"/>
                <w:lang w:val="en-US" w:eastAsia="zh-CN" w:bidi="ar-SA"/>
              </w:rPr>
              <w:t>经</w:t>
            </w:r>
            <w:r>
              <w:rPr>
                <w:rFonts w:hint="default" w:ascii="Times New Roman" w:hAnsi="Times New Roman" w:eastAsia="仿宋_GB2312" w:cs="Times New Roman"/>
                <w:color w:val="auto"/>
                <w:kern w:val="2"/>
                <w:sz w:val="24"/>
                <w:szCs w:val="24"/>
                <w:highlight w:val="none"/>
                <w:lang w:val="en-US" w:eastAsia="zh-CN" w:bidi="ar-SA"/>
              </w:rPr>
              <w:t>沉淀池沉淀后回用于混凝土养护用水，确保无废水排放。</w:t>
            </w:r>
            <w:r>
              <w:rPr>
                <w:rFonts w:hint="eastAsia" w:ascii="Times New Roman" w:hAnsi="Times New Roman" w:eastAsia="仿宋_GB2312" w:cs="Times New Roman"/>
                <w:color w:val="auto"/>
                <w:kern w:val="2"/>
                <w:sz w:val="24"/>
                <w:szCs w:val="24"/>
                <w:highlight w:val="none"/>
                <w:lang w:val="en-US" w:eastAsia="zh-CN" w:bidi="ar-SA"/>
              </w:rPr>
              <w:t>洗车废水</w:t>
            </w:r>
            <w:r>
              <w:rPr>
                <w:rFonts w:hint="default" w:ascii="Times New Roman" w:hAnsi="Times New Roman" w:eastAsia="仿宋_GB2312" w:cs="Times New Roman"/>
                <w:color w:val="auto"/>
                <w:kern w:val="2"/>
                <w:sz w:val="24"/>
                <w:szCs w:val="24"/>
                <w:highlight w:val="none"/>
                <w:lang w:val="en-US" w:eastAsia="zh-CN" w:bidi="ar-SA"/>
              </w:rPr>
              <w:t>经沉淀池沉淀后回用于场地泼洒抑尘，不外排。</w:t>
            </w:r>
          </w:p>
          <w:p w14:paraId="167E743F">
            <w:pPr>
              <w:keepNext w:val="0"/>
              <w:keepLines w:val="0"/>
              <w:pageBreakBefore w:val="0"/>
              <w:widowControl w:val="0"/>
              <w:kinsoku/>
              <w:wordWrap/>
              <w:overflowPunct/>
              <w:topLinePunct w:val="0"/>
              <w:autoSpaceDE/>
              <w:autoSpaceDN/>
              <w:bidi w:val="0"/>
              <w:adjustRightInd w:val="0"/>
              <w:snapToGrid w:val="0"/>
              <w:spacing w:line="348" w:lineRule="auto"/>
              <w:textAlignment w:val="auto"/>
              <w:rPr>
                <w:rFonts w:hint="default"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4.</w:t>
            </w:r>
            <w:r>
              <w:rPr>
                <w:rFonts w:hint="eastAsia" w:ascii="Times New Roman" w:hAnsi="Times New Roman" w:eastAsia="仿宋_GB2312" w:cs="Times New Roman"/>
                <w:b/>
                <w:bCs/>
                <w:color w:val="auto"/>
                <w:sz w:val="24"/>
                <w:szCs w:val="24"/>
                <w:highlight w:val="none"/>
                <w:lang w:val="en-US" w:eastAsia="zh-CN"/>
              </w:rPr>
              <w:t>施工期噪声污染防治</w:t>
            </w:r>
            <w:r>
              <w:rPr>
                <w:rFonts w:hint="default" w:ascii="Times New Roman" w:hAnsi="Times New Roman" w:eastAsia="仿宋_GB2312" w:cs="Times New Roman"/>
                <w:b/>
                <w:bCs/>
                <w:color w:val="auto"/>
                <w:sz w:val="24"/>
                <w:szCs w:val="24"/>
                <w:highlight w:val="none"/>
                <w:lang w:val="en-US" w:eastAsia="zh-CN"/>
              </w:rPr>
              <w:t>措施</w:t>
            </w:r>
          </w:p>
          <w:p w14:paraId="653463A3">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施工期声环境保护防治措施及对策建议：</w:t>
            </w:r>
          </w:p>
          <w:p w14:paraId="52E9CEC9">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fldChar w:fldCharType="begin"/>
            </w:r>
            <w:r>
              <w:rPr>
                <w:rFonts w:hint="eastAsia" w:ascii="Times New Roman" w:hAnsi="Times New Roman" w:eastAsia="仿宋_GB2312" w:cs="Times New Roman"/>
                <w:color w:val="auto"/>
                <w:sz w:val="24"/>
                <w:szCs w:val="24"/>
                <w:highlight w:val="none"/>
                <w:lang w:val="en-US" w:eastAsia="zh-CN"/>
              </w:rPr>
              <w:instrText xml:space="preserve"> = 1 \* GB2 \* MERGEFORMAT </w:instrText>
            </w:r>
            <w:r>
              <w:rPr>
                <w:rFonts w:hint="eastAsia" w:ascii="Times New Roman" w:hAnsi="Times New Roman" w:eastAsia="仿宋_GB2312" w:cs="Times New Roman"/>
                <w:color w:val="auto"/>
                <w:sz w:val="24"/>
                <w:szCs w:val="24"/>
                <w:highlight w:val="none"/>
                <w:lang w:val="en-US" w:eastAsia="zh-CN"/>
              </w:rPr>
              <w:fldChar w:fldCharType="separate"/>
            </w:r>
            <w:r>
              <w:rPr>
                <w:color w:val="auto"/>
                <w:sz w:val="24"/>
                <w:szCs w:val="24"/>
                <w:highlight w:val="none"/>
              </w:rPr>
              <w:t>⑴</w:t>
            </w:r>
            <w:r>
              <w:rPr>
                <w:rFonts w:hint="eastAsia" w:ascii="Times New Roman" w:hAnsi="Times New Roman" w:eastAsia="仿宋_GB2312" w:cs="Times New Roman"/>
                <w:color w:val="auto"/>
                <w:sz w:val="24"/>
                <w:szCs w:val="24"/>
                <w:highlight w:val="none"/>
                <w:lang w:val="en-US" w:eastAsia="zh-CN"/>
              </w:rPr>
              <w:fldChar w:fldCharType="end"/>
            </w:r>
            <w:r>
              <w:rPr>
                <w:rFonts w:hint="eastAsia" w:ascii="Times New Roman" w:hAnsi="Times New Roman" w:eastAsia="仿宋_GB2312" w:cs="Times New Roman"/>
                <w:color w:val="auto"/>
                <w:sz w:val="24"/>
                <w:szCs w:val="24"/>
                <w:highlight w:val="none"/>
                <w:lang w:val="en-US" w:eastAsia="zh-CN"/>
              </w:rPr>
              <w:t>噪声源控制</w:t>
            </w:r>
          </w:p>
          <w:p w14:paraId="39E56863">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选用符合国家相关标准的低噪声施工机械设备，并加强对机械设备的检查、维护和保养，从源强和运行上降低噪声影响。尽量避免在同一施工地点放置较多的动力设备，以避免局部声级过高。</w:t>
            </w:r>
          </w:p>
          <w:p w14:paraId="71EA357E">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fldChar w:fldCharType="begin"/>
            </w:r>
            <w:r>
              <w:rPr>
                <w:rFonts w:hint="eastAsia" w:ascii="Times New Roman" w:hAnsi="Times New Roman" w:eastAsia="仿宋_GB2312" w:cs="Times New Roman"/>
                <w:color w:val="auto"/>
                <w:sz w:val="24"/>
                <w:szCs w:val="24"/>
                <w:highlight w:val="none"/>
                <w:lang w:val="en-US" w:eastAsia="zh-CN"/>
              </w:rPr>
              <w:instrText xml:space="preserve"> = 2 \* GB2 \* MERGEFORMAT </w:instrText>
            </w:r>
            <w:r>
              <w:rPr>
                <w:rFonts w:hint="eastAsia" w:ascii="Times New Roman" w:hAnsi="Times New Roman" w:eastAsia="仿宋_GB2312" w:cs="Times New Roman"/>
                <w:color w:val="auto"/>
                <w:sz w:val="24"/>
                <w:szCs w:val="24"/>
                <w:highlight w:val="none"/>
                <w:lang w:val="en-US" w:eastAsia="zh-CN"/>
              </w:rPr>
              <w:fldChar w:fldCharType="separate"/>
            </w:r>
            <w:r>
              <w:rPr>
                <w:color w:val="auto"/>
                <w:sz w:val="24"/>
                <w:szCs w:val="24"/>
                <w:highlight w:val="none"/>
              </w:rPr>
              <w:t>⑵</w:t>
            </w:r>
            <w:r>
              <w:rPr>
                <w:rFonts w:hint="eastAsia" w:ascii="Times New Roman" w:hAnsi="Times New Roman" w:eastAsia="仿宋_GB2312" w:cs="Times New Roman"/>
                <w:color w:val="auto"/>
                <w:sz w:val="24"/>
                <w:szCs w:val="24"/>
                <w:highlight w:val="none"/>
                <w:lang w:val="en-US" w:eastAsia="zh-CN"/>
              </w:rPr>
              <w:fldChar w:fldCharType="end"/>
            </w:r>
            <w:r>
              <w:rPr>
                <w:rFonts w:hint="eastAsia" w:ascii="Times New Roman" w:hAnsi="Times New Roman" w:eastAsia="仿宋_GB2312" w:cs="Times New Roman"/>
                <w:color w:val="auto"/>
                <w:sz w:val="24"/>
                <w:szCs w:val="24"/>
                <w:highlight w:val="none"/>
                <w:lang w:val="en-US" w:eastAsia="zh-CN"/>
              </w:rPr>
              <w:t>管理措施</w:t>
            </w:r>
          </w:p>
          <w:p w14:paraId="2419E7C7">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施工交通穿过噪声敏感区村庄路段，行车速度控制在</w:t>
            </w:r>
            <w:r>
              <w:rPr>
                <w:rFonts w:hint="default" w:ascii="Times New Roman" w:hAnsi="Times New Roman" w:eastAsia="仿宋_GB2312" w:cs="Times New Roman"/>
                <w:color w:val="auto"/>
                <w:sz w:val="24"/>
                <w:szCs w:val="24"/>
                <w:highlight w:val="none"/>
                <w:lang w:val="en-US" w:eastAsia="zh-CN"/>
              </w:rPr>
              <w:t>25km/h</w:t>
            </w:r>
            <w:r>
              <w:rPr>
                <w:rFonts w:hint="eastAsia" w:ascii="Times New Roman" w:hAnsi="Times New Roman" w:eastAsia="仿宋_GB2312" w:cs="Times New Roman"/>
                <w:color w:val="auto"/>
                <w:sz w:val="24"/>
                <w:szCs w:val="24"/>
                <w:highlight w:val="none"/>
                <w:lang w:val="en-US" w:eastAsia="zh-CN"/>
              </w:rPr>
              <w:t>以内，并限速标志和禁止鸣笛。</w:t>
            </w:r>
            <w:r>
              <w:rPr>
                <w:rFonts w:hint="eastAsia" w:eastAsia="仿宋_GB2312" w:cs="Times New Roman"/>
                <w:color w:val="auto"/>
                <w:sz w:val="24"/>
                <w:szCs w:val="24"/>
                <w:highlight w:val="none"/>
                <w:lang w:val="en-US" w:eastAsia="zh-CN"/>
              </w:rPr>
              <w:t>夜间不开展施工作业</w:t>
            </w:r>
            <w:r>
              <w:rPr>
                <w:rFonts w:hint="eastAsia" w:ascii="Times New Roman" w:hAnsi="Times New Roman" w:eastAsia="仿宋_GB2312" w:cs="Times New Roman"/>
                <w:color w:val="auto"/>
                <w:sz w:val="24"/>
                <w:szCs w:val="24"/>
                <w:highlight w:val="none"/>
                <w:lang w:val="en-US" w:eastAsia="zh-CN"/>
              </w:rPr>
              <w:t>。</w:t>
            </w:r>
          </w:p>
          <w:p w14:paraId="6DFAC2AE">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fldChar w:fldCharType="begin"/>
            </w:r>
            <w:r>
              <w:rPr>
                <w:rFonts w:hint="default" w:ascii="Times New Roman" w:hAnsi="Times New Roman" w:eastAsia="仿宋_GB2312" w:cs="Times New Roman"/>
                <w:color w:val="auto"/>
                <w:sz w:val="24"/>
                <w:szCs w:val="24"/>
                <w:highlight w:val="none"/>
                <w:lang w:val="en-US" w:eastAsia="zh-CN"/>
              </w:rPr>
              <w:instrText xml:space="preserve"> = 3 \* GB2 \* MERGEFORMAT </w:instrText>
            </w:r>
            <w:r>
              <w:rPr>
                <w:rFonts w:hint="default" w:ascii="Times New Roman" w:hAnsi="Times New Roman" w:eastAsia="仿宋_GB2312" w:cs="Times New Roman"/>
                <w:color w:val="auto"/>
                <w:sz w:val="24"/>
                <w:szCs w:val="24"/>
                <w:highlight w:val="none"/>
                <w:lang w:val="en-US" w:eastAsia="zh-CN"/>
              </w:rPr>
              <w:fldChar w:fldCharType="separate"/>
            </w:r>
            <w:r>
              <w:rPr>
                <w:color w:val="auto"/>
                <w:sz w:val="24"/>
                <w:szCs w:val="24"/>
                <w:highlight w:val="none"/>
              </w:rPr>
              <w:t>⑶</w:t>
            </w:r>
            <w:r>
              <w:rPr>
                <w:rFonts w:hint="default" w:ascii="Times New Roman" w:hAnsi="Times New Roman" w:eastAsia="仿宋_GB2312" w:cs="Times New Roman"/>
                <w:color w:val="auto"/>
                <w:sz w:val="24"/>
                <w:szCs w:val="24"/>
                <w:highlight w:val="none"/>
                <w:lang w:val="en-US" w:eastAsia="zh-CN"/>
              </w:rPr>
              <w:fldChar w:fldCharType="end"/>
            </w:r>
            <w:r>
              <w:rPr>
                <w:rFonts w:hint="default" w:ascii="Times New Roman" w:hAnsi="Times New Roman" w:eastAsia="仿宋_GB2312" w:cs="Times New Roman"/>
                <w:color w:val="auto"/>
                <w:sz w:val="24"/>
                <w:szCs w:val="24"/>
                <w:highlight w:val="none"/>
                <w:lang w:val="en-US" w:eastAsia="zh-CN"/>
              </w:rPr>
              <w:t>施工时应尽可能避免高噪声设备同时施工。施工单位应对施工中可能出现的扰民现象及时予以公告，并接受公众监督。控制施工场界噪声满足《建筑施工噪声排放标准》（GB12523-20</w:t>
            </w:r>
            <w:r>
              <w:rPr>
                <w:rFonts w:hint="eastAsia" w:eastAsia="仿宋_GB2312" w:cs="Times New Roman"/>
                <w:color w:val="auto"/>
                <w:sz w:val="24"/>
                <w:szCs w:val="24"/>
                <w:highlight w:val="none"/>
                <w:lang w:val="en-US" w:eastAsia="zh-CN"/>
              </w:rPr>
              <w:t>25</w:t>
            </w:r>
            <w:r>
              <w:rPr>
                <w:rFonts w:hint="default" w:ascii="Times New Roman" w:hAnsi="Times New Roman" w:eastAsia="仿宋_GB2312" w:cs="Times New Roman"/>
                <w:color w:val="auto"/>
                <w:sz w:val="24"/>
                <w:szCs w:val="24"/>
                <w:highlight w:val="none"/>
                <w:lang w:val="en-US" w:eastAsia="zh-CN"/>
              </w:rPr>
              <w:t>）中昼间≤75dB(A)标准限值。</w:t>
            </w:r>
          </w:p>
          <w:p w14:paraId="73D9BAA9">
            <w:pPr>
              <w:keepNext w:val="0"/>
              <w:keepLines w:val="0"/>
              <w:pageBreakBefore w:val="0"/>
              <w:widowControl w:val="0"/>
              <w:kinsoku/>
              <w:wordWrap/>
              <w:overflowPunct/>
              <w:topLinePunct w:val="0"/>
              <w:autoSpaceDE/>
              <w:autoSpaceDN/>
              <w:bidi w:val="0"/>
              <w:adjustRightInd w:val="0"/>
              <w:snapToGrid w:val="0"/>
              <w:spacing w:line="348" w:lineRule="auto"/>
              <w:textAlignment w:val="auto"/>
              <w:rPr>
                <w:rFonts w:hint="default"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5.</w:t>
            </w:r>
            <w:r>
              <w:rPr>
                <w:rFonts w:hint="eastAsia" w:ascii="Times New Roman" w:hAnsi="Times New Roman" w:eastAsia="仿宋_GB2312" w:cs="Times New Roman"/>
                <w:b/>
                <w:bCs/>
                <w:color w:val="auto"/>
                <w:sz w:val="24"/>
                <w:szCs w:val="24"/>
                <w:highlight w:val="none"/>
                <w:lang w:val="en-US" w:eastAsia="zh-CN"/>
              </w:rPr>
              <w:t>施工期固废污染防治</w:t>
            </w:r>
            <w:r>
              <w:rPr>
                <w:rFonts w:hint="default" w:ascii="Times New Roman" w:hAnsi="Times New Roman" w:eastAsia="仿宋_GB2312" w:cs="Times New Roman"/>
                <w:b/>
                <w:bCs/>
                <w:color w:val="auto"/>
                <w:sz w:val="24"/>
                <w:szCs w:val="24"/>
                <w:highlight w:val="none"/>
                <w:lang w:val="en-US" w:eastAsia="zh-CN"/>
              </w:rPr>
              <w:t>措施</w:t>
            </w:r>
          </w:p>
          <w:p w14:paraId="60DE9E9E">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color w:val="auto"/>
                <w:sz w:val="24"/>
                <w:szCs w:val="24"/>
                <w:highlight w:val="none"/>
                <w:lang w:val="en-US" w:eastAsia="zh-CN"/>
              </w:rPr>
              <w:t>本项目固体废弃物主要为施工人员产生的生活垃圾和设备安装产生的废包装。本项目施工期平均人数估算为30人，人均每天生活垃圾产生量按</w:t>
            </w:r>
            <w:r>
              <w:rPr>
                <w:rFonts w:hint="default" w:ascii="Times New Roman" w:hAnsi="Times New Roman" w:eastAsia="仿宋_GB2312" w:cs="Times New Roman"/>
                <w:color w:val="auto"/>
                <w:sz w:val="24"/>
                <w:szCs w:val="24"/>
                <w:highlight w:val="none"/>
                <w:lang w:val="en-US" w:eastAsia="zh-CN"/>
              </w:rPr>
              <w:t>0.</w:t>
            </w:r>
            <w:r>
              <w:rPr>
                <w:rFonts w:hint="eastAsia" w:ascii="Times New Roman" w:hAnsi="Times New Roman" w:eastAsia="仿宋_GB2312" w:cs="Times New Roman"/>
                <w:color w:val="auto"/>
                <w:sz w:val="24"/>
                <w:szCs w:val="24"/>
                <w:highlight w:val="none"/>
                <w:lang w:val="en-US" w:eastAsia="zh-CN"/>
              </w:rPr>
              <w:t>5</w:t>
            </w:r>
            <w:r>
              <w:rPr>
                <w:rFonts w:hint="default" w:ascii="Times New Roman" w:hAnsi="Times New Roman" w:eastAsia="仿宋_GB2312" w:cs="Times New Roman"/>
                <w:color w:val="auto"/>
                <w:sz w:val="24"/>
                <w:szCs w:val="24"/>
                <w:highlight w:val="none"/>
                <w:lang w:val="en-US" w:eastAsia="zh-CN"/>
              </w:rPr>
              <w:t>kg</w:t>
            </w:r>
            <w:r>
              <w:rPr>
                <w:rFonts w:hint="eastAsia" w:ascii="Times New Roman" w:hAnsi="Times New Roman" w:eastAsia="仿宋_GB2312" w:cs="Times New Roman"/>
                <w:color w:val="auto"/>
                <w:sz w:val="24"/>
                <w:szCs w:val="24"/>
                <w:highlight w:val="none"/>
                <w:lang w:val="en-US" w:eastAsia="zh-CN"/>
              </w:rPr>
              <w:t>计算，则生活垃圾产生量为15</w:t>
            </w:r>
            <w:r>
              <w:rPr>
                <w:rFonts w:hint="default" w:ascii="Times New Roman" w:hAnsi="Times New Roman" w:eastAsia="仿宋_GB2312" w:cs="Times New Roman"/>
                <w:color w:val="auto"/>
                <w:sz w:val="24"/>
                <w:szCs w:val="24"/>
                <w:highlight w:val="none"/>
                <w:lang w:val="en-US" w:eastAsia="zh-CN"/>
              </w:rPr>
              <w:t>kg/d</w:t>
            </w:r>
            <w:r>
              <w:rPr>
                <w:rFonts w:hint="eastAsia" w:ascii="Times New Roman" w:hAnsi="Times New Roman" w:eastAsia="仿宋_GB2312" w:cs="Times New Roman"/>
                <w:color w:val="auto"/>
                <w:sz w:val="24"/>
                <w:szCs w:val="24"/>
                <w:highlight w:val="none"/>
                <w:lang w:val="en-US" w:eastAsia="zh-CN"/>
              </w:rPr>
              <w:t>。施工工区设置垃圾桶1个，生活垃圾及时清运至就近生活垃圾中转站由环卫部门处置，减少施工期固废影响。</w:t>
            </w:r>
            <w:r>
              <w:rPr>
                <w:rFonts w:hint="default" w:ascii="Times New Roman" w:hAnsi="Times New Roman" w:eastAsia="仿宋_GB2312" w:cs="Times New Roman"/>
                <w:color w:val="auto"/>
                <w:sz w:val="24"/>
                <w:szCs w:val="24"/>
                <w:highlight w:val="none"/>
                <w:lang w:val="en-US" w:eastAsia="zh-CN"/>
              </w:rPr>
              <w:t>产生的废包装材料集中收集后送至指定地点进行处理，加强施工人员管理，不得随意丢弃废包装材料。</w:t>
            </w:r>
          </w:p>
        </w:tc>
      </w:tr>
      <w:tr w14:paraId="52064C7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93" w:hRule="atLeast"/>
          <w:jc w:val="center"/>
        </w:trPr>
        <w:tc>
          <w:tcPr>
            <w:tcW w:w="511" w:type="dxa"/>
            <w:tcBorders>
              <w:tl2br w:val="nil"/>
              <w:tr2bl w:val="nil"/>
            </w:tcBorders>
            <w:tcMar>
              <w:left w:w="28" w:type="dxa"/>
              <w:right w:w="28" w:type="dxa"/>
            </w:tcMar>
            <w:vAlign w:val="center"/>
          </w:tcPr>
          <w:p w14:paraId="0A905119">
            <w:pPr>
              <w:adjustRightInd w:val="0"/>
              <w:spacing w:line="240" w:lineRule="auto"/>
              <w:jc w:val="center"/>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b/>
                <w:bCs/>
                <w:color w:val="auto"/>
                <w:kern w:val="2"/>
                <w:sz w:val="24"/>
                <w:szCs w:val="24"/>
                <w:highlight w:val="none"/>
                <w:lang w:val="en-US" w:eastAsia="zh-CN" w:bidi="ar-SA"/>
              </w:rPr>
              <w:t>运营期生态环境保护措施</w:t>
            </w:r>
          </w:p>
        </w:tc>
        <w:tc>
          <w:tcPr>
            <w:tcW w:w="8690" w:type="dxa"/>
            <w:tcBorders>
              <w:tl2br w:val="nil"/>
              <w:tr2bl w:val="nil"/>
            </w:tcBorders>
            <w:vAlign w:val="center"/>
          </w:tcPr>
          <w:p w14:paraId="261A42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bCs/>
                <w:color w:val="auto"/>
                <w:kern w:val="2"/>
                <w:sz w:val="24"/>
                <w:szCs w:val="24"/>
                <w:highlight w:val="none"/>
                <w:lang w:val="en-US" w:eastAsia="zh-CN" w:bidi="ar-SA"/>
              </w:rPr>
              <w:t>本项目</w:t>
            </w:r>
            <w:r>
              <w:rPr>
                <w:rFonts w:hint="eastAsia" w:eastAsia="仿宋_GB2312" w:cs="Times New Roman"/>
                <w:bCs/>
                <w:color w:val="auto"/>
                <w:kern w:val="2"/>
                <w:sz w:val="24"/>
                <w:szCs w:val="24"/>
                <w:highlight w:val="none"/>
                <w:lang w:val="en-US" w:eastAsia="zh-CN" w:bidi="ar-SA"/>
              </w:rPr>
              <w:t>运营期产生的废气主要为有机废气、无机废气，有机废气与无机废气经通风橱收集后无组织排放排放；</w:t>
            </w:r>
            <w:r>
              <w:rPr>
                <w:rFonts w:hint="eastAsia" w:ascii="Times New Roman" w:hAnsi="Times New Roman" w:eastAsia="仿宋_GB2312" w:cs="Times New Roman"/>
                <w:color w:val="auto"/>
                <w:kern w:val="2"/>
                <w:sz w:val="24"/>
                <w:szCs w:val="24"/>
                <w:highlight w:val="none"/>
                <w:lang w:val="en-US" w:eastAsia="zh-CN" w:bidi="ar-SA"/>
              </w:rPr>
              <w:t>不会对周边环境造成太大影响。</w:t>
            </w:r>
          </w:p>
          <w:p w14:paraId="178F2460">
            <w:pPr>
              <w:numPr>
                <w:ilvl w:val="0"/>
                <w:numId w:val="0"/>
              </w:numPr>
              <w:adjustRightInd w:val="0"/>
              <w:snapToGrid w:val="0"/>
              <w:spacing w:line="360" w:lineRule="auto"/>
              <w:ind w:firstLine="480" w:firstLineChars="200"/>
              <w:rPr>
                <w:rFonts w:hint="default" w:ascii="Times New Roman" w:hAnsi="Times New Roman" w:eastAsia="宋体" w:cs="Times New Roman"/>
                <w:lang w:val="en-US" w:eastAsia="zh-CN"/>
              </w:rPr>
            </w:pPr>
            <w:r>
              <w:rPr>
                <w:rFonts w:hint="eastAsia" w:ascii="Times New Roman" w:hAnsi="Times New Roman" w:eastAsia="仿宋_GB2312" w:cs="Times New Roman"/>
                <w:color w:val="auto"/>
                <w:kern w:val="2"/>
                <w:sz w:val="24"/>
                <w:szCs w:val="24"/>
                <w:highlight w:val="none"/>
                <w:lang w:val="en-US" w:eastAsia="zh-CN" w:bidi="ar-SA"/>
              </w:rPr>
              <w:t>项目运营期废水主要为生活污水、生产废水（蜂蜜加工车间生产用水主要为设备清洗、原料预处理，中药材分拣包装区生产用水为场地清洁、设备清洗废水，储存仓库地面清洁废水，检测中心实验废水，大湾乡分拣车间场地清洁、设备清洗），废水</w:t>
            </w:r>
            <w:r>
              <w:rPr>
                <w:rFonts w:hint="default" w:ascii="Times New Roman" w:hAnsi="Times New Roman" w:eastAsia="仿宋_GB2312" w:cs="Times New Roman"/>
                <w:color w:val="auto"/>
                <w:kern w:val="2"/>
                <w:sz w:val="24"/>
                <w:szCs w:val="24"/>
                <w:highlight w:val="none"/>
                <w:lang w:val="en-US" w:eastAsia="zh-CN" w:bidi="ar-SA"/>
              </w:rPr>
              <w:t>产生量为</w:t>
            </w:r>
            <w:r>
              <w:rPr>
                <w:rFonts w:hint="eastAsia" w:ascii="Times New Roman" w:hAnsi="Times New Roman" w:eastAsia="仿宋_GB2312" w:cs="Times New Roman"/>
                <w:color w:val="auto"/>
                <w:kern w:val="2"/>
                <w:sz w:val="24"/>
                <w:szCs w:val="24"/>
                <w:highlight w:val="none"/>
                <w:lang w:val="en-US" w:eastAsia="zh-CN" w:bidi="ar-SA"/>
              </w:rPr>
              <w:t>27.989</w:t>
            </w:r>
            <w:r>
              <w:rPr>
                <w:rFonts w:hint="default" w:ascii="Times New Roman" w:hAnsi="Times New Roman" w:eastAsia="仿宋_GB2312" w:cs="Times New Roman"/>
                <w:color w:val="auto"/>
                <w:kern w:val="2"/>
                <w:sz w:val="24"/>
                <w:szCs w:val="24"/>
                <w:highlight w:val="none"/>
                <w:lang w:val="en-US" w:eastAsia="zh-CN" w:bidi="ar-SA"/>
              </w:rPr>
              <w:t>m</w:t>
            </w:r>
            <w:r>
              <w:rPr>
                <w:rFonts w:hint="default" w:ascii="Times New Roman" w:hAnsi="Times New Roman" w:eastAsia="仿宋_GB2312" w:cs="Times New Roman"/>
                <w:color w:val="auto"/>
                <w:kern w:val="2"/>
                <w:sz w:val="24"/>
                <w:szCs w:val="24"/>
                <w:highlight w:val="none"/>
                <w:vertAlign w:val="superscript"/>
                <w:lang w:val="en-US" w:eastAsia="zh-CN" w:bidi="ar-SA"/>
              </w:rPr>
              <w:t>3</w:t>
            </w:r>
            <w:r>
              <w:rPr>
                <w:rFonts w:hint="default" w:ascii="Times New Roman" w:hAnsi="Times New Roman"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d（5597.8</w:t>
            </w:r>
            <w:r>
              <w:rPr>
                <w:rFonts w:hint="default" w:ascii="Times New Roman" w:hAnsi="Times New Roman" w:eastAsia="仿宋_GB2312" w:cs="Times New Roman"/>
                <w:color w:val="auto"/>
                <w:kern w:val="2"/>
                <w:sz w:val="24"/>
                <w:szCs w:val="24"/>
                <w:highlight w:val="none"/>
                <w:lang w:val="en-US" w:eastAsia="zh-CN" w:bidi="ar-SA"/>
              </w:rPr>
              <w:t>m</w:t>
            </w:r>
            <w:r>
              <w:rPr>
                <w:rFonts w:hint="default" w:ascii="Times New Roman" w:hAnsi="Times New Roman" w:eastAsia="仿宋_GB2312" w:cs="Times New Roman"/>
                <w:color w:val="auto"/>
                <w:kern w:val="2"/>
                <w:sz w:val="24"/>
                <w:szCs w:val="24"/>
                <w:highlight w:val="none"/>
                <w:vertAlign w:val="superscript"/>
                <w:lang w:val="en-US" w:eastAsia="zh-CN" w:bidi="ar-SA"/>
              </w:rPr>
              <w:t>3</w:t>
            </w:r>
            <w:r>
              <w:rPr>
                <w:rFonts w:hint="default" w:ascii="Times New Roman" w:hAnsi="Times New Roman"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a）</w:t>
            </w:r>
            <w:r>
              <w:rPr>
                <w:rFonts w:hint="default" w:ascii="Times New Roman" w:hAnsi="Times New Roman" w:eastAsia="仿宋_GB2312" w:cs="Times New Roman"/>
                <w:color w:val="auto"/>
                <w:kern w:val="2"/>
                <w:sz w:val="24"/>
                <w:szCs w:val="24"/>
                <w:highlight w:val="none"/>
                <w:lang w:val="en-US" w:eastAsia="zh-CN" w:bidi="ar-SA"/>
              </w:rPr>
              <w:t>。废水经车间设三级沉淀池（总容积50m</w:t>
            </w:r>
            <w:r>
              <w:rPr>
                <w:rFonts w:hint="default" w:ascii="Times New Roman" w:hAnsi="Times New Roman" w:eastAsia="仿宋_GB2312" w:cs="Times New Roman"/>
                <w:color w:val="auto"/>
                <w:kern w:val="2"/>
                <w:sz w:val="24"/>
                <w:szCs w:val="24"/>
                <w:highlight w:val="none"/>
                <w:vertAlign w:val="superscript"/>
                <w:lang w:val="en-US" w:eastAsia="zh-CN" w:bidi="ar-SA"/>
              </w:rPr>
              <w:t>3</w:t>
            </w:r>
            <w:r>
              <w:rPr>
                <w:rFonts w:hint="default" w:ascii="Times New Roman" w:hAnsi="Times New Roman" w:eastAsia="仿宋_GB2312" w:cs="Times New Roman"/>
                <w:color w:val="auto"/>
                <w:kern w:val="2"/>
                <w:sz w:val="24"/>
                <w:szCs w:val="24"/>
                <w:highlight w:val="none"/>
                <w:lang w:val="en-US" w:eastAsia="zh-CN" w:bidi="ar-SA"/>
              </w:rPr>
              <w:t>），采用“格栅+气浮+生物接触氧化”工艺，处理后进入市政管网，最终排入泾源县六盘山镇污水处理厂进行处理。本项目废水总排口COD浓度为</w:t>
            </w:r>
            <w:r>
              <w:rPr>
                <w:rFonts w:hint="eastAsia" w:ascii="Times New Roman" w:hAnsi="Times New Roman" w:eastAsia="仿宋_GB2312" w:cs="Times New Roman"/>
                <w:color w:val="auto"/>
                <w:kern w:val="2"/>
                <w:sz w:val="24"/>
                <w:szCs w:val="24"/>
                <w:highlight w:val="none"/>
                <w:lang w:val="en-US" w:eastAsia="zh-CN" w:bidi="ar-SA"/>
              </w:rPr>
              <w:t>321</w:t>
            </w:r>
            <w:r>
              <w:rPr>
                <w:rFonts w:hint="default" w:ascii="Times New Roman" w:hAnsi="Times New Roman" w:eastAsia="仿宋_GB2312" w:cs="Times New Roman"/>
                <w:color w:val="auto"/>
                <w:kern w:val="2"/>
                <w:sz w:val="24"/>
                <w:szCs w:val="24"/>
                <w:highlight w:val="none"/>
                <w:lang w:val="en-US" w:eastAsia="zh-CN" w:bidi="ar-SA"/>
              </w:rPr>
              <w:t>mg/L、BOD</w:t>
            </w:r>
            <w:r>
              <w:rPr>
                <w:rFonts w:hint="default" w:ascii="Times New Roman" w:hAnsi="Times New Roman" w:eastAsia="仿宋_GB2312" w:cs="Times New Roman"/>
                <w:color w:val="auto"/>
                <w:kern w:val="2"/>
                <w:sz w:val="24"/>
                <w:szCs w:val="24"/>
                <w:highlight w:val="none"/>
                <w:vertAlign w:val="subscript"/>
                <w:lang w:val="en-US" w:eastAsia="zh-CN" w:bidi="ar-SA"/>
              </w:rPr>
              <w:t>5</w:t>
            </w:r>
            <w:r>
              <w:rPr>
                <w:rFonts w:hint="default" w:ascii="Times New Roman" w:hAnsi="Times New Roman" w:eastAsia="仿宋_GB2312" w:cs="Times New Roman"/>
                <w:color w:val="auto"/>
                <w:kern w:val="2"/>
                <w:sz w:val="24"/>
                <w:szCs w:val="24"/>
                <w:highlight w:val="none"/>
                <w:lang w:val="en-US" w:eastAsia="zh-CN" w:bidi="ar-SA"/>
              </w:rPr>
              <w:t>浓度为</w:t>
            </w:r>
            <w:r>
              <w:rPr>
                <w:rFonts w:hint="eastAsia" w:ascii="Times New Roman" w:hAnsi="Times New Roman" w:eastAsia="仿宋_GB2312" w:cs="Times New Roman"/>
                <w:color w:val="auto"/>
                <w:kern w:val="2"/>
                <w:sz w:val="24"/>
                <w:szCs w:val="24"/>
                <w:highlight w:val="none"/>
                <w:lang w:val="en-US" w:eastAsia="zh-CN" w:bidi="ar-SA"/>
              </w:rPr>
              <w:t>217</w:t>
            </w:r>
            <w:r>
              <w:rPr>
                <w:rFonts w:hint="default" w:ascii="Times New Roman" w:hAnsi="Times New Roman" w:eastAsia="仿宋_GB2312" w:cs="Times New Roman"/>
                <w:color w:val="auto"/>
                <w:kern w:val="2"/>
                <w:sz w:val="24"/>
                <w:szCs w:val="24"/>
                <w:highlight w:val="none"/>
                <w:lang w:val="en-US" w:eastAsia="zh-CN" w:bidi="ar-SA"/>
              </w:rPr>
              <w:t>mg/L、SS浓度为</w:t>
            </w:r>
            <w:r>
              <w:rPr>
                <w:rFonts w:hint="eastAsia" w:ascii="Times New Roman" w:hAnsi="Times New Roman" w:eastAsia="仿宋_GB2312" w:cs="Times New Roman"/>
                <w:color w:val="auto"/>
                <w:kern w:val="2"/>
                <w:sz w:val="24"/>
                <w:szCs w:val="24"/>
                <w:highlight w:val="none"/>
                <w:lang w:val="en-US" w:eastAsia="zh-CN" w:bidi="ar-SA"/>
              </w:rPr>
              <w:t>111</w:t>
            </w:r>
            <w:r>
              <w:rPr>
                <w:rFonts w:hint="default" w:ascii="Times New Roman" w:hAnsi="Times New Roman" w:eastAsia="仿宋_GB2312" w:cs="Times New Roman"/>
                <w:color w:val="auto"/>
                <w:kern w:val="2"/>
                <w:sz w:val="24"/>
                <w:szCs w:val="24"/>
                <w:highlight w:val="none"/>
                <w:lang w:val="en-US" w:eastAsia="zh-CN" w:bidi="ar-SA"/>
              </w:rPr>
              <w:t>mg/L、NH</w:t>
            </w:r>
            <w:r>
              <w:rPr>
                <w:rFonts w:hint="default" w:ascii="Times New Roman" w:hAnsi="Times New Roman" w:eastAsia="仿宋_GB2312" w:cs="Times New Roman"/>
                <w:color w:val="auto"/>
                <w:kern w:val="2"/>
                <w:sz w:val="24"/>
                <w:szCs w:val="24"/>
                <w:highlight w:val="none"/>
                <w:vertAlign w:val="subscript"/>
                <w:lang w:val="en-US" w:eastAsia="zh-CN" w:bidi="ar-SA"/>
              </w:rPr>
              <w:t>3</w:t>
            </w:r>
            <w:r>
              <w:rPr>
                <w:rFonts w:hint="default" w:ascii="Times New Roman" w:hAnsi="Times New Roman" w:eastAsia="仿宋_GB2312" w:cs="Times New Roman"/>
                <w:color w:val="auto"/>
                <w:kern w:val="2"/>
                <w:sz w:val="24"/>
                <w:szCs w:val="24"/>
                <w:highlight w:val="none"/>
                <w:lang w:val="en-US" w:eastAsia="zh-CN" w:bidi="ar-SA"/>
              </w:rPr>
              <w:t>-N浓度为</w:t>
            </w:r>
            <w:r>
              <w:rPr>
                <w:rFonts w:hint="eastAsia" w:ascii="Times New Roman" w:hAnsi="Times New Roman" w:eastAsia="仿宋_GB2312" w:cs="Times New Roman"/>
                <w:color w:val="auto"/>
                <w:kern w:val="2"/>
                <w:sz w:val="24"/>
                <w:szCs w:val="24"/>
                <w:highlight w:val="none"/>
                <w:lang w:val="en-US" w:eastAsia="zh-CN" w:bidi="ar-SA"/>
              </w:rPr>
              <w:t>39.5</w:t>
            </w:r>
            <w:r>
              <w:rPr>
                <w:rFonts w:hint="default" w:ascii="Times New Roman" w:hAnsi="Times New Roman" w:eastAsia="仿宋_GB2312" w:cs="Times New Roman"/>
                <w:color w:val="auto"/>
                <w:kern w:val="2"/>
                <w:sz w:val="24"/>
                <w:szCs w:val="24"/>
                <w:highlight w:val="none"/>
                <w:lang w:val="en-US" w:eastAsia="zh-CN" w:bidi="ar-SA"/>
              </w:rPr>
              <w:t>mg/L、TP浓度为</w:t>
            </w:r>
            <w:r>
              <w:rPr>
                <w:rFonts w:hint="eastAsia" w:ascii="Times New Roman" w:hAnsi="Times New Roman" w:eastAsia="仿宋_GB2312" w:cs="Times New Roman"/>
                <w:color w:val="auto"/>
                <w:kern w:val="2"/>
                <w:sz w:val="24"/>
                <w:szCs w:val="24"/>
                <w:highlight w:val="none"/>
                <w:lang w:val="en-US" w:eastAsia="zh-CN" w:bidi="ar-SA"/>
              </w:rPr>
              <w:t>3.95</w:t>
            </w:r>
            <w:r>
              <w:rPr>
                <w:rFonts w:hint="default" w:ascii="Times New Roman" w:hAnsi="Times New Roman" w:eastAsia="仿宋_GB2312" w:cs="Times New Roman"/>
                <w:color w:val="auto"/>
                <w:kern w:val="2"/>
                <w:sz w:val="24"/>
                <w:szCs w:val="24"/>
                <w:highlight w:val="none"/>
                <w:lang w:val="en-US" w:eastAsia="zh-CN" w:bidi="ar-SA"/>
              </w:rPr>
              <w:t>mg/L、TN浓度为</w:t>
            </w:r>
            <w:r>
              <w:rPr>
                <w:rFonts w:hint="eastAsia" w:ascii="Times New Roman" w:hAnsi="Times New Roman" w:eastAsia="仿宋_GB2312" w:cs="Times New Roman"/>
                <w:color w:val="auto"/>
                <w:kern w:val="2"/>
                <w:sz w:val="24"/>
                <w:szCs w:val="24"/>
                <w:highlight w:val="none"/>
                <w:lang w:val="en-US" w:eastAsia="zh-CN" w:bidi="ar-SA"/>
              </w:rPr>
              <w:t>46</w:t>
            </w:r>
            <w:r>
              <w:rPr>
                <w:rFonts w:hint="default" w:ascii="Times New Roman" w:hAnsi="Times New Roman" w:eastAsia="仿宋_GB2312" w:cs="Times New Roman"/>
                <w:color w:val="auto"/>
                <w:kern w:val="2"/>
                <w:sz w:val="24"/>
                <w:szCs w:val="24"/>
                <w:highlight w:val="none"/>
                <w:lang w:val="en-US" w:eastAsia="zh-CN" w:bidi="ar-SA"/>
              </w:rPr>
              <w:t>mg/L，TDS浓度为1000mg/L，能够满足</w:t>
            </w:r>
            <w:r>
              <w:rPr>
                <w:rFonts w:hint="default" w:ascii="Times New Roman" w:hAnsi="Times New Roman" w:eastAsia="仿宋_GB2312" w:cs="Times New Roman"/>
                <w:color w:val="auto"/>
                <w:kern w:val="24"/>
                <w:sz w:val="24"/>
                <w:szCs w:val="24"/>
                <w:lang w:val="en-US" w:eastAsia="zh-CN" w:bidi="ar-SA"/>
              </w:rPr>
              <w:t>《污水综合排放标准》(GB8978-1996)三级标准限值要求。</w:t>
            </w:r>
            <w:r>
              <w:rPr>
                <w:rFonts w:hint="eastAsia" w:ascii="Times New Roman" w:hAnsi="Times New Roman" w:eastAsia="仿宋_GB2312" w:cs="Times New Roman"/>
                <w:color w:val="auto"/>
                <w:kern w:val="24"/>
                <w:sz w:val="24"/>
                <w:szCs w:val="24"/>
                <w:lang w:val="en-US" w:eastAsia="zh-CN" w:bidi="ar-SA"/>
              </w:rPr>
              <w:t>同时满足</w:t>
            </w:r>
            <w:r>
              <w:rPr>
                <w:rFonts w:hint="eastAsia" w:ascii="Times New Roman" w:hAnsi="Times New Roman" w:eastAsia="仿宋_GB2312" w:cs="Times New Roman"/>
                <w:color w:val="auto"/>
                <w:kern w:val="0"/>
                <w:sz w:val="24"/>
                <w:highlight w:val="none"/>
                <w:lang w:eastAsia="zh-CN"/>
              </w:rPr>
              <w:t>《污水排入城镇下水道水质标准》（</w:t>
            </w:r>
            <w:r>
              <w:rPr>
                <w:rFonts w:hint="eastAsia" w:ascii="Times New Roman" w:hAnsi="Times New Roman" w:eastAsia="仿宋_GB2312" w:cs="Times New Roman"/>
                <w:color w:val="auto"/>
                <w:kern w:val="0"/>
                <w:sz w:val="24"/>
                <w:highlight w:val="none"/>
                <w:lang w:val="en-US" w:eastAsia="zh-CN"/>
              </w:rPr>
              <w:t>GB/T31962-2015</w:t>
            </w:r>
            <w:r>
              <w:rPr>
                <w:rFonts w:hint="eastAsia" w:ascii="Times New Roman" w:hAnsi="Times New Roman" w:eastAsia="仿宋_GB2312" w:cs="Times New Roman"/>
                <w:color w:val="auto"/>
                <w:kern w:val="0"/>
                <w:sz w:val="24"/>
                <w:highlight w:val="none"/>
                <w:lang w:eastAsia="zh-CN"/>
              </w:rPr>
              <w:t>）</w:t>
            </w:r>
            <w:r>
              <w:rPr>
                <w:rFonts w:hint="eastAsia" w:ascii="Times New Roman" w:hAnsi="Times New Roman" w:eastAsia="仿宋_GB2312" w:cs="Times New Roman"/>
                <w:color w:val="auto"/>
                <w:kern w:val="0"/>
                <w:sz w:val="24"/>
                <w:highlight w:val="none"/>
                <w:lang w:val="en-US" w:eastAsia="zh-CN"/>
              </w:rPr>
              <w:t>中A级标准后排入市政管网。</w:t>
            </w:r>
          </w:p>
          <w:p w14:paraId="277387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bCs/>
                <w:color w:val="auto"/>
                <w:kern w:val="2"/>
                <w:sz w:val="24"/>
                <w:szCs w:val="24"/>
                <w:highlight w:val="none"/>
                <w:lang w:val="en-US" w:eastAsia="zh-CN" w:bidi="ar-SA"/>
              </w:rPr>
            </w:pPr>
            <w:r>
              <w:rPr>
                <w:rFonts w:hint="eastAsia" w:ascii="Times New Roman" w:hAnsi="Times New Roman" w:eastAsia="仿宋_GB2312" w:cs="Times New Roman"/>
                <w:bCs/>
                <w:color w:val="auto"/>
                <w:kern w:val="2"/>
                <w:sz w:val="24"/>
                <w:szCs w:val="24"/>
                <w:highlight w:val="none"/>
                <w:lang w:val="en-US" w:eastAsia="zh-CN" w:bidi="ar-SA"/>
              </w:rPr>
              <w:t>噪声主要是</w:t>
            </w:r>
            <w:r>
              <w:rPr>
                <w:rFonts w:hint="eastAsia" w:eastAsia="仿宋_GB2312" w:cs="Times New Roman"/>
                <w:bCs/>
                <w:color w:val="auto"/>
                <w:kern w:val="2"/>
                <w:sz w:val="24"/>
                <w:szCs w:val="24"/>
                <w:highlight w:val="none"/>
                <w:lang w:val="en-US" w:eastAsia="zh-CN" w:bidi="ar-SA"/>
              </w:rPr>
              <w:t>各类设备</w:t>
            </w:r>
            <w:r>
              <w:rPr>
                <w:rFonts w:hint="eastAsia" w:ascii="Times New Roman" w:hAnsi="Times New Roman" w:eastAsia="仿宋_GB2312" w:cs="Times New Roman"/>
                <w:bCs/>
                <w:color w:val="auto"/>
                <w:kern w:val="2"/>
                <w:sz w:val="24"/>
                <w:szCs w:val="24"/>
                <w:highlight w:val="none"/>
                <w:lang w:val="en-US" w:eastAsia="zh-CN" w:bidi="ar-SA"/>
              </w:rPr>
              <w:t>产生的机械噪声，本项目设备通过选用低噪音设备、基础减震、墙体阻隔、距离衰减等措施后，噪声对</w:t>
            </w:r>
            <w:r>
              <w:rPr>
                <w:rFonts w:hint="eastAsia" w:eastAsia="仿宋_GB2312" w:cs="Times New Roman"/>
                <w:bCs/>
                <w:color w:val="auto"/>
                <w:kern w:val="2"/>
                <w:sz w:val="24"/>
                <w:szCs w:val="24"/>
                <w:highlight w:val="none"/>
                <w:lang w:val="en-US" w:eastAsia="zh-CN" w:bidi="ar-SA"/>
              </w:rPr>
              <w:t>周围环运营期境影响可接受</w:t>
            </w:r>
            <w:r>
              <w:rPr>
                <w:rFonts w:hint="eastAsia" w:ascii="Times New Roman" w:hAnsi="Times New Roman" w:eastAsia="仿宋_GB2312" w:cs="Times New Roman"/>
                <w:bCs/>
                <w:color w:val="auto"/>
                <w:kern w:val="2"/>
                <w:sz w:val="24"/>
                <w:szCs w:val="24"/>
                <w:highlight w:val="none"/>
                <w:lang w:val="en-US" w:eastAsia="zh-CN" w:bidi="ar-SA"/>
              </w:rPr>
              <w:t>。</w:t>
            </w:r>
          </w:p>
          <w:p w14:paraId="4A4560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en-US"/>
              </w:rPr>
            </w:pPr>
            <w:r>
              <w:rPr>
                <w:rFonts w:hint="default" w:ascii="Times New Roman" w:hAnsi="Times New Roman" w:eastAsia="仿宋_GB2312" w:cs="Times New Roman"/>
                <w:color w:val="auto"/>
                <w:spacing w:val="0"/>
                <w:kern w:val="2"/>
                <w:sz w:val="24"/>
                <w:szCs w:val="24"/>
                <w:highlight w:val="none"/>
                <w:lang w:val="en-US" w:eastAsia="zh-CN" w:bidi="ar-SA"/>
              </w:rPr>
              <w:t>本项目产生的一般固废主要</w:t>
            </w:r>
            <w:r>
              <w:rPr>
                <w:rFonts w:hint="eastAsia" w:ascii="Times New Roman" w:hAnsi="Times New Roman" w:eastAsia="仿宋_GB2312" w:cs="Times New Roman"/>
                <w:color w:val="auto"/>
                <w:spacing w:val="0"/>
                <w:kern w:val="2"/>
                <w:sz w:val="24"/>
                <w:szCs w:val="24"/>
                <w:highlight w:val="none"/>
                <w:lang w:val="en-US" w:eastAsia="zh-CN" w:bidi="ar-SA"/>
              </w:rPr>
              <w:t>为</w:t>
            </w:r>
            <w:r>
              <w:rPr>
                <w:rFonts w:hint="default" w:ascii="Times New Roman" w:hAnsi="Times New Roman" w:eastAsia="仿宋_GB2312" w:cs="Times New Roman"/>
                <w:color w:val="auto"/>
                <w:spacing w:val="0"/>
                <w:kern w:val="2"/>
                <w:sz w:val="24"/>
                <w:szCs w:val="24"/>
                <w:highlight w:val="none"/>
                <w:lang w:val="en-US" w:eastAsia="zh-CN" w:bidi="ar-SA"/>
              </w:rPr>
              <w:t>生活垃圾</w:t>
            </w:r>
            <w:r>
              <w:rPr>
                <w:rFonts w:hint="eastAsia" w:eastAsia="仿宋_GB2312" w:cs="Times New Roman"/>
                <w:color w:val="auto"/>
                <w:spacing w:val="0"/>
                <w:kern w:val="2"/>
                <w:sz w:val="24"/>
                <w:szCs w:val="24"/>
                <w:highlight w:val="none"/>
                <w:lang w:val="en-US" w:eastAsia="zh-CN" w:bidi="ar-SA"/>
              </w:rPr>
              <w:t>、</w:t>
            </w:r>
            <w:r>
              <w:rPr>
                <w:rFonts w:hint="default" w:ascii="Times New Roman" w:hAnsi="Times New Roman" w:eastAsia="仿宋_GB2312" w:cs="Times New Roman"/>
                <w:color w:val="auto"/>
                <w:spacing w:val="0"/>
                <w:kern w:val="2"/>
                <w:sz w:val="24"/>
                <w:szCs w:val="24"/>
                <w:highlight w:val="none"/>
                <w:lang w:val="en-US" w:eastAsia="zh-CN" w:bidi="ar-SA"/>
              </w:rPr>
              <w:t>修剪枝叶</w:t>
            </w:r>
            <w:r>
              <w:rPr>
                <w:rFonts w:hint="eastAsia" w:eastAsia="仿宋_GB2312" w:cs="Times New Roman"/>
                <w:color w:val="auto"/>
                <w:spacing w:val="0"/>
                <w:kern w:val="2"/>
                <w:sz w:val="24"/>
                <w:szCs w:val="24"/>
                <w:highlight w:val="none"/>
                <w:lang w:val="en-US" w:eastAsia="zh-CN" w:bidi="ar-SA"/>
              </w:rPr>
              <w:t>。</w:t>
            </w:r>
            <w:r>
              <w:rPr>
                <w:rFonts w:hint="default" w:ascii="Times New Roman" w:hAnsi="Times New Roman" w:eastAsia="仿宋_GB2312" w:cs="Times New Roman"/>
                <w:color w:val="auto"/>
                <w:spacing w:val="0"/>
                <w:kern w:val="2"/>
                <w:sz w:val="24"/>
                <w:szCs w:val="24"/>
                <w:highlight w:val="none"/>
                <w:lang w:val="en-US" w:eastAsia="zh-CN" w:bidi="ar-SA"/>
              </w:rPr>
              <w:t>产生的危险废物主要有废试剂瓶/桶、实验废液、废标液、废培养皿、废培养基、过期药品、过期试剂。</w:t>
            </w:r>
            <w:r>
              <w:rPr>
                <w:rFonts w:hint="eastAsia" w:ascii="Times New Roman" w:hAnsi="Times New Roman" w:eastAsia="仿宋_GB2312" w:cs="Times New Roman"/>
                <w:color w:val="auto"/>
                <w:spacing w:val="0"/>
                <w:kern w:val="2"/>
                <w:sz w:val="24"/>
                <w:szCs w:val="24"/>
                <w:highlight w:val="none"/>
                <w:lang w:val="en-US" w:eastAsia="zh-CN" w:bidi="ar-SA"/>
              </w:rPr>
              <w:t>生活垃圾集中收集后交由环卫部门进行处置</w:t>
            </w:r>
            <w:r>
              <w:rPr>
                <w:rFonts w:hint="eastAsia" w:eastAsia="仿宋_GB2312" w:cs="Times New Roman"/>
                <w:color w:val="auto"/>
                <w:spacing w:val="0"/>
                <w:kern w:val="2"/>
                <w:sz w:val="24"/>
                <w:szCs w:val="24"/>
                <w:highlight w:val="none"/>
                <w:lang w:val="en-US" w:eastAsia="zh-CN" w:bidi="ar-SA"/>
              </w:rPr>
              <w:t>，修剪枝叶</w:t>
            </w:r>
            <w:r>
              <w:rPr>
                <w:rFonts w:hint="default" w:ascii="Times New Roman" w:hAnsi="Times New Roman" w:eastAsia="仿宋_GB2312" w:cs="Times New Roman"/>
                <w:color w:val="auto"/>
                <w:spacing w:val="0"/>
                <w:kern w:val="2"/>
                <w:sz w:val="24"/>
                <w:szCs w:val="24"/>
                <w:highlight w:val="none"/>
                <w:lang w:val="en-US" w:eastAsia="zh-CN" w:bidi="ar-SA"/>
              </w:rPr>
              <w:t>集中收集后外售综合利用</w:t>
            </w:r>
            <w:r>
              <w:rPr>
                <w:rFonts w:hint="eastAsia" w:ascii="Times New Roman" w:hAnsi="Times New Roman" w:eastAsia="仿宋_GB2312" w:cs="Times New Roman"/>
                <w:color w:val="auto"/>
                <w:spacing w:val="0"/>
                <w:kern w:val="2"/>
                <w:sz w:val="24"/>
                <w:szCs w:val="24"/>
                <w:highlight w:val="none"/>
                <w:lang w:val="en-US" w:eastAsia="zh-CN" w:bidi="ar-SA"/>
              </w:rPr>
              <w:t>。</w:t>
            </w:r>
            <w:r>
              <w:rPr>
                <w:rFonts w:hint="default" w:ascii="Times New Roman" w:hAnsi="Times New Roman" w:eastAsia="仿宋_GB2312" w:cs="Times New Roman"/>
                <w:color w:val="auto"/>
                <w:spacing w:val="0"/>
                <w:kern w:val="2"/>
                <w:sz w:val="24"/>
                <w:szCs w:val="24"/>
                <w:highlight w:val="none"/>
                <w:lang w:val="en-US" w:eastAsia="zh-CN" w:bidi="ar-SA"/>
              </w:rPr>
              <w:t>废试剂瓶/桶、实验废液、废标液、废培养皿、废培养基、过期药品、过期试剂</w:t>
            </w:r>
            <w:r>
              <w:rPr>
                <w:rFonts w:hint="eastAsia" w:ascii="Times New Roman" w:hAnsi="Times New Roman" w:eastAsia="仿宋_GB2312" w:cs="Times New Roman"/>
                <w:color w:val="auto"/>
                <w:spacing w:val="0"/>
                <w:kern w:val="2"/>
                <w:sz w:val="24"/>
                <w:szCs w:val="24"/>
                <w:highlight w:val="none"/>
                <w:lang w:val="en-US" w:eastAsia="zh-CN" w:bidi="ar-SA"/>
              </w:rPr>
              <w:t>暂存于危废暂存间，交由有资质单位进行处置</w:t>
            </w:r>
          </w:p>
        </w:tc>
      </w:tr>
      <w:tr w14:paraId="19CBFA4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atLeast"/>
          <w:jc w:val="center"/>
        </w:trPr>
        <w:tc>
          <w:tcPr>
            <w:tcW w:w="511" w:type="dxa"/>
            <w:tcBorders>
              <w:tl2br w:val="nil"/>
              <w:tr2bl w:val="nil"/>
            </w:tcBorders>
            <w:tcMar>
              <w:left w:w="28" w:type="dxa"/>
              <w:right w:w="28" w:type="dxa"/>
            </w:tcMar>
            <w:vAlign w:val="center"/>
          </w:tcPr>
          <w:p w14:paraId="5B58694D">
            <w:pPr>
              <w:adjustRightInd w:val="0"/>
              <w:snapToGrid w:val="0"/>
              <w:jc w:val="center"/>
              <w:rPr>
                <w:rFonts w:hint="default"/>
                <w:color w:val="auto"/>
                <w:highlight w:val="none"/>
                <w:lang w:val="en-US" w:eastAsia="zh-CN"/>
              </w:rPr>
            </w:pPr>
            <w:r>
              <w:rPr>
                <w:rFonts w:hint="default" w:ascii="Times New Roman" w:hAnsi="Times New Roman" w:eastAsia="仿宋_GB2312" w:cs="Times New Roman"/>
                <w:b/>
                <w:bCs/>
                <w:color w:val="auto"/>
                <w:sz w:val="24"/>
                <w:highlight w:val="none"/>
                <w:lang w:eastAsia="zh-CN"/>
              </w:rPr>
              <w:t>其</w:t>
            </w:r>
            <w:r>
              <w:rPr>
                <w:rFonts w:hint="eastAsia" w:eastAsia="仿宋_GB2312" w:cs="Times New Roman"/>
                <w:b/>
                <w:bCs/>
                <w:color w:val="auto"/>
                <w:sz w:val="24"/>
                <w:highlight w:val="none"/>
                <w:lang w:val="en-US" w:eastAsia="zh-CN"/>
              </w:rPr>
              <w:t>他</w:t>
            </w:r>
          </w:p>
        </w:tc>
        <w:tc>
          <w:tcPr>
            <w:tcW w:w="8690" w:type="dxa"/>
            <w:tcBorders>
              <w:tl2br w:val="nil"/>
              <w:tr2bl w:val="nil"/>
            </w:tcBorders>
          </w:tcPr>
          <w:p w14:paraId="46B12D9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1.</w:t>
            </w:r>
            <w:r>
              <w:rPr>
                <w:rFonts w:hint="eastAsia" w:ascii="Times New Roman" w:hAnsi="Times New Roman" w:eastAsia="仿宋_GB2312" w:cs="Times New Roman"/>
                <w:b/>
                <w:bCs/>
                <w:color w:val="auto"/>
                <w:sz w:val="24"/>
                <w:szCs w:val="24"/>
                <w:highlight w:val="none"/>
                <w:lang w:val="en-US" w:eastAsia="zh-CN"/>
              </w:rPr>
              <w:t>环境管理</w:t>
            </w:r>
          </w:p>
          <w:p w14:paraId="1348CC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根据国家环境保护管理规定，本次改造可在工程施工期、运营期组建环境管理机构，建立与培训环保管理干部队伍，以完成工程环境管理任务。根据工程环境管理任务的阶段性，工程施工期和运营期环境保护办公室分别由1名科室主任和卫生防疫、环境监测、水土保持、生态等专业的人员专职或兼职组成</w:t>
            </w:r>
            <w:r>
              <w:rPr>
                <w:rFonts w:hint="eastAsia" w:eastAsia="仿宋_GB2312" w:cs="Times New Roman"/>
                <w:color w:val="auto"/>
                <w:sz w:val="24"/>
                <w:szCs w:val="24"/>
                <w:highlight w:val="none"/>
                <w:lang w:val="en-US" w:eastAsia="zh-CN"/>
              </w:rPr>
              <w:t>。</w:t>
            </w:r>
          </w:p>
          <w:p w14:paraId="4FC8DB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①环境管理职责</w:t>
            </w:r>
          </w:p>
          <w:p w14:paraId="29906A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环境管理科室负责制定各项环境管理方面的规章制度、环境保护计划等，并协调和监督各部门的环境管理工作。</w:t>
            </w:r>
          </w:p>
          <w:p w14:paraId="4F9621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A、施工期</w:t>
            </w:r>
          </w:p>
          <w:p w14:paraId="441E2D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a、贯彻执行和宣传国家有关环境保护的方针、政策、法规、条例，结合本工程特点及环境特征，执行相关环境管理的方针、政策；</w:t>
            </w:r>
          </w:p>
          <w:p w14:paraId="42EC53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b、制订施工期环境保护计划，全面监督、管理施工期环保工作；</w:t>
            </w:r>
          </w:p>
          <w:p w14:paraId="1AEC5E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c、负责施工期生态环境保护措施的实施、监督与管理工作，确保各项措施落实；</w:t>
            </w:r>
          </w:p>
          <w:p w14:paraId="79772E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d、负责检查和监督施工期水土保持方案落实情况，及时发现并处理问题；</w:t>
            </w:r>
          </w:p>
          <w:p w14:paraId="7A29BE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e、负责制定施工期废水、废气、噪声、固废污染防治措施，并监督各项污染防治措施的落实情况；</w:t>
            </w:r>
          </w:p>
          <w:p w14:paraId="75EEC1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f、负责落实报告中施工期环保措施及施工期监测计划；</w:t>
            </w:r>
          </w:p>
          <w:p w14:paraId="1BAD04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g、会同地方环保部门检查、监督工程施工单位或承包商执行环境保护措施的情况，重点是施工过程中对生态环境的保护；</w:t>
            </w:r>
          </w:p>
          <w:p w14:paraId="5E6E94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h、负责环境保护资料和成果的归档工作。</w:t>
            </w:r>
          </w:p>
          <w:p w14:paraId="17D4C1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B、运营期</w:t>
            </w:r>
          </w:p>
          <w:p w14:paraId="4F7F63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a、制定工程的环境保护规划和环境保护规章制度，制定环境管理办法和制度；</w:t>
            </w:r>
          </w:p>
          <w:p w14:paraId="34027D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b、负责制定运营期水土流失防治计划和措施，并监督各项水土流失防治措施的落实情况；</w:t>
            </w:r>
          </w:p>
          <w:p w14:paraId="28570F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c、负责落实报告中运营期环保措施及运营期监测计划；</w:t>
            </w:r>
          </w:p>
          <w:p w14:paraId="5067D3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d、协助地方环保部门开展工程区内环境保护工作，处理与工程有关的环境问题。</w:t>
            </w:r>
          </w:p>
          <w:p w14:paraId="692FBA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建设项目环境保护管理是指项目在施工期和营运期必须遵守国家、自治区、</w:t>
            </w:r>
            <w:r>
              <w:rPr>
                <w:rFonts w:hint="eastAsia" w:eastAsia="仿宋_GB2312" w:cs="Times New Roman"/>
                <w:color w:val="auto"/>
                <w:sz w:val="24"/>
                <w:szCs w:val="24"/>
                <w:highlight w:val="none"/>
                <w:lang w:val="en-US" w:eastAsia="zh-CN"/>
              </w:rPr>
              <w:t>固原</w:t>
            </w:r>
            <w:r>
              <w:rPr>
                <w:rFonts w:hint="eastAsia" w:ascii="Times New Roman" w:hAnsi="Times New Roman" w:eastAsia="仿宋_GB2312" w:cs="Times New Roman"/>
                <w:color w:val="auto"/>
                <w:sz w:val="24"/>
                <w:szCs w:val="24"/>
                <w:highlight w:val="none"/>
                <w:lang w:val="en-US" w:eastAsia="zh-CN"/>
              </w:rPr>
              <w:t>市的有关环境保护法律、法规、政策与标准，接受地方生态环境主管部门的监督，协调同有关部门的关系以及一切与改善环境有关的管理活动。</w:t>
            </w:r>
          </w:p>
          <w:p w14:paraId="798E9CC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2、环境监测计划</w:t>
            </w:r>
          </w:p>
          <w:p w14:paraId="7193C4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环境监测目的是为全面、及时掌握拟建项目污染动态，了解项目建设对所在地区的环境质量变化程度、影响范围及运营期的环境质量动态，及时向主管部门反馈信息，为项目的环境管理提供科学依据。</w:t>
            </w:r>
          </w:p>
          <w:p w14:paraId="029C23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sz w:val="24"/>
                <w:szCs w:val="24"/>
                <w:highlight w:val="none"/>
                <w:lang w:val="en-US" w:eastAsia="zh-CN"/>
              </w:rPr>
              <w:t>环境监测目的是为全面、及时掌握拟建项目污染动态，了解项目建设对所在地区的环境质量变化程度、影响范围及运营期的环境质量动态，环境监测应按照国家和地方的环保要求进行，应采用国家规定的标准监测方法，并应按照规定，定期向有关环境保护主管部门上报监测结果。环境监测可按照根据《排污单位自行监测技术指南总则（HJ819-2017）及《国家重点监控企业自行监测及信息公开办法》进行自行监测，也可委托当地环境监测站或其他有资质单位进行监测，监控噪声及环保设施的运转状况。为了有效监控建设项目对环境的影响，公司环境管理部门应建立环境监测制度，定期委托当地有资质环境监测机构开展污染源及环境监测，以便及时掌握产排污规律，加强污染治理。</w:t>
            </w:r>
          </w:p>
          <w:p w14:paraId="5C641A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⑴施工期环境监测计划</w:t>
            </w:r>
          </w:p>
          <w:p w14:paraId="38D947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本项目施工期环境管理、监测重点是对施工场界噪声和粉尘监测，建设单位或监理单位应委托具有监测资质的单位进行施工期环境监测，具体监测方案见表</w:t>
            </w:r>
            <w:r>
              <w:rPr>
                <w:rFonts w:hint="eastAsia" w:eastAsia="仿宋_GB2312" w:cs="Times New Roman"/>
                <w:color w:val="auto"/>
                <w:sz w:val="24"/>
                <w:szCs w:val="24"/>
                <w:highlight w:val="none"/>
                <w:lang w:val="en-US" w:eastAsia="zh-CN"/>
              </w:rPr>
              <w:t>48</w:t>
            </w:r>
            <w:r>
              <w:rPr>
                <w:rFonts w:hint="eastAsia" w:ascii="Times New Roman" w:hAnsi="Times New Roman" w:eastAsia="仿宋_GB2312" w:cs="Times New Roman"/>
                <w:color w:val="auto"/>
                <w:sz w:val="24"/>
                <w:szCs w:val="24"/>
                <w:highlight w:val="none"/>
                <w:lang w:val="en-US" w:eastAsia="zh-CN"/>
              </w:rPr>
              <w:t>。</w:t>
            </w:r>
          </w:p>
          <w:p w14:paraId="7C0D657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表</w:t>
            </w:r>
            <w:r>
              <w:rPr>
                <w:rFonts w:hint="eastAsia" w:eastAsia="仿宋_GB2312" w:cs="Times New Roman"/>
                <w:color w:val="auto"/>
                <w:sz w:val="24"/>
                <w:szCs w:val="24"/>
                <w:highlight w:val="none"/>
                <w:lang w:val="en-US" w:eastAsia="zh-CN"/>
              </w:rPr>
              <w:t>48</w:t>
            </w:r>
            <w:r>
              <w:rPr>
                <w:rFonts w:hint="eastAsia" w:ascii="Times New Roman" w:hAnsi="Times New Roman" w:eastAsia="仿宋_GB2312" w:cs="Times New Roman"/>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施工期环境管理</w:t>
            </w:r>
          </w:p>
          <w:tbl>
            <w:tblPr>
              <w:tblStyle w:val="76"/>
              <w:tblW w:w="84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45"/>
              <w:gridCol w:w="767"/>
              <w:gridCol w:w="5833"/>
              <w:gridCol w:w="1315"/>
            </w:tblGrid>
            <w:tr w14:paraId="3F69EC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545" w:type="dxa"/>
                  <w:tcBorders>
                    <w:tl2br w:val="nil"/>
                    <w:tr2bl w:val="nil"/>
                  </w:tcBorders>
                  <w:vAlign w:val="center"/>
                </w:tcPr>
                <w:p w14:paraId="456D01FD">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767" w:type="dxa"/>
                  <w:tcBorders>
                    <w:tl2br w:val="nil"/>
                    <w:tr2bl w:val="nil"/>
                  </w:tcBorders>
                  <w:vAlign w:val="center"/>
                </w:tcPr>
                <w:p w14:paraId="1A51BC7B">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5833" w:type="dxa"/>
                  <w:tcBorders>
                    <w:tl2br w:val="nil"/>
                    <w:tr2bl w:val="nil"/>
                  </w:tcBorders>
                  <w:vAlign w:val="center"/>
                </w:tcPr>
                <w:p w14:paraId="314312A0">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污染防治措施及设施</w:t>
                  </w:r>
                </w:p>
              </w:tc>
              <w:tc>
                <w:tcPr>
                  <w:tcW w:w="1315" w:type="dxa"/>
                  <w:tcBorders>
                    <w:tl2br w:val="nil"/>
                    <w:tr2bl w:val="nil"/>
                  </w:tcBorders>
                  <w:vAlign w:val="center"/>
                </w:tcPr>
                <w:p w14:paraId="6B10D956">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预期效果</w:t>
                  </w:r>
                </w:p>
              </w:tc>
            </w:tr>
            <w:tr w14:paraId="53E98C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79" w:hRule="atLeast"/>
                <w:jc w:val="center"/>
              </w:trPr>
              <w:tc>
                <w:tcPr>
                  <w:tcW w:w="545" w:type="dxa"/>
                  <w:vMerge w:val="restart"/>
                  <w:tcBorders>
                    <w:tl2br w:val="nil"/>
                    <w:tr2bl w:val="nil"/>
                  </w:tcBorders>
                  <w:vAlign w:val="center"/>
                </w:tcPr>
                <w:p w14:paraId="64A4F6F1">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废气</w:t>
                  </w:r>
                </w:p>
              </w:tc>
              <w:tc>
                <w:tcPr>
                  <w:tcW w:w="767" w:type="dxa"/>
                  <w:tcBorders>
                    <w:tl2br w:val="nil"/>
                    <w:tr2bl w:val="nil"/>
                  </w:tcBorders>
                  <w:vAlign w:val="center"/>
                </w:tcPr>
                <w:p w14:paraId="6BAF693C">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施工扬尘</w:t>
                  </w:r>
                </w:p>
              </w:tc>
              <w:tc>
                <w:tcPr>
                  <w:tcW w:w="5833" w:type="dxa"/>
                  <w:tcBorders>
                    <w:tl2br w:val="nil"/>
                    <w:tr2bl w:val="nil"/>
                  </w:tcBorders>
                  <w:vAlign w:val="center"/>
                </w:tcPr>
                <w:p w14:paraId="4662595E">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①合理选择施工道路，尽量减少临时道路；路基施工避开大风天气、定时洒水，“六个百分百”防尘措施；</w:t>
                  </w:r>
                </w:p>
                <w:p w14:paraId="5088F0CC">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②粉料运输车辆控制车速，并采取少量洒水与遮蔽抑尘措施；</w:t>
                  </w:r>
                </w:p>
                <w:p w14:paraId="2FFBB5DD">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④施工生活生产区料场远离敏感点、设置挡风围墙、洒水保湿等；</w:t>
                  </w:r>
                </w:p>
                <w:p w14:paraId="50476375">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⑤及时清运建筑垃圾，施工结束后对临时占地进行必要的地表整平、绿化、美化，与原地貌保持一致。</w:t>
                  </w:r>
                </w:p>
              </w:tc>
              <w:tc>
                <w:tcPr>
                  <w:tcW w:w="1315" w:type="dxa"/>
                  <w:vMerge w:val="restart"/>
                  <w:tcBorders>
                    <w:tl2br w:val="nil"/>
                    <w:tr2bl w:val="nil"/>
                  </w:tcBorders>
                  <w:vAlign w:val="center"/>
                </w:tcPr>
                <w:p w14:paraId="432C7D15">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有效减轻其污染影 响程度和范围</w:t>
                  </w:r>
                </w:p>
              </w:tc>
            </w:tr>
            <w:tr w14:paraId="342BAE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62" w:hRule="atLeast"/>
                <w:jc w:val="center"/>
              </w:trPr>
              <w:tc>
                <w:tcPr>
                  <w:tcW w:w="545" w:type="dxa"/>
                  <w:vMerge w:val="continue"/>
                  <w:tcBorders>
                    <w:tl2br w:val="nil"/>
                    <w:tr2bl w:val="nil"/>
                  </w:tcBorders>
                  <w:vAlign w:val="center"/>
                </w:tcPr>
                <w:p w14:paraId="65548293">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p>
              </w:tc>
              <w:tc>
                <w:tcPr>
                  <w:tcW w:w="767" w:type="dxa"/>
                  <w:tcBorders>
                    <w:tl2br w:val="nil"/>
                    <w:tr2bl w:val="nil"/>
                  </w:tcBorders>
                  <w:vAlign w:val="center"/>
                </w:tcPr>
                <w:p w14:paraId="1D6ACDAE">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施工机械尾气</w:t>
                  </w:r>
                </w:p>
              </w:tc>
              <w:tc>
                <w:tcPr>
                  <w:tcW w:w="5833" w:type="dxa"/>
                  <w:tcBorders>
                    <w:tl2br w:val="nil"/>
                    <w:tr2bl w:val="nil"/>
                  </w:tcBorders>
                  <w:vAlign w:val="center"/>
                </w:tcPr>
                <w:p w14:paraId="5A705CBB">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项目所在地较为开阔，空气流通较好，汽车排放的废气能够较快地扩散，不会对当地的环境空气产生较大影响，但项目建设过程中仍应采取控制措施，加强施工机械的维护，使环境空气质量受到的影响降至最低。</w:t>
                  </w:r>
                </w:p>
              </w:tc>
              <w:tc>
                <w:tcPr>
                  <w:tcW w:w="1315" w:type="dxa"/>
                  <w:vMerge w:val="continue"/>
                  <w:tcBorders>
                    <w:tl2br w:val="nil"/>
                    <w:tr2bl w:val="nil"/>
                  </w:tcBorders>
                  <w:vAlign w:val="center"/>
                </w:tcPr>
                <w:p w14:paraId="719E7A16">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p>
              </w:tc>
            </w:tr>
            <w:tr w14:paraId="0A41A7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79" w:hRule="atLeast"/>
                <w:jc w:val="center"/>
              </w:trPr>
              <w:tc>
                <w:tcPr>
                  <w:tcW w:w="545" w:type="dxa"/>
                  <w:tcBorders>
                    <w:tl2br w:val="nil"/>
                    <w:tr2bl w:val="nil"/>
                  </w:tcBorders>
                  <w:vAlign w:val="center"/>
                </w:tcPr>
                <w:p w14:paraId="5E08CC1D">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废水</w:t>
                  </w:r>
                </w:p>
              </w:tc>
              <w:tc>
                <w:tcPr>
                  <w:tcW w:w="767" w:type="dxa"/>
                  <w:tcBorders>
                    <w:tl2br w:val="nil"/>
                    <w:tr2bl w:val="nil"/>
                  </w:tcBorders>
                  <w:vAlign w:val="center"/>
                </w:tcPr>
                <w:p w14:paraId="5AF6A568">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施工废水和生活污水</w:t>
                  </w:r>
                </w:p>
              </w:tc>
              <w:tc>
                <w:tcPr>
                  <w:tcW w:w="5833" w:type="dxa"/>
                  <w:tcBorders>
                    <w:tl2br w:val="nil"/>
                    <w:tr2bl w:val="nil"/>
                  </w:tcBorders>
                  <w:vAlign w:val="center"/>
                </w:tcPr>
                <w:p w14:paraId="213FDDBC">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①混凝土养护废水水应经沉淀后进行回用；</w:t>
                  </w:r>
                </w:p>
                <w:p w14:paraId="7F10E8BD">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②禁止向项目区内水体中排放或倾倒生活垃圾和建筑垃圾；</w:t>
                  </w:r>
                </w:p>
                <w:p w14:paraId="2CA01B74">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③施工材料远离水体堆放，禁止堆放于河道，堆放场地应备有临时遮挡的帆布，防止大风暴雨冲刷而进入水体；</w:t>
                  </w:r>
                </w:p>
                <w:p w14:paraId="13483FD2">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④施工作业完毕后及时清理施工现场，以防施工废料等随雨水进入河中；</w:t>
                  </w:r>
                </w:p>
                <w:p w14:paraId="483217AF">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⑤加强施工人员管理，增强施工人员的环保意识。</w:t>
                  </w:r>
                </w:p>
              </w:tc>
              <w:tc>
                <w:tcPr>
                  <w:tcW w:w="1315" w:type="dxa"/>
                  <w:tcBorders>
                    <w:tl2br w:val="nil"/>
                    <w:tr2bl w:val="nil"/>
                  </w:tcBorders>
                  <w:vAlign w:val="center"/>
                </w:tcPr>
                <w:p w14:paraId="55D35511">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避免对区域水体环境的影响</w:t>
                  </w:r>
                </w:p>
              </w:tc>
            </w:tr>
            <w:tr w14:paraId="30B9B8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545" w:type="dxa"/>
                  <w:tcBorders>
                    <w:tl2br w:val="nil"/>
                    <w:tr2bl w:val="nil"/>
                  </w:tcBorders>
                  <w:vAlign w:val="center"/>
                </w:tcPr>
                <w:p w14:paraId="76335FB8">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噪声</w:t>
                  </w:r>
                </w:p>
              </w:tc>
              <w:tc>
                <w:tcPr>
                  <w:tcW w:w="767" w:type="dxa"/>
                  <w:tcBorders>
                    <w:tl2br w:val="nil"/>
                    <w:tr2bl w:val="nil"/>
                  </w:tcBorders>
                  <w:vAlign w:val="center"/>
                </w:tcPr>
                <w:p w14:paraId="4638B1C8">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施工设备及车辆噪声</w:t>
                  </w:r>
                </w:p>
              </w:tc>
              <w:tc>
                <w:tcPr>
                  <w:tcW w:w="5833" w:type="dxa"/>
                  <w:tcBorders>
                    <w:tl2br w:val="nil"/>
                    <w:tr2bl w:val="nil"/>
                  </w:tcBorders>
                  <w:vAlign w:val="center"/>
                </w:tcPr>
                <w:p w14:paraId="733508F2">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①选用低噪施工机械设备；</w:t>
                  </w:r>
                </w:p>
                <w:p w14:paraId="588B904F">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②合理安排高噪设备施工时间；</w:t>
                  </w:r>
                </w:p>
                <w:p w14:paraId="2EDBF126">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③物料运输路线尽量远离声敏感点。</w:t>
                  </w:r>
                </w:p>
              </w:tc>
              <w:tc>
                <w:tcPr>
                  <w:tcW w:w="1315" w:type="dxa"/>
                  <w:tcBorders>
                    <w:tl2br w:val="nil"/>
                    <w:tr2bl w:val="nil"/>
                  </w:tcBorders>
                  <w:vAlign w:val="center"/>
                </w:tcPr>
                <w:p w14:paraId="5DDB060B">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达到《建筑施工噪声排放标准》（GB12523-20</w:t>
                  </w:r>
                  <w:r>
                    <w:rPr>
                      <w:rFonts w:hint="eastAsia" w:ascii="Times New Roman" w:hAnsi="Times New Roman" w:cs="Times New Roman"/>
                      <w:color w:val="auto"/>
                      <w:spacing w:val="-5"/>
                      <w:sz w:val="21"/>
                      <w:szCs w:val="21"/>
                      <w:highlight w:val="none"/>
                      <w:lang w:val="en-US" w:eastAsia="zh-CN"/>
                    </w:rPr>
                    <w:t>25</w:t>
                  </w:r>
                  <w:r>
                    <w:rPr>
                      <w:rFonts w:hint="default" w:ascii="Times New Roman" w:hAnsi="Times New Roman" w:eastAsia="宋体" w:cs="Times New Roman"/>
                      <w:color w:val="auto"/>
                      <w:spacing w:val="-5"/>
                      <w:sz w:val="21"/>
                      <w:szCs w:val="21"/>
                      <w:highlight w:val="none"/>
                    </w:rPr>
                    <w:t>）要求</w:t>
                  </w:r>
                </w:p>
              </w:tc>
            </w:tr>
            <w:tr w14:paraId="2E4027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2" w:hRule="atLeast"/>
                <w:jc w:val="center"/>
              </w:trPr>
              <w:tc>
                <w:tcPr>
                  <w:tcW w:w="545" w:type="dxa"/>
                  <w:tcBorders>
                    <w:tl2br w:val="nil"/>
                    <w:tr2bl w:val="nil"/>
                  </w:tcBorders>
                  <w:vAlign w:val="center"/>
                </w:tcPr>
                <w:p w14:paraId="4A213F23">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固废</w:t>
                  </w:r>
                </w:p>
              </w:tc>
              <w:tc>
                <w:tcPr>
                  <w:tcW w:w="767" w:type="dxa"/>
                  <w:tcBorders>
                    <w:tl2br w:val="nil"/>
                    <w:tr2bl w:val="nil"/>
                  </w:tcBorders>
                  <w:vAlign w:val="center"/>
                </w:tcPr>
                <w:p w14:paraId="3FC5EE59">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建筑垃圾</w:t>
                  </w:r>
                </w:p>
              </w:tc>
              <w:tc>
                <w:tcPr>
                  <w:tcW w:w="5833" w:type="dxa"/>
                  <w:tcBorders>
                    <w:tl2br w:val="nil"/>
                    <w:tr2bl w:val="nil"/>
                  </w:tcBorders>
                  <w:vAlign w:val="center"/>
                </w:tcPr>
                <w:p w14:paraId="321A2690">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按照当地环境卫生主管部门的规定处置建筑垃圾。</w:t>
                  </w:r>
                </w:p>
              </w:tc>
              <w:tc>
                <w:tcPr>
                  <w:tcW w:w="1315" w:type="dxa"/>
                  <w:tcBorders>
                    <w:tl2br w:val="nil"/>
                    <w:tr2bl w:val="nil"/>
                  </w:tcBorders>
                  <w:vAlign w:val="center"/>
                </w:tcPr>
                <w:p w14:paraId="5B41B335">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有效减少</w:t>
                  </w:r>
                  <w:r>
                    <w:rPr>
                      <w:rFonts w:hint="eastAsia" w:ascii="Times New Roman" w:hAnsi="Times New Roman" w:cs="Times New Roman"/>
                      <w:color w:val="auto"/>
                      <w:spacing w:val="-5"/>
                      <w:sz w:val="21"/>
                      <w:szCs w:val="21"/>
                      <w:highlight w:val="none"/>
                      <w:lang w:eastAsia="zh-CN"/>
                    </w:rPr>
                    <w:t>固体废物</w:t>
                  </w:r>
                  <w:r>
                    <w:rPr>
                      <w:rFonts w:hint="default" w:ascii="Times New Roman" w:hAnsi="Times New Roman" w:eastAsia="宋体" w:cs="Times New Roman"/>
                      <w:color w:val="auto"/>
                      <w:spacing w:val="-5"/>
                      <w:sz w:val="21"/>
                      <w:szCs w:val="21"/>
                      <w:highlight w:val="none"/>
                    </w:rPr>
                    <w:t>的环境影响，减少项目水土流失</w:t>
                  </w:r>
                </w:p>
              </w:tc>
            </w:tr>
            <w:tr w14:paraId="51BB0F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545" w:type="dxa"/>
                  <w:tcBorders>
                    <w:tl2br w:val="nil"/>
                    <w:tr2bl w:val="nil"/>
                  </w:tcBorders>
                  <w:vAlign w:val="center"/>
                </w:tcPr>
                <w:p w14:paraId="7E19D430">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生态</w:t>
                  </w:r>
                </w:p>
              </w:tc>
              <w:tc>
                <w:tcPr>
                  <w:tcW w:w="767" w:type="dxa"/>
                  <w:tcBorders>
                    <w:tl2br w:val="nil"/>
                    <w:tr2bl w:val="nil"/>
                  </w:tcBorders>
                  <w:vAlign w:val="center"/>
                </w:tcPr>
                <w:p w14:paraId="217B0EE8">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工程生态恢复</w:t>
                  </w:r>
                </w:p>
              </w:tc>
              <w:tc>
                <w:tcPr>
                  <w:tcW w:w="5833" w:type="dxa"/>
                  <w:tcBorders>
                    <w:tl2br w:val="nil"/>
                    <w:tr2bl w:val="nil"/>
                  </w:tcBorders>
                  <w:vAlign w:val="center"/>
                </w:tcPr>
                <w:p w14:paraId="13A7BCA4">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划定施工作业带，避开雨季施工，尽量保留原有植被，并在施工完成后尽快根据原有土地利用类型采取相应的恢复措施。</w:t>
                  </w:r>
                </w:p>
              </w:tc>
              <w:tc>
                <w:tcPr>
                  <w:tcW w:w="1315" w:type="dxa"/>
                  <w:tcBorders>
                    <w:tl2br w:val="nil"/>
                    <w:tr2bl w:val="nil"/>
                  </w:tcBorders>
                  <w:vAlign w:val="center"/>
                </w:tcPr>
                <w:p w14:paraId="7367A552">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临时占地土地功能得到恢复，生态环境逐步改善</w:t>
                  </w:r>
                </w:p>
              </w:tc>
            </w:tr>
          </w:tbl>
          <w:p w14:paraId="617DCBB9">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运营期环境监测计划</w:t>
            </w:r>
          </w:p>
          <w:p w14:paraId="24B00F1F">
            <w:pPr>
              <w:pStyle w:val="8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b/>
                <w:bCs/>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本项目无行业自行监测技术指南，参照《排污单位自行监测技术指南总则》（HJ947-2018）自行监测技术要求。本项目营运期厂界噪声监测计划见表27。</w:t>
            </w:r>
          </w:p>
          <w:p w14:paraId="74E7EECA">
            <w:pPr>
              <w:pStyle w:val="89"/>
              <w:spacing w:line="213" w:lineRule="auto"/>
              <w:ind w:firstLine="420" w:firstLineChars="200"/>
              <w:rPr>
                <w:rFonts w:hint="eastAsia" w:ascii="宋体" w:hAnsi="宋体" w:eastAsia="宋体" w:cs="宋体"/>
                <w:b/>
                <w:bCs/>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表</w:t>
            </w:r>
            <w:r>
              <w:rPr>
                <w:rFonts w:hint="eastAsia" w:ascii="Times New Roman" w:hAnsi="Times New Roman" w:cs="Times New Roman"/>
                <w:b w:val="0"/>
                <w:bCs w:val="0"/>
                <w:color w:val="auto"/>
                <w:kern w:val="2"/>
                <w:sz w:val="21"/>
                <w:szCs w:val="21"/>
                <w:highlight w:val="none"/>
                <w:lang w:val="en-US" w:eastAsia="zh-CN" w:bidi="ar-SA"/>
              </w:rPr>
              <w:t>49</w:t>
            </w:r>
            <w:r>
              <w:rPr>
                <w:rFonts w:hint="default" w:ascii="Times New Roman" w:hAnsi="Times New Roman" w:eastAsia="宋体" w:cs="Times New Roman"/>
                <w:b w:val="0"/>
                <w:bCs w:val="0"/>
                <w:color w:val="auto"/>
                <w:kern w:val="2"/>
                <w:sz w:val="21"/>
                <w:szCs w:val="21"/>
                <w:highlight w:val="none"/>
                <w:lang w:val="en-US" w:eastAsia="zh-CN" w:bidi="ar-SA"/>
              </w:rPr>
              <w:t xml:space="preserve">            </w:t>
            </w:r>
            <w:r>
              <w:rPr>
                <w:rFonts w:hint="eastAsia" w:ascii="宋体" w:hAnsi="宋体" w:eastAsia="宋体" w:cs="宋体"/>
                <w:b/>
                <w:bCs/>
                <w:color w:val="auto"/>
                <w:kern w:val="2"/>
                <w:sz w:val="24"/>
                <w:szCs w:val="24"/>
                <w:highlight w:val="none"/>
                <w:lang w:val="en-US" w:eastAsia="zh-CN" w:bidi="ar-SA"/>
              </w:rPr>
              <w:t>运营期环境监测计划表</w:t>
            </w:r>
          </w:p>
          <w:tbl>
            <w:tblPr>
              <w:tblStyle w:val="76"/>
              <w:tblW w:w="499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79"/>
              <w:gridCol w:w="905"/>
              <w:gridCol w:w="1325"/>
              <w:gridCol w:w="3191"/>
              <w:gridCol w:w="2336"/>
            </w:tblGrid>
            <w:tr w14:paraId="13C09F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9" w:type="dxa"/>
                  <w:tcBorders>
                    <w:tl2br w:val="nil"/>
                    <w:tr2bl w:val="nil"/>
                  </w:tcBorders>
                  <w:vAlign w:val="center"/>
                </w:tcPr>
                <w:p w14:paraId="3EA2C50A">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阶段</w:t>
                  </w:r>
                </w:p>
              </w:tc>
              <w:tc>
                <w:tcPr>
                  <w:tcW w:w="905" w:type="dxa"/>
                  <w:tcBorders>
                    <w:tl2br w:val="nil"/>
                    <w:tr2bl w:val="nil"/>
                  </w:tcBorders>
                  <w:vAlign w:val="center"/>
                </w:tcPr>
                <w:p w14:paraId="41332F60">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325" w:type="dxa"/>
                  <w:tcBorders>
                    <w:tl2br w:val="nil"/>
                    <w:tr2bl w:val="nil"/>
                  </w:tcBorders>
                  <w:vAlign w:val="center"/>
                </w:tcPr>
                <w:p w14:paraId="40DB3B7C">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w:t>
                  </w:r>
                </w:p>
              </w:tc>
              <w:tc>
                <w:tcPr>
                  <w:tcW w:w="3191" w:type="dxa"/>
                  <w:tcBorders>
                    <w:tl2br w:val="nil"/>
                    <w:tr2bl w:val="nil"/>
                  </w:tcBorders>
                  <w:vAlign w:val="center"/>
                </w:tcPr>
                <w:p w14:paraId="3FC9DE5E">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2"/>
                      <w:sz w:val="21"/>
                      <w:szCs w:val="21"/>
                      <w:highlight w:val="none"/>
                    </w:rPr>
                    <w:t>检测项目</w:t>
                  </w:r>
                </w:p>
              </w:tc>
              <w:tc>
                <w:tcPr>
                  <w:tcW w:w="2336" w:type="dxa"/>
                  <w:tcBorders>
                    <w:tl2br w:val="nil"/>
                    <w:tr2bl w:val="nil"/>
                  </w:tcBorders>
                  <w:vAlign w:val="center"/>
                </w:tcPr>
                <w:p w14:paraId="6AC77DBF">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3"/>
                      <w:sz w:val="21"/>
                      <w:szCs w:val="21"/>
                      <w:highlight w:val="none"/>
                    </w:rPr>
                    <w:t>监测频次</w:t>
                  </w:r>
                </w:p>
              </w:tc>
            </w:tr>
            <w:tr w14:paraId="129699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9" w:type="dxa"/>
                  <w:vMerge w:val="restart"/>
                  <w:tcBorders>
                    <w:tl2br w:val="nil"/>
                    <w:tr2bl w:val="nil"/>
                  </w:tcBorders>
                  <w:vAlign w:val="center"/>
                </w:tcPr>
                <w:p w14:paraId="582466A5">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运营期</w:t>
                  </w:r>
                </w:p>
              </w:tc>
              <w:tc>
                <w:tcPr>
                  <w:tcW w:w="905" w:type="dxa"/>
                  <w:tcBorders>
                    <w:tl2br w:val="nil"/>
                    <w:tr2bl w:val="nil"/>
                  </w:tcBorders>
                  <w:vAlign w:val="center"/>
                </w:tcPr>
                <w:p w14:paraId="7937DCDB">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生态环境</w:t>
                  </w:r>
                </w:p>
              </w:tc>
              <w:tc>
                <w:tcPr>
                  <w:tcW w:w="1325" w:type="dxa"/>
                  <w:tcBorders>
                    <w:tl2br w:val="nil"/>
                    <w:tr2bl w:val="nil"/>
                  </w:tcBorders>
                  <w:vAlign w:val="center"/>
                </w:tcPr>
                <w:p w14:paraId="2CB83A6A">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临时占地和恢复区</w:t>
                  </w:r>
                </w:p>
              </w:tc>
              <w:tc>
                <w:tcPr>
                  <w:tcW w:w="3191" w:type="dxa"/>
                  <w:tcBorders>
                    <w:tl2br w:val="nil"/>
                    <w:tr2bl w:val="nil"/>
                  </w:tcBorders>
                  <w:vAlign w:val="center"/>
                </w:tcPr>
                <w:p w14:paraId="4C7D1CF0">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植被恢复状况（恢复到与周边植被覆盖度相似），恢复植被的生长状况（生长良好或恢复到原有功能），进行绿化维护，必要时进行补植</w:t>
                  </w:r>
                </w:p>
              </w:tc>
              <w:tc>
                <w:tcPr>
                  <w:tcW w:w="2336" w:type="dxa"/>
                  <w:tcBorders>
                    <w:tl2br w:val="nil"/>
                    <w:tr2bl w:val="nil"/>
                  </w:tcBorders>
                  <w:vAlign w:val="center"/>
                </w:tcPr>
                <w:p w14:paraId="38B16EED">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rPr>
                    <w:t>每年7调查1次，连续5年</w:t>
                  </w:r>
                </w:p>
              </w:tc>
            </w:tr>
            <w:tr w14:paraId="313E7E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79" w:type="dxa"/>
                  <w:vMerge w:val="continue"/>
                  <w:tcBorders>
                    <w:tl2br w:val="nil"/>
                    <w:tr2bl w:val="nil"/>
                  </w:tcBorders>
                  <w:vAlign w:val="center"/>
                </w:tcPr>
                <w:p w14:paraId="75D9E1A6">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color w:val="auto"/>
                      <w:spacing w:val="-5"/>
                      <w:sz w:val="21"/>
                      <w:szCs w:val="21"/>
                      <w:highlight w:val="none"/>
                    </w:rPr>
                  </w:pPr>
                </w:p>
              </w:tc>
              <w:tc>
                <w:tcPr>
                  <w:tcW w:w="905" w:type="dxa"/>
                  <w:tcBorders>
                    <w:tl2br w:val="nil"/>
                    <w:tr2bl w:val="nil"/>
                  </w:tcBorders>
                  <w:vAlign w:val="center"/>
                </w:tcPr>
                <w:p w14:paraId="7192023B">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5"/>
                      <w:sz w:val="21"/>
                      <w:szCs w:val="21"/>
                      <w:highlight w:val="none"/>
                    </w:rPr>
                    <w:t>噪声</w:t>
                  </w:r>
                </w:p>
              </w:tc>
              <w:tc>
                <w:tcPr>
                  <w:tcW w:w="1325" w:type="dxa"/>
                  <w:tcBorders>
                    <w:tl2br w:val="nil"/>
                    <w:tr2bl w:val="nil"/>
                  </w:tcBorders>
                  <w:vAlign w:val="center"/>
                </w:tcPr>
                <w:p w14:paraId="245F9F51">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pacing w:val="-3"/>
                      <w:sz w:val="21"/>
                      <w:szCs w:val="21"/>
                      <w:highlight w:val="none"/>
                      <w:lang w:val="en-US" w:eastAsia="zh-CN"/>
                    </w:rPr>
                    <w:t>厂界四周</w:t>
                  </w:r>
                </w:p>
              </w:tc>
              <w:tc>
                <w:tcPr>
                  <w:tcW w:w="3191" w:type="dxa"/>
                  <w:tcBorders>
                    <w:tl2br w:val="nil"/>
                    <w:tr2bl w:val="nil"/>
                  </w:tcBorders>
                  <w:vAlign w:val="center"/>
                </w:tcPr>
                <w:p w14:paraId="70E27750">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等效声级</w:t>
                  </w:r>
                </w:p>
              </w:tc>
              <w:tc>
                <w:tcPr>
                  <w:tcW w:w="2336" w:type="dxa"/>
                  <w:tcBorders>
                    <w:tl2br w:val="nil"/>
                    <w:tr2bl w:val="nil"/>
                  </w:tcBorders>
                  <w:vAlign w:val="center"/>
                </w:tcPr>
                <w:p w14:paraId="3BEA9C10">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每季度一次，昼夜各一次</w:t>
                  </w:r>
                </w:p>
              </w:tc>
            </w:tr>
            <w:tr w14:paraId="36DBC8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679" w:type="dxa"/>
                  <w:vMerge w:val="continue"/>
                  <w:tcBorders>
                    <w:tl2br w:val="nil"/>
                    <w:tr2bl w:val="nil"/>
                  </w:tcBorders>
                  <w:vAlign w:val="center"/>
                </w:tcPr>
                <w:p w14:paraId="0D3AC2B8">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color w:val="auto"/>
                      <w:spacing w:val="-5"/>
                      <w:sz w:val="21"/>
                      <w:szCs w:val="21"/>
                      <w:highlight w:val="none"/>
                    </w:rPr>
                  </w:pPr>
                </w:p>
              </w:tc>
              <w:tc>
                <w:tcPr>
                  <w:tcW w:w="905" w:type="dxa"/>
                  <w:tcBorders>
                    <w:tl2br w:val="nil"/>
                    <w:tr2bl w:val="nil"/>
                  </w:tcBorders>
                  <w:vAlign w:val="center"/>
                </w:tcPr>
                <w:p w14:paraId="72BA1299">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bCs/>
                      <w:color w:val="auto"/>
                      <w:spacing w:val="-5"/>
                      <w:sz w:val="21"/>
                      <w:szCs w:val="21"/>
                      <w:highlight w:val="none"/>
                      <w:lang w:val="en-US" w:eastAsia="zh-CN"/>
                    </w:rPr>
                  </w:pPr>
                  <w:r>
                    <w:rPr>
                      <w:rFonts w:hint="eastAsia" w:ascii="Times New Roman" w:hAnsi="Times New Roman" w:cs="Times New Roman"/>
                      <w:b/>
                      <w:bCs/>
                      <w:color w:val="auto"/>
                      <w:spacing w:val="-5"/>
                      <w:sz w:val="21"/>
                      <w:szCs w:val="21"/>
                      <w:highlight w:val="none"/>
                      <w:lang w:val="en-US" w:eastAsia="zh-CN"/>
                    </w:rPr>
                    <w:t>大气</w:t>
                  </w:r>
                </w:p>
              </w:tc>
              <w:tc>
                <w:tcPr>
                  <w:tcW w:w="1325" w:type="dxa"/>
                  <w:tcBorders>
                    <w:tl2br w:val="nil"/>
                    <w:tr2bl w:val="nil"/>
                  </w:tcBorders>
                  <w:shd w:val="clear" w:color="auto" w:fill="auto"/>
                  <w:vAlign w:val="center"/>
                </w:tcPr>
                <w:p w14:paraId="7068C3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eastAsia="zh-CN"/>
                    </w:rPr>
                    <w:t>厂界</w:t>
                  </w:r>
                </w:p>
              </w:tc>
              <w:tc>
                <w:tcPr>
                  <w:tcW w:w="3191" w:type="dxa"/>
                  <w:tcBorders>
                    <w:tl2br w:val="nil"/>
                    <w:tr2bl w:val="nil"/>
                  </w:tcBorders>
                  <w:shd w:val="clear" w:color="auto" w:fill="auto"/>
                  <w:vAlign w:val="center"/>
                </w:tcPr>
                <w:p w14:paraId="5A22F0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yellow"/>
                      <w:lang w:val="en-US" w:eastAsia="zh-CN" w:bidi="ar-SA"/>
                    </w:rPr>
                  </w:pPr>
                  <w:r>
                    <w:rPr>
                      <w:rFonts w:hint="eastAsia" w:eastAsia="宋体" w:cs="Times New Roman"/>
                      <w:b w:val="0"/>
                      <w:bCs/>
                      <w:color w:val="auto"/>
                      <w:sz w:val="21"/>
                      <w:szCs w:val="21"/>
                      <w:lang w:val="en-US" w:eastAsia="zh-CN"/>
                    </w:rPr>
                    <w:t>硫酸雾、HCl、NOx、NMHC</w:t>
                  </w:r>
                </w:p>
              </w:tc>
              <w:tc>
                <w:tcPr>
                  <w:tcW w:w="2336" w:type="dxa"/>
                  <w:tcBorders>
                    <w:tl2br w:val="nil"/>
                    <w:tr2bl w:val="nil"/>
                  </w:tcBorders>
                  <w:shd w:val="clear" w:color="auto" w:fill="auto"/>
                  <w:vAlign w:val="center"/>
                </w:tcPr>
                <w:p w14:paraId="6D6484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1次/年</w:t>
                  </w:r>
                </w:p>
              </w:tc>
            </w:tr>
            <w:tr w14:paraId="64C093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9" w:type="dxa"/>
                  <w:vMerge w:val="continue"/>
                  <w:tcBorders>
                    <w:tl2br w:val="nil"/>
                    <w:tr2bl w:val="nil"/>
                  </w:tcBorders>
                  <w:vAlign w:val="center"/>
                </w:tcPr>
                <w:p w14:paraId="61E15D00">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color w:val="auto"/>
                      <w:spacing w:val="-5"/>
                      <w:sz w:val="21"/>
                      <w:szCs w:val="21"/>
                      <w:highlight w:val="none"/>
                    </w:rPr>
                  </w:pPr>
                </w:p>
              </w:tc>
              <w:tc>
                <w:tcPr>
                  <w:tcW w:w="905" w:type="dxa"/>
                  <w:tcBorders>
                    <w:tl2br w:val="nil"/>
                    <w:tr2bl w:val="nil"/>
                  </w:tcBorders>
                  <w:vAlign w:val="center"/>
                </w:tcPr>
                <w:p w14:paraId="3FE0000A">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bCs/>
                      <w:color w:val="auto"/>
                      <w:spacing w:val="-5"/>
                      <w:sz w:val="21"/>
                      <w:szCs w:val="21"/>
                      <w:highlight w:val="none"/>
                      <w:lang w:val="en-US" w:eastAsia="zh-CN"/>
                    </w:rPr>
                  </w:pPr>
                  <w:r>
                    <w:rPr>
                      <w:rFonts w:hint="eastAsia" w:ascii="Times New Roman" w:hAnsi="Times New Roman" w:cs="Times New Roman"/>
                      <w:b/>
                      <w:bCs/>
                      <w:color w:val="auto"/>
                      <w:spacing w:val="-5"/>
                      <w:sz w:val="21"/>
                      <w:szCs w:val="21"/>
                      <w:highlight w:val="none"/>
                      <w:lang w:val="en-US" w:eastAsia="zh-CN"/>
                    </w:rPr>
                    <w:t>废水</w:t>
                  </w:r>
                </w:p>
              </w:tc>
              <w:tc>
                <w:tcPr>
                  <w:tcW w:w="1325" w:type="dxa"/>
                  <w:tcBorders>
                    <w:tl2br w:val="nil"/>
                    <w:tr2bl w:val="nil"/>
                  </w:tcBorders>
                  <w:shd w:val="clear" w:color="auto" w:fill="auto"/>
                  <w:vAlign w:val="center"/>
                </w:tcPr>
                <w:p w14:paraId="3AC9C3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废水总排口</w:t>
                  </w:r>
                </w:p>
              </w:tc>
              <w:tc>
                <w:tcPr>
                  <w:tcW w:w="3191" w:type="dxa"/>
                  <w:tcBorders>
                    <w:tl2br w:val="nil"/>
                    <w:tr2bl w:val="nil"/>
                  </w:tcBorders>
                  <w:shd w:val="clear" w:color="auto" w:fill="auto"/>
                  <w:vAlign w:val="center"/>
                </w:tcPr>
                <w:p w14:paraId="58CDAED5">
                  <w:pPr>
                    <w:keepNext w:val="0"/>
                    <w:keepLines w:val="0"/>
                    <w:pageBreakBefore w:val="0"/>
                    <w:tabs>
                      <w:tab w:val="left" w:pos="12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sz w:val="21"/>
                      <w:szCs w:val="21"/>
                      <w:lang w:val="en-US" w:eastAsia="zh-CN"/>
                    </w:rPr>
                    <w:t>pH、</w:t>
                  </w:r>
                  <w:r>
                    <w:rPr>
                      <w:rFonts w:hint="eastAsia"/>
                      <w:color w:val="auto"/>
                      <w:sz w:val="21"/>
                      <w:szCs w:val="21"/>
                    </w:rPr>
                    <w:t>TDS、COD</w:t>
                  </w:r>
                  <w:r>
                    <w:rPr>
                      <w:rFonts w:hint="eastAsia"/>
                      <w:color w:val="auto"/>
                      <w:sz w:val="21"/>
                      <w:szCs w:val="21"/>
                      <w:vertAlign w:val="subscript"/>
                    </w:rPr>
                    <w:t>Cr</w:t>
                  </w:r>
                  <w:r>
                    <w:rPr>
                      <w:rFonts w:hint="eastAsia"/>
                      <w:color w:val="auto"/>
                      <w:sz w:val="21"/>
                      <w:szCs w:val="21"/>
                    </w:rPr>
                    <w:t>、BOD</w:t>
                  </w:r>
                  <w:r>
                    <w:rPr>
                      <w:rFonts w:hint="eastAsia"/>
                      <w:color w:val="auto"/>
                      <w:sz w:val="21"/>
                      <w:szCs w:val="21"/>
                      <w:vertAlign w:val="subscript"/>
                    </w:rPr>
                    <w:t>5</w:t>
                  </w:r>
                  <w:r>
                    <w:rPr>
                      <w:rFonts w:hint="eastAsia"/>
                      <w:color w:val="auto"/>
                      <w:sz w:val="21"/>
                      <w:szCs w:val="21"/>
                    </w:rPr>
                    <w:t>、氨氮、SS、</w:t>
                  </w:r>
                  <w:r>
                    <w:rPr>
                      <w:rFonts w:hint="eastAsia"/>
                      <w:color w:val="auto"/>
                      <w:sz w:val="21"/>
                      <w:szCs w:val="21"/>
                      <w:lang w:val="en-US" w:eastAsia="zh-CN"/>
                    </w:rPr>
                    <w:t>TN、TP</w:t>
                  </w:r>
                </w:p>
              </w:tc>
              <w:tc>
                <w:tcPr>
                  <w:tcW w:w="2336" w:type="dxa"/>
                  <w:tcBorders>
                    <w:tl2br w:val="nil"/>
                    <w:tr2bl w:val="nil"/>
                  </w:tcBorders>
                  <w:shd w:val="clear" w:color="auto" w:fill="auto"/>
                  <w:vAlign w:val="center"/>
                </w:tcPr>
                <w:p w14:paraId="7A93024B">
                  <w:pPr>
                    <w:pStyle w:val="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color w:val="auto"/>
                      <w:sz w:val="21"/>
                      <w:szCs w:val="21"/>
                    </w:rPr>
                    <w:t>1次/</w:t>
                  </w:r>
                  <w:r>
                    <w:rPr>
                      <w:rFonts w:hint="eastAsia"/>
                      <w:color w:val="auto"/>
                      <w:sz w:val="21"/>
                      <w:szCs w:val="21"/>
                      <w:lang w:eastAsia="zh-CN"/>
                    </w:rPr>
                    <w:t>年</w:t>
                  </w:r>
                </w:p>
              </w:tc>
            </w:tr>
            <w:tr w14:paraId="4D0178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9" w:type="dxa"/>
                  <w:vMerge w:val="restart"/>
                  <w:tcBorders>
                    <w:tl2br w:val="nil"/>
                    <w:tr2bl w:val="nil"/>
                  </w:tcBorders>
                  <w:vAlign w:val="center"/>
                </w:tcPr>
                <w:p w14:paraId="186E63B3">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pacing w:val="-5"/>
                      <w:sz w:val="21"/>
                      <w:szCs w:val="21"/>
                      <w:highlight w:val="none"/>
                      <w:lang w:val="en-US" w:eastAsia="zh-CN"/>
                    </w:rPr>
                  </w:pPr>
                  <w:r>
                    <w:rPr>
                      <w:rFonts w:hint="default" w:ascii="Times New Roman" w:hAnsi="Times New Roman" w:cs="Times New Roman"/>
                      <w:b/>
                      <w:bCs/>
                      <w:color w:val="auto"/>
                      <w:spacing w:val="-5"/>
                      <w:sz w:val="21"/>
                      <w:szCs w:val="21"/>
                      <w:highlight w:val="none"/>
                      <w:lang w:val="en-US" w:eastAsia="zh-CN"/>
                    </w:rPr>
                    <w:t>施工期</w:t>
                  </w:r>
                </w:p>
              </w:tc>
              <w:tc>
                <w:tcPr>
                  <w:tcW w:w="905" w:type="dxa"/>
                  <w:tcBorders>
                    <w:tl2br w:val="nil"/>
                    <w:tr2bl w:val="nil"/>
                  </w:tcBorders>
                  <w:shd w:val="clear" w:color="auto" w:fill="auto"/>
                  <w:vAlign w:val="center"/>
                </w:tcPr>
                <w:p w14:paraId="356C1543">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pacing w:val="-3"/>
                      <w:sz w:val="21"/>
                      <w:szCs w:val="21"/>
                      <w:highlight w:val="none"/>
                      <w:lang w:val="en-US" w:eastAsia="en-US"/>
                    </w:rPr>
                  </w:pPr>
                  <w:r>
                    <w:rPr>
                      <w:rFonts w:hint="default" w:ascii="Times New Roman" w:hAnsi="Times New Roman" w:eastAsia="宋体" w:cs="Times New Roman"/>
                      <w:b/>
                      <w:bCs/>
                      <w:color w:val="auto"/>
                      <w:spacing w:val="-3"/>
                      <w:sz w:val="21"/>
                      <w:szCs w:val="21"/>
                      <w:highlight w:val="none"/>
                      <w:lang w:val="en-US" w:eastAsia="zh-CN"/>
                    </w:rPr>
                    <w:t>声环境</w:t>
                  </w:r>
                </w:p>
              </w:tc>
              <w:tc>
                <w:tcPr>
                  <w:tcW w:w="1325" w:type="dxa"/>
                  <w:vMerge w:val="restart"/>
                  <w:tcBorders>
                    <w:tl2br w:val="nil"/>
                    <w:tr2bl w:val="nil"/>
                  </w:tcBorders>
                  <w:shd w:val="clear" w:color="auto" w:fill="auto"/>
                  <w:vAlign w:val="center"/>
                </w:tcPr>
                <w:p w14:paraId="069AA447">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施工营地</w:t>
                  </w:r>
                </w:p>
              </w:tc>
              <w:tc>
                <w:tcPr>
                  <w:tcW w:w="3191" w:type="dxa"/>
                  <w:tcBorders>
                    <w:tl2br w:val="nil"/>
                    <w:tr2bl w:val="nil"/>
                  </w:tcBorders>
                  <w:shd w:val="clear" w:color="auto" w:fill="auto"/>
                  <w:vAlign w:val="center"/>
                </w:tcPr>
                <w:p w14:paraId="2BD8883C">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rPr>
                    <w:t>施工噪声，等效连续A声级</w:t>
                  </w:r>
                </w:p>
              </w:tc>
              <w:tc>
                <w:tcPr>
                  <w:tcW w:w="2336" w:type="dxa"/>
                  <w:tcBorders>
                    <w:tl2br w:val="nil"/>
                    <w:tr2bl w:val="nil"/>
                  </w:tcBorders>
                  <w:shd w:val="clear" w:color="auto" w:fill="auto"/>
                  <w:vAlign w:val="center"/>
                </w:tcPr>
                <w:p w14:paraId="13A3E984">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rPr>
                    <w:t>施工期监测1期，每期监测2天，每天取样1次</w:t>
                  </w:r>
                </w:p>
              </w:tc>
            </w:tr>
            <w:tr w14:paraId="3E51F2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9" w:type="dxa"/>
                  <w:vMerge w:val="continue"/>
                </w:tcPr>
                <w:p w14:paraId="2FB8CF51">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pacing w:val="-5"/>
                      <w:sz w:val="21"/>
                      <w:szCs w:val="21"/>
                      <w:highlight w:val="none"/>
                      <w:lang w:val="en-US" w:eastAsia="zh-CN"/>
                    </w:rPr>
                  </w:pPr>
                </w:p>
              </w:tc>
              <w:tc>
                <w:tcPr>
                  <w:tcW w:w="905" w:type="dxa"/>
                  <w:shd w:val="clear" w:color="auto" w:fill="auto"/>
                  <w:vAlign w:val="center"/>
                </w:tcPr>
                <w:p w14:paraId="7FB1035C">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pacing w:val="-3"/>
                      <w:sz w:val="21"/>
                      <w:szCs w:val="21"/>
                      <w:highlight w:val="none"/>
                      <w:lang w:val="en-US" w:eastAsia="en-US"/>
                    </w:rPr>
                  </w:pPr>
                  <w:r>
                    <w:rPr>
                      <w:rFonts w:hint="default" w:ascii="Times New Roman" w:hAnsi="Times New Roman" w:eastAsia="宋体" w:cs="Times New Roman"/>
                      <w:b/>
                      <w:bCs/>
                      <w:color w:val="auto"/>
                      <w:spacing w:val="-3"/>
                      <w:sz w:val="21"/>
                      <w:szCs w:val="21"/>
                      <w:highlight w:val="none"/>
                      <w:lang w:val="en-US" w:eastAsia="zh-CN"/>
                    </w:rPr>
                    <w:t>大气环境</w:t>
                  </w:r>
                </w:p>
              </w:tc>
              <w:tc>
                <w:tcPr>
                  <w:tcW w:w="1325" w:type="dxa"/>
                  <w:vMerge w:val="continue"/>
                  <w:shd w:val="clear" w:color="auto" w:fill="auto"/>
                  <w:vAlign w:val="center"/>
                </w:tcPr>
                <w:p w14:paraId="617C1F9F">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3"/>
                      <w:sz w:val="21"/>
                      <w:szCs w:val="21"/>
                      <w:highlight w:val="none"/>
                      <w:lang w:val="en-US" w:eastAsia="zh-CN"/>
                    </w:rPr>
                  </w:pPr>
                </w:p>
              </w:tc>
              <w:tc>
                <w:tcPr>
                  <w:tcW w:w="3191" w:type="dxa"/>
                  <w:shd w:val="clear" w:color="auto" w:fill="auto"/>
                  <w:vAlign w:val="center"/>
                </w:tcPr>
                <w:p w14:paraId="0BEB0FD7">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rPr>
                    <w:t>颗粒物</w:t>
                  </w:r>
                </w:p>
              </w:tc>
              <w:tc>
                <w:tcPr>
                  <w:tcW w:w="2336" w:type="dxa"/>
                  <w:shd w:val="clear" w:color="auto" w:fill="auto"/>
                  <w:vAlign w:val="center"/>
                </w:tcPr>
                <w:p w14:paraId="298C4E5F">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rPr>
                    <w:t>施工期监测1期，每期监测 2天，每天取样1次</w:t>
                  </w:r>
                </w:p>
              </w:tc>
            </w:tr>
          </w:tbl>
          <w:p w14:paraId="348FD9AD">
            <w:pPr>
              <w:pStyle w:val="89"/>
              <w:keepNext w:val="0"/>
              <w:keepLines w:val="0"/>
              <w:pageBreakBefore w:val="0"/>
              <w:widowControl w:val="0"/>
              <w:kinsoku/>
              <w:wordWrap/>
              <w:overflowPunct/>
              <w:topLinePunct w:val="0"/>
              <w:autoSpaceDE/>
              <w:autoSpaceDN/>
              <w:bidi w:val="0"/>
              <w:adjustRightInd/>
              <w:snapToGrid/>
              <w:spacing w:line="360" w:lineRule="auto"/>
              <w:ind w:left="0" w:right="0" w:firstLine="320" w:firstLineChars="200"/>
              <w:textAlignment w:val="auto"/>
              <w:rPr>
                <w:rFonts w:hint="default" w:ascii="Times New Roman" w:hAnsi="Times New Roman" w:eastAsia="仿宋_GB2312" w:cs="Times New Roman"/>
                <w:color w:val="auto"/>
                <w:highlight w:val="none"/>
              </w:rPr>
            </w:pPr>
          </w:p>
        </w:tc>
      </w:tr>
      <w:tr w14:paraId="4E29918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661" w:hRule="atLeast"/>
          <w:jc w:val="center"/>
        </w:trPr>
        <w:tc>
          <w:tcPr>
            <w:tcW w:w="511" w:type="dxa"/>
            <w:tcBorders>
              <w:tl2br w:val="nil"/>
              <w:tr2bl w:val="nil"/>
            </w:tcBorders>
            <w:tcMar>
              <w:left w:w="28" w:type="dxa"/>
              <w:right w:w="28" w:type="dxa"/>
            </w:tcMar>
            <w:vAlign w:val="center"/>
          </w:tcPr>
          <w:p w14:paraId="2EC55E9A">
            <w:pPr>
              <w:adjustRightInd w:val="0"/>
              <w:snapToGrid w:val="0"/>
              <w:jc w:val="center"/>
              <w:rPr>
                <w:rFonts w:hint="default" w:ascii="Times New Roman" w:hAnsi="Times New Roman" w:eastAsia="仿宋_GB2312" w:cs="Times New Roman"/>
                <w:b/>
                <w:bCs/>
                <w:color w:val="auto"/>
                <w:sz w:val="24"/>
                <w:highlight w:val="none"/>
                <w:lang w:eastAsia="zh-CN"/>
              </w:rPr>
            </w:pPr>
          </w:p>
          <w:p w14:paraId="0E3D886D">
            <w:pPr>
              <w:pStyle w:val="9"/>
              <w:jc w:val="center"/>
              <w:rPr>
                <w:rFonts w:hint="default" w:ascii="Times New Roman" w:hAnsi="Times New Roman" w:eastAsia="仿宋_GB2312" w:cs="Times New Roman"/>
                <w:b/>
                <w:bCs/>
                <w:color w:val="auto"/>
                <w:sz w:val="24"/>
                <w:highlight w:val="none"/>
                <w:lang w:eastAsia="zh-CN"/>
              </w:rPr>
            </w:pPr>
          </w:p>
          <w:p w14:paraId="643D206C">
            <w:pPr>
              <w:jc w:val="center"/>
              <w:rPr>
                <w:rFonts w:hint="default" w:ascii="Times New Roman" w:hAnsi="Times New Roman" w:eastAsia="仿宋_GB2312" w:cs="Times New Roman"/>
                <w:b/>
                <w:bCs/>
                <w:color w:val="auto"/>
                <w:sz w:val="24"/>
                <w:highlight w:val="none"/>
                <w:lang w:eastAsia="zh-CN"/>
              </w:rPr>
            </w:pPr>
          </w:p>
          <w:p w14:paraId="5E682EAF">
            <w:pPr>
              <w:pStyle w:val="9"/>
              <w:jc w:val="center"/>
              <w:rPr>
                <w:rFonts w:hint="default" w:ascii="Times New Roman" w:hAnsi="Times New Roman" w:eastAsia="仿宋_GB2312" w:cs="Times New Roman"/>
                <w:b/>
                <w:bCs/>
                <w:color w:val="auto"/>
                <w:sz w:val="24"/>
                <w:highlight w:val="none"/>
                <w:lang w:eastAsia="zh-CN"/>
              </w:rPr>
            </w:pPr>
          </w:p>
          <w:p w14:paraId="694AF763">
            <w:pPr>
              <w:jc w:val="center"/>
              <w:rPr>
                <w:rFonts w:hint="default" w:ascii="Times New Roman" w:hAnsi="Times New Roman" w:eastAsia="仿宋_GB2312" w:cs="Times New Roman"/>
                <w:b/>
                <w:bCs/>
                <w:color w:val="auto"/>
                <w:sz w:val="24"/>
                <w:highlight w:val="none"/>
                <w:lang w:eastAsia="zh-CN"/>
              </w:rPr>
            </w:pPr>
          </w:p>
          <w:p w14:paraId="3529EA70">
            <w:pPr>
              <w:pStyle w:val="9"/>
              <w:jc w:val="center"/>
              <w:rPr>
                <w:rFonts w:hint="default" w:ascii="Times New Roman" w:hAnsi="Times New Roman" w:eastAsia="仿宋_GB2312" w:cs="Times New Roman"/>
                <w:b/>
                <w:bCs/>
                <w:color w:val="auto"/>
                <w:sz w:val="24"/>
                <w:highlight w:val="none"/>
                <w:lang w:eastAsia="zh-CN"/>
              </w:rPr>
            </w:pPr>
          </w:p>
          <w:p w14:paraId="03C2065B">
            <w:pPr>
              <w:jc w:val="center"/>
              <w:rPr>
                <w:rFonts w:hint="default"/>
                <w:color w:val="auto"/>
                <w:highlight w:val="none"/>
                <w:lang w:eastAsia="zh-CN"/>
              </w:rPr>
            </w:pPr>
          </w:p>
          <w:p w14:paraId="5C1E1758">
            <w:pPr>
              <w:adjustRightInd w:val="0"/>
              <w:snapToGrid w:val="0"/>
              <w:jc w:val="center"/>
              <w:rPr>
                <w:rFonts w:hint="default" w:ascii="Times New Roman" w:hAnsi="Times New Roman" w:eastAsia="仿宋_GB2312" w:cs="Times New Roman"/>
                <w:b/>
                <w:bCs/>
                <w:color w:val="auto"/>
                <w:sz w:val="24"/>
                <w:highlight w:val="none"/>
                <w:lang w:eastAsia="zh-CN"/>
              </w:rPr>
            </w:pPr>
            <w:r>
              <w:rPr>
                <w:rFonts w:hint="default" w:ascii="Times New Roman" w:hAnsi="Times New Roman" w:eastAsia="仿宋_GB2312" w:cs="Times New Roman"/>
                <w:b/>
                <w:bCs/>
                <w:color w:val="auto"/>
                <w:sz w:val="24"/>
                <w:highlight w:val="none"/>
                <w:lang w:eastAsia="zh-CN"/>
              </w:rPr>
              <w:t>环保投资</w:t>
            </w:r>
          </w:p>
          <w:p w14:paraId="7287F434">
            <w:pPr>
              <w:adjustRightInd w:val="0"/>
              <w:snapToGrid w:val="0"/>
              <w:jc w:val="center"/>
              <w:rPr>
                <w:rFonts w:hint="default" w:ascii="Times New Roman" w:hAnsi="Times New Roman" w:eastAsia="仿宋_GB2312" w:cs="Times New Roman"/>
                <w:b/>
                <w:bCs/>
                <w:color w:val="auto"/>
                <w:sz w:val="24"/>
                <w:highlight w:val="none"/>
                <w:lang w:eastAsia="zh-CN"/>
              </w:rPr>
            </w:pPr>
          </w:p>
          <w:p w14:paraId="20E62431">
            <w:pPr>
              <w:pStyle w:val="42"/>
              <w:rPr>
                <w:rFonts w:hint="default" w:ascii="Times New Roman" w:hAnsi="Times New Roman" w:eastAsia="仿宋_GB2312" w:cs="Times New Roman"/>
                <w:b/>
                <w:bCs/>
                <w:color w:val="auto"/>
                <w:sz w:val="24"/>
                <w:highlight w:val="none"/>
                <w:lang w:eastAsia="zh-CN"/>
              </w:rPr>
            </w:pPr>
          </w:p>
          <w:p w14:paraId="70C181A0">
            <w:pPr>
              <w:rPr>
                <w:rFonts w:hint="default" w:ascii="Times New Roman" w:hAnsi="Times New Roman" w:eastAsia="仿宋_GB2312" w:cs="Times New Roman"/>
                <w:b/>
                <w:bCs/>
                <w:color w:val="auto"/>
                <w:sz w:val="24"/>
                <w:highlight w:val="none"/>
                <w:lang w:eastAsia="zh-CN"/>
              </w:rPr>
            </w:pPr>
          </w:p>
          <w:p w14:paraId="75D84080">
            <w:pPr>
              <w:pStyle w:val="42"/>
              <w:rPr>
                <w:rFonts w:hint="default" w:ascii="Times New Roman" w:hAnsi="Times New Roman" w:eastAsia="仿宋_GB2312" w:cs="Times New Roman"/>
                <w:b/>
                <w:bCs/>
                <w:color w:val="auto"/>
                <w:sz w:val="24"/>
                <w:highlight w:val="none"/>
                <w:lang w:eastAsia="zh-CN"/>
              </w:rPr>
            </w:pPr>
          </w:p>
          <w:p w14:paraId="59C94B26">
            <w:pPr>
              <w:rPr>
                <w:rFonts w:hint="default" w:ascii="Times New Roman" w:hAnsi="Times New Roman" w:eastAsia="仿宋_GB2312" w:cs="Times New Roman"/>
                <w:b/>
                <w:bCs/>
                <w:color w:val="auto"/>
                <w:sz w:val="24"/>
                <w:highlight w:val="none"/>
                <w:lang w:eastAsia="zh-CN"/>
              </w:rPr>
            </w:pPr>
          </w:p>
          <w:p w14:paraId="0FA2BB9E">
            <w:pPr>
              <w:pStyle w:val="42"/>
              <w:rPr>
                <w:rFonts w:hint="default" w:ascii="Times New Roman" w:hAnsi="Times New Roman" w:eastAsia="仿宋_GB2312" w:cs="Times New Roman"/>
                <w:b/>
                <w:bCs/>
                <w:color w:val="auto"/>
                <w:sz w:val="24"/>
                <w:highlight w:val="none"/>
                <w:lang w:eastAsia="zh-CN"/>
              </w:rPr>
            </w:pPr>
          </w:p>
          <w:p w14:paraId="1C535DB7">
            <w:pPr>
              <w:rPr>
                <w:rFonts w:hint="default" w:ascii="Times New Roman" w:hAnsi="Times New Roman" w:eastAsia="仿宋_GB2312" w:cs="Times New Roman"/>
                <w:b/>
                <w:bCs/>
                <w:color w:val="auto"/>
                <w:sz w:val="24"/>
                <w:highlight w:val="none"/>
                <w:lang w:eastAsia="zh-CN"/>
              </w:rPr>
            </w:pPr>
          </w:p>
          <w:p w14:paraId="6F862EA3">
            <w:pPr>
              <w:pStyle w:val="42"/>
              <w:rPr>
                <w:rFonts w:hint="default" w:ascii="Times New Roman" w:hAnsi="Times New Roman" w:eastAsia="仿宋_GB2312" w:cs="Times New Roman"/>
                <w:b/>
                <w:bCs/>
                <w:color w:val="auto"/>
                <w:sz w:val="24"/>
                <w:highlight w:val="none"/>
                <w:lang w:eastAsia="zh-CN"/>
              </w:rPr>
            </w:pPr>
          </w:p>
          <w:p w14:paraId="515CBE35">
            <w:pPr>
              <w:rPr>
                <w:rFonts w:hint="default" w:ascii="Times New Roman" w:hAnsi="Times New Roman" w:eastAsia="仿宋_GB2312" w:cs="Times New Roman"/>
                <w:b/>
                <w:bCs/>
                <w:color w:val="auto"/>
                <w:sz w:val="24"/>
                <w:highlight w:val="none"/>
                <w:lang w:eastAsia="zh-CN"/>
              </w:rPr>
            </w:pPr>
          </w:p>
          <w:p w14:paraId="6E69A96B">
            <w:pPr>
              <w:pStyle w:val="42"/>
              <w:rPr>
                <w:rFonts w:hint="default" w:ascii="Times New Roman" w:hAnsi="Times New Roman" w:eastAsia="仿宋_GB2312" w:cs="Times New Roman"/>
                <w:b/>
                <w:bCs/>
                <w:color w:val="auto"/>
                <w:sz w:val="24"/>
                <w:highlight w:val="none"/>
                <w:lang w:eastAsia="zh-CN"/>
              </w:rPr>
            </w:pPr>
          </w:p>
          <w:p w14:paraId="1960E93D">
            <w:pPr>
              <w:rPr>
                <w:rFonts w:hint="default" w:ascii="Times New Roman" w:hAnsi="Times New Roman" w:eastAsia="仿宋_GB2312" w:cs="Times New Roman"/>
                <w:b/>
                <w:bCs/>
                <w:color w:val="auto"/>
                <w:sz w:val="24"/>
                <w:highlight w:val="none"/>
                <w:lang w:eastAsia="zh-CN"/>
              </w:rPr>
            </w:pPr>
          </w:p>
          <w:p w14:paraId="345618E4">
            <w:pPr>
              <w:pStyle w:val="42"/>
              <w:rPr>
                <w:rFonts w:hint="default" w:ascii="Times New Roman" w:hAnsi="Times New Roman" w:eastAsia="仿宋_GB2312" w:cs="Times New Roman"/>
                <w:b/>
                <w:bCs/>
                <w:color w:val="auto"/>
                <w:sz w:val="24"/>
                <w:highlight w:val="none"/>
                <w:lang w:eastAsia="zh-CN"/>
              </w:rPr>
            </w:pPr>
          </w:p>
          <w:p w14:paraId="33E1196F">
            <w:pPr>
              <w:rPr>
                <w:rFonts w:hint="default"/>
                <w:color w:val="auto"/>
                <w:highlight w:val="none"/>
                <w:lang w:eastAsia="zh-CN"/>
              </w:rPr>
            </w:pPr>
          </w:p>
          <w:p w14:paraId="32613940">
            <w:pPr>
              <w:pStyle w:val="7"/>
              <w:jc w:val="center"/>
              <w:rPr>
                <w:rFonts w:hint="default" w:ascii="Times New Roman" w:hAnsi="Times New Roman" w:eastAsia="仿宋_GB2312" w:cs="Times New Roman"/>
                <w:b/>
                <w:bCs/>
                <w:color w:val="auto"/>
                <w:sz w:val="24"/>
                <w:highlight w:val="none"/>
                <w:lang w:eastAsia="zh-CN"/>
              </w:rPr>
            </w:pPr>
          </w:p>
          <w:p w14:paraId="7F613221">
            <w:pPr>
              <w:jc w:val="center"/>
              <w:rPr>
                <w:rFonts w:hint="default" w:ascii="Times New Roman" w:hAnsi="Times New Roman" w:eastAsia="仿宋_GB2312" w:cs="Times New Roman"/>
                <w:b/>
                <w:bCs/>
                <w:color w:val="auto"/>
                <w:sz w:val="24"/>
                <w:highlight w:val="none"/>
                <w:lang w:eastAsia="zh-CN"/>
              </w:rPr>
            </w:pPr>
          </w:p>
          <w:p w14:paraId="312230B7">
            <w:pPr>
              <w:pStyle w:val="7"/>
              <w:jc w:val="center"/>
              <w:rPr>
                <w:rFonts w:hint="default" w:ascii="Times New Roman" w:hAnsi="Times New Roman" w:eastAsia="仿宋_GB2312" w:cs="Times New Roman"/>
                <w:b/>
                <w:bCs/>
                <w:color w:val="auto"/>
                <w:sz w:val="24"/>
                <w:highlight w:val="none"/>
                <w:lang w:eastAsia="zh-CN"/>
              </w:rPr>
            </w:pPr>
          </w:p>
          <w:p w14:paraId="50A345D1">
            <w:pPr>
              <w:jc w:val="center"/>
              <w:rPr>
                <w:rFonts w:hint="default" w:ascii="Times New Roman" w:hAnsi="Times New Roman" w:eastAsia="仿宋_GB2312" w:cs="Times New Roman"/>
                <w:b/>
                <w:bCs/>
                <w:color w:val="auto"/>
                <w:sz w:val="24"/>
                <w:highlight w:val="none"/>
                <w:lang w:eastAsia="zh-CN"/>
              </w:rPr>
            </w:pPr>
          </w:p>
          <w:p w14:paraId="0D25D11E">
            <w:pPr>
              <w:pStyle w:val="7"/>
              <w:jc w:val="center"/>
              <w:rPr>
                <w:rFonts w:hint="default" w:ascii="Times New Roman" w:hAnsi="Times New Roman" w:eastAsia="仿宋_GB2312" w:cs="Times New Roman"/>
                <w:b/>
                <w:bCs/>
                <w:color w:val="auto"/>
                <w:sz w:val="24"/>
                <w:highlight w:val="none"/>
                <w:lang w:eastAsia="zh-CN"/>
              </w:rPr>
            </w:pPr>
          </w:p>
          <w:p w14:paraId="09BEE36B">
            <w:pPr>
              <w:jc w:val="center"/>
              <w:rPr>
                <w:rFonts w:hint="default" w:ascii="Times New Roman" w:hAnsi="Times New Roman" w:eastAsia="仿宋_GB2312" w:cs="Times New Roman"/>
                <w:b/>
                <w:bCs/>
                <w:color w:val="auto"/>
                <w:sz w:val="24"/>
                <w:highlight w:val="none"/>
                <w:lang w:eastAsia="zh-CN"/>
              </w:rPr>
            </w:pPr>
          </w:p>
          <w:p w14:paraId="08A43975">
            <w:pPr>
              <w:pStyle w:val="7"/>
              <w:jc w:val="center"/>
              <w:rPr>
                <w:rFonts w:hint="default" w:ascii="Times New Roman" w:hAnsi="Times New Roman" w:eastAsia="仿宋_GB2312" w:cs="Times New Roman"/>
                <w:b/>
                <w:bCs/>
                <w:color w:val="auto"/>
                <w:sz w:val="24"/>
                <w:highlight w:val="none"/>
                <w:lang w:eastAsia="zh-CN"/>
              </w:rPr>
            </w:pPr>
          </w:p>
          <w:p w14:paraId="75A87948">
            <w:pPr>
              <w:jc w:val="center"/>
              <w:rPr>
                <w:rFonts w:hint="default" w:ascii="Times New Roman" w:hAnsi="Times New Roman" w:eastAsia="仿宋_GB2312" w:cs="Times New Roman"/>
                <w:b/>
                <w:bCs/>
                <w:color w:val="auto"/>
                <w:sz w:val="24"/>
                <w:highlight w:val="none"/>
                <w:lang w:eastAsia="zh-CN"/>
              </w:rPr>
            </w:pPr>
          </w:p>
          <w:p w14:paraId="4B5A8B94">
            <w:pPr>
              <w:rPr>
                <w:rFonts w:hint="default" w:ascii="Times New Roman" w:hAnsi="Times New Roman" w:eastAsia="仿宋_GB2312" w:cs="Times New Roman"/>
                <w:color w:val="auto"/>
                <w:highlight w:val="none"/>
                <w:lang w:eastAsia="zh-CN"/>
              </w:rPr>
            </w:pPr>
          </w:p>
        </w:tc>
        <w:tc>
          <w:tcPr>
            <w:tcW w:w="8690" w:type="dxa"/>
            <w:tcBorders>
              <w:tl2br w:val="nil"/>
              <w:tr2bl w:val="nil"/>
            </w:tcBorders>
          </w:tcPr>
          <w:p w14:paraId="15D412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
                <w:bCs w:val="0"/>
                <w:color w:val="auto"/>
                <w:kern w:val="44"/>
                <w:sz w:val="24"/>
                <w:szCs w:val="24"/>
                <w:highlight w:val="none"/>
                <w:lang w:val="en-US" w:eastAsia="zh-CN" w:bidi="ar-SA"/>
              </w:rPr>
            </w:pPr>
            <w:r>
              <w:rPr>
                <w:rFonts w:hint="default" w:ascii="Times New Roman" w:hAnsi="Times New Roman" w:eastAsia="仿宋_GB2312" w:cs="Times New Roman"/>
                <w:color w:val="auto"/>
                <w:sz w:val="24"/>
                <w:szCs w:val="24"/>
                <w:highlight w:val="none"/>
                <w:lang w:val="en-US" w:eastAsia="zh-CN"/>
              </w:rPr>
              <w:t>本工程总投资3338.45万元，其中环保投资</w:t>
            </w:r>
            <w:r>
              <w:rPr>
                <w:rFonts w:hint="eastAsia" w:eastAsia="仿宋_GB2312" w:cs="Times New Roman"/>
                <w:color w:val="auto"/>
                <w:sz w:val="24"/>
                <w:szCs w:val="24"/>
                <w:highlight w:val="none"/>
                <w:lang w:val="en-US" w:eastAsia="zh-CN"/>
              </w:rPr>
              <w:t>244.35</w:t>
            </w:r>
            <w:r>
              <w:rPr>
                <w:rFonts w:hint="default" w:ascii="Times New Roman" w:hAnsi="Times New Roman" w:eastAsia="仿宋_GB2312" w:cs="Times New Roman"/>
                <w:color w:val="auto"/>
                <w:sz w:val="24"/>
                <w:szCs w:val="24"/>
                <w:highlight w:val="none"/>
                <w:lang w:val="en-US" w:eastAsia="zh-CN"/>
              </w:rPr>
              <w:t>万元，占总投资的</w:t>
            </w:r>
            <w:r>
              <w:rPr>
                <w:rFonts w:hint="eastAsia" w:eastAsia="仿宋_GB2312" w:cs="Times New Roman"/>
                <w:color w:val="auto"/>
                <w:sz w:val="24"/>
                <w:szCs w:val="24"/>
                <w:highlight w:val="none"/>
                <w:lang w:val="en-US" w:eastAsia="zh-CN"/>
              </w:rPr>
              <w:t>7.32</w:t>
            </w:r>
            <w:r>
              <w:rPr>
                <w:rFonts w:hint="default" w:ascii="Times New Roman" w:hAnsi="Times New Roman" w:eastAsia="仿宋_GB2312" w:cs="Times New Roman"/>
                <w:color w:val="auto"/>
                <w:sz w:val="24"/>
                <w:szCs w:val="24"/>
                <w:highlight w:val="none"/>
                <w:lang w:val="en-US" w:eastAsia="zh-CN"/>
              </w:rPr>
              <w:t>%，环保投资具体见下表。</w:t>
            </w:r>
          </w:p>
          <w:p w14:paraId="1CE19711">
            <w:pPr>
              <w:pStyle w:val="71"/>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default" w:ascii="Times New Roman" w:hAnsi="Times New Roman" w:eastAsia="宋体" w:cs="Times New Roman"/>
                <w:b/>
                <w:bCs w:val="0"/>
                <w:color w:val="auto"/>
                <w:kern w:val="44"/>
                <w:sz w:val="24"/>
                <w:szCs w:val="24"/>
                <w:highlight w:val="none"/>
                <w:lang w:val="en-US" w:eastAsia="zh-CN" w:bidi="ar-SA"/>
              </w:rPr>
            </w:pPr>
            <w:r>
              <w:rPr>
                <w:rFonts w:hint="default" w:ascii="Times New Roman" w:hAnsi="Times New Roman" w:eastAsia="宋体" w:cs="Times New Roman"/>
                <w:b w:val="0"/>
                <w:bCs/>
                <w:color w:val="auto"/>
                <w:kern w:val="44"/>
                <w:sz w:val="21"/>
                <w:szCs w:val="21"/>
                <w:highlight w:val="none"/>
                <w:lang w:val="en-US" w:eastAsia="zh-CN" w:bidi="ar-SA"/>
              </w:rPr>
              <w:t>表</w:t>
            </w:r>
            <w:r>
              <w:rPr>
                <w:rFonts w:hint="eastAsia" w:cs="Times New Roman"/>
                <w:b w:val="0"/>
                <w:bCs/>
                <w:color w:val="auto"/>
                <w:kern w:val="44"/>
                <w:sz w:val="21"/>
                <w:szCs w:val="21"/>
                <w:highlight w:val="none"/>
                <w:lang w:val="en-US" w:eastAsia="zh-CN" w:bidi="ar-SA"/>
              </w:rPr>
              <w:t>50</w:t>
            </w:r>
            <w:r>
              <w:rPr>
                <w:rFonts w:hint="default" w:ascii="Times New Roman" w:hAnsi="Times New Roman" w:eastAsia="宋体" w:cs="Times New Roman"/>
                <w:b w:val="0"/>
                <w:bCs/>
                <w:color w:val="auto"/>
                <w:kern w:val="44"/>
                <w:sz w:val="21"/>
                <w:szCs w:val="21"/>
                <w:highlight w:val="none"/>
                <w:lang w:val="en-US" w:eastAsia="zh-CN" w:bidi="ar-SA"/>
              </w:rPr>
              <w:t xml:space="preserve">  </w:t>
            </w:r>
            <w:r>
              <w:rPr>
                <w:rFonts w:hint="eastAsia" w:ascii="Times New Roman" w:hAnsi="Times New Roman" w:eastAsia="宋体" w:cs="Times New Roman"/>
                <w:b w:val="0"/>
                <w:bCs/>
                <w:color w:val="auto"/>
                <w:kern w:val="44"/>
                <w:sz w:val="21"/>
                <w:szCs w:val="21"/>
                <w:highlight w:val="none"/>
                <w:lang w:val="en-US" w:eastAsia="zh-CN" w:bidi="ar-SA"/>
              </w:rPr>
              <w:t xml:space="preserve">             </w:t>
            </w:r>
            <w:r>
              <w:rPr>
                <w:rFonts w:hint="default" w:ascii="Times New Roman" w:hAnsi="Times New Roman" w:eastAsia="宋体" w:cs="Times New Roman"/>
                <w:b/>
                <w:bCs w:val="0"/>
                <w:color w:val="auto"/>
                <w:kern w:val="44"/>
                <w:sz w:val="24"/>
                <w:szCs w:val="24"/>
                <w:highlight w:val="none"/>
                <w:lang w:val="en-US" w:eastAsia="zh-CN" w:bidi="ar-SA"/>
              </w:rPr>
              <w:t>环保投资一览表   单位：万元</w:t>
            </w:r>
          </w:p>
          <w:tbl>
            <w:tblPr>
              <w:tblStyle w:val="7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47"/>
              <w:gridCol w:w="1570"/>
              <w:gridCol w:w="4845"/>
              <w:gridCol w:w="9"/>
              <w:gridCol w:w="1173"/>
            </w:tblGrid>
            <w:tr w14:paraId="21918A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7" w:type="dxa"/>
                  <w:tcBorders>
                    <w:tl2br w:val="nil"/>
                    <w:tr2bl w:val="nil"/>
                  </w:tcBorders>
                  <w:vAlign w:val="center"/>
                </w:tcPr>
                <w:p w14:paraId="460114DF">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阶段</w:t>
                  </w:r>
                </w:p>
              </w:tc>
              <w:tc>
                <w:tcPr>
                  <w:tcW w:w="1570" w:type="dxa"/>
                  <w:tcBorders>
                    <w:tl2br w:val="nil"/>
                    <w:tr2bl w:val="nil"/>
                  </w:tcBorders>
                  <w:vAlign w:val="center"/>
                </w:tcPr>
                <w:p w14:paraId="6384758F">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项目</w:t>
                  </w:r>
                </w:p>
              </w:tc>
              <w:tc>
                <w:tcPr>
                  <w:tcW w:w="4845" w:type="dxa"/>
                  <w:tcBorders>
                    <w:tl2br w:val="nil"/>
                    <w:tr2bl w:val="nil"/>
                  </w:tcBorders>
                  <w:vAlign w:val="center"/>
                </w:tcPr>
                <w:p w14:paraId="0E68C37A">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环保设施</w:t>
                  </w:r>
                </w:p>
              </w:tc>
              <w:tc>
                <w:tcPr>
                  <w:tcW w:w="1182" w:type="dxa"/>
                  <w:gridSpan w:val="2"/>
                  <w:tcBorders>
                    <w:tl2br w:val="nil"/>
                    <w:tr2bl w:val="nil"/>
                  </w:tcBorders>
                  <w:vAlign w:val="center"/>
                </w:tcPr>
                <w:p w14:paraId="1D436C2F">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rPr>
                    <w:t>投资金额</w:t>
                  </w:r>
                  <w:r>
                    <w:rPr>
                      <w:rFonts w:hint="default" w:ascii="Times New Roman" w:hAnsi="Times New Roman" w:eastAsia="宋体" w:cs="Times New Roman"/>
                      <w:b/>
                      <w:bCs/>
                      <w:color w:val="auto"/>
                      <w:spacing w:val="-6"/>
                      <w:sz w:val="21"/>
                      <w:szCs w:val="21"/>
                      <w:highlight w:val="none"/>
                    </w:rPr>
                    <w:t>（万元）</w:t>
                  </w:r>
                </w:p>
              </w:tc>
            </w:tr>
            <w:tr w14:paraId="12B404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7" w:type="dxa"/>
                  <w:vMerge w:val="restart"/>
                  <w:tcBorders>
                    <w:tl2br w:val="nil"/>
                    <w:tr2bl w:val="nil"/>
                  </w:tcBorders>
                  <w:vAlign w:val="center"/>
                </w:tcPr>
                <w:p w14:paraId="12D567A1">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施工期</w:t>
                  </w:r>
                </w:p>
              </w:tc>
              <w:tc>
                <w:tcPr>
                  <w:tcW w:w="1570" w:type="dxa"/>
                  <w:tcBorders>
                    <w:tl2br w:val="nil"/>
                    <w:tr2bl w:val="nil"/>
                  </w:tcBorders>
                  <w:vAlign w:val="center"/>
                </w:tcPr>
                <w:p w14:paraId="0E33FFEE">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废气治理措施</w:t>
                  </w:r>
                </w:p>
              </w:tc>
              <w:tc>
                <w:tcPr>
                  <w:tcW w:w="4845" w:type="dxa"/>
                  <w:tcBorders>
                    <w:tl2br w:val="nil"/>
                    <w:tr2bl w:val="nil"/>
                  </w:tcBorders>
                  <w:vAlign w:val="center"/>
                </w:tcPr>
                <w:p w14:paraId="20B8424A">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jc w:val="both"/>
                    <w:textAlignment w:val="baseline"/>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施工场地设置施工围挡、土方开挖采用湿法作业、定期洒水降尘、运输车辆加盖篷布</w:t>
                  </w:r>
                </w:p>
              </w:tc>
              <w:tc>
                <w:tcPr>
                  <w:tcW w:w="1182" w:type="dxa"/>
                  <w:gridSpan w:val="2"/>
                  <w:tcBorders>
                    <w:tl2br w:val="nil"/>
                    <w:tr2bl w:val="nil"/>
                  </w:tcBorders>
                  <w:vAlign w:val="center"/>
                </w:tcPr>
                <w:p w14:paraId="2CF44F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1"/>
                      <w:sz w:val="21"/>
                      <w:szCs w:val="21"/>
                      <w:highlight w:val="none"/>
                      <w:lang w:val="en-US" w:eastAsia="zh-CN"/>
                    </w:rPr>
                    <w:t>60</w:t>
                  </w:r>
                </w:p>
              </w:tc>
            </w:tr>
            <w:tr w14:paraId="07428C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7" w:type="dxa"/>
                  <w:vMerge w:val="continue"/>
                  <w:tcBorders>
                    <w:tl2br w:val="nil"/>
                    <w:tr2bl w:val="nil"/>
                  </w:tcBorders>
                  <w:vAlign w:val="center"/>
                </w:tcPr>
                <w:p w14:paraId="60874E69">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p>
              </w:tc>
              <w:tc>
                <w:tcPr>
                  <w:tcW w:w="1570" w:type="dxa"/>
                  <w:tcBorders>
                    <w:tl2br w:val="nil"/>
                    <w:tr2bl w:val="nil"/>
                  </w:tcBorders>
                  <w:vAlign w:val="center"/>
                </w:tcPr>
                <w:p w14:paraId="136A7EC1">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废水治理措施</w:t>
                  </w:r>
                </w:p>
              </w:tc>
              <w:tc>
                <w:tcPr>
                  <w:tcW w:w="4845" w:type="dxa"/>
                  <w:tcBorders>
                    <w:tl2br w:val="nil"/>
                    <w:tr2bl w:val="nil"/>
                  </w:tcBorders>
                  <w:vAlign w:val="center"/>
                </w:tcPr>
                <w:p w14:paraId="3F963A07">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jc w:val="both"/>
                    <w:textAlignment w:val="baseline"/>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施工废水（主要为车辆、设备冲洗水）经沉淀后回用不外排；</w:t>
                  </w:r>
                  <w:r>
                    <w:rPr>
                      <w:rFonts w:hint="eastAsia" w:ascii="Times New Roman" w:hAnsi="Times New Roman" w:eastAsia="宋体" w:cs="Times New Roman"/>
                      <w:color w:val="auto"/>
                      <w:spacing w:val="4"/>
                      <w:sz w:val="21"/>
                      <w:szCs w:val="21"/>
                      <w:highlight w:val="none"/>
                      <w:lang w:val="en-US" w:eastAsia="zh-CN"/>
                    </w:rPr>
                    <w:t>生活污水利用周边居民旱厕，定期清掏，用于周边农田施肥。</w:t>
                  </w:r>
                  <w:r>
                    <w:rPr>
                      <w:rFonts w:hint="default" w:ascii="Times New Roman" w:hAnsi="Times New Roman" w:eastAsia="宋体" w:cs="Times New Roman"/>
                      <w:color w:val="auto"/>
                      <w:spacing w:val="4"/>
                      <w:sz w:val="21"/>
                      <w:szCs w:val="21"/>
                      <w:highlight w:val="none"/>
                    </w:rPr>
                    <w:t>少量盥洗废水用于泼洒抑尘。</w:t>
                  </w:r>
                  <w:r>
                    <w:rPr>
                      <w:rFonts w:hint="default" w:ascii="Times New Roman" w:hAnsi="Times New Roman" w:eastAsia="宋体" w:cs="Times New Roman"/>
                      <w:color w:val="auto"/>
                      <w:spacing w:val="4"/>
                      <w:sz w:val="21"/>
                      <w:szCs w:val="21"/>
                      <w:highlight w:val="none"/>
                      <w:lang w:val="en-US" w:eastAsia="zh-CN"/>
                    </w:rPr>
                    <w:t>本工程施工采用商品混凝土，少量现浇混凝土养护产生少量废水。经沉淀池沉淀后回用于混凝土养护用水，确保无废水排放。</w:t>
                  </w:r>
                </w:p>
              </w:tc>
              <w:tc>
                <w:tcPr>
                  <w:tcW w:w="1182" w:type="dxa"/>
                  <w:gridSpan w:val="2"/>
                  <w:tcBorders>
                    <w:tl2br w:val="nil"/>
                    <w:tr2bl w:val="nil"/>
                  </w:tcBorders>
                  <w:vAlign w:val="center"/>
                </w:tcPr>
                <w:p w14:paraId="2990EF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auto"/>
                      <w:sz w:val="21"/>
                      <w:szCs w:val="21"/>
                      <w:highlight w:val="none"/>
                      <w:lang w:eastAsia="zh-CN"/>
                    </w:rPr>
                  </w:pPr>
                  <w:r>
                    <w:rPr>
                      <w:rFonts w:hint="eastAsia" w:cs="Times New Roman"/>
                      <w:color w:val="auto"/>
                      <w:spacing w:val="-1"/>
                      <w:sz w:val="21"/>
                      <w:szCs w:val="21"/>
                      <w:highlight w:val="none"/>
                      <w:lang w:val="en-US" w:eastAsia="zh-CN"/>
                    </w:rPr>
                    <w:t>2</w:t>
                  </w:r>
                </w:p>
              </w:tc>
            </w:tr>
            <w:tr w14:paraId="746182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7" w:type="dxa"/>
                  <w:vMerge w:val="continue"/>
                  <w:tcBorders>
                    <w:tl2br w:val="nil"/>
                    <w:tr2bl w:val="nil"/>
                  </w:tcBorders>
                  <w:vAlign w:val="center"/>
                </w:tcPr>
                <w:p w14:paraId="74E138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p>
              </w:tc>
              <w:tc>
                <w:tcPr>
                  <w:tcW w:w="1570" w:type="dxa"/>
                  <w:tcBorders>
                    <w:tl2br w:val="nil"/>
                    <w:tr2bl w:val="nil"/>
                  </w:tcBorders>
                  <w:vAlign w:val="center"/>
                </w:tcPr>
                <w:p w14:paraId="17F00748">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噪声污染防治措施</w:t>
                  </w:r>
                </w:p>
              </w:tc>
              <w:tc>
                <w:tcPr>
                  <w:tcW w:w="4845" w:type="dxa"/>
                  <w:tcBorders>
                    <w:tl2br w:val="nil"/>
                    <w:tr2bl w:val="nil"/>
                  </w:tcBorders>
                  <w:vAlign w:val="center"/>
                </w:tcPr>
                <w:p w14:paraId="5AA31967">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16" w:firstLineChars="20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对机械、设备加强定期检修、养护；禁止夜间施工，</w:t>
                  </w:r>
                  <w:r>
                    <w:rPr>
                      <w:rFonts w:hint="default" w:ascii="Times New Roman" w:hAnsi="Times New Roman" w:eastAsia="宋体" w:cs="Times New Roman"/>
                      <w:color w:val="auto"/>
                      <w:spacing w:val="1"/>
                      <w:sz w:val="21"/>
                      <w:szCs w:val="21"/>
                      <w:highlight w:val="none"/>
                    </w:rPr>
                    <w:t>避免高噪设备同时施工</w:t>
                  </w:r>
                </w:p>
              </w:tc>
              <w:tc>
                <w:tcPr>
                  <w:tcW w:w="1182" w:type="dxa"/>
                  <w:gridSpan w:val="2"/>
                  <w:tcBorders>
                    <w:tl2br w:val="nil"/>
                    <w:tr2bl w:val="nil"/>
                  </w:tcBorders>
                  <w:vAlign w:val="center"/>
                </w:tcPr>
                <w:p w14:paraId="28367B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1"/>
                      <w:sz w:val="21"/>
                      <w:szCs w:val="21"/>
                      <w:highlight w:val="none"/>
                      <w:lang w:val="en-US" w:eastAsia="zh-CN"/>
                    </w:rPr>
                    <w:t>24</w:t>
                  </w:r>
                </w:p>
              </w:tc>
            </w:tr>
            <w:tr w14:paraId="753AA6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7" w:type="dxa"/>
                  <w:vMerge w:val="continue"/>
                  <w:tcBorders>
                    <w:tl2br w:val="nil"/>
                    <w:tr2bl w:val="nil"/>
                  </w:tcBorders>
                  <w:vAlign w:val="center"/>
                </w:tcPr>
                <w:p w14:paraId="421F27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p>
              </w:tc>
              <w:tc>
                <w:tcPr>
                  <w:tcW w:w="1570" w:type="dxa"/>
                  <w:tcBorders>
                    <w:tl2br w:val="nil"/>
                    <w:tr2bl w:val="nil"/>
                  </w:tcBorders>
                  <w:vAlign w:val="center"/>
                </w:tcPr>
                <w:p w14:paraId="76CE6D79">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固体废物污染</w:t>
                  </w:r>
                  <w:r>
                    <w:rPr>
                      <w:rFonts w:hint="default" w:ascii="Times New Roman" w:hAnsi="Times New Roman" w:eastAsia="宋体" w:cs="Times New Roman"/>
                      <w:color w:val="auto"/>
                      <w:spacing w:val="-1"/>
                      <w:sz w:val="21"/>
                      <w:szCs w:val="21"/>
                      <w:highlight w:val="none"/>
                    </w:rPr>
                    <w:t>防治措施</w:t>
                  </w:r>
                </w:p>
              </w:tc>
              <w:tc>
                <w:tcPr>
                  <w:tcW w:w="4845" w:type="dxa"/>
                  <w:tcBorders>
                    <w:tl2br w:val="nil"/>
                    <w:tr2bl w:val="nil"/>
                  </w:tcBorders>
                  <w:vAlign w:val="center"/>
                </w:tcPr>
                <w:p w14:paraId="1CCF353A">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36" w:firstLineChars="20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废包装材料集中收集后送至指定地点进行处理；施工人员生</w:t>
                  </w:r>
                  <w:r>
                    <w:rPr>
                      <w:rFonts w:hint="default" w:ascii="Times New Roman" w:hAnsi="Times New Roman" w:eastAsia="宋体" w:cs="Times New Roman"/>
                      <w:color w:val="auto"/>
                      <w:spacing w:val="14"/>
                      <w:sz w:val="21"/>
                      <w:szCs w:val="21"/>
                      <w:highlight w:val="none"/>
                    </w:rPr>
                    <w:t>活垃圾集中收集后清运至附近生活垃圾</w:t>
                  </w:r>
                  <w:r>
                    <w:rPr>
                      <w:rFonts w:hint="eastAsia" w:ascii="Times New Roman" w:hAnsi="Times New Roman" w:cs="Times New Roman"/>
                      <w:color w:val="auto"/>
                      <w:spacing w:val="14"/>
                      <w:sz w:val="21"/>
                      <w:szCs w:val="21"/>
                      <w:highlight w:val="none"/>
                      <w:lang w:eastAsia="zh-CN"/>
                    </w:rPr>
                    <w:t>转运站</w:t>
                  </w:r>
                  <w:r>
                    <w:rPr>
                      <w:rFonts w:hint="default" w:ascii="Times New Roman" w:hAnsi="Times New Roman" w:eastAsia="宋体" w:cs="Times New Roman"/>
                      <w:color w:val="auto"/>
                      <w:spacing w:val="1"/>
                      <w:sz w:val="21"/>
                      <w:szCs w:val="21"/>
                      <w:highlight w:val="none"/>
                    </w:rPr>
                    <w:t>处置</w:t>
                  </w:r>
                </w:p>
              </w:tc>
              <w:tc>
                <w:tcPr>
                  <w:tcW w:w="1182" w:type="dxa"/>
                  <w:gridSpan w:val="2"/>
                  <w:tcBorders>
                    <w:tl2br w:val="nil"/>
                    <w:tr2bl w:val="nil"/>
                  </w:tcBorders>
                  <w:vAlign w:val="center"/>
                </w:tcPr>
                <w:p w14:paraId="552B2D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auto"/>
                      <w:sz w:val="21"/>
                      <w:szCs w:val="21"/>
                      <w:highlight w:val="none"/>
                      <w:lang w:eastAsia="zh-CN"/>
                    </w:rPr>
                  </w:pPr>
                  <w:r>
                    <w:rPr>
                      <w:rFonts w:hint="eastAsia" w:cs="Times New Roman"/>
                      <w:color w:val="auto"/>
                      <w:spacing w:val="-2"/>
                      <w:sz w:val="21"/>
                      <w:szCs w:val="21"/>
                      <w:highlight w:val="none"/>
                      <w:lang w:val="en-US" w:eastAsia="zh-CN"/>
                    </w:rPr>
                    <w:t>2</w:t>
                  </w:r>
                </w:p>
              </w:tc>
            </w:tr>
            <w:tr w14:paraId="333AC5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7" w:type="dxa"/>
                  <w:vMerge w:val="continue"/>
                  <w:tcBorders>
                    <w:tl2br w:val="nil"/>
                    <w:tr2bl w:val="nil"/>
                  </w:tcBorders>
                  <w:vAlign w:val="center"/>
                </w:tcPr>
                <w:p w14:paraId="2B38C5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p>
              </w:tc>
              <w:tc>
                <w:tcPr>
                  <w:tcW w:w="1570" w:type="dxa"/>
                  <w:tcBorders>
                    <w:tl2br w:val="nil"/>
                    <w:tr2bl w:val="nil"/>
                  </w:tcBorders>
                  <w:vAlign w:val="center"/>
                </w:tcPr>
                <w:p w14:paraId="2609BBF0">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环境监测</w:t>
                  </w:r>
                </w:p>
              </w:tc>
              <w:tc>
                <w:tcPr>
                  <w:tcW w:w="4845" w:type="dxa"/>
                  <w:tcBorders>
                    <w:tl2br w:val="nil"/>
                    <w:tr2bl w:val="nil"/>
                  </w:tcBorders>
                  <w:vAlign w:val="center"/>
                </w:tcPr>
                <w:p w14:paraId="26ACCF38">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40" w:firstLineChars="200"/>
                    <w:jc w:val="both"/>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pacing w:val="5"/>
                      <w:sz w:val="21"/>
                      <w:szCs w:val="21"/>
                      <w:highlight w:val="none"/>
                      <w:lang w:val="en-US" w:eastAsia="zh-CN"/>
                    </w:rPr>
                    <w:t>噪声监测</w:t>
                  </w:r>
                </w:p>
              </w:tc>
              <w:tc>
                <w:tcPr>
                  <w:tcW w:w="1182" w:type="dxa"/>
                  <w:gridSpan w:val="2"/>
                  <w:vMerge w:val="restart"/>
                  <w:tcBorders>
                    <w:tl2br w:val="nil"/>
                    <w:tr2bl w:val="nil"/>
                  </w:tcBorders>
                  <w:vAlign w:val="center"/>
                </w:tcPr>
                <w:p w14:paraId="10765C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rPr>
                  </w:pPr>
                  <w:r>
                    <w:rPr>
                      <w:rFonts w:hint="eastAsia" w:cs="Times New Roman"/>
                      <w:color w:val="auto"/>
                      <w:spacing w:val="1"/>
                      <w:sz w:val="21"/>
                      <w:szCs w:val="21"/>
                      <w:highlight w:val="none"/>
                      <w:lang w:val="en-US" w:eastAsia="zh-CN"/>
                    </w:rPr>
                    <w:t>120</w:t>
                  </w:r>
                </w:p>
              </w:tc>
            </w:tr>
            <w:tr w14:paraId="46FE94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7" w:type="dxa"/>
                  <w:vMerge w:val="continue"/>
                  <w:tcBorders>
                    <w:tl2br w:val="nil"/>
                    <w:tr2bl w:val="nil"/>
                  </w:tcBorders>
                  <w:vAlign w:val="center"/>
                </w:tcPr>
                <w:p w14:paraId="586799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p>
              </w:tc>
              <w:tc>
                <w:tcPr>
                  <w:tcW w:w="1570" w:type="dxa"/>
                  <w:tcBorders>
                    <w:tl2br w:val="nil"/>
                    <w:tr2bl w:val="nil"/>
                  </w:tcBorders>
                  <w:vAlign w:val="center"/>
                </w:tcPr>
                <w:p w14:paraId="0AA543A2">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生态恢复</w:t>
                  </w:r>
                </w:p>
              </w:tc>
              <w:tc>
                <w:tcPr>
                  <w:tcW w:w="4845" w:type="dxa"/>
                  <w:tcBorders>
                    <w:tl2br w:val="nil"/>
                    <w:tr2bl w:val="nil"/>
                  </w:tcBorders>
                  <w:vAlign w:val="center"/>
                </w:tcPr>
                <w:p w14:paraId="436B91EE">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lang w:val="en-US" w:eastAsia="zh-CN"/>
                    </w:rPr>
                    <w:t>施工期严格控制施工作业范围，控制施工机械、车辆沿固定线路行驶，做好施工人员宣传教育，严禁越过红线进入保护区，严禁随意采伐、猎捕野生动物。项目建设内容为土地整治、</w:t>
                  </w:r>
                  <w:r>
                    <w:rPr>
                      <w:rFonts w:hint="eastAsia" w:cs="Times New Roman"/>
                      <w:color w:val="auto"/>
                      <w:spacing w:val="9"/>
                      <w:sz w:val="21"/>
                      <w:szCs w:val="21"/>
                      <w:highlight w:val="none"/>
                      <w:lang w:val="en-US" w:eastAsia="zh-CN"/>
                    </w:rPr>
                    <w:t>柴胡、黄芪</w:t>
                  </w:r>
                  <w:r>
                    <w:rPr>
                      <w:rFonts w:hint="default" w:ascii="Times New Roman" w:hAnsi="Times New Roman" w:eastAsia="宋体" w:cs="Times New Roman"/>
                      <w:color w:val="auto"/>
                      <w:spacing w:val="9"/>
                      <w:sz w:val="21"/>
                      <w:szCs w:val="21"/>
                      <w:highlight w:val="none"/>
                      <w:lang w:val="en-US" w:eastAsia="zh-CN"/>
                    </w:rPr>
                    <w:t>种植及防风林建设，施工过程为场地平整，种植林草，恢复生境，项目不得引入其他有入侵性的植物种类。</w:t>
                  </w:r>
                </w:p>
              </w:tc>
              <w:tc>
                <w:tcPr>
                  <w:tcW w:w="1182" w:type="dxa"/>
                  <w:gridSpan w:val="2"/>
                  <w:vMerge w:val="continue"/>
                  <w:tcBorders>
                    <w:tl2br w:val="nil"/>
                    <w:tr2bl w:val="nil"/>
                  </w:tcBorders>
                  <w:vAlign w:val="center"/>
                </w:tcPr>
                <w:p w14:paraId="5294065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p>
              </w:tc>
            </w:tr>
            <w:tr w14:paraId="7899AA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7" w:type="dxa"/>
                  <w:vMerge w:val="restart"/>
                  <w:tcBorders>
                    <w:tl2br w:val="nil"/>
                    <w:tr2bl w:val="nil"/>
                  </w:tcBorders>
                  <w:vAlign w:val="center"/>
                </w:tcPr>
                <w:p w14:paraId="5B93DD59">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运营期</w:t>
                  </w:r>
                </w:p>
              </w:tc>
              <w:tc>
                <w:tcPr>
                  <w:tcW w:w="1570" w:type="dxa"/>
                  <w:tcBorders>
                    <w:tl2br w:val="nil"/>
                    <w:tr2bl w:val="nil"/>
                  </w:tcBorders>
                  <w:vAlign w:val="center"/>
                </w:tcPr>
                <w:p w14:paraId="7CDB8814">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大气</w:t>
                  </w:r>
                </w:p>
              </w:tc>
              <w:tc>
                <w:tcPr>
                  <w:tcW w:w="4845" w:type="dxa"/>
                  <w:tcBorders>
                    <w:tl2br w:val="nil"/>
                    <w:tr2bl w:val="nil"/>
                  </w:tcBorders>
                  <w:vAlign w:val="center"/>
                </w:tcPr>
                <w:p w14:paraId="5A92FA24">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jc w:val="both"/>
                    <w:textAlignment w:val="baseline"/>
                    <w:rPr>
                      <w:rFonts w:hint="default" w:ascii="Times New Roman" w:hAnsi="Times New Roman" w:eastAsia="宋体" w:cs="Times New Roman"/>
                      <w:color w:val="auto"/>
                      <w:sz w:val="21"/>
                      <w:szCs w:val="21"/>
                      <w:highlight w:val="none"/>
                    </w:rPr>
                  </w:pPr>
                  <w:r>
                    <w:rPr>
                      <w:rFonts w:hint="eastAsia" w:cs="Times New Roman"/>
                      <w:color w:val="auto"/>
                      <w:spacing w:val="9"/>
                      <w:sz w:val="21"/>
                      <w:szCs w:val="21"/>
                      <w:highlight w:val="none"/>
                      <w:lang w:val="en-US" w:eastAsia="zh-CN"/>
                    </w:rPr>
                    <w:t>检测中心</w:t>
                  </w:r>
                  <w:r>
                    <w:rPr>
                      <w:rFonts w:hint="default" w:ascii="Times New Roman" w:hAnsi="Times New Roman" w:eastAsia="宋体" w:cs="Times New Roman"/>
                      <w:color w:val="auto"/>
                      <w:spacing w:val="9"/>
                      <w:sz w:val="21"/>
                      <w:szCs w:val="21"/>
                      <w:highlight w:val="none"/>
                      <w:lang w:val="en-US" w:eastAsia="zh-CN"/>
                    </w:rPr>
                    <w:t>有机废气与无机废气经通风橱</w:t>
                  </w:r>
                  <w:r>
                    <w:rPr>
                      <w:rFonts w:hint="eastAsia" w:ascii="Times New Roman" w:hAnsi="Times New Roman" w:cs="Times New Roman"/>
                      <w:color w:val="auto"/>
                      <w:spacing w:val="9"/>
                      <w:sz w:val="21"/>
                      <w:szCs w:val="21"/>
                      <w:highlight w:val="none"/>
                      <w:lang w:val="en-US" w:eastAsia="zh-CN"/>
                    </w:rPr>
                    <w:t>收集后无组织排放</w:t>
                  </w:r>
                  <w:r>
                    <w:rPr>
                      <w:rFonts w:hint="default" w:ascii="Times New Roman" w:hAnsi="Times New Roman" w:eastAsia="宋体" w:cs="Times New Roman"/>
                      <w:color w:val="auto"/>
                      <w:spacing w:val="9"/>
                      <w:sz w:val="21"/>
                      <w:szCs w:val="21"/>
                      <w:highlight w:val="none"/>
                      <w:lang w:val="en-US" w:eastAsia="zh-CN"/>
                    </w:rPr>
                    <w:t>；</w:t>
                  </w:r>
                </w:p>
              </w:tc>
              <w:tc>
                <w:tcPr>
                  <w:tcW w:w="1182" w:type="dxa"/>
                  <w:gridSpan w:val="2"/>
                  <w:tcBorders>
                    <w:tl2br w:val="nil"/>
                    <w:tr2bl w:val="nil"/>
                  </w:tcBorders>
                  <w:vAlign w:val="center"/>
                </w:tcPr>
                <w:p w14:paraId="2D52CC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14:paraId="660F0B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7" w:type="dxa"/>
                  <w:vMerge w:val="continue"/>
                  <w:tcBorders>
                    <w:tl2br w:val="nil"/>
                    <w:tr2bl w:val="nil"/>
                  </w:tcBorders>
                  <w:vAlign w:val="center"/>
                </w:tcPr>
                <w:p w14:paraId="64BB4419">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4"/>
                      <w:sz w:val="21"/>
                      <w:szCs w:val="21"/>
                      <w:highlight w:val="none"/>
                    </w:rPr>
                  </w:pPr>
                </w:p>
              </w:tc>
              <w:tc>
                <w:tcPr>
                  <w:tcW w:w="1570" w:type="dxa"/>
                  <w:tcBorders>
                    <w:tl2br w:val="nil"/>
                    <w:tr2bl w:val="nil"/>
                  </w:tcBorders>
                  <w:vAlign w:val="center"/>
                </w:tcPr>
                <w:p w14:paraId="43BBE691">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废水</w:t>
                  </w:r>
                </w:p>
              </w:tc>
              <w:tc>
                <w:tcPr>
                  <w:tcW w:w="4845" w:type="dxa"/>
                  <w:tcBorders>
                    <w:tl2br w:val="nil"/>
                    <w:tr2bl w:val="nil"/>
                  </w:tcBorders>
                  <w:vAlign w:val="center"/>
                </w:tcPr>
                <w:p w14:paraId="61689F46">
                  <w:pPr>
                    <w:keepNext w:val="0"/>
                    <w:keepLines w:val="0"/>
                    <w:pageBreakBefore w:val="0"/>
                    <w:widowControl/>
                    <w:suppressLineNumbers w:val="0"/>
                    <w:kinsoku/>
                    <w:wordWrap/>
                    <w:overflowPunct/>
                    <w:topLinePunct w:val="0"/>
                    <w:autoSpaceDE/>
                    <w:autoSpaceDN/>
                    <w:bidi w:val="0"/>
                    <w:adjustRightInd/>
                    <w:snapToGrid/>
                    <w:spacing w:line="240" w:lineRule="auto"/>
                    <w:ind w:firstLine="456"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lang w:val="en-US" w:eastAsia="zh-CN"/>
                    </w:rPr>
                    <w:t>蜂蜜加工包装车间在加工灌装过程中，产生清洗废水</w:t>
                  </w:r>
                  <w:r>
                    <w:rPr>
                      <w:rFonts w:hint="eastAsia" w:cs="Times New Roman"/>
                      <w:color w:val="auto"/>
                      <w:spacing w:val="9"/>
                      <w:sz w:val="21"/>
                      <w:szCs w:val="21"/>
                      <w:highlight w:val="none"/>
                      <w:lang w:val="en-US" w:eastAsia="zh-CN"/>
                    </w:rPr>
                    <w:t>；</w:t>
                  </w:r>
                  <w:r>
                    <w:rPr>
                      <w:rFonts w:hint="default" w:ascii="Times New Roman" w:hAnsi="Times New Roman" w:eastAsia="宋体" w:cs="Times New Roman"/>
                      <w:color w:val="auto"/>
                      <w:spacing w:val="9"/>
                      <w:sz w:val="21"/>
                      <w:szCs w:val="21"/>
                      <w:highlight w:val="none"/>
                      <w:lang w:val="en-US" w:eastAsia="zh-CN"/>
                    </w:rPr>
                    <w:t>中药材相关车间</w:t>
                  </w:r>
                  <w:r>
                    <w:rPr>
                      <w:rFonts w:hint="eastAsia" w:cs="Times New Roman"/>
                      <w:color w:val="auto"/>
                      <w:spacing w:val="9"/>
                      <w:sz w:val="21"/>
                      <w:szCs w:val="21"/>
                      <w:highlight w:val="none"/>
                      <w:lang w:val="en-US" w:eastAsia="zh-CN"/>
                    </w:rPr>
                    <w:t>在</w:t>
                  </w:r>
                  <w:r>
                    <w:rPr>
                      <w:rFonts w:hint="default" w:ascii="Times New Roman" w:hAnsi="Times New Roman" w:eastAsia="宋体" w:cs="Times New Roman"/>
                      <w:color w:val="auto"/>
                      <w:spacing w:val="9"/>
                      <w:sz w:val="21"/>
                      <w:szCs w:val="21"/>
                      <w:highlight w:val="none"/>
                      <w:lang w:val="en-US" w:eastAsia="zh-CN"/>
                    </w:rPr>
                    <w:t>清洗中药材产生一定量的</w:t>
                  </w:r>
                  <w:r>
                    <w:rPr>
                      <w:rFonts w:hint="eastAsia" w:cs="Times New Roman"/>
                      <w:color w:val="auto"/>
                      <w:spacing w:val="9"/>
                      <w:sz w:val="21"/>
                      <w:szCs w:val="21"/>
                      <w:highlight w:val="none"/>
                      <w:lang w:val="en-US" w:eastAsia="zh-CN"/>
                    </w:rPr>
                    <w:t>清洗</w:t>
                  </w:r>
                  <w:r>
                    <w:rPr>
                      <w:rFonts w:hint="default" w:ascii="Times New Roman" w:hAnsi="Times New Roman" w:eastAsia="宋体" w:cs="Times New Roman"/>
                      <w:color w:val="auto"/>
                      <w:spacing w:val="9"/>
                      <w:sz w:val="21"/>
                      <w:szCs w:val="21"/>
                      <w:highlight w:val="none"/>
                      <w:lang w:val="en-US" w:eastAsia="zh-CN"/>
                    </w:rPr>
                    <w:t>废水</w:t>
                  </w:r>
                  <w:r>
                    <w:rPr>
                      <w:rFonts w:hint="eastAsia" w:cs="Times New Roman"/>
                      <w:color w:val="auto"/>
                      <w:spacing w:val="9"/>
                      <w:sz w:val="21"/>
                      <w:szCs w:val="21"/>
                      <w:highlight w:val="none"/>
                      <w:lang w:val="en-US" w:eastAsia="zh-CN"/>
                    </w:rPr>
                    <w:t>；检测中心</w:t>
                  </w:r>
                  <w:r>
                    <w:rPr>
                      <w:rFonts w:hint="eastAsia" w:ascii="Times New Roman" w:cs="Times New Roman"/>
                      <w:color w:val="auto"/>
                      <w:sz w:val="21"/>
                      <w:szCs w:val="21"/>
                      <w:highlight w:val="none"/>
                      <w:lang w:val="en-US" w:eastAsia="zh-CN"/>
                    </w:rPr>
                    <w:t>实验</w:t>
                  </w:r>
                  <w:r>
                    <w:rPr>
                      <w:rFonts w:hint="eastAsia" w:cs="Times New Roman"/>
                      <w:color w:val="auto"/>
                      <w:sz w:val="21"/>
                      <w:szCs w:val="21"/>
                      <w:highlight w:val="none"/>
                      <w:lang w:val="en-US" w:eastAsia="zh-CN"/>
                    </w:rPr>
                    <w:t>清洗废水。</w:t>
                  </w:r>
                  <w:r>
                    <w:rPr>
                      <w:rFonts w:hint="eastAsia" w:cs="Times New Roman"/>
                      <w:color w:val="auto"/>
                      <w:spacing w:val="9"/>
                      <w:sz w:val="21"/>
                      <w:szCs w:val="21"/>
                      <w:highlight w:val="none"/>
                      <w:lang w:val="en-US" w:eastAsia="zh-CN"/>
                    </w:rPr>
                    <w:t>经</w:t>
                  </w:r>
                  <w:r>
                    <w:rPr>
                      <w:rFonts w:hint="default" w:ascii="Times New Roman" w:hAnsi="Times New Roman" w:eastAsia="宋体" w:cs="Times New Roman"/>
                      <w:color w:val="auto"/>
                      <w:spacing w:val="9"/>
                      <w:sz w:val="21"/>
                      <w:szCs w:val="21"/>
                      <w:highlight w:val="none"/>
                      <w:lang w:val="en-US" w:eastAsia="zh-CN"/>
                    </w:rPr>
                    <w:t>车间设三级沉淀池（总容积50m³），采用“格栅+气浮+生物接触氧化”工艺，处理后水质达到满足《污水综合排放标准》(GB8978-1996)三级标准限值要求。同时满足《污水排入城镇下水道水质标准》（GB/T31962-2015）中A级标准后排入市政管网。</w:t>
                  </w:r>
                </w:p>
              </w:tc>
              <w:tc>
                <w:tcPr>
                  <w:tcW w:w="1182" w:type="dxa"/>
                  <w:gridSpan w:val="2"/>
                  <w:tcBorders>
                    <w:tl2br w:val="nil"/>
                    <w:tr2bl w:val="nil"/>
                  </w:tcBorders>
                  <w:vAlign w:val="center"/>
                </w:tcPr>
                <w:p w14:paraId="0DDE10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r>
            <w:tr w14:paraId="5BC849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7" w:type="dxa"/>
                  <w:vMerge w:val="continue"/>
                  <w:tcBorders>
                    <w:tl2br w:val="nil"/>
                    <w:tr2bl w:val="nil"/>
                  </w:tcBorders>
                  <w:vAlign w:val="center"/>
                </w:tcPr>
                <w:p w14:paraId="12AD10CD">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4"/>
                      <w:sz w:val="21"/>
                      <w:szCs w:val="21"/>
                      <w:highlight w:val="none"/>
                    </w:rPr>
                  </w:pPr>
                </w:p>
              </w:tc>
              <w:tc>
                <w:tcPr>
                  <w:tcW w:w="1570" w:type="dxa"/>
                  <w:tcBorders>
                    <w:tl2br w:val="nil"/>
                    <w:tr2bl w:val="nil"/>
                  </w:tcBorders>
                  <w:shd w:val="clear" w:color="auto" w:fill="auto"/>
                  <w:vAlign w:val="center"/>
                </w:tcPr>
                <w:p w14:paraId="09D41E7A">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5"/>
                      <w:sz w:val="21"/>
                      <w:szCs w:val="21"/>
                      <w:highlight w:val="none"/>
                    </w:rPr>
                    <w:t>噪声</w:t>
                  </w:r>
                </w:p>
              </w:tc>
              <w:tc>
                <w:tcPr>
                  <w:tcW w:w="4845" w:type="dxa"/>
                  <w:tcBorders>
                    <w:tl2br w:val="nil"/>
                    <w:tr2bl w:val="nil"/>
                  </w:tcBorders>
                  <w:shd w:val="clear" w:color="auto" w:fill="auto"/>
                  <w:vAlign w:val="center"/>
                </w:tcPr>
                <w:p w14:paraId="1D2277CF">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432" w:firstLineChars="200"/>
                    <w:jc w:val="both"/>
                    <w:textAlignment w:val="baseline"/>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3"/>
                      <w:sz w:val="21"/>
                      <w:szCs w:val="21"/>
                      <w:highlight w:val="none"/>
                    </w:rPr>
                    <w:t>采取基础减震、墙体阻隔等措施</w:t>
                  </w:r>
                </w:p>
              </w:tc>
              <w:tc>
                <w:tcPr>
                  <w:tcW w:w="1182" w:type="dxa"/>
                  <w:gridSpan w:val="2"/>
                  <w:tcBorders>
                    <w:tl2br w:val="nil"/>
                    <w:tr2bl w:val="nil"/>
                  </w:tcBorders>
                  <w:shd w:val="clear" w:color="auto" w:fill="auto"/>
                  <w:vAlign w:val="center"/>
                </w:tcPr>
                <w:p w14:paraId="224082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6.35</w:t>
                  </w:r>
                </w:p>
              </w:tc>
            </w:tr>
            <w:tr w14:paraId="664BB7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7" w:type="dxa"/>
                  <w:vMerge w:val="continue"/>
                  <w:tcBorders>
                    <w:tl2br w:val="nil"/>
                    <w:tr2bl w:val="nil"/>
                  </w:tcBorders>
                  <w:vAlign w:val="center"/>
                </w:tcPr>
                <w:p w14:paraId="3310D27B">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4"/>
                      <w:sz w:val="21"/>
                      <w:szCs w:val="21"/>
                      <w:highlight w:val="none"/>
                    </w:rPr>
                  </w:pPr>
                </w:p>
              </w:tc>
              <w:tc>
                <w:tcPr>
                  <w:tcW w:w="1570" w:type="dxa"/>
                  <w:tcBorders>
                    <w:tl2br w:val="nil"/>
                    <w:tr2bl w:val="nil"/>
                  </w:tcBorders>
                  <w:vAlign w:val="center"/>
                </w:tcPr>
                <w:p w14:paraId="6E54B827">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auto"/>
                      <w:spacing w:val="-5"/>
                      <w:sz w:val="21"/>
                      <w:szCs w:val="21"/>
                      <w:highlight w:val="none"/>
                      <w:lang w:val="en-US" w:eastAsia="zh-CN"/>
                    </w:rPr>
                  </w:pPr>
                  <w:r>
                    <w:rPr>
                      <w:rFonts w:hint="eastAsia" w:ascii="Times New Roman" w:hAnsi="Times New Roman" w:cs="Times New Roman"/>
                      <w:color w:val="auto"/>
                      <w:spacing w:val="-5"/>
                      <w:sz w:val="21"/>
                      <w:szCs w:val="21"/>
                      <w:highlight w:val="none"/>
                      <w:lang w:val="en-US" w:eastAsia="zh-CN"/>
                    </w:rPr>
                    <w:t>固体废物</w:t>
                  </w:r>
                </w:p>
              </w:tc>
              <w:tc>
                <w:tcPr>
                  <w:tcW w:w="4845" w:type="dxa"/>
                  <w:tcBorders>
                    <w:tl2br w:val="nil"/>
                    <w:tr2bl w:val="nil"/>
                  </w:tcBorders>
                  <w:vAlign w:val="center"/>
                </w:tcPr>
                <w:p w14:paraId="6C9BF843">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jc w:val="both"/>
                    <w:textAlignment w:val="baseline"/>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9"/>
                      <w:sz w:val="21"/>
                      <w:szCs w:val="21"/>
                      <w:highlight w:val="none"/>
                      <w:lang w:val="en-US" w:eastAsia="zh-CN"/>
                    </w:rPr>
                    <w:t>一般固废主要为生活垃圾</w:t>
                  </w:r>
                  <w:r>
                    <w:rPr>
                      <w:rFonts w:hint="eastAsia" w:ascii="Times New Roman" w:hAnsi="Times New Roman" w:cs="Times New Roman"/>
                      <w:color w:val="auto"/>
                      <w:spacing w:val="9"/>
                      <w:sz w:val="21"/>
                      <w:szCs w:val="21"/>
                      <w:highlight w:val="none"/>
                      <w:lang w:val="en-US" w:eastAsia="zh-CN"/>
                    </w:rPr>
                    <w:t>、修剪枝叶</w:t>
                  </w:r>
                  <w:r>
                    <w:rPr>
                      <w:rFonts w:hint="default" w:ascii="Times New Roman" w:hAnsi="Times New Roman" w:eastAsia="宋体" w:cs="Times New Roman"/>
                      <w:color w:val="auto"/>
                      <w:spacing w:val="9"/>
                      <w:sz w:val="21"/>
                      <w:szCs w:val="21"/>
                      <w:highlight w:val="none"/>
                      <w:lang w:val="en-US" w:eastAsia="zh-CN"/>
                    </w:rPr>
                    <w:t>；产生的危险废物主要有废试剂瓶/桶、实验废液、废标液、废培养皿、废培养基、过期药品、过期试剂。生活垃圾集中收集后交由环卫部门进行处置</w:t>
                  </w:r>
                  <w:r>
                    <w:rPr>
                      <w:rFonts w:hint="eastAsia" w:ascii="Times New Roman" w:hAnsi="Times New Roman" w:cs="Times New Roman"/>
                      <w:color w:val="auto"/>
                      <w:spacing w:val="9"/>
                      <w:sz w:val="21"/>
                      <w:szCs w:val="21"/>
                      <w:highlight w:val="none"/>
                      <w:lang w:val="en-US" w:eastAsia="zh-CN"/>
                    </w:rPr>
                    <w:t>，修剪枝叶集中收集后外售综合利用</w:t>
                  </w:r>
                  <w:r>
                    <w:rPr>
                      <w:rFonts w:hint="default" w:ascii="Times New Roman" w:hAnsi="Times New Roman" w:eastAsia="宋体" w:cs="Times New Roman"/>
                      <w:color w:val="auto"/>
                      <w:spacing w:val="9"/>
                      <w:sz w:val="21"/>
                      <w:szCs w:val="21"/>
                      <w:highlight w:val="none"/>
                      <w:lang w:val="en-US" w:eastAsia="zh-CN"/>
                    </w:rPr>
                    <w:t>。废试剂瓶/桶、实验废液、废标液、废培养皿、废培养基、过期药品、过期试剂暂存于危废暂存间，交由有资质单位进行处置</w:t>
                  </w:r>
                </w:p>
              </w:tc>
              <w:tc>
                <w:tcPr>
                  <w:tcW w:w="1182" w:type="dxa"/>
                  <w:gridSpan w:val="2"/>
                  <w:tcBorders>
                    <w:tl2br w:val="nil"/>
                    <w:tr2bl w:val="nil"/>
                  </w:tcBorders>
                  <w:vAlign w:val="center"/>
                </w:tcPr>
                <w:p w14:paraId="7470D4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5</w:t>
                  </w:r>
                </w:p>
              </w:tc>
            </w:tr>
            <w:tr w14:paraId="1DD2B8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71" w:type="dxa"/>
                  <w:gridSpan w:val="4"/>
                  <w:tcBorders>
                    <w:tl2br w:val="nil"/>
                    <w:tr2bl w:val="nil"/>
                  </w:tcBorders>
                  <w:vAlign w:val="center"/>
                </w:tcPr>
                <w:p w14:paraId="3A3E4C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173" w:type="dxa"/>
                  <w:tcBorders>
                    <w:tl2br w:val="nil"/>
                    <w:tr2bl w:val="nil"/>
                  </w:tcBorders>
                  <w:vAlign w:val="center"/>
                </w:tcPr>
                <w:p w14:paraId="56D09E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2"/>
                      <w:sz w:val="21"/>
                      <w:szCs w:val="21"/>
                      <w:highlight w:val="none"/>
                      <w:lang w:val="en-US" w:eastAsia="zh-CN"/>
                    </w:rPr>
                    <w:t>244.35</w:t>
                  </w:r>
                </w:p>
              </w:tc>
            </w:tr>
          </w:tbl>
          <w:p w14:paraId="1CE447C2">
            <w:pPr>
              <w:adjustRightInd w:val="0"/>
              <w:spacing w:line="360" w:lineRule="auto"/>
              <w:rPr>
                <w:rFonts w:hint="default" w:ascii="Times New Roman" w:hAnsi="Times New Roman" w:eastAsia="仿宋_GB2312" w:cs="Times New Roman"/>
                <w:bCs/>
                <w:color w:val="auto"/>
                <w:spacing w:val="-10"/>
                <w:sz w:val="24"/>
                <w:highlight w:val="none"/>
              </w:rPr>
            </w:pPr>
          </w:p>
        </w:tc>
      </w:tr>
    </w:tbl>
    <w:p w14:paraId="6EA61C1B">
      <w:pPr>
        <w:adjustRightInd w:val="0"/>
        <w:snapToGrid w:val="0"/>
        <w:spacing w:line="360" w:lineRule="auto"/>
        <w:rPr>
          <w:rFonts w:ascii="宋体" w:cs="宋体"/>
          <w:b/>
          <w:color w:val="auto"/>
          <w:kern w:val="0"/>
          <w:sz w:val="28"/>
          <w:szCs w:val="28"/>
          <w:highlight w:val="none"/>
        </w:rPr>
        <w:sectPr>
          <w:pgSz w:w="11907" w:h="16840"/>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4775BF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六、生态环境保护措施监督检查清单</w:t>
      </w:r>
    </w:p>
    <w:tbl>
      <w:tblPr>
        <w:tblStyle w:val="76"/>
        <w:tblW w:w="920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27"/>
        <w:gridCol w:w="2755"/>
        <w:gridCol w:w="1650"/>
        <w:gridCol w:w="1704"/>
        <w:gridCol w:w="1865"/>
      </w:tblGrid>
      <w:tr w14:paraId="0B1B5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1227" w:type="dxa"/>
            <w:vMerge w:val="restart"/>
            <w:tcBorders>
              <w:tl2br w:val="nil"/>
              <w:tr2bl w:val="nil"/>
            </w:tcBorders>
            <w:vAlign w:val="center"/>
          </w:tcPr>
          <w:p w14:paraId="1A14FF7D">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8"/>
                <w:sz w:val="21"/>
                <w:szCs w:val="21"/>
                <w:highlight w:val="none"/>
              </w:rPr>
              <w:t>内容要素</w:t>
            </w:r>
          </w:p>
        </w:tc>
        <w:tc>
          <w:tcPr>
            <w:tcW w:w="4405" w:type="dxa"/>
            <w:gridSpan w:val="2"/>
            <w:tcBorders>
              <w:tl2br w:val="nil"/>
              <w:tr2bl w:val="nil"/>
            </w:tcBorders>
            <w:vAlign w:val="center"/>
          </w:tcPr>
          <w:p w14:paraId="1C6FAD88">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施工期</w:t>
            </w:r>
          </w:p>
        </w:tc>
        <w:tc>
          <w:tcPr>
            <w:tcW w:w="3569" w:type="dxa"/>
            <w:gridSpan w:val="2"/>
            <w:tcBorders>
              <w:tl2br w:val="nil"/>
              <w:tr2bl w:val="nil"/>
            </w:tcBorders>
            <w:vAlign w:val="center"/>
          </w:tcPr>
          <w:p w14:paraId="236C84E4">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运营期</w:t>
            </w:r>
          </w:p>
        </w:tc>
      </w:tr>
      <w:tr w14:paraId="66B3DA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5" w:hRule="atLeast"/>
          <w:jc w:val="center"/>
        </w:trPr>
        <w:tc>
          <w:tcPr>
            <w:tcW w:w="1227" w:type="dxa"/>
            <w:vMerge w:val="continue"/>
            <w:tcBorders>
              <w:tl2br w:val="nil"/>
              <w:tr2bl w:val="nil"/>
            </w:tcBorders>
            <w:vAlign w:val="center"/>
          </w:tcPr>
          <w:p w14:paraId="031A0D5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p>
        </w:tc>
        <w:tc>
          <w:tcPr>
            <w:tcW w:w="2755" w:type="dxa"/>
            <w:tcBorders>
              <w:tl2br w:val="nil"/>
              <w:tr2bl w:val="nil"/>
            </w:tcBorders>
            <w:vAlign w:val="center"/>
          </w:tcPr>
          <w:p w14:paraId="611338B6">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环境保护措施</w:t>
            </w:r>
          </w:p>
        </w:tc>
        <w:tc>
          <w:tcPr>
            <w:tcW w:w="1650" w:type="dxa"/>
            <w:tcBorders>
              <w:tl2br w:val="nil"/>
              <w:tr2bl w:val="nil"/>
            </w:tcBorders>
            <w:vAlign w:val="center"/>
          </w:tcPr>
          <w:p w14:paraId="4BAD97AC">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验收要求</w:t>
            </w:r>
          </w:p>
        </w:tc>
        <w:tc>
          <w:tcPr>
            <w:tcW w:w="1704" w:type="dxa"/>
            <w:tcBorders>
              <w:tl2br w:val="nil"/>
              <w:tr2bl w:val="nil"/>
            </w:tcBorders>
            <w:vAlign w:val="center"/>
          </w:tcPr>
          <w:p w14:paraId="12B7BFBA">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环境保护措施</w:t>
            </w:r>
          </w:p>
        </w:tc>
        <w:tc>
          <w:tcPr>
            <w:tcW w:w="1865" w:type="dxa"/>
            <w:tcBorders>
              <w:tl2br w:val="nil"/>
              <w:tr2bl w:val="nil"/>
            </w:tcBorders>
            <w:vAlign w:val="center"/>
          </w:tcPr>
          <w:p w14:paraId="5237E17B">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验收要求</w:t>
            </w:r>
          </w:p>
        </w:tc>
      </w:tr>
      <w:tr w14:paraId="41F35E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03" w:hRule="atLeast"/>
          <w:jc w:val="center"/>
        </w:trPr>
        <w:tc>
          <w:tcPr>
            <w:tcW w:w="1227" w:type="dxa"/>
            <w:tcBorders>
              <w:tl2br w:val="nil"/>
              <w:tr2bl w:val="nil"/>
            </w:tcBorders>
            <w:vAlign w:val="center"/>
          </w:tcPr>
          <w:p w14:paraId="313EE22A">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陆生生态</w:t>
            </w:r>
          </w:p>
        </w:tc>
        <w:tc>
          <w:tcPr>
            <w:tcW w:w="2755" w:type="dxa"/>
            <w:tcBorders>
              <w:tl2br w:val="nil"/>
              <w:tr2bl w:val="nil"/>
            </w:tcBorders>
            <w:vAlign w:val="center"/>
          </w:tcPr>
          <w:p w14:paraId="7ED03A33">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限制施工设备、堆料场等临时占地面积；施工后回填土坑，恢复植被；采用机械碾压对填埋区域松土进行整实，并进行迹地恢复；施工结束进行临时占地迹地恢复；防止破坏区域自然植被。</w:t>
            </w:r>
          </w:p>
        </w:tc>
        <w:tc>
          <w:tcPr>
            <w:tcW w:w="1650" w:type="dxa"/>
            <w:tcBorders>
              <w:tl2br w:val="nil"/>
              <w:tr2bl w:val="nil"/>
            </w:tcBorders>
            <w:vAlign w:val="center"/>
          </w:tcPr>
          <w:p w14:paraId="6E37AB79">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保护生态环境质量不改变，恢复植被</w:t>
            </w:r>
          </w:p>
        </w:tc>
        <w:tc>
          <w:tcPr>
            <w:tcW w:w="1704" w:type="dxa"/>
            <w:tcBorders>
              <w:tl2br w:val="nil"/>
              <w:tr2bl w:val="nil"/>
            </w:tcBorders>
            <w:vAlign w:val="center"/>
          </w:tcPr>
          <w:p w14:paraId="20EE422C">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加强周边绿化及</w:t>
            </w:r>
            <w:r>
              <w:rPr>
                <w:rFonts w:hint="default" w:ascii="Times New Roman" w:hAnsi="Times New Roman" w:eastAsia="宋体" w:cs="Times New Roman"/>
                <w:color w:val="auto"/>
                <w:spacing w:val="3"/>
                <w:sz w:val="21"/>
                <w:szCs w:val="21"/>
                <w:highlight w:val="none"/>
              </w:rPr>
              <w:t>维护管理</w:t>
            </w:r>
          </w:p>
        </w:tc>
        <w:tc>
          <w:tcPr>
            <w:tcW w:w="1865" w:type="dxa"/>
            <w:tcBorders>
              <w:tl2br w:val="nil"/>
              <w:tr2bl w:val="nil"/>
            </w:tcBorders>
            <w:vAlign w:val="center"/>
          </w:tcPr>
          <w:p w14:paraId="07790C62">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恢复占地类</w:t>
            </w:r>
            <w:r>
              <w:rPr>
                <w:rFonts w:hint="default" w:ascii="Times New Roman" w:hAnsi="Times New Roman" w:eastAsia="宋体" w:cs="Times New Roman"/>
                <w:color w:val="auto"/>
                <w:sz w:val="21"/>
                <w:szCs w:val="21"/>
                <w:highlight w:val="none"/>
              </w:rPr>
              <w:t>型</w:t>
            </w:r>
          </w:p>
        </w:tc>
      </w:tr>
      <w:tr w14:paraId="3FAB81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05" w:hRule="atLeast"/>
          <w:jc w:val="center"/>
        </w:trPr>
        <w:tc>
          <w:tcPr>
            <w:tcW w:w="1227" w:type="dxa"/>
            <w:tcBorders>
              <w:tl2br w:val="nil"/>
              <w:tr2bl w:val="nil"/>
            </w:tcBorders>
            <w:vAlign w:val="center"/>
          </w:tcPr>
          <w:p w14:paraId="31343E08">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水生生态</w:t>
            </w:r>
          </w:p>
        </w:tc>
        <w:tc>
          <w:tcPr>
            <w:tcW w:w="2755" w:type="dxa"/>
            <w:tcBorders>
              <w:tl2br w:val="nil"/>
              <w:tr2bl w:val="nil"/>
            </w:tcBorders>
            <w:vAlign w:val="center"/>
          </w:tcPr>
          <w:p w14:paraId="195578D8">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w:t>
            </w:r>
          </w:p>
        </w:tc>
        <w:tc>
          <w:tcPr>
            <w:tcW w:w="1650" w:type="dxa"/>
            <w:tcBorders>
              <w:tl2br w:val="nil"/>
              <w:tr2bl w:val="nil"/>
            </w:tcBorders>
            <w:vAlign w:val="center"/>
          </w:tcPr>
          <w:p w14:paraId="76694E86">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w:t>
            </w:r>
          </w:p>
        </w:tc>
        <w:tc>
          <w:tcPr>
            <w:tcW w:w="1704" w:type="dxa"/>
            <w:tcBorders>
              <w:tl2br w:val="nil"/>
              <w:tr2bl w:val="nil"/>
            </w:tcBorders>
            <w:vAlign w:val="center"/>
          </w:tcPr>
          <w:p w14:paraId="15D7B6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c>
          <w:tcPr>
            <w:tcW w:w="1865" w:type="dxa"/>
            <w:tcBorders>
              <w:tl2br w:val="nil"/>
              <w:tr2bl w:val="nil"/>
            </w:tcBorders>
            <w:vAlign w:val="center"/>
          </w:tcPr>
          <w:p w14:paraId="3BF4AA8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r>
      <w:tr w14:paraId="660120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3" w:hRule="atLeast"/>
          <w:jc w:val="center"/>
        </w:trPr>
        <w:tc>
          <w:tcPr>
            <w:tcW w:w="1227" w:type="dxa"/>
            <w:tcBorders>
              <w:tl2br w:val="nil"/>
              <w:tr2bl w:val="nil"/>
            </w:tcBorders>
            <w:vAlign w:val="center"/>
          </w:tcPr>
          <w:p w14:paraId="58BBAF27">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地表水环境</w:t>
            </w:r>
          </w:p>
        </w:tc>
        <w:tc>
          <w:tcPr>
            <w:tcW w:w="2755" w:type="dxa"/>
            <w:tcBorders>
              <w:tl2br w:val="nil"/>
              <w:tr2bl w:val="nil"/>
            </w:tcBorders>
            <w:vAlign w:val="center"/>
          </w:tcPr>
          <w:p w14:paraId="210BED6A">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施工废水经沉淀处理后用于施工场地和道路洒水降尘；管道试压废水经沉淀后回用不外排；</w:t>
            </w:r>
            <w:r>
              <w:rPr>
                <w:rFonts w:hint="eastAsia" w:ascii="Times New Roman" w:hAnsi="Times New Roman" w:eastAsia="宋体" w:cs="Times New Roman"/>
                <w:color w:val="auto"/>
                <w:spacing w:val="5"/>
                <w:sz w:val="21"/>
                <w:szCs w:val="21"/>
                <w:highlight w:val="none"/>
                <w:lang w:val="en-US" w:eastAsia="zh-CN"/>
              </w:rPr>
              <w:t>生活污水利用周边居民旱厕，定期清掏，用于周边农田施肥。</w:t>
            </w:r>
            <w:r>
              <w:rPr>
                <w:rFonts w:hint="default" w:ascii="Times New Roman" w:hAnsi="Times New Roman" w:eastAsia="宋体" w:cs="Times New Roman"/>
                <w:color w:val="auto"/>
                <w:spacing w:val="5"/>
                <w:sz w:val="21"/>
                <w:szCs w:val="21"/>
                <w:highlight w:val="none"/>
              </w:rPr>
              <w:t>少量盥洗废水用于泼洒抑尘。</w:t>
            </w:r>
            <w:r>
              <w:rPr>
                <w:rFonts w:hint="default" w:ascii="Times New Roman" w:hAnsi="Times New Roman" w:eastAsia="宋体" w:cs="Times New Roman"/>
                <w:color w:val="auto"/>
                <w:spacing w:val="5"/>
                <w:sz w:val="21"/>
                <w:szCs w:val="21"/>
                <w:highlight w:val="none"/>
                <w:lang w:val="en-US" w:eastAsia="zh-CN"/>
              </w:rPr>
              <w:t>本工程施工采用商品混凝土，少量现浇混凝土养护产生少量废水。经沉淀池沉淀后回用于混凝土养护用水，确保无废水排放。</w:t>
            </w:r>
          </w:p>
        </w:tc>
        <w:tc>
          <w:tcPr>
            <w:tcW w:w="1650" w:type="dxa"/>
            <w:tcBorders>
              <w:tl2br w:val="nil"/>
              <w:tr2bl w:val="nil"/>
            </w:tcBorders>
            <w:vAlign w:val="center"/>
          </w:tcPr>
          <w:p w14:paraId="477F4503">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不得外排</w:t>
            </w:r>
          </w:p>
        </w:tc>
        <w:tc>
          <w:tcPr>
            <w:tcW w:w="1704" w:type="dxa"/>
            <w:tcBorders>
              <w:tl2br w:val="nil"/>
              <w:tr2bl w:val="nil"/>
            </w:tcBorders>
            <w:vAlign w:val="center"/>
          </w:tcPr>
          <w:p w14:paraId="0A6E59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c>
          <w:tcPr>
            <w:tcW w:w="1865" w:type="dxa"/>
            <w:tcBorders>
              <w:tl2br w:val="nil"/>
              <w:tr2bl w:val="nil"/>
            </w:tcBorders>
            <w:vAlign w:val="center"/>
          </w:tcPr>
          <w:p w14:paraId="075B9B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r>
      <w:tr w14:paraId="4AAD87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59" w:hRule="atLeast"/>
          <w:jc w:val="center"/>
        </w:trPr>
        <w:tc>
          <w:tcPr>
            <w:tcW w:w="1227" w:type="dxa"/>
            <w:tcBorders>
              <w:tl2br w:val="nil"/>
              <w:tr2bl w:val="nil"/>
            </w:tcBorders>
            <w:vAlign w:val="center"/>
          </w:tcPr>
          <w:p w14:paraId="40E55295">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地下水及土</w:t>
            </w:r>
            <w:r>
              <w:rPr>
                <w:rFonts w:hint="default" w:ascii="Times New Roman" w:hAnsi="Times New Roman" w:eastAsia="宋体" w:cs="Times New Roman"/>
                <w:color w:val="auto"/>
                <w:sz w:val="21"/>
                <w:szCs w:val="21"/>
                <w:highlight w:val="none"/>
              </w:rPr>
              <w:t>壤环境</w:t>
            </w:r>
          </w:p>
        </w:tc>
        <w:tc>
          <w:tcPr>
            <w:tcW w:w="2755" w:type="dxa"/>
            <w:tcBorders>
              <w:tl2br w:val="nil"/>
              <w:tr2bl w:val="nil"/>
            </w:tcBorders>
            <w:vAlign w:val="center"/>
          </w:tcPr>
          <w:p w14:paraId="457D5747">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w:t>
            </w:r>
          </w:p>
        </w:tc>
        <w:tc>
          <w:tcPr>
            <w:tcW w:w="1650" w:type="dxa"/>
            <w:tcBorders>
              <w:tl2br w:val="nil"/>
              <w:tr2bl w:val="nil"/>
            </w:tcBorders>
            <w:vAlign w:val="center"/>
          </w:tcPr>
          <w:p w14:paraId="1ECBEAEA">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w:t>
            </w:r>
          </w:p>
        </w:tc>
        <w:tc>
          <w:tcPr>
            <w:tcW w:w="1704" w:type="dxa"/>
            <w:tcBorders>
              <w:tl2br w:val="nil"/>
              <w:tr2bl w:val="nil"/>
            </w:tcBorders>
            <w:vAlign w:val="center"/>
          </w:tcPr>
          <w:p w14:paraId="78AC1E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c>
          <w:tcPr>
            <w:tcW w:w="1865" w:type="dxa"/>
            <w:tcBorders>
              <w:tl2br w:val="nil"/>
              <w:tr2bl w:val="nil"/>
            </w:tcBorders>
            <w:vAlign w:val="center"/>
          </w:tcPr>
          <w:p w14:paraId="74152A8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r>
      <w:tr w14:paraId="5AC964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54" w:hRule="atLeast"/>
          <w:jc w:val="center"/>
        </w:trPr>
        <w:tc>
          <w:tcPr>
            <w:tcW w:w="1227" w:type="dxa"/>
            <w:tcBorders>
              <w:tl2br w:val="nil"/>
              <w:tr2bl w:val="nil"/>
            </w:tcBorders>
            <w:vAlign w:val="center"/>
          </w:tcPr>
          <w:p w14:paraId="38E988AB">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声环境</w:t>
            </w:r>
          </w:p>
        </w:tc>
        <w:tc>
          <w:tcPr>
            <w:tcW w:w="2755" w:type="dxa"/>
            <w:tcBorders>
              <w:tl2br w:val="nil"/>
              <w:tr2bl w:val="nil"/>
            </w:tcBorders>
            <w:vAlign w:val="center"/>
          </w:tcPr>
          <w:p w14:paraId="36967DD9">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采用低噪声设备；对机械、设备加强定期检修、养护；禁止夜间施工，避免高噪设备同时施工</w:t>
            </w:r>
          </w:p>
        </w:tc>
        <w:tc>
          <w:tcPr>
            <w:tcW w:w="1650" w:type="dxa"/>
            <w:tcBorders>
              <w:tl2br w:val="nil"/>
              <w:tr2bl w:val="nil"/>
            </w:tcBorders>
            <w:vAlign w:val="center"/>
          </w:tcPr>
          <w:p w14:paraId="1B831AF2">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《建筑施工噪声排放标准》(GB12523-20</w:t>
            </w:r>
            <w:r>
              <w:rPr>
                <w:rFonts w:hint="eastAsia" w:ascii="Times New Roman" w:hAnsi="Times New Roman" w:cs="Times New Roman"/>
                <w:color w:val="auto"/>
                <w:spacing w:val="5"/>
                <w:sz w:val="21"/>
                <w:szCs w:val="21"/>
                <w:highlight w:val="none"/>
                <w:lang w:val="en-US" w:eastAsia="zh-CN"/>
              </w:rPr>
              <w:t>25</w:t>
            </w:r>
            <w:r>
              <w:rPr>
                <w:rFonts w:hint="default" w:ascii="Times New Roman" w:hAnsi="Times New Roman" w:eastAsia="宋体" w:cs="Times New Roman"/>
                <w:color w:val="auto"/>
                <w:spacing w:val="5"/>
                <w:sz w:val="21"/>
                <w:szCs w:val="21"/>
                <w:highlight w:val="none"/>
              </w:rPr>
              <w:t>)表1中限值</w:t>
            </w:r>
          </w:p>
        </w:tc>
        <w:tc>
          <w:tcPr>
            <w:tcW w:w="1704" w:type="dxa"/>
            <w:tcBorders>
              <w:tl2br w:val="nil"/>
              <w:tr2bl w:val="nil"/>
            </w:tcBorders>
            <w:vAlign w:val="center"/>
          </w:tcPr>
          <w:p w14:paraId="33D872D9">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采取基础减震、</w:t>
            </w:r>
            <w:r>
              <w:rPr>
                <w:rFonts w:hint="default" w:ascii="Times New Roman" w:hAnsi="Times New Roman" w:eastAsia="宋体" w:cs="Times New Roman"/>
                <w:color w:val="auto"/>
                <w:spacing w:val="3"/>
                <w:sz w:val="21"/>
                <w:szCs w:val="21"/>
                <w:highlight w:val="none"/>
              </w:rPr>
              <w:t>墙体阻隔等措施</w:t>
            </w:r>
          </w:p>
        </w:tc>
        <w:tc>
          <w:tcPr>
            <w:tcW w:w="1865" w:type="dxa"/>
            <w:tcBorders>
              <w:tl2br w:val="nil"/>
              <w:tr2bl w:val="nil"/>
            </w:tcBorders>
            <w:vAlign w:val="center"/>
          </w:tcPr>
          <w:p w14:paraId="4F2FA9C9">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w:t>
            </w:r>
            <w:r>
              <w:rPr>
                <w:rFonts w:hint="default" w:ascii="Times New Roman" w:hAnsi="Times New Roman" w:eastAsia="宋体" w:cs="Times New Roman"/>
                <w:color w:val="auto"/>
                <w:spacing w:val="1"/>
                <w:sz w:val="21"/>
                <w:szCs w:val="21"/>
                <w:highlight w:val="none"/>
              </w:rPr>
              <w:t>厂界环境噪</w:t>
            </w:r>
            <w:r>
              <w:rPr>
                <w:rFonts w:hint="default" w:ascii="Times New Roman" w:hAnsi="Times New Roman" w:eastAsia="宋体" w:cs="Times New Roman"/>
                <w:color w:val="auto"/>
                <w:sz w:val="21"/>
                <w:szCs w:val="21"/>
                <w:highlight w:val="none"/>
              </w:rPr>
              <w:t>声排放标</w:t>
            </w:r>
            <w:r>
              <w:rPr>
                <w:rFonts w:hint="default" w:ascii="Times New Roman" w:hAnsi="Times New Roman" w:eastAsia="宋体" w:cs="Times New Roman"/>
                <w:color w:val="auto"/>
                <w:spacing w:val="-1"/>
                <w:sz w:val="21"/>
                <w:szCs w:val="21"/>
                <w:highlight w:val="none"/>
              </w:rPr>
              <w:t>准》</w:t>
            </w:r>
            <w:r>
              <w:rPr>
                <w:rFonts w:hint="default" w:ascii="Times New Roman" w:hAnsi="Times New Roman" w:eastAsia="宋体" w:cs="Times New Roman"/>
                <w:color w:val="auto"/>
                <w:spacing w:val="3"/>
                <w:sz w:val="21"/>
                <w:szCs w:val="21"/>
                <w:highlight w:val="none"/>
              </w:rPr>
              <w:t>(</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3"/>
                <w:sz w:val="21"/>
                <w:szCs w:val="21"/>
                <w:highlight w:val="none"/>
              </w:rPr>
              <w:t>12348</w:t>
            </w:r>
            <w:r>
              <w:rPr>
                <w:rFonts w:hint="default" w:ascii="Times New Roman" w:hAnsi="Times New Roman" w:eastAsia="宋体" w:cs="Times New Roman"/>
                <w:color w:val="auto"/>
                <w:spacing w:val="1"/>
                <w:sz w:val="21"/>
                <w:szCs w:val="21"/>
                <w:highlight w:val="none"/>
              </w:rPr>
              <w:t>-2008)中1类</w:t>
            </w:r>
            <w:r>
              <w:rPr>
                <w:rFonts w:hint="default" w:ascii="Times New Roman" w:hAnsi="Times New Roman" w:eastAsia="宋体" w:cs="Times New Roman"/>
                <w:color w:val="auto"/>
                <w:sz w:val="21"/>
                <w:szCs w:val="21"/>
                <w:highlight w:val="none"/>
              </w:rPr>
              <w:t>标准</w:t>
            </w:r>
          </w:p>
        </w:tc>
      </w:tr>
      <w:tr w14:paraId="0EF539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30" w:hRule="atLeast"/>
          <w:jc w:val="center"/>
        </w:trPr>
        <w:tc>
          <w:tcPr>
            <w:tcW w:w="1227" w:type="dxa"/>
            <w:tcBorders>
              <w:tl2br w:val="nil"/>
              <w:tr2bl w:val="nil"/>
            </w:tcBorders>
            <w:vAlign w:val="center"/>
          </w:tcPr>
          <w:p w14:paraId="04C8514F">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振动</w:t>
            </w:r>
          </w:p>
        </w:tc>
        <w:tc>
          <w:tcPr>
            <w:tcW w:w="2755" w:type="dxa"/>
            <w:tcBorders>
              <w:tl2br w:val="nil"/>
              <w:tr2bl w:val="nil"/>
            </w:tcBorders>
            <w:vAlign w:val="center"/>
          </w:tcPr>
          <w:p w14:paraId="2280EA60">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w:t>
            </w:r>
          </w:p>
        </w:tc>
        <w:tc>
          <w:tcPr>
            <w:tcW w:w="1650" w:type="dxa"/>
            <w:tcBorders>
              <w:tl2br w:val="nil"/>
              <w:tr2bl w:val="nil"/>
            </w:tcBorders>
            <w:vAlign w:val="center"/>
          </w:tcPr>
          <w:p w14:paraId="3B7BA01D">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w:t>
            </w:r>
          </w:p>
        </w:tc>
        <w:tc>
          <w:tcPr>
            <w:tcW w:w="1704" w:type="dxa"/>
            <w:tcBorders>
              <w:tl2br w:val="nil"/>
              <w:tr2bl w:val="nil"/>
            </w:tcBorders>
            <w:vAlign w:val="center"/>
          </w:tcPr>
          <w:p w14:paraId="678DF3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c>
          <w:tcPr>
            <w:tcW w:w="1865" w:type="dxa"/>
            <w:tcBorders>
              <w:tl2br w:val="nil"/>
              <w:tr2bl w:val="nil"/>
            </w:tcBorders>
            <w:vAlign w:val="center"/>
          </w:tcPr>
          <w:p w14:paraId="1DF3F0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r>
      <w:tr w14:paraId="63F76D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82" w:hRule="atLeast"/>
          <w:jc w:val="center"/>
        </w:trPr>
        <w:tc>
          <w:tcPr>
            <w:tcW w:w="1227" w:type="dxa"/>
            <w:tcBorders>
              <w:tl2br w:val="nil"/>
              <w:tr2bl w:val="nil"/>
            </w:tcBorders>
            <w:vAlign w:val="center"/>
          </w:tcPr>
          <w:p w14:paraId="36EA777C">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大气环境</w:t>
            </w:r>
          </w:p>
        </w:tc>
        <w:tc>
          <w:tcPr>
            <w:tcW w:w="2755" w:type="dxa"/>
            <w:tcBorders>
              <w:tl2br w:val="nil"/>
              <w:tr2bl w:val="nil"/>
            </w:tcBorders>
            <w:vAlign w:val="center"/>
          </w:tcPr>
          <w:p w14:paraId="22B690E6">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建筑场地设置施工围挡，建筑材料 等篷布遮盖，场地洒水抑尘</w:t>
            </w:r>
          </w:p>
        </w:tc>
        <w:tc>
          <w:tcPr>
            <w:tcW w:w="1650" w:type="dxa"/>
            <w:tcBorders>
              <w:tl2br w:val="nil"/>
              <w:tr2bl w:val="nil"/>
            </w:tcBorders>
            <w:vAlign w:val="center"/>
          </w:tcPr>
          <w:p w14:paraId="1843FD45">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《大气污染物综合排放标准》（GB16297-1996）</w:t>
            </w:r>
          </w:p>
        </w:tc>
        <w:tc>
          <w:tcPr>
            <w:tcW w:w="1704" w:type="dxa"/>
            <w:tcBorders>
              <w:tl2br w:val="nil"/>
              <w:tr2bl w:val="nil"/>
            </w:tcBorders>
            <w:vAlign w:val="center"/>
          </w:tcPr>
          <w:p w14:paraId="490F7D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c>
          <w:tcPr>
            <w:tcW w:w="1865" w:type="dxa"/>
            <w:tcBorders>
              <w:tl2br w:val="nil"/>
              <w:tr2bl w:val="nil"/>
            </w:tcBorders>
            <w:vAlign w:val="center"/>
          </w:tcPr>
          <w:p w14:paraId="1A44D5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r>
      <w:tr w14:paraId="50D6BF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68" w:hRule="atLeast"/>
          <w:jc w:val="center"/>
        </w:trPr>
        <w:tc>
          <w:tcPr>
            <w:tcW w:w="1227" w:type="dxa"/>
            <w:tcBorders>
              <w:tl2br w:val="nil"/>
              <w:tr2bl w:val="nil"/>
            </w:tcBorders>
            <w:vAlign w:val="center"/>
          </w:tcPr>
          <w:p w14:paraId="39B2E094">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固体废物</w:t>
            </w:r>
          </w:p>
        </w:tc>
        <w:tc>
          <w:tcPr>
            <w:tcW w:w="2755" w:type="dxa"/>
            <w:tcBorders>
              <w:tl2br w:val="nil"/>
              <w:tr2bl w:val="nil"/>
            </w:tcBorders>
            <w:vAlign w:val="center"/>
          </w:tcPr>
          <w:p w14:paraId="407D0634">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eastAsia" w:ascii="Times New Roman" w:hAnsi="Times New Roman" w:cs="Times New Roman"/>
                <w:color w:val="auto"/>
                <w:spacing w:val="5"/>
                <w:sz w:val="21"/>
                <w:szCs w:val="21"/>
                <w:highlight w:val="none"/>
                <w:lang w:val="en-US" w:eastAsia="zh-CN"/>
              </w:rPr>
              <w:t>废包装材料</w:t>
            </w:r>
            <w:r>
              <w:rPr>
                <w:rFonts w:hint="default" w:ascii="Times New Roman" w:hAnsi="Times New Roman" w:eastAsia="宋体" w:cs="Times New Roman"/>
                <w:color w:val="auto"/>
                <w:spacing w:val="5"/>
                <w:sz w:val="21"/>
                <w:szCs w:val="21"/>
                <w:highlight w:val="none"/>
              </w:rPr>
              <w:t>收集后送至指定地点处置；生活垃圾集中收集后，送至环卫部门指定地点处置</w:t>
            </w:r>
          </w:p>
        </w:tc>
        <w:tc>
          <w:tcPr>
            <w:tcW w:w="1650" w:type="dxa"/>
            <w:tcBorders>
              <w:tl2br w:val="nil"/>
              <w:tr2bl w:val="nil"/>
            </w:tcBorders>
            <w:vAlign w:val="center"/>
          </w:tcPr>
          <w:p w14:paraId="6D7BBA77">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Times New Roman" w:hAnsi="Times New Roman" w:eastAsia="宋体" w:cs="Times New Roman"/>
                <w:color w:val="auto"/>
                <w:spacing w:val="5"/>
                <w:sz w:val="21"/>
                <w:szCs w:val="21"/>
                <w:highlight w:val="none"/>
                <w:lang w:val="en-US" w:eastAsia="zh-CN"/>
              </w:rPr>
            </w:pPr>
            <w:r>
              <w:rPr>
                <w:rFonts w:hint="eastAsia" w:ascii="Times New Roman" w:hAnsi="Times New Roman" w:eastAsia="宋体" w:cs="Times New Roman"/>
                <w:color w:val="auto"/>
                <w:spacing w:val="5"/>
                <w:sz w:val="21"/>
                <w:szCs w:val="21"/>
                <w:highlight w:val="none"/>
                <w:lang w:val="en-US" w:eastAsia="zh-CN"/>
              </w:rPr>
              <w:t>/</w:t>
            </w:r>
          </w:p>
        </w:tc>
        <w:tc>
          <w:tcPr>
            <w:tcW w:w="1704" w:type="dxa"/>
            <w:tcBorders>
              <w:tl2br w:val="nil"/>
              <w:tr2bl w:val="nil"/>
            </w:tcBorders>
            <w:vAlign w:val="center"/>
          </w:tcPr>
          <w:p w14:paraId="3CC333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生活垃圾集中收集后交由环卫部门进行处置</w:t>
            </w:r>
            <w:r>
              <w:rPr>
                <w:rFonts w:hint="eastAsia" w:cs="Times New Roman"/>
                <w:color w:val="auto"/>
                <w:sz w:val="21"/>
                <w:szCs w:val="21"/>
                <w:highlight w:val="none"/>
                <w:lang w:val="en-US" w:eastAsia="zh-CN"/>
              </w:rPr>
              <w:t>，修剪枝叶集中收集后外售综合利用</w:t>
            </w:r>
            <w:r>
              <w:rPr>
                <w:rFonts w:hint="default" w:ascii="Times New Roman" w:hAnsi="Times New Roman" w:eastAsia="宋体" w:cs="Times New Roman"/>
                <w:color w:val="auto"/>
                <w:sz w:val="21"/>
                <w:szCs w:val="21"/>
                <w:highlight w:val="none"/>
                <w:lang w:val="en-US" w:eastAsia="zh-CN"/>
              </w:rPr>
              <w:t>。废试剂瓶/桶、实验废液、废标液、废培养皿、废培养基、过期药品、过期试剂暂存于危废暂存间，交由有资质单位进行处置</w:t>
            </w:r>
          </w:p>
        </w:tc>
        <w:tc>
          <w:tcPr>
            <w:tcW w:w="1865" w:type="dxa"/>
            <w:tcBorders>
              <w:tl2br w:val="nil"/>
              <w:tr2bl w:val="nil"/>
            </w:tcBorders>
            <w:vAlign w:val="center"/>
          </w:tcPr>
          <w:p w14:paraId="4DD226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危险废物贮存污染控制标准》（GB18597-2023）。</w:t>
            </w:r>
          </w:p>
        </w:tc>
      </w:tr>
      <w:tr w14:paraId="36058F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55" w:hRule="atLeast"/>
          <w:jc w:val="center"/>
        </w:trPr>
        <w:tc>
          <w:tcPr>
            <w:tcW w:w="1227" w:type="dxa"/>
            <w:tcBorders>
              <w:tl2br w:val="nil"/>
              <w:tr2bl w:val="nil"/>
            </w:tcBorders>
            <w:vAlign w:val="center"/>
          </w:tcPr>
          <w:p w14:paraId="4BF3774B">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电磁环境</w:t>
            </w:r>
          </w:p>
        </w:tc>
        <w:tc>
          <w:tcPr>
            <w:tcW w:w="2755" w:type="dxa"/>
            <w:tcBorders>
              <w:tl2br w:val="nil"/>
              <w:tr2bl w:val="nil"/>
            </w:tcBorders>
            <w:vAlign w:val="center"/>
          </w:tcPr>
          <w:p w14:paraId="65AF4799">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w:t>
            </w:r>
          </w:p>
        </w:tc>
        <w:tc>
          <w:tcPr>
            <w:tcW w:w="1650" w:type="dxa"/>
            <w:tcBorders>
              <w:tl2br w:val="nil"/>
              <w:tr2bl w:val="nil"/>
            </w:tcBorders>
            <w:vAlign w:val="center"/>
          </w:tcPr>
          <w:p w14:paraId="0686206E">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w:t>
            </w:r>
          </w:p>
        </w:tc>
        <w:tc>
          <w:tcPr>
            <w:tcW w:w="1704" w:type="dxa"/>
            <w:tcBorders>
              <w:tl2br w:val="nil"/>
              <w:tr2bl w:val="nil"/>
            </w:tcBorders>
            <w:vAlign w:val="center"/>
          </w:tcPr>
          <w:p w14:paraId="19E841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c>
          <w:tcPr>
            <w:tcW w:w="1865" w:type="dxa"/>
            <w:tcBorders>
              <w:tl2br w:val="nil"/>
              <w:tr2bl w:val="nil"/>
            </w:tcBorders>
            <w:vAlign w:val="center"/>
          </w:tcPr>
          <w:p w14:paraId="677A15C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r>
      <w:tr w14:paraId="216097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80" w:hRule="atLeast"/>
          <w:jc w:val="center"/>
        </w:trPr>
        <w:tc>
          <w:tcPr>
            <w:tcW w:w="1227" w:type="dxa"/>
            <w:tcBorders>
              <w:tl2br w:val="nil"/>
              <w:tr2bl w:val="nil"/>
            </w:tcBorders>
            <w:vAlign w:val="center"/>
          </w:tcPr>
          <w:p w14:paraId="7A99965F">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环境风险</w:t>
            </w:r>
          </w:p>
        </w:tc>
        <w:tc>
          <w:tcPr>
            <w:tcW w:w="2755" w:type="dxa"/>
            <w:tcBorders>
              <w:tl2br w:val="nil"/>
              <w:tr2bl w:val="nil"/>
            </w:tcBorders>
            <w:vAlign w:val="center"/>
          </w:tcPr>
          <w:p w14:paraId="512018FB">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w:t>
            </w:r>
          </w:p>
        </w:tc>
        <w:tc>
          <w:tcPr>
            <w:tcW w:w="1650" w:type="dxa"/>
            <w:tcBorders>
              <w:tl2br w:val="nil"/>
              <w:tr2bl w:val="nil"/>
            </w:tcBorders>
            <w:vAlign w:val="center"/>
          </w:tcPr>
          <w:p w14:paraId="7D9F5015">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w:t>
            </w:r>
          </w:p>
        </w:tc>
        <w:tc>
          <w:tcPr>
            <w:tcW w:w="1704" w:type="dxa"/>
            <w:tcBorders>
              <w:tl2br w:val="nil"/>
              <w:tr2bl w:val="nil"/>
            </w:tcBorders>
            <w:vAlign w:val="center"/>
          </w:tcPr>
          <w:p w14:paraId="2E10E8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c>
          <w:tcPr>
            <w:tcW w:w="1865" w:type="dxa"/>
            <w:tcBorders>
              <w:tl2br w:val="nil"/>
              <w:tr2bl w:val="nil"/>
            </w:tcBorders>
            <w:vAlign w:val="center"/>
          </w:tcPr>
          <w:p w14:paraId="7598EF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r>
      <w:tr w14:paraId="0F45B8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3" w:hRule="atLeast"/>
          <w:jc w:val="center"/>
        </w:trPr>
        <w:tc>
          <w:tcPr>
            <w:tcW w:w="1227" w:type="dxa"/>
            <w:tcBorders>
              <w:tl2br w:val="nil"/>
              <w:tr2bl w:val="nil"/>
            </w:tcBorders>
            <w:vAlign w:val="center"/>
          </w:tcPr>
          <w:p w14:paraId="220566BA">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环境监测</w:t>
            </w:r>
          </w:p>
        </w:tc>
        <w:tc>
          <w:tcPr>
            <w:tcW w:w="2755" w:type="dxa"/>
            <w:tcBorders>
              <w:tl2br w:val="nil"/>
              <w:tr2bl w:val="nil"/>
            </w:tcBorders>
            <w:vAlign w:val="center"/>
          </w:tcPr>
          <w:p w14:paraId="2D395B05">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Times New Roman" w:hAnsi="Times New Roman" w:eastAsia="宋体" w:cs="Times New Roman"/>
                <w:color w:val="auto"/>
                <w:spacing w:val="5"/>
                <w:sz w:val="21"/>
                <w:szCs w:val="21"/>
                <w:highlight w:val="none"/>
                <w:lang w:eastAsia="zh-CN"/>
              </w:rPr>
            </w:pPr>
            <w:r>
              <w:rPr>
                <w:rFonts w:hint="default" w:ascii="Times New Roman" w:hAnsi="Times New Roman" w:eastAsia="宋体" w:cs="Times New Roman"/>
                <w:color w:val="auto"/>
                <w:spacing w:val="5"/>
                <w:sz w:val="21"/>
                <w:szCs w:val="21"/>
                <w:highlight w:val="none"/>
              </w:rPr>
              <w:t>施工厂界1m处四周各设1点位监测噪声，施工期监测1期，每期监测2天，每天取样1次</w:t>
            </w:r>
            <w:r>
              <w:rPr>
                <w:rFonts w:hint="eastAsia" w:ascii="Times New Roman" w:hAnsi="Times New Roman" w:eastAsia="宋体" w:cs="Times New Roman"/>
                <w:color w:val="auto"/>
                <w:spacing w:val="5"/>
                <w:sz w:val="21"/>
                <w:szCs w:val="21"/>
                <w:highlight w:val="none"/>
                <w:lang w:eastAsia="zh-CN"/>
              </w:rPr>
              <w:t>。</w:t>
            </w:r>
          </w:p>
          <w:p w14:paraId="7FE65453">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cs="Times New Roman"/>
                <w:color w:val="auto"/>
                <w:spacing w:val="5"/>
                <w:sz w:val="21"/>
                <w:szCs w:val="21"/>
                <w:highlight w:val="none"/>
                <w:lang w:val="en-US" w:eastAsia="zh-CN"/>
              </w:rPr>
            </w:pPr>
            <w:r>
              <w:rPr>
                <w:rFonts w:hint="eastAsia" w:ascii="Times New Roman" w:hAnsi="Times New Roman" w:eastAsia="宋体" w:cs="Times New Roman"/>
                <w:color w:val="auto"/>
                <w:spacing w:val="5"/>
                <w:sz w:val="21"/>
                <w:szCs w:val="21"/>
                <w:highlight w:val="none"/>
                <w:lang w:val="en-US" w:eastAsia="zh-CN"/>
              </w:rPr>
              <w:t>施工营地施工期监测1期颗粒物，每期监测 2天，每天取样1次</w:t>
            </w:r>
            <w:r>
              <w:rPr>
                <w:rFonts w:hint="eastAsia" w:ascii="Times New Roman" w:hAnsi="Times New Roman" w:cs="Times New Roman"/>
                <w:color w:val="auto"/>
                <w:spacing w:val="5"/>
                <w:sz w:val="21"/>
                <w:szCs w:val="21"/>
                <w:highlight w:val="none"/>
                <w:lang w:val="en-US" w:eastAsia="zh-CN"/>
              </w:rPr>
              <w:t>；</w:t>
            </w:r>
          </w:p>
        </w:tc>
        <w:tc>
          <w:tcPr>
            <w:tcW w:w="1650" w:type="dxa"/>
            <w:tcBorders>
              <w:tl2br w:val="nil"/>
              <w:tr2bl w:val="nil"/>
            </w:tcBorders>
            <w:vAlign w:val="center"/>
          </w:tcPr>
          <w:p w14:paraId="32F76999">
            <w:pPr>
              <w:pStyle w:val="89"/>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噪声执行《建筑施工噪声排放标准》（GB12523-20</w:t>
            </w:r>
            <w:r>
              <w:rPr>
                <w:rFonts w:hint="eastAsia" w:ascii="Times New Roman" w:hAnsi="Times New Roman" w:cs="Times New Roman"/>
                <w:color w:val="auto"/>
                <w:spacing w:val="5"/>
                <w:sz w:val="21"/>
                <w:szCs w:val="21"/>
                <w:highlight w:val="none"/>
                <w:lang w:val="en-US" w:eastAsia="zh-CN"/>
              </w:rPr>
              <w:t>25</w:t>
            </w:r>
            <w:r>
              <w:rPr>
                <w:rFonts w:hint="default" w:ascii="Times New Roman" w:hAnsi="Times New Roman" w:eastAsia="宋体" w:cs="Times New Roman"/>
                <w:color w:val="auto"/>
                <w:spacing w:val="5"/>
                <w:sz w:val="21"/>
                <w:szCs w:val="21"/>
                <w:highlight w:val="none"/>
              </w:rPr>
              <w:t>）表1中限值；大气执行《大气污染物综合排放标准》(GB16297-1996)中无组织排放监控浓度限值1.0mg/m</w:t>
            </w:r>
            <w:r>
              <w:rPr>
                <w:rFonts w:hint="default" w:ascii="Times New Roman" w:hAnsi="Times New Roman" w:eastAsia="宋体" w:cs="Times New Roman"/>
                <w:color w:val="auto"/>
                <w:spacing w:val="5"/>
                <w:sz w:val="21"/>
                <w:szCs w:val="21"/>
                <w:highlight w:val="none"/>
                <w:vertAlign w:val="superscript"/>
                <w:lang w:val="en-US" w:eastAsia="zh-CN"/>
              </w:rPr>
              <w:t>3</w:t>
            </w:r>
            <w:r>
              <w:rPr>
                <w:rFonts w:hint="default" w:ascii="Times New Roman" w:hAnsi="Times New Roman" w:eastAsia="宋体" w:cs="Times New Roman"/>
                <w:color w:val="auto"/>
                <w:spacing w:val="5"/>
                <w:sz w:val="21"/>
                <w:szCs w:val="21"/>
                <w:highlight w:val="none"/>
              </w:rPr>
              <w:t>。</w:t>
            </w:r>
          </w:p>
        </w:tc>
        <w:tc>
          <w:tcPr>
            <w:tcW w:w="1704" w:type="dxa"/>
            <w:tcBorders>
              <w:tl2br w:val="nil"/>
              <w:tr2bl w:val="nil"/>
            </w:tcBorders>
            <w:vAlign w:val="center"/>
          </w:tcPr>
          <w:p w14:paraId="5B3685A8">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4"/>
                <w:sz w:val="21"/>
                <w:szCs w:val="21"/>
                <w:highlight w:val="none"/>
              </w:rPr>
              <w:t>每季度监测1次厂界噪声，每次</w:t>
            </w:r>
            <w:r>
              <w:rPr>
                <w:rFonts w:hint="default" w:ascii="Times New Roman" w:hAnsi="Times New Roman" w:eastAsia="宋体" w:cs="Times New Roman"/>
                <w:color w:val="auto"/>
                <w:spacing w:val="11"/>
                <w:sz w:val="21"/>
                <w:szCs w:val="21"/>
                <w:highlight w:val="none"/>
              </w:rPr>
              <w:t>昼夜各监测1次</w:t>
            </w:r>
            <w:r>
              <w:rPr>
                <w:rFonts w:hint="eastAsia" w:ascii="Times New Roman" w:hAnsi="Times New Roman" w:cs="Times New Roman"/>
                <w:color w:val="auto"/>
                <w:spacing w:val="11"/>
                <w:sz w:val="21"/>
                <w:szCs w:val="21"/>
                <w:highlight w:val="none"/>
                <w:lang w:eastAsia="zh-CN"/>
              </w:rPr>
              <w:t>；</w:t>
            </w:r>
            <w:r>
              <w:rPr>
                <w:rFonts w:hint="eastAsia" w:ascii="Times New Roman" w:hAnsi="Times New Roman" w:cs="Times New Roman"/>
                <w:color w:val="auto"/>
                <w:spacing w:val="11"/>
                <w:sz w:val="21"/>
                <w:szCs w:val="21"/>
                <w:highlight w:val="none"/>
                <w:lang w:val="en-US" w:eastAsia="zh-CN"/>
              </w:rPr>
              <w:t>厂界每年监测一次，废水总排口每年监测一次。</w:t>
            </w:r>
          </w:p>
        </w:tc>
        <w:tc>
          <w:tcPr>
            <w:tcW w:w="1865" w:type="dxa"/>
            <w:tcBorders>
              <w:tl2br w:val="nil"/>
              <w:tr2bl w:val="nil"/>
            </w:tcBorders>
            <w:vAlign w:val="center"/>
          </w:tcPr>
          <w:p w14:paraId="13B9C045">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23"/>
                <w:sz w:val="21"/>
                <w:szCs w:val="21"/>
                <w:highlight w:val="none"/>
              </w:rPr>
              <w:t>噪声执行《</w:t>
            </w:r>
            <w:r>
              <w:rPr>
                <w:rFonts w:hint="default" w:ascii="Times New Roman" w:hAnsi="Times New Roman" w:eastAsia="宋体" w:cs="Times New Roman"/>
                <w:color w:val="auto"/>
                <w:spacing w:val="-11"/>
                <w:sz w:val="21"/>
                <w:szCs w:val="21"/>
                <w:highlight w:val="none"/>
              </w:rPr>
              <w:t>工</w:t>
            </w:r>
            <w:r>
              <w:rPr>
                <w:rFonts w:hint="default" w:ascii="Times New Roman" w:hAnsi="Times New Roman" w:eastAsia="宋体" w:cs="Times New Roman"/>
                <w:color w:val="auto"/>
                <w:spacing w:val="2"/>
                <w:sz w:val="21"/>
                <w:szCs w:val="21"/>
                <w:highlight w:val="none"/>
              </w:rPr>
              <w:t>业企业厂界</w:t>
            </w:r>
            <w:r>
              <w:rPr>
                <w:rFonts w:hint="default" w:ascii="Times New Roman" w:hAnsi="Times New Roman" w:eastAsia="宋体" w:cs="Times New Roman"/>
                <w:color w:val="auto"/>
                <w:spacing w:val="-1"/>
                <w:sz w:val="21"/>
                <w:szCs w:val="21"/>
                <w:highlight w:val="none"/>
              </w:rPr>
              <w:t>噪声排放标准》</w:t>
            </w:r>
            <w:r>
              <w:rPr>
                <w:rFonts w:hint="default" w:ascii="Times New Roman" w:hAnsi="Times New Roman" w:eastAsia="宋体" w:cs="Times New Roman"/>
                <w:color w:val="auto"/>
                <w:spacing w:val="3"/>
                <w:sz w:val="21"/>
                <w:szCs w:val="21"/>
                <w:highlight w:val="none"/>
              </w:rPr>
              <w:t>（</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3"/>
                <w:sz w:val="21"/>
                <w:szCs w:val="21"/>
                <w:highlight w:val="none"/>
              </w:rPr>
              <w:t>12348-</w:t>
            </w:r>
            <w:r>
              <w:rPr>
                <w:rFonts w:hint="default" w:ascii="Times New Roman" w:hAnsi="Times New Roman" w:eastAsia="宋体" w:cs="Times New Roman"/>
                <w:color w:val="auto"/>
                <w:spacing w:val="-1"/>
                <w:sz w:val="21"/>
                <w:szCs w:val="21"/>
                <w:highlight w:val="none"/>
              </w:rPr>
              <w:t>2008)1类标</w:t>
            </w:r>
            <w:r>
              <w:rPr>
                <w:rFonts w:hint="default" w:ascii="Times New Roman" w:hAnsi="Times New Roman" w:eastAsia="宋体" w:cs="Times New Roman"/>
                <w:color w:val="auto"/>
                <w:sz w:val="21"/>
                <w:szCs w:val="21"/>
                <w:highlight w:val="none"/>
              </w:rPr>
              <w:t>准</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《大气污染物综合排放标准》（GB16297-1996）无组织排放限值；满足《污水综合排放标准》(GB8978-1996)三级标准限值要求。同时满足《污水排入城镇下水道水质标准》（GB/T31962-2015）中A级标准后排入市政管网。</w:t>
            </w:r>
          </w:p>
        </w:tc>
      </w:tr>
      <w:tr w14:paraId="5F780F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40" w:hRule="atLeast"/>
          <w:jc w:val="center"/>
        </w:trPr>
        <w:tc>
          <w:tcPr>
            <w:tcW w:w="1227" w:type="dxa"/>
            <w:tcBorders>
              <w:tl2br w:val="nil"/>
              <w:tr2bl w:val="nil"/>
            </w:tcBorders>
            <w:vAlign w:val="center"/>
          </w:tcPr>
          <w:p w14:paraId="1D3ABF16">
            <w:pPr>
              <w:pStyle w:val="8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w:t>
            </w:r>
          </w:p>
        </w:tc>
        <w:tc>
          <w:tcPr>
            <w:tcW w:w="2755" w:type="dxa"/>
            <w:tcBorders>
              <w:tl2br w:val="nil"/>
              <w:tr2bl w:val="nil"/>
            </w:tcBorders>
            <w:vAlign w:val="center"/>
          </w:tcPr>
          <w:p w14:paraId="72628D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c>
          <w:tcPr>
            <w:tcW w:w="1650" w:type="dxa"/>
            <w:tcBorders>
              <w:tl2br w:val="nil"/>
              <w:tr2bl w:val="nil"/>
            </w:tcBorders>
            <w:vAlign w:val="center"/>
          </w:tcPr>
          <w:p w14:paraId="762CCB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c>
          <w:tcPr>
            <w:tcW w:w="1704" w:type="dxa"/>
            <w:tcBorders>
              <w:tl2br w:val="nil"/>
              <w:tr2bl w:val="nil"/>
            </w:tcBorders>
            <w:vAlign w:val="center"/>
          </w:tcPr>
          <w:p w14:paraId="04FC67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c>
          <w:tcPr>
            <w:tcW w:w="1865" w:type="dxa"/>
            <w:tcBorders>
              <w:tl2br w:val="nil"/>
              <w:tr2bl w:val="nil"/>
            </w:tcBorders>
            <w:vAlign w:val="center"/>
          </w:tcPr>
          <w:p w14:paraId="459D56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r>
    </w:tbl>
    <w:p w14:paraId="2529BF29">
      <w:pPr>
        <w:pStyle w:val="28"/>
        <w:jc w:val="center"/>
        <w:outlineLvl w:val="0"/>
        <w:rPr>
          <w:rFonts w:hint="eastAsia" w:ascii="黑体" w:hAnsi="黑体" w:eastAsia="黑体"/>
          <w:snapToGrid w:val="0"/>
          <w:color w:val="auto"/>
          <w:sz w:val="30"/>
          <w:szCs w:val="30"/>
          <w:highlight w:val="none"/>
          <w:lang w:eastAsia="zh-CN"/>
        </w:rPr>
        <w:sectPr>
          <w:pgSz w:w="11906" w:h="16838"/>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3BE0D74F">
      <w:pPr>
        <w:pStyle w:val="28"/>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lang w:eastAsia="zh-CN"/>
        </w:rPr>
        <w:t>七</w:t>
      </w:r>
      <w:r>
        <w:rPr>
          <w:rFonts w:hint="eastAsia" w:ascii="黑体" w:hAnsi="黑体" w:eastAsia="黑体"/>
          <w:snapToGrid w:val="0"/>
          <w:color w:val="auto"/>
          <w:sz w:val="30"/>
          <w:szCs w:val="30"/>
          <w:highlight w:val="none"/>
        </w:rPr>
        <w:t>、结论</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5DF1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78" w:hRule="atLeast"/>
          <w:jc w:val="center"/>
        </w:trPr>
        <w:tc>
          <w:tcPr>
            <w:tcW w:w="8865" w:type="dxa"/>
            <w:tcBorders>
              <w:tl2br w:val="nil"/>
              <w:tr2bl w:val="nil"/>
            </w:tcBorders>
          </w:tcPr>
          <w:p w14:paraId="7B5BA529">
            <w:pPr>
              <w:spacing w:line="360" w:lineRule="auto"/>
              <w:ind w:firstLine="480" w:firstLineChars="200"/>
              <w:rPr>
                <w:rFonts w:ascii="仿宋_GB2312" w:hAnsi="仿宋_GB2312" w:eastAsia="仿宋_GB2312" w:cs="仿宋_GB2312"/>
                <w:color w:val="auto"/>
                <w:sz w:val="24"/>
                <w:highlight w:val="none"/>
              </w:rPr>
            </w:pPr>
            <w:r>
              <w:rPr>
                <w:rFonts w:hint="default" w:ascii="Times New Roman" w:hAnsi="Times New Roman" w:eastAsia="仿宋_GB2312" w:cs="Times New Roman"/>
                <w:b w:val="0"/>
                <w:bCs w:val="0"/>
                <w:color w:val="auto"/>
                <w:sz w:val="24"/>
                <w:szCs w:val="24"/>
                <w:highlight w:val="none"/>
              </w:rPr>
              <w:t>本项目建设符合国家产业政策、选址基本合理、污染物的防治措施在技术上和经济上可行</w:t>
            </w:r>
            <w:r>
              <w:rPr>
                <w:rFonts w:hint="default" w:ascii="Times New Roman" w:hAnsi="Times New Roman" w:eastAsia="仿宋_GB2312" w:cs="Times New Roman"/>
                <w:b w:val="0"/>
                <w:bCs w:val="0"/>
                <w:color w:val="auto"/>
                <w:sz w:val="24"/>
                <w:szCs w:val="24"/>
                <w:highlight w:val="none"/>
                <w:lang w:eastAsia="zh-CN"/>
              </w:rPr>
              <w:t>，</w:t>
            </w:r>
            <w:r>
              <w:rPr>
                <w:rFonts w:hint="default" w:ascii="Times New Roman" w:hAnsi="Times New Roman" w:eastAsia="仿宋_GB2312" w:cs="Times New Roman"/>
                <w:b w:val="0"/>
                <w:bCs w:val="0"/>
                <w:color w:val="auto"/>
                <w:sz w:val="24"/>
                <w:szCs w:val="24"/>
                <w:highlight w:val="none"/>
              </w:rPr>
              <w:t>能实现达标排放。项目在建设过程中应严格认真执行环境保护</w:t>
            </w:r>
            <w:r>
              <w:rPr>
                <w:rFonts w:hint="default" w:ascii="Times New Roman" w:hAnsi="Times New Roman" w:eastAsia="仿宋_GB2312" w:cs="Times New Roman"/>
                <w:b w:val="0"/>
                <w:bCs w:val="0"/>
                <w:color w:val="auto"/>
                <w:sz w:val="24"/>
                <w:szCs w:val="24"/>
                <w:highlight w:val="none"/>
                <w:lang w:eastAsia="zh-CN"/>
              </w:rPr>
              <w:t>“</w:t>
            </w:r>
            <w:r>
              <w:rPr>
                <w:rFonts w:hint="default" w:ascii="Times New Roman" w:hAnsi="Times New Roman" w:eastAsia="仿宋_GB2312" w:cs="Times New Roman"/>
                <w:b w:val="0"/>
                <w:bCs w:val="0"/>
                <w:color w:val="auto"/>
                <w:sz w:val="24"/>
                <w:szCs w:val="24"/>
                <w:highlight w:val="none"/>
              </w:rPr>
              <w:t>三同时</w:t>
            </w:r>
            <w:r>
              <w:rPr>
                <w:rFonts w:hint="default" w:ascii="Times New Roman" w:hAnsi="Times New Roman" w:eastAsia="仿宋_GB2312" w:cs="Times New Roman"/>
                <w:b w:val="0"/>
                <w:bCs w:val="0"/>
                <w:color w:val="auto"/>
                <w:sz w:val="24"/>
                <w:szCs w:val="24"/>
                <w:highlight w:val="none"/>
                <w:lang w:eastAsia="zh-CN"/>
              </w:rPr>
              <w:t>”</w:t>
            </w:r>
            <w:r>
              <w:rPr>
                <w:rFonts w:hint="default" w:ascii="Times New Roman" w:hAnsi="Times New Roman" w:eastAsia="仿宋_GB2312" w:cs="Times New Roman"/>
                <w:b w:val="0"/>
                <w:bCs w:val="0"/>
                <w:color w:val="auto"/>
                <w:sz w:val="24"/>
                <w:szCs w:val="24"/>
                <w:highlight w:val="none"/>
              </w:rPr>
              <w:t>制度，切实落实本报告的各项污染防治措施和环境管理措施，确保污染物稳定达标排放。从满足区域环境功能和环境质量目标的角度分析，</w:t>
            </w:r>
            <w:r>
              <w:rPr>
                <w:rFonts w:hint="default" w:ascii="Times New Roman" w:hAnsi="Times New Roman" w:eastAsia="仿宋_GB2312" w:cs="Times New Roman"/>
                <w:b/>
                <w:bCs/>
                <w:color w:val="auto"/>
                <w:sz w:val="24"/>
                <w:szCs w:val="24"/>
                <w:highlight w:val="none"/>
              </w:rPr>
              <w:t>项目建设可行。</w:t>
            </w:r>
          </w:p>
        </w:tc>
      </w:tr>
    </w:tbl>
    <w:p w14:paraId="614DD3F3">
      <w:pPr>
        <w:rPr>
          <w:rFonts w:ascii="宋体" w:hAnsi="宋体" w:eastAsia="黑体"/>
          <w:color w:val="auto"/>
          <w:highlight w:val="none"/>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F827FFA-98D6-4A68-8436-8E74210C7A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0665685-E575-4054-A381-072782F8BD9C}"/>
  </w:font>
  <w:font w:name="仿宋_GB2312">
    <w:panose1 w:val="02010609030101010101"/>
    <w:charset w:val="86"/>
    <w:family w:val="modern"/>
    <w:pitch w:val="default"/>
    <w:sig w:usb0="00000001" w:usb1="080E0000" w:usb2="00000000" w:usb3="00000000" w:csb0="00040000" w:csb1="00000000"/>
    <w:embedRegular r:id="rId3" w:fontKey="{DF5D3E6A-3EFC-422A-B9F2-14B32D37F161}"/>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Black">
    <w:panose1 w:val="020B0A04020102020204"/>
    <w:charset w:val="00"/>
    <w:family w:val="swiss"/>
    <w:pitch w:val="default"/>
    <w:sig w:usb0="A00002AF" w:usb1="400078FB" w:usb2="00000000" w:usb3="00000000" w:csb0="6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00" w:usb3="00000000" w:csb0="00040000" w:csb1="00000000"/>
    <w:embedRegular r:id="rId4" w:fontKey="{6D550133-5ACC-4441-8FA2-3FCE562E87AB}"/>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embedRegular r:id="rId5" w:fontKey="{52C640E2-1959-4FC8-AB34-71BCF66EF521}"/>
  </w:font>
  <w:font w:name="仿宋">
    <w:panose1 w:val="02010609060101010101"/>
    <w:charset w:val="86"/>
    <w:family w:val="auto"/>
    <w:pitch w:val="default"/>
    <w:sig w:usb0="800002BF" w:usb1="38CF7CFA" w:usb2="00000016" w:usb3="00000000" w:csb0="00040001" w:csb1="00000000"/>
    <w:embedRegular r:id="rId6" w:fontKey="{5B19111E-6D24-4DCE-970C-B2AF9E97316D}"/>
  </w:font>
  <w:font w:name="Wingdings 2">
    <w:panose1 w:val="05020102010507070707"/>
    <w:charset w:val="02"/>
    <w:family w:val="roman"/>
    <w:pitch w:val="default"/>
    <w:sig w:usb0="00000000" w:usb1="00000000" w:usb2="00000000" w:usb3="00000000" w:csb0="80000000" w:csb1="00000000"/>
    <w:embedRegular r:id="rId7" w:fontKey="{F55F32A8-D0C3-435A-8784-955E778E39E3}"/>
  </w:font>
  <w:font w:name="微软雅黑">
    <w:panose1 w:val="020B0503020204020204"/>
    <w:charset w:val="86"/>
    <w:family w:val="auto"/>
    <w:pitch w:val="default"/>
    <w:sig w:usb0="80000287" w:usb1="2ACF3C50" w:usb2="00000016" w:usb3="00000000" w:csb0="0004001F" w:csb1="00000000"/>
    <w:embedRegular r:id="rId8" w:fontKey="{4382C984-65A8-4939-AA6E-8EE9BF11EC38}"/>
  </w:font>
  <w:font w:name="Tahoma">
    <w:panose1 w:val="020B0604030504040204"/>
    <w:charset w:val="00"/>
    <w:family w:val="auto"/>
    <w:pitch w:val="default"/>
    <w:sig w:usb0="E1002EFF" w:usb1="C000605B" w:usb2="00000029" w:usb3="00000000" w:csb0="200101FF" w:csb1="20280000"/>
  </w:font>
  <w:font w:name="KSOF6B657194">
    <w:panose1 w:val="02020500000000000000"/>
    <w:charset w:val="88"/>
    <w:family w:val="auto"/>
    <w:pitch w:val="default"/>
    <w:sig w:usb0="00000001" w:usb1="00000000"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D9223">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5C1CE">
    <w:pPr>
      <w:pStyle w:val="2"/>
      <w:framePr w:wrap="around" w:vAnchor="text" w:hAnchor="margin" w:xAlign="center" w:y="1"/>
      <w:rPr>
        <w:rStyle w:val="37"/>
      </w:rPr>
    </w:pPr>
    <w:r>
      <w:fldChar w:fldCharType="begin"/>
    </w:r>
    <w:r>
      <w:rPr>
        <w:rStyle w:val="37"/>
      </w:rPr>
      <w:instrText xml:space="preserve">PAGE  </w:instrText>
    </w:r>
    <w:r>
      <w:fldChar w:fldCharType="end"/>
    </w:r>
  </w:p>
  <w:p w14:paraId="20D4C8F8">
    <w:pPr>
      <w:pStyle w:val="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C11CE">
    <w:pPr>
      <w:pStyle w:val="2"/>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492220">
                          <w:pPr>
                            <w:pStyle w:val="2"/>
                          </w:pPr>
                          <w:r>
                            <w:rPr>
                              <w:rFonts w:hint="eastAsia"/>
                            </w:rPr>
                            <w:fldChar w:fldCharType="begin"/>
                          </w:r>
                          <w:r>
                            <w:rPr>
                              <w:rFonts w:hint="eastAsia"/>
                            </w:rPr>
                            <w:instrText xml:space="preserve"> PAGE  \* MERGEFORMAT </w:instrText>
                          </w:r>
                          <w:r>
                            <w:rPr>
                              <w:rFonts w:hint="eastAsia"/>
                            </w:rPr>
                            <w:fldChar w:fldCharType="separate"/>
                          </w:r>
                          <w:r>
                            <w:t>- 23 -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F492220">
                    <w:pPr>
                      <w:pStyle w:val="2"/>
                    </w:pPr>
                    <w:r>
                      <w:rPr>
                        <w:rFonts w:hint="eastAsia"/>
                      </w:rPr>
                      <w:fldChar w:fldCharType="begin"/>
                    </w:r>
                    <w:r>
                      <w:rPr>
                        <w:rFonts w:hint="eastAsia"/>
                      </w:rPr>
                      <w:instrText xml:space="preserve"> PAGE  \* MERGEFORMAT </w:instrText>
                    </w:r>
                    <w:r>
                      <w:rPr>
                        <w:rFonts w:hint="eastAsia"/>
                      </w:rPr>
                      <w:fldChar w:fldCharType="separate"/>
                    </w:r>
                    <w:r>
                      <w:t>- 23 -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A2C65">
    <w:pPr>
      <w:pStyle w:val="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11699">
    <w:pPr>
      <w:pStyle w:val="1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hNmM4NzAxZmNhNTcyNWQzNzg5NGMyYjUwMjhhNWUifQ=="/>
  </w:docVars>
  <w:rsids>
    <w:rsidRoot w:val="00172A27"/>
    <w:rsid w:val="000060B3"/>
    <w:rsid w:val="000276DA"/>
    <w:rsid w:val="0004364B"/>
    <w:rsid w:val="00061B1F"/>
    <w:rsid w:val="000733C4"/>
    <w:rsid w:val="00074783"/>
    <w:rsid w:val="0008070B"/>
    <w:rsid w:val="000810AC"/>
    <w:rsid w:val="00081A02"/>
    <w:rsid w:val="00082154"/>
    <w:rsid w:val="00082231"/>
    <w:rsid w:val="00092D38"/>
    <w:rsid w:val="0009377B"/>
    <w:rsid w:val="000A20C9"/>
    <w:rsid w:val="000B058F"/>
    <w:rsid w:val="000B4467"/>
    <w:rsid w:val="000B4DB9"/>
    <w:rsid w:val="000C09AC"/>
    <w:rsid w:val="000C767F"/>
    <w:rsid w:val="000D5A44"/>
    <w:rsid w:val="000E3ED2"/>
    <w:rsid w:val="000E546E"/>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967C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52A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19E0"/>
    <w:rsid w:val="002C2B17"/>
    <w:rsid w:val="002D3DD0"/>
    <w:rsid w:val="002E1F3A"/>
    <w:rsid w:val="002E298A"/>
    <w:rsid w:val="00301978"/>
    <w:rsid w:val="0030332C"/>
    <w:rsid w:val="003051C2"/>
    <w:rsid w:val="00312296"/>
    <w:rsid w:val="00314F0E"/>
    <w:rsid w:val="00321D8E"/>
    <w:rsid w:val="00325094"/>
    <w:rsid w:val="00325928"/>
    <w:rsid w:val="00332863"/>
    <w:rsid w:val="0033684D"/>
    <w:rsid w:val="00337B42"/>
    <w:rsid w:val="00340BB7"/>
    <w:rsid w:val="00341B42"/>
    <w:rsid w:val="0034348F"/>
    <w:rsid w:val="00356653"/>
    <w:rsid w:val="0035680E"/>
    <w:rsid w:val="0035743F"/>
    <w:rsid w:val="00357BE2"/>
    <w:rsid w:val="0036170C"/>
    <w:rsid w:val="00366E0F"/>
    <w:rsid w:val="00381A72"/>
    <w:rsid w:val="00384676"/>
    <w:rsid w:val="00385155"/>
    <w:rsid w:val="00390857"/>
    <w:rsid w:val="003918F2"/>
    <w:rsid w:val="003A4BF3"/>
    <w:rsid w:val="003B420D"/>
    <w:rsid w:val="003C6C16"/>
    <w:rsid w:val="003D794D"/>
    <w:rsid w:val="003E3058"/>
    <w:rsid w:val="003E76A9"/>
    <w:rsid w:val="003F03C3"/>
    <w:rsid w:val="003F0809"/>
    <w:rsid w:val="003F6A8C"/>
    <w:rsid w:val="003F755C"/>
    <w:rsid w:val="00406F01"/>
    <w:rsid w:val="00416D50"/>
    <w:rsid w:val="00416FD5"/>
    <w:rsid w:val="00417772"/>
    <w:rsid w:val="00420E6A"/>
    <w:rsid w:val="00425A9E"/>
    <w:rsid w:val="00426D6B"/>
    <w:rsid w:val="00431E6C"/>
    <w:rsid w:val="00433CE7"/>
    <w:rsid w:val="00443D14"/>
    <w:rsid w:val="0044415B"/>
    <w:rsid w:val="00452738"/>
    <w:rsid w:val="00456091"/>
    <w:rsid w:val="00466321"/>
    <w:rsid w:val="00484B9B"/>
    <w:rsid w:val="004855F6"/>
    <w:rsid w:val="0048661E"/>
    <w:rsid w:val="00494670"/>
    <w:rsid w:val="004A3823"/>
    <w:rsid w:val="004E6946"/>
    <w:rsid w:val="004F1AD8"/>
    <w:rsid w:val="004F7597"/>
    <w:rsid w:val="005039CB"/>
    <w:rsid w:val="0050558F"/>
    <w:rsid w:val="00506286"/>
    <w:rsid w:val="00510813"/>
    <w:rsid w:val="00511990"/>
    <w:rsid w:val="00511DE0"/>
    <w:rsid w:val="00514870"/>
    <w:rsid w:val="00514B9B"/>
    <w:rsid w:val="00517F02"/>
    <w:rsid w:val="00524303"/>
    <w:rsid w:val="005258A2"/>
    <w:rsid w:val="00530A7E"/>
    <w:rsid w:val="005401AE"/>
    <w:rsid w:val="00542E07"/>
    <w:rsid w:val="00545424"/>
    <w:rsid w:val="00554A7B"/>
    <w:rsid w:val="0055572C"/>
    <w:rsid w:val="0056106A"/>
    <w:rsid w:val="005720AE"/>
    <w:rsid w:val="00594D77"/>
    <w:rsid w:val="005969E4"/>
    <w:rsid w:val="005A06B7"/>
    <w:rsid w:val="005A1759"/>
    <w:rsid w:val="005A64C9"/>
    <w:rsid w:val="005A68A7"/>
    <w:rsid w:val="005B5FC5"/>
    <w:rsid w:val="005C61A2"/>
    <w:rsid w:val="005D36AB"/>
    <w:rsid w:val="00600645"/>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2C97"/>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5CE6"/>
    <w:rsid w:val="008F60D8"/>
    <w:rsid w:val="00902727"/>
    <w:rsid w:val="0090312B"/>
    <w:rsid w:val="0091736D"/>
    <w:rsid w:val="0093037A"/>
    <w:rsid w:val="0094154D"/>
    <w:rsid w:val="00947AAF"/>
    <w:rsid w:val="0095155F"/>
    <w:rsid w:val="00954429"/>
    <w:rsid w:val="009563CE"/>
    <w:rsid w:val="0097629E"/>
    <w:rsid w:val="00976328"/>
    <w:rsid w:val="0097680D"/>
    <w:rsid w:val="00982438"/>
    <w:rsid w:val="0098404C"/>
    <w:rsid w:val="00985283"/>
    <w:rsid w:val="00995992"/>
    <w:rsid w:val="00996A00"/>
    <w:rsid w:val="009A03E5"/>
    <w:rsid w:val="009A0F3B"/>
    <w:rsid w:val="009A1BB4"/>
    <w:rsid w:val="009A2628"/>
    <w:rsid w:val="009A3200"/>
    <w:rsid w:val="009B0897"/>
    <w:rsid w:val="009B7BD9"/>
    <w:rsid w:val="009C2C7F"/>
    <w:rsid w:val="009C7DD5"/>
    <w:rsid w:val="009E227D"/>
    <w:rsid w:val="009E5019"/>
    <w:rsid w:val="00A04F1B"/>
    <w:rsid w:val="00A0501B"/>
    <w:rsid w:val="00A14947"/>
    <w:rsid w:val="00A32A83"/>
    <w:rsid w:val="00A368DB"/>
    <w:rsid w:val="00A423AA"/>
    <w:rsid w:val="00A53EC6"/>
    <w:rsid w:val="00A55C0F"/>
    <w:rsid w:val="00A73A39"/>
    <w:rsid w:val="00A74CF7"/>
    <w:rsid w:val="00A8713F"/>
    <w:rsid w:val="00A90BA1"/>
    <w:rsid w:val="00A97A9A"/>
    <w:rsid w:val="00AA0671"/>
    <w:rsid w:val="00AA2531"/>
    <w:rsid w:val="00AA5870"/>
    <w:rsid w:val="00AB1E09"/>
    <w:rsid w:val="00AB5330"/>
    <w:rsid w:val="00AB7747"/>
    <w:rsid w:val="00AC14CE"/>
    <w:rsid w:val="00AC2A56"/>
    <w:rsid w:val="00AD055E"/>
    <w:rsid w:val="00AD47A7"/>
    <w:rsid w:val="00AF0CBF"/>
    <w:rsid w:val="00AF257F"/>
    <w:rsid w:val="00AF33CF"/>
    <w:rsid w:val="00AF4D50"/>
    <w:rsid w:val="00AF6179"/>
    <w:rsid w:val="00B073B0"/>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C7EBC"/>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8718B"/>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0C67"/>
    <w:rsid w:val="00E412D0"/>
    <w:rsid w:val="00E56322"/>
    <w:rsid w:val="00E60982"/>
    <w:rsid w:val="00E610FC"/>
    <w:rsid w:val="00E62C62"/>
    <w:rsid w:val="00E654C1"/>
    <w:rsid w:val="00E65D97"/>
    <w:rsid w:val="00E72A5A"/>
    <w:rsid w:val="00E73354"/>
    <w:rsid w:val="00E75F6B"/>
    <w:rsid w:val="00E9242D"/>
    <w:rsid w:val="00EA7B87"/>
    <w:rsid w:val="00EB2B85"/>
    <w:rsid w:val="00EB5255"/>
    <w:rsid w:val="00EB5C47"/>
    <w:rsid w:val="00EC599E"/>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F4C6E"/>
    <w:rsid w:val="01101675"/>
    <w:rsid w:val="0122204E"/>
    <w:rsid w:val="01290F7E"/>
    <w:rsid w:val="012D2227"/>
    <w:rsid w:val="0132574B"/>
    <w:rsid w:val="01386407"/>
    <w:rsid w:val="015D1E09"/>
    <w:rsid w:val="01763BCE"/>
    <w:rsid w:val="0210576C"/>
    <w:rsid w:val="021D673F"/>
    <w:rsid w:val="022D1001"/>
    <w:rsid w:val="022E0211"/>
    <w:rsid w:val="02697903"/>
    <w:rsid w:val="028551FB"/>
    <w:rsid w:val="02866093"/>
    <w:rsid w:val="029F223D"/>
    <w:rsid w:val="02E65F44"/>
    <w:rsid w:val="02EF2D80"/>
    <w:rsid w:val="02F96569"/>
    <w:rsid w:val="03100052"/>
    <w:rsid w:val="03651944"/>
    <w:rsid w:val="037979A5"/>
    <w:rsid w:val="03AA5DB1"/>
    <w:rsid w:val="03B0434E"/>
    <w:rsid w:val="03E84F46"/>
    <w:rsid w:val="03EA7B21"/>
    <w:rsid w:val="041B0A5C"/>
    <w:rsid w:val="042E0790"/>
    <w:rsid w:val="042F4508"/>
    <w:rsid w:val="04572531"/>
    <w:rsid w:val="046248DD"/>
    <w:rsid w:val="046505E8"/>
    <w:rsid w:val="047346B0"/>
    <w:rsid w:val="048E79EB"/>
    <w:rsid w:val="049F436D"/>
    <w:rsid w:val="04B2316F"/>
    <w:rsid w:val="04BE504B"/>
    <w:rsid w:val="04C51CFD"/>
    <w:rsid w:val="04D25314"/>
    <w:rsid w:val="04F04B7B"/>
    <w:rsid w:val="04F5062E"/>
    <w:rsid w:val="05131191"/>
    <w:rsid w:val="05177476"/>
    <w:rsid w:val="05774F2C"/>
    <w:rsid w:val="05796EC1"/>
    <w:rsid w:val="05800927"/>
    <w:rsid w:val="05880374"/>
    <w:rsid w:val="058C76C3"/>
    <w:rsid w:val="059C5BCD"/>
    <w:rsid w:val="05A50AC0"/>
    <w:rsid w:val="05A86320"/>
    <w:rsid w:val="05CF17C3"/>
    <w:rsid w:val="05D45367"/>
    <w:rsid w:val="05F83EAE"/>
    <w:rsid w:val="060043AE"/>
    <w:rsid w:val="06207321"/>
    <w:rsid w:val="062B4E31"/>
    <w:rsid w:val="063E7D85"/>
    <w:rsid w:val="0671705A"/>
    <w:rsid w:val="067D08E8"/>
    <w:rsid w:val="068F6D3F"/>
    <w:rsid w:val="06A3633C"/>
    <w:rsid w:val="06A81CB5"/>
    <w:rsid w:val="06D7510F"/>
    <w:rsid w:val="06EC65D1"/>
    <w:rsid w:val="06FF4708"/>
    <w:rsid w:val="07146C2B"/>
    <w:rsid w:val="07235E66"/>
    <w:rsid w:val="0728596A"/>
    <w:rsid w:val="07293586"/>
    <w:rsid w:val="07295285"/>
    <w:rsid w:val="0746370A"/>
    <w:rsid w:val="07636392"/>
    <w:rsid w:val="07737303"/>
    <w:rsid w:val="07770C56"/>
    <w:rsid w:val="077741FC"/>
    <w:rsid w:val="07AA2823"/>
    <w:rsid w:val="07DD49A7"/>
    <w:rsid w:val="08646E76"/>
    <w:rsid w:val="088466D6"/>
    <w:rsid w:val="08AB6853"/>
    <w:rsid w:val="08AF6BC6"/>
    <w:rsid w:val="08B35707"/>
    <w:rsid w:val="08DF64FD"/>
    <w:rsid w:val="08E433F8"/>
    <w:rsid w:val="08F1233F"/>
    <w:rsid w:val="08F17FDE"/>
    <w:rsid w:val="08F30BBC"/>
    <w:rsid w:val="092217DD"/>
    <w:rsid w:val="093A7294"/>
    <w:rsid w:val="09C94AB7"/>
    <w:rsid w:val="09F204B1"/>
    <w:rsid w:val="0A1E1CBC"/>
    <w:rsid w:val="0A263993"/>
    <w:rsid w:val="0A2D3AC2"/>
    <w:rsid w:val="0A3F4C87"/>
    <w:rsid w:val="0A410EC9"/>
    <w:rsid w:val="0A434C51"/>
    <w:rsid w:val="0A490546"/>
    <w:rsid w:val="0A4F48B5"/>
    <w:rsid w:val="0AA755DF"/>
    <w:rsid w:val="0AAF1847"/>
    <w:rsid w:val="0AB85F1E"/>
    <w:rsid w:val="0ADF139B"/>
    <w:rsid w:val="0B120D44"/>
    <w:rsid w:val="0B543555"/>
    <w:rsid w:val="0B6C2585"/>
    <w:rsid w:val="0B774832"/>
    <w:rsid w:val="0BCB0B2B"/>
    <w:rsid w:val="0BD27BF6"/>
    <w:rsid w:val="0BEE21BC"/>
    <w:rsid w:val="0C3B3C7D"/>
    <w:rsid w:val="0C963C62"/>
    <w:rsid w:val="0CA158D2"/>
    <w:rsid w:val="0CAB2EAE"/>
    <w:rsid w:val="0CE51C08"/>
    <w:rsid w:val="0CEC568C"/>
    <w:rsid w:val="0CF14A50"/>
    <w:rsid w:val="0CF462EF"/>
    <w:rsid w:val="0D2C5A88"/>
    <w:rsid w:val="0D58015B"/>
    <w:rsid w:val="0D581F8F"/>
    <w:rsid w:val="0D5B011C"/>
    <w:rsid w:val="0D621C7D"/>
    <w:rsid w:val="0D881DA4"/>
    <w:rsid w:val="0DA14385"/>
    <w:rsid w:val="0DA3348D"/>
    <w:rsid w:val="0DFF09EB"/>
    <w:rsid w:val="0E0F1632"/>
    <w:rsid w:val="0E211365"/>
    <w:rsid w:val="0E245572"/>
    <w:rsid w:val="0E3A5F83"/>
    <w:rsid w:val="0E4E1C7F"/>
    <w:rsid w:val="0E73034D"/>
    <w:rsid w:val="0E9438AA"/>
    <w:rsid w:val="0E9F0AB6"/>
    <w:rsid w:val="0EAC6FC4"/>
    <w:rsid w:val="0F13775A"/>
    <w:rsid w:val="0F2E0B64"/>
    <w:rsid w:val="0F3C1481"/>
    <w:rsid w:val="0F4C11EE"/>
    <w:rsid w:val="0F533052"/>
    <w:rsid w:val="0F5F45FE"/>
    <w:rsid w:val="0F861C9B"/>
    <w:rsid w:val="0F9A112B"/>
    <w:rsid w:val="0FA17A7C"/>
    <w:rsid w:val="0FC517BC"/>
    <w:rsid w:val="0FD91EF8"/>
    <w:rsid w:val="0FE77D60"/>
    <w:rsid w:val="0FED59A3"/>
    <w:rsid w:val="10190546"/>
    <w:rsid w:val="101C7F87"/>
    <w:rsid w:val="103D28B6"/>
    <w:rsid w:val="105139B2"/>
    <w:rsid w:val="1053332C"/>
    <w:rsid w:val="106D2F64"/>
    <w:rsid w:val="10963305"/>
    <w:rsid w:val="10B63710"/>
    <w:rsid w:val="10B63FE7"/>
    <w:rsid w:val="10C34956"/>
    <w:rsid w:val="10C84DFB"/>
    <w:rsid w:val="10F10820"/>
    <w:rsid w:val="10F13DE0"/>
    <w:rsid w:val="111C2F7A"/>
    <w:rsid w:val="112C3DF5"/>
    <w:rsid w:val="11523D47"/>
    <w:rsid w:val="11535CDA"/>
    <w:rsid w:val="11665CA1"/>
    <w:rsid w:val="11851C0B"/>
    <w:rsid w:val="11974341"/>
    <w:rsid w:val="11A16A45"/>
    <w:rsid w:val="11D56D42"/>
    <w:rsid w:val="12046FD4"/>
    <w:rsid w:val="12072620"/>
    <w:rsid w:val="1279748D"/>
    <w:rsid w:val="12850115"/>
    <w:rsid w:val="12851EC3"/>
    <w:rsid w:val="12CD386A"/>
    <w:rsid w:val="132611D0"/>
    <w:rsid w:val="133E3C6D"/>
    <w:rsid w:val="1361776E"/>
    <w:rsid w:val="13691DD8"/>
    <w:rsid w:val="13951726"/>
    <w:rsid w:val="1396431F"/>
    <w:rsid w:val="13E64BE3"/>
    <w:rsid w:val="140E7C96"/>
    <w:rsid w:val="14243CFB"/>
    <w:rsid w:val="142E658A"/>
    <w:rsid w:val="14396509"/>
    <w:rsid w:val="14757D15"/>
    <w:rsid w:val="147C5547"/>
    <w:rsid w:val="14802C1C"/>
    <w:rsid w:val="14842C87"/>
    <w:rsid w:val="14874299"/>
    <w:rsid w:val="14DD2C3C"/>
    <w:rsid w:val="14DD4B1E"/>
    <w:rsid w:val="14EC3391"/>
    <w:rsid w:val="151149C3"/>
    <w:rsid w:val="151C55B2"/>
    <w:rsid w:val="154C2C7E"/>
    <w:rsid w:val="158D0E46"/>
    <w:rsid w:val="15B960E7"/>
    <w:rsid w:val="15C4403A"/>
    <w:rsid w:val="15C6423D"/>
    <w:rsid w:val="15CE592F"/>
    <w:rsid w:val="15F76B45"/>
    <w:rsid w:val="16087E1D"/>
    <w:rsid w:val="16143AE9"/>
    <w:rsid w:val="161F43DC"/>
    <w:rsid w:val="162E0AC3"/>
    <w:rsid w:val="164107F7"/>
    <w:rsid w:val="16491459"/>
    <w:rsid w:val="16506345"/>
    <w:rsid w:val="16922E00"/>
    <w:rsid w:val="16970417"/>
    <w:rsid w:val="16AE5407"/>
    <w:rsid w:val="16BF5AEC"/>
    <w:rsid w:val="16CA1501"/>
    <w:rsid w:val="16D849B0"/>
    <w:rsid w:val="16F50A0B"/>
    <w:rsid w:val="16F53429"/>
    <w:rsid w:val="17125CEF"/>
    <w:rsid w:val="172D2B29"/>
    <w:rsid w:val="17372983"/>
    <w:rsid w:val="1763654B"/>
    <w:rsid w:val="176A5B2B"/>
    <w:rsid w:val="17700F56"/>
    <w:rsid w:val="17701D14"/>
    <w:rsid w:val="17735226"/>
    <w:rsid w:val="17824C23"/>
    <w:rsid w:val="17956C76"/>
    <w:rsid w:val="17975FDC"/>
    <w:rsid w:val="17D631C0"/>
    <w:rsid w:val="17FA594C"/>
    <w:rsid w:val="18481362"/>
    <w:rsid w:val="18746085"/>
    <w:rsid w:val="18773775"/>
    <w:rsid w:val="18866995"/>
    <w:rsid w:val="189659FF"/>
    <w:rsid w:val="189F624C"/>
    <w:rsid w:val="18CB084B"/>
    <w:rsid w:val="18D1090E"/>
    <w:rsid w:val="18E37943"/>
    <w:rsid w:val="18ED7C61"/>
    <w:rsid w:val="1912647A"/>
    <w:rsid w:val="191C3BEB"/>
    <w:rsid w:val="194B54E8"/>
    <w:rsid w:val="199C7AF2"/>
    <w:rsid w:val="1A0B1846"/>
    <w:rsid w:val="1A1C66C0"/>
    <w:rsid w:val="1A3C0B8F"/>
    <w:rsid w:val="1A42393B"/>
    <w:rsid w:val="1A584361"/>
    <w:rsid w:val="1A655CA1"/>
    <w:rsid w:val="1A7D624A"/>
    <w:rsid w:val="1AAD45DE"/>
    <w:rsid w:val="1B046F80"/>
    <w:rsid w:val="1B174E3A"/>
    <w:rsid w:val="1B19207D"/>
    <w:rsid w:val="1B3267B5"/>
    <w:rsid w:val="1B40161D"/>
    <w:rsid w:val="1B441859"/>
    <w:rsid w:val="1B484B32"/>
    <w:rsid w:val="1B60171F"/>
    <w:rsid w:val="1B6606B1"/>
    <w:rsid w:val="1B855497"/>
    <w:rsid w:val="1B964E9C"/>
    <w:rsid w:val="1BA063CD"/>
    <w:rsid w:val="1BAA0BEC"/>
    <w:rsid w:val="1BAD1FB6"/>
    <w:rsid w:val="1BE45D65"/>
    <w:rsid w:val="1BE85F5C"/>
    <w:rsid w:val="1BF73EA9"/>
    <w:rsid w:val="1C0C71B1"/>
    <w:rsid w:val="1C3C12E2"/>
    <w:rsid w:val="1C444B9D"/>
    <w:rsid w:val="1C4E77C9"/>
    <w:rsid w:val="1C5E7925"/>
    <w:rsid w:val="1C6A484E"/>
    <w:rsid w:val="1C7B63D1"/>
    <w:rsid w:val="1CA04843"/>
    <w:rsid w:val="1CA732C5"/>
    <w:rsid w:val="1CBF06C7"/>
    <w:rsid w:val="1CCB1873"/>
    <w:rsid w:val="1CCC1E28"/>
    <w:rsid w:val="1CE912A0"/>
    <w:rsid w:val="1CFD070F"/>
    <w:rsid w:val="1D0C1E50"/>
    <w:rsid w:val="1D2D73DF"/>
    <w:rsid w:val="1D395A93"/>
    <w:rsid w:val="1D5F6196"/>
    <w:rsid w:val="1D6132A5"/>
    <w:rsid w:val="1D81772B"/>
    <w:rsid w:val="1D8E56D5"/>
    <w:rsid w:val="1DAA7D92"/>
    <w:rsid w:val="1DCC1A4F"/>
    <w:rsid w:val="1DE33F41"/>
    <w:rsid w:val="1DE7541A"/>
    <w:rsid w:val="1E312EFF"/>
    <w:rsid w:val="1E4C7D38"/>
    <w:rsid w:val="1E6037E4"/>
    <w:rsid w:val="1E6119DD"/>
    <w:rsid w:val="1E74728F"/>
    <w:rsid w:val="1E7A43DA"/>
    <w:rsid w:val="1F38206B"/>
    <w:rsid w:val="1F5C523A"/>
    <w:rsid w:val="1F605651"/>
    <w:rsid w:val="1F903C55"/>
    <w:rsid w:val="1FDB5AA2"/>
    <w:rsid w:val="1FE7539E"/>
    <w:rsid w:val="1FED7AA3"/>
    <w:rsid w:val="2000527E"/>
    <w:rsid w:val="20533C20"/>
    <w:rsid w:val="20671BE0"/>
    <w:rsid w:val="207215AC"/>
    <w:rsid w:val="20801654"/>
    <w:rsid w:val="20963CB8"/>
    <w:rsid w:val="20992FDD"/>
    <w:rsid w:val="20A81A1B"/>
    <w:rsid w:val="20AE400E"/>
    <w:rsid w:val="20AF45AF"/>
    <w:rsid w:val="20B07FB6"/>
    <w:rsid w:val="20B363CC"/>
    <w:rsid w:val="20B646FB"/>
    <w:rsid w:val="20DA787E"/>
    <w:rsid w:val="20ED43EC"/>
    <w:rsid w:val="213276BA"/>
    <w:rsid w:val="213B74B1"/>
    <w:rsid w:val="214D3516"/>
    <w:rsid w:val="215A2310"/>
    <w:rsid w:val="216B497A"/>
    <w:rsid w:val="21784213"/>
    <w:rsid w:val="2197576F"/>
    <w:rsid w:val="21A25092"/>
    <w:rsid w:val="21B46321"/>
    <w:rsid w:val="21BC3427"/>
    <w:rsid w:val="21D304CD"/>
    <w:rsid w:val="21DE318A"/>
    <w:rsid w:val="21EF5B80"/>
    <w:rsid w:val="22093F1B"/>
    <w:rsid w:val="220B1425"/>
    <w:rsid w:val="2217626B"/>
    <w:rsid w:val="22576990"/>
    <w:rsid w:val="22B61C24"/>
    <w:rsid w:val="22BA4BE2"/>
    <w:rsid w:val="22D532AF"/>
    <w:rsid w:val="22D8597A"/>
    <w:rsid w:val="22E03145"/>
    <w:rsid w:val="22F47480"/>
    <w:rsid w:val="23181E35"/>
    <w:rsid w:val="231D7CD0"/>
    <w:rsid w:val="232E2103"/>
    <w:rsid w:val="23515DF1"/>
    <w:rsid w:val="236C410E"/>
    <w:rsid w:val="2376485C"/>
    <w:rsid w:val="23774748"/>
    <w:rsid w:val="2397268D"/>
    <w:rsid w:val="23983A20"/>
    <w:rsid w:val="23C54BB2"/>
    <w:rsid w:val="23CD5478"/>
    <w:rsid w:val="23DE1C48"/>
    <w:rsid w:val="23FA7D11"/>
    <w:rsid w:val="240210CD"/>
    <w:rsid w:val="242E6A29"/>
    <w:rsid w:val="244A2F6C"/>
    <w:rsid w:val="244F2331"/>
    <w:rsid w:val="246D27B7"/>
    <w:rsid w:val="246F29D3"/>
    <w:rsid w:val="247B4ED4"/>
    <w:rsid w:val="248F097F"/>
    <w:rsid w:val="24BF09F7"/>
    <w:rsid w:val="24C94E08"/>
    <w:rsid w:val="24D02818"/>
    <w:rsid w:val="24FE78B3"/>
    <w:rsid w:val="251100F1"/>
    <w:rsid w:val="25164BFC"/>
    <w:rsid w:val="252D53FE"/>
    <w:rsid w:val="25B032A3"/>
    <w:rsid w:val="25B85CB3"/>
    <w:rsid w:val="25E371D4"/>
    <w:rsid w:val="25EC2D81"/>
    <w:rsid w:val="26291332"/>
    <w:rsid w:val="262D1B51"/>
    <w:rsid w:val="26740447"/>
    <w:rsid w:val="268A76AC"/>
    <w:rsid w:val="26B741BD"/>
    <w:rsid w:val="26D73FC6"/>
    <w:rsid w:val="26D7601D"/>
    <w:rsid w:val="26D905D7"/>
    <w:rsid w:val="26DF3ADE"/>
    <w:rsid w:val="26EC646C"/>
    <w:rsid w:val="26F6277A"/>
    <w:rsid w:val="27004E49"/>
    <w:rsid w:val="270F7EFF"/>
    <w:rsid w:val="27383550"/>
    <w:rsid w:val="275A0816"/>
    <w:rsid w:val="275F6D2E"/>
    <w:rsid w:val="277057A2"/>
    <w:rsid w:val="27BC5E55"/>
    <w:rsid w:val="27C272BD"/>
    <w:rsid w:val="27C70430"/>
    <w:rsid w:val="27E70AD2"/>
    <w:rsid w:val="27FF406E"/>
    <w:rsid w:val="28081174"/>
    <w:rsid w:val="28561C88"/>
    <w:rsid w:val="285C7A42"/>
    <w:rsid w:val="286B6D4C"/>
    <w:rsid w:val="28866C2D"/>
    <w:rsid w:val="28B9246E"/>
    <w:rsid w:val="28DC43AF"/>
    <w:rsid w:val="28EB63A0"/>
    <w:rsid w:val="290E1520"/>
    <w:rsid w:val="29206EB8"/>
    <w:rsid w:val="292E6DD1"/>
    <w:rsid w:val="294262AC"/>
    <w:rsid w:val="29455AB0"/>
    <w:rsid w:val="29595666"/>
    <w:rsid w:val="296C74E1"/>
    <w:rsid w:val="296D037D"/>
    <w:rsid w:val="29874881"/>
    <w:rsid w:val="29B9024C"/>
    <w:rsid w:val="29C95F5D"/>
    <w:rsid w:val="29E325E0"/>
    <w:rsid w:val="2A294803"/>
    <w:rsid w:val="2A452503"/>
    <w:rsid w:val="2A73489F"/>
    <w:rsid w:val="2A746336"/>
    <w:rsid w:val="2A8D5961"/>
    <w:rsid w:val="2AA84549"/>
    <w:rsid w:val="2AAA65EC"/>
    <w:rsid w:val="2AAD6003"/>
    <w:rsid w:val="2AB84AA0"/>
    <w:rsid w:val="2ACC2454"/>
    <w:rsid w:val="2AED4651"/>
    <w:rsid w:val="2AF87F55"/>
    <w:rsid w:val="2B012531"/>
    <w:rsid w:val="2B38036C"/>
    <w:rsid w:val="2B402928"/>
    <w:rsid w:val="2B404D34"/>
    <w:rsid w:val="2B4F5A75"/>
    <w:rsid w:val="2B551C6C"/>
    <w:rsid w:val="2B7D7783"/>
    <w:rsid w:val="2B874C0D"/>
    <w:rsid w:val="2BA6092A"/>
    <w:rsid w:val="2BA936A8"/>
    <w:rsid w:val="2BAD5947"/>
    <w:rsid w:val="2BD670F1"/>
    <w:rsid w:val="2BDA3485"/>
    <w:rsid w:val="2C315A5A"/>
    <w:rsid w:val="2C3C01C5"/>
    <w:rsid w:val="2C4B1C25"/>
    <w:rsid w:val="2C4D5059"/>
    <w:rsid w:val="2C7A1F15"/>
    <w:rsid w:val="2C8851AD"/>
    <w:rsid w:val="2CAB4A8D"/>
    <w:rsid w:val="2D1C4D7A"/>
    <w:rsid w:val="2D652BC5"/>
    <w:rsid w:val="2D68116A"/>
    <w:rsid w:val="2D9E56F5"/>
    <w:rsid w:val="2DA510B5"/>
    <w:rsid w:val="2DA5538E"/>
    <w:rsid w:val="2DB9081B"/>
    <w:rsid w:val="2DC31699"/>
    <w:rsid w:val="2DCA445E"/>
    <w:rsid w:val="2E0440E1"/>
    <w:rsid w:val="2E093550"/>
    <w:rsid w:val="2E1B3283"/>
    <w:rsid w:val="2E667F96"/>
    <w:rsid w:val="2E8226AB"/>
    <w:rsid w:val="2E881E11"/>
    <w:rsid w:val="2EAE40F8"/>
    <w:rsid w:val="2EAF7A9D"/>
    <w:rsid w:val="2EBF6305"/>
    <w:rsid w:val="2EE31FF3"/>
    <w:rsid w:val="2F3343D8"/>
    <w:rsid w:val="2F726C5C"/>
    <w:rsid w:val="2F8F7B38"/>
    <w:rsid w:val="2FAF1ED5"/>
    <w:rsid w:val="2FD065E6"/>
    <w:rsid w:val="2FD96870"/>
    <w:rsid w:val="2FDE30CD"/>
    <w:rsid w:val="30422D49"/>
    <w:rsid w:val="30580BC9"/>
    <w:rsid w:val="3069765E"/>
    <w:rsid w:val="30891518"/>
    <w:rsid w:val="30CF406E"/>
    <w:rsid w:val="31197F4E"/>
    <w:rsid w:val="311E2ED7"/>
    <w:rsid w:val="311F12DD"/>
    <w:rsid w:val="315619EE"/>
    <w:rsid w:val="31592A40"/>
    <w:rsid w:val="315C449C"/>
    <w:rsid w:val="315C6121"/>
    <w:rsid w:val="316916AD"/>
    <w:rsid w:val="317E76EA"/>
    <w:rsid w:val="31813D45"/>
    <w:rsid w:val="31B21721"/>
    <w:rsid w:val="31B82709"/>
    <w:rsid w:val="31D05482"/>
    <w:rsid w:val="31F2523F"/>
    <w:rsid w:val="31F4701E"/>
    <w:rsid w:val="323E39E4"/>
    <w:rsid w:val="32400B34"/>
    <w:rsid w:val="324441EF"/>
    <w:rsid w:val="32917FB8"/>
    <w:rsid w:val="329522B4"/>
    <w:rsid w:val="329E6876"/>
    <w:rsid w:val="32B144B8"/>
    <w:rsid w:val="331D184C"/>
    <w:rsid w:val="33227705"/>
    <w:rsid w:val="332E241D"/>
    <w:rsid w:val="333015F2"/>
    <w:rsid w:val="3344279D"/>
    <w:rsid w:val="334B6320"/>
    <w:rsid w:val="335E1A00"/>
    <w:rsid w:val="337C0E87"/>
    <w:rsid w:val="33863895"/>
    <w:rsid w:val="33896EE1"/>
    <w:rsid w:val="33A1509C"/>
    <w:rsid w:val="33AB32FB"/>
    <w:rsid w:val="33C10429"/>
    <w:rsid w:val="33C922B7"/>
    <w:rsid w:val="33D934D4"/>
    <w:rsid w:val="33DA14EB"/>
    <w:rsid w:val="33FE2F6A"/>
    <w:rsid w:val="340E07E5"/>
    <w:rsid w:val="34235BF7"/>
    <w:rsid w:val="34750E92"/>
    <w:rsid w:val="34825CF4"/>
    <w:rsid w:val="34A66594"/>
    <w:rsid w:val="34C16D50"/>
    <w:rsid w:val="34C50AB0"/>
    <w:rsid w:val="34EB1C02"/>
    <w:rsid w:val="34EB24D6"/>
    <w:rsid w:val="34FF5323"/>
    <w:rsid w:val="35044A71"/>
    <w:rsid w:val="352C6C95"/>
    <w:rsid w:val="35586B6B"/>
    <w:rsid w:val="358C5FA8"/>
    <w:rsid w:val="35944047"/>
    <w:rsid w:val="35AB1391"/>
    <w:rsid w:val="35C15DF1"/>
    <w:rsid w:val="36074A7F"/>
    <w:rsid w:val="36176A26"/>
    <w:rsid w:val="3667058D"/>
    <w:rsid w:val="36723C5D"/>
    <w:rsid w:val="367407A3"/>
    <w:rsid w:val="367801FE"/>
    <w:rsid w:val="3679323D"/>
    <w:rsid w:val="36923549"/>
    <w:rsid w:val="369266D2"/>
    <w:rsid w:val="36962041"/>
    <w:rsid w:val="36B75FBF"/>
    <w:rsid w:val="36BD0C45"/>
    <w:rsid w:val="36FA25D0"/>
    <w:rsid w:val="375021F0"/>
    <w:rsid w:val="37A10563"/>
    <w:rsid w:val="37AC319E"/>
    <w:rsid w:val="37AD797D"/>
    <w:rsid w:val="37E00298"/>
    <w:rsid w:val="38353194"/>
    <w:rsid w:val="383A69FC"/>
    <w:rsid w:val="385A6A66"/>
    <w:rsid w:val="387243E8"/>
    <w:rsid w:val="38814F85"/>
    <w:rsid w:val="38975BFC"/>
    <w:rsid w:val="38B302F9"/>
    <w:rsid w:val="38B37E7E"/>
    <w:rsid w:val="38F12CD3"/>
    <w:rsid w:val="38F1355F"/>
    <w:rsid w:val="38F94775"/>
    <w:rsid w:val="3902751A"/>
    <w:rsid w:val="39065BA2"/>
    <w:rsid w:val="390F297D"/>
    <w:rsid w:val="39226346"/>
    <w:rsid w:val="392971ED"/>
    <w:rsid w:val="39325651"/>
    <w:rsid w:val="39343F1A"/>
    <w:rsid w:val="393618B9"/>
    <w:rsid w:val="39562689"/>
    <w:rsid w:val="39C11183"/>
    <w:rsid w:val="39CD3503"/>
    <w:rsid w:val="39D0586A"/>
    <w:rsid w:val="3A51064C"/>
    <w:rsid w:val="3A865F28"/>
    <w:rsid w:val="3A872856"/>
    <w:rsid w:val="3A916DA7"/>
    <w:rsid w:val="3AC57421"/>
    <w:rsid w:val="3AE20944"/>
    <w:rsid w:val="3B3763D1"/>
    <w:rsid w:val="3B3E7E4D"/>
    <w:rsid w:val="3B7F45D1"/>
    <w:rsid w:val="3C011D0B"/>
    <w:rsid w:val="3C0841C8"/>
    <w:rsid w:val="3C2B6AE8"/>
    <w:rsid w:val="3C2F4ACA"/>
    <w:rsid w:val="3C2F6E1E"/>
    <w:rsid w:val="3C4F64BA"/>
    <w:rsid w:val="3C756E43"/>
    <w:rsid w:val="3CB054DF"/>
    <w:rsid w:val="3CC571DC"/>
    <w:rsid w:val="3CDA245A"/>
    <w:rsid w:val="3CED6733"/>
    <w:rsid w:val="3D1E06B7"/>
    <w:rsid w:val="3D257C7B"/>
    <w:rsid w:val="3D346110"/>
    <w:rsid w:val="3D4F2F4A"/>
    <w:rsid w:val="3D910F0B"/>
    <w:rsid w:val="3D9D3CB5"/>
    <w:rsid w:val="3DBA03C3"/>
    <w:rsid w:val="3DC36892"/>
    <w:rsid w:val="3E09134A"/>
    <w:rsid w:val="3E1C58D1"/>
    <w:rsid w:val="3E7B2671"/>
    <w:rsid w:val="3E7F0E8F"/>
    <w:rsid w:val="3EAB6156"/>
    <w:rsid w:val="3ECB6600"/>
    <w:rsid w:val="3EDA0523"/>
    <w:rsid w:val="3F0D09C6"/>
    <w:rsid w:val="3F0E2F30"/>
    <w:rsid w:val="3F4A1C1A"/>
    <w:rsid w:val="3F8073EA"/>
    <w:rsid w:val="3F9B567A"/>
    <w:rsid w:val="3FA44071"/>
    <w:rsid w:val="3FA550A3"/>
    <w:rsid w:val="3FB64F55"/>
    <w:rsid w:val="3FF04570"/>
    <w:rsid w:val="402621C4"/>
    <w:rsid w:val="407A6407"/>
    <w:rsid w:val="408336FE"/>
    <w:rsid w:val="408D6263"/>
    <w:rsid w:val="409C0254"/>
    <w:rsid w:val="40A43FE1"/>
    <w:rsid w:val="40B30B18"/>
    <w:rsid w:val="40F260C6"/>
    <w:rsid w:val="41151A49"/>
    <w:rsid w:val="411B6C88"/>
    <w:rsid w:val="4120764F"/>
    <w:rsid w:val="41360801"/>
    <w:rsid w:val="41C841BD"/>
    <w:rsid w:val="4200449D"/>
    <w:rsid w:val="420F2CA7"/>
    <w:rsid w:val="421A6346"/>
    <w:rsid w:val="42225960"/>
    <w:rsid w:val="422B3C9C"/>
    <w:rsid w:val="423170C2"/>
    <w:rsid w:val="423A3BCC"/>
    <w:rsid w:val="424E57D2"/>
    <w:rsid w:val="429170B5"/>
    <w:rsid w:val="42925DB2"/>
    <w:rsid w:val="429305C0"/>
    <w:rsid w:val="42B26C49"/>
    <w:rsid w:val="42BB5980"/>
    <w:rsid w:val="43030CEF"/>
    <w:rsid w:val="432F04CB"/>
    <w:rsid w:val="433A6FE6"/>
    <w:rsid w:val="43480868"/>
    <w:rsid w:val="43496A2C"/>
    <w:rsid w:val="434B7D0F"/>
    <w:rsid w:val="434E7724"/>
    <w:rsid w:val="4350713C"/>
    <w:rsid w:val="436653E0"/>
    <w:rsid w:val="43AC2EA4"/>
    <w:rsid w:val="43C4431A"/>
    <w:rsid w:val="43C4474D"/>
    <w:rsid w:val="43F403A7"/>
    <w:rsid w:val="44015610"/>
    <w:rsid w:val="44426F00"/>
    <w:rsid w:val="44A45929"/>
    <w:rsid w:val="44A818BD"/>
    <w:rsid w:val="44B951CC"/>
    <w:rsid w:val="44B9714E"/>
    <w:rsid w:val="44CD14E0"/>
    <w:rsid w:val="44D1265A"/>
    <w:rsid w:val="44F06DC0"/>
    <w:rsid w:val="44F20B0B"/>
    <w:rsid w:val="452731C1"/>
    <w:rsid w:val="452E5F4C"/>
    <w:rsid w:val="455D66D2"/>
    <w:rsid w:val="45612018"/>
    <w:rsid w:val="457572C5"/>
    <w:rsid w:val="458946E9"/>
    <w:rsid w:val="458F0387"/>
    <w:rsid w:val="45A47C0E"/>
    <w:rsid w:val="45D3296A"/>
    <w:rsid w:val="45F11042"/>
    <w:rsid w:val="46002E19"/>
    <w:rsid w:val="46111F45"/>
    <w:rsid w:val="46211670"/>
    <w:rsid w:val="46456C98"/>
    <w:rsid w:val="46577FD6"/>
    <w:rsid w:val="465A27E0"/>
    <w:rsid w:val="46BA28B8"/>
    <w:rsid w:val="46C6427C"/>
    <w:rsid w:val="46C85655"/>
    <w:rsid w:val="46D955A7"/>
    <w:rsid w:val="46E818EE"/>
    <w:rsid w:val="46EE2A9D"/>
    <w:rsid w:val="46F9684D"/>
    <w:rsid w:val="470E60CC"/>
    <w:rsid w:val="471108B1"/>
    <w:rsid w:val="47133957"/>
    <w:rsid w:val="471C20EE"/>
    <w:rsid w:val="471D5238"/>
    <w:rsid w:val="47256132"/>
    <w:rsid w:val="473C453F"/>
    <w:rsid w:val="476953E6"/>
    <w:rsid w:val="47A07E0C"/>
    <w:rsid w:val="47B7079B"/>
    <w:rsid w:val="47FC7D62"/>
    <w:rsid w:val="4837209A"/>
    <w:rsid w:val="485105F4"/>
    <w:rsid w:val="4870272E"/>
    <w:rsid w:val="487D096B"/>
    <w:rsid w:val="48952158"/>
    <w:rsid w:val="48CB14D0"/>
    <w:rsid w:val="4910358D"/>
    <w:rsid w:val="49324EB1"/>
    <w:rsid w:val="49460EF7"/>
    <w:rsid w:val="496B398E"/>
    <w:rsid w:val="49837F59"/>
    <w:rsid w:val="49DC7715"/>
    <w:rsid w:val="49F2096D"/>
    <w:rsid w:val="4A023139"/>
    <w:rsid w:val="4A1C11F4"/>
    <w:rsid w:val="4A7B576F"/>
    <w:rsid w:val="4ABE4879"/>
    <w:rsid w:val="4AF561A9"/>
    <w:rsid w:val="4B0616EB"/>
    <w:rsid w:val="4B143967"/>
    <w:rsid w:val="4B157580"/>
    <w:rsid w:val="4B1C6700"/>
    <w:rsid w:val="4B621F2C"/>
    <w:rsid w:val="4B6C1D7F"/>
    <w:rsid w:val="4BAB4546"/>
    <w:rsid w:val="4BF47284"/>
    <w:rsid w:val="4BF7540E"/>
    <w:rsid w:val="4C1439C2"/>
    <w:rsid w:val="4C2061DD"/>
    <w:rsid w:val="4C4A0649"/>
    <w:rsid w:val="4C527899"/>
    <w:rsid w:val="4C58549D"/>
    <w:rsid w:val="4C6919DE"/>
    <w:rsid w:val="4C7E5ECA"/>
    <w:rsid w:val="4C8147A2"/>
    <w:rsid w:val="4C876AA5"/>
    <w:rsid w:val="4C9D5A7F"/>
    <w:rsid w:val="4CA54934"/>
    <w:rsid w:val="4CC454EC"/>
    <w:rsid w:val="4CF1268D"/>
    <w:rsid w:val="4CFE5DF2"/>
    <w:rsid w:val="4D040934"/>
    <w:rsid w:val="4D0E00FB"/>
    <w:rsid w:val="4D176606"/>
    <w:rsid w:val="4D4D12C8"/>
    <w:rsid w:val="4D7660EF"/>
    <w:rsid w:val="4D930C30"/>
    <w:rsid w:val="4D9F33DB"/>
    <w:rsid w:val="4DDA23BB"/>
    <w:rsid w:val="4DEC4FB0"/>
    <w:rsid w:val="4E075D8A"/>
    <w:rsid w:val="4E0B6A19"/>
    <w:rsid w:val="4E0F475B"/>
    <w:rsid w:val="4E3355B1"/>
    <w:rsid w:val="4EC00FAD"/>
    <w:rsid w:val="4EF5557C"/>
    <w:rsid w:val="4F5F2ED9"/>
    <w:rsid w:val="4F9843DC"/>
    <w:rsid w:val="4FC62A8C"/>
    <w:rsid w:val="4FE20F0D"/>
    <w:rsid w:val="4FE51552"/>
    <w:rsid w:val="50242014"/>
    <w:rsid w:val="50504C4B"/>
    <w:rsid w:val="50666188"/>
    <w:rsid w:val="507A1C34"/>
    <w:rsid w:val="509C6E7C"/>
    <w:rsid w:val="50BB0F4B"/>
    <w:rsid w:val="50BE78AD"/>
    <w:rsid w:val="50D40634"/>
    <w:rsid w:val="513C510C"/>
    <w:rsid w:val="5162104E"/>
    <w:rsid w:val="5162265C"/>
    <w:rsid w:val="516C17F1"/>
    <w:rsid w:val="51B22A66"/>
    <w:rsid w:val="51C06D57"/>
    <w:rsid w:val="52681842"/>
    <w:rsid w:val="52691F60"/>
    <w:rsid w:val="52725202"/>
    <w:rsid w:val="52B376EB"/>
    <w:rsid w:val="52D5782C"/>
    <w:rsid w:val="52DA72BF"/>
    <w:rsid w:val="52E24A76"/>
    <w:rsid w:val="52E87329"/>
    <w:rsid w:val="530B28C8"/>
    <w:rsid w:val="532C52C8"/>
    <w:rsid w:val="53362D48"/>
    <w:rsid w:val="534F7A29"/>
    <w:rsid w:val="535844AE"/>
    <w:rsid w:val="535B176B"/>
    <w:rsid w:val="53642E53"/>
    <w:rsid w:val="536665A1"/>
    <w:rsid w:val="538C5F06"/>
    <w:rsid w:val="53A039CC"/>
    <w:rsid w:val="53A1505A"/>
    <w:rsid w:val="53B90E5D"/>
    <w:rsid w:val="53CB2ED2"/>
    <w:rsid w:val="53E75832"/>
    <w:rsid w:val="54047407"/>
    <w:rsid w:val="54063E08"/>
    <w:rsid w:val="54071A30"/>
    <w:rsid w:val="541D70EC"/>
    <w:rsid w:val="543437E8"/>
    <w:rsid w:val="544D531B"/>
    <w:rsid w:val="54596730"/>
    <w:rsid w:val="545F186C"/>
    <w:rsid w:val="546A5B11"/>
    <w:rsid w:val="546A5C8C"/>
    <w:rsid w:val="54946143"/>
    <w:rsid w:val="549E2395"/>
    <w:rsid w:val="54A9790A"/>
    <w:rsid w:val="54D9517B"/>
    <w:rsid w:val="54DC4539"/>
    <w:rsid w:val="54EE24E8"/>
    <w:rsid w:val="54F73313"/>
    <w:rsid w:val="54F80955"/>
    <w:rsid w:val="55093F37"/>
    <w:rsid w:val="5514321F"/>
    <w:rsid w:val="551C2588"/>
    <w:rsid w:val="554172A8"/>
    <w:rsid w:val="555170A7"/>
    <w:rsid w:val="5552317F"/>
    <w:rsid w:val="55540CA5"/>
    <w:rsid w:val="555B2034"/>
    <w:rsid w:val="555D3FFE"/>
    <w:rsid w:val="555F6A99"/>
    <w:rsid w:val="55677F48"/>
    <w:rsid w:val="5587536D"/>
    <w:rsid w:val="559B174B"/>
    <w:rsid w:val="55A51501"/>
    <w:rsid w:val="55CA3B75"/>
    <w:rsid w:val="55CE0CF4"/>
    <w:rsid w:val="55F478AC"/>
    <w:rsid w:val="56721323"/>
    <w:rsid w:val="568C0876"/>
    <w:rsid w:val="569972B8"/>
    <w:rsid w:val="569D042A"/>
    <w:rsid w:val="569D7AB8"/>
    <w:rsid w:val="56B22A9C"/>
    <w:rsid w:val="56DE6DDB"/>
    <w:rsid w:val="573963A5"/>
    <w:rsid w:val="57642BC7"/>
    <w:rsid w:val="579E2080"/>
    <w:rsid w:val="57B72A76"/>
    <w:rsid w:val="57BB1253"/>
    <w:rsid w:val="57C3426C"/>
    <w:rsid w:val="57CA1294"/>
    <w:rsid w:val="57CE1F93"/>
    <w:rsid w:val="58157A78"/>
    <w:rsid w:val="58344D16"/>
    <w:rsid w:val="5870229A"/>
    <w:rsid w:val="587C5070"/>
    <w:rsid w:val="58804593"/>
    <w:rsid w:val="588743D1"/>
    <w:rsid w:val="5887701A"/>
    <w:rsid w:val="588875E4"/>
    <w:rsid w:val="58907103"/>
    <w:rsid w:val="59121E1B"/>
    <w:rsid w:val="59352B9C"/>
    <w:rsid w:val="597E09E7"/>
    <w:rsid w:val="597F6AFE"/>
    <w:rsid w:val="598C3C46"/>
    <w:rsid w:val="59946F61"/>
    <w:rsid w:val="59C0439F"/>
    <w:rsid w:val="59E00D5A"/>
    <w:rsid w:val="5A33357F"/>
    <w:rsid w:val="5A5C60FA"/>
    <w:rsid w:val="5A751DEA"/>
    <w:rsid w:val="5A7F3CF8"/>
    <w:rsid w:val="5A84657D"/>
    <w:rsid w:val="5ABC6740"/>
    <w:rsid w:val="5ABD320F"/>
    <w:rsid w:val="5ABE2233"/>
    <w:rsid w:val="5AC661A1"/>
    <w:rsid w:val="5B2630E4"/>
    <w:rsid w:val="5B5639C9"/>
    <w:rsid w:val="5B907600"/>
    <w:rsid w:val="5BA45289"/>
    <w:rsid w:val="5BC343FB"/>
    <w:rsid w:val="5BC8419B"/>
    <w:rsid w:val="5BDF5D95"/>
    <w:rsid w:val="5BFE7528"/>
    <w:rsid w:val="5C0276AD"/>
    <w:rsid w:val="5C2855D3"/>
    <w:rsid w:val="5C2F7D76"/>
    <w:rsid w:val="5C3E7FB9"/>
    <w:rsid w:val="5C646180"/>
    <w:rsid w:val="5C6B1031"/>
    <w:rsid w:val="5C743E1E"/>
    <w:rsid w:val="5CAC13C7"/>
    <w:rsid w:val="5CB564CD"/>
    <w:rsid w:val="5CCC33F6"/>
    <w:rsid w:val="5D215911"/>
    <w:rsid w:val="5DA82901"/>
    <w:rsid w:val="5DAD64FC"/>
    <w:rsid w:val="5DDE1A54"/>
    <w:rsid w:val="5E135BA1"/>
    <w:rsid w:val="5E2002BE"/>
    <w:rsid w:val="5E2467F1"/>
    <w:rsid w:val="5E2E29DB"/>
    <w:rsid w:val="5E2F22B0"/>
    <w:rsid w:val="5E361890"/>
    <w:rsid w:val="5E71560C"/>
    <w:rsid w:val="5EC56770"/>
    <w:rsid w:val="5F106403"/>
    <w:rsid w:val="5F1A2B43"/>
    <w:rsid w:val="5F2D401F"/>
    <w:rsid w:val="5F687A01"/>
    <w:rsid w:val="5F7169DD"/>
    <w:rsid w:val="5F7D5A4F"/>
    <w:rsid w:val="5FA82319"/>
    <w:rsid w:val="5FB837BB"/>
    <w:rsid w:val="5FC05847"/>
    <w:rsid w:val="5FEF7F48"/>
    <w:rsid w:val="5FF11CD3"/>
    <w:rsid w:val="60146B05"/>
    <w:rsid w:val="60161979"/>
    <w:rsid w:val="60634492"/>
    <w:rsid w:val="60760DBD"/>
    <w:rsid w:val="60807BFF"/>
    <w:rsid w:val="608B165E"/>
    <w:rsid w:val="60A2320D"/>
    <w:rsid w:val="60AB02A2"/>
    <w:rsid w:val="60CB72B9"/>
    <w:rsid w:val="60CC405A"/>
    <w:rsid w:val="61292E6A"/>
    <w:rsid w:val="616A1AA2"/>
    <w:rsid w:val="61B002EA"/>
    <w:rsid w:val="61BA27D8"/>
    <w:rsid w:val="61E215D8"/>
    <w:rsid w:val="621B3775"/>
    <w:rsid w:val="62257C51"/>
    <w:rsid w:val="622A5268"/>
    <w:rsid w:val="62364782"/>
    <w:rsid w:val="62746527"/>
    <w:rsid w:val="62944DD7"/>
    <w:rsid w:val="62A82630"/>
    <w:rsid w:val="62B57CF6"/>
    <w:rsid w:val="62CA4EFD"/>
    <w:rsid w:val="62F615EE"/>
    <w:rsid w:val="631849D2"/>
    <w:rsid w:val="631877B6"/>
    <w:rsid w:val="632443AD"/>
    <w:rsid w:val="63285608"/>
    <w:rsid w:val="634052A2"/>
    <w:rsid w:val="63514A76"/>
    <w:rsid w:val="636F7E79"/>
    <w:rsid w:val="63911317"/>
    <w:rsid w:val="6394356A"/>
    <w:rsid w:val="63AE3C76"/>
    <w:rsid w:val="63B55005"/>
    <w:rsid w:val="63C61B2C"/>
    <w:rsid w:val="63D40BE9"/>
    <w:rsid w:val="64102431"/>
    <w:rsid w:val="64202DC6"/>
    <w:rsid w:val="643B6113"/>
    <w:rsid w:val="644B458C"/>
    <w:rsid w:val="647A1DAB"/>
    <w:rsid w:val="64852C29"/>
    <w:rsid w:val="64A21A2D"/>
    <w:rsid w:val="64A5243A"/>
    <w:rsid w:val="64F531DE"/>
    <w:rsid w:val="650E70C3"/>
    <w:rsid w:val="65222B6E"/>
    <w:rsid w:val="65241792"/>
    <w:rsid w:val="653044FF"/>
    <w:rsid w:val="65373578"/>
    <w:rsid w:val="65387C9C"/>
    <w:rsid w:val="6549634D"/>
    <w:rsid w:val="655D7052"/>
    <w:rsid w:val="6562346E"/>
    <w:rsid w:val="65672F85"/>
    <w:rsid w:val="658C1AE0"/>
    <w:rsid w:val="659B5C5B"/>
    <w:rsid w:val="65C326F9"/>
    <w:rsid w:val="65C905F2"/>
    <w:rsid w:val="65C9123C"/>
    <w:rsid w:val="6607271F"/>
    <w:rsid w:val="666B7686"/>
    <w:rsid w:val="6672542F"/>
    <w:rsid w:val="66A15D14"/>
    <w:rsid w:val="671B5AC7"/>
    <w:rsid w:val="671F124A"/>
    <w:rsid w:val="674B5925"/>
    <w:rsid w:val="677A33C6"/>
    <w:rsid w:val="678252FB"/>
    <w:rsid w:val="67853987"/>
    <w:rsid w:val="67951EA6"/>
    <w:rsid w:val="681F6961"/>
    <w:rsid w:val="6841330B"/>
    <w:rsid w:val="68610A2F"/>
    <w:rsid w:val="686457A3"/>
    <w:rsid w:val="686D2352"/>
    <w:rsid w:val="68805514"/>
    <w:rsid w:val="68945A30"/>
    <w:rsid w:val="68A962E9"/>
    <w:rsid w:val="68CB7079"/>
    <w:rsid w:val="68DC734A"/>
    <w:rsid w:val="68F86116"/>
    <w:rsid w:val="690C653C"/>
    <w:rsid w:val="69127828"/>
    <w:rsid w:val="69170E6C"/>
    <w:rsid w:val="69316E2F"/>
    <w:rsid w:val="6942558D"/>
    <w:rsid w:val="694B27E6"/>
    <w:rsid w:val="694E2071"/>
    <w:rsid w:val="69766163"/>
    <w:rsid w:val="697A3B33"/>
    <w:rsid w:val="69943784"/>
    <w:rsid w:val="69CC12FA"/>
    <w:rsid w:val="69D44760"/>
    <w:rsid w:val="6A1B5141"/>
    <w:rsid w:val="6A242EE4"/>
    <w:rsid w:val="6A3D3FA6"/>
    <w:rsid w:val="6A520EC7"/>
    <w:rsid w:val="6A55630A"/>
    <w:rsid w:val="6A892D47"/>
    <w:rsid w:val="6AD75E94"/>
    <w:rsid w:val="6AF20834"/>
    <w:rsid w:val="6AF87E20"/>
    <w:rsid w:val="6B322639"/>
    <w:rsid w:val="6B3B1CE8"/>
    <w:rsid w:val="6B465348"/>
    <w:rsid w:val="6B592A8E"/>
    <w:rsid w:val="6B671F53"/>
    <w:rsid w:val="6B8F25DF"/>
    <w:rsid w:val="6BA936A1"/>
    <w:rsid w:val="6C624FB9"/>
    <w:rsid w:val="6C636C38"/>
    <w:rsid w:val="6C6B4B24"/>
    <w:rsid w:val="6CD5531A"/>
    <w:rsid w:val="6CF50836"/>
    <w:rsid w:val="6CF54B44"/>
    <w:rsid w:val="6CFA1CDB"/>
    <w:rsid w:val="6D0B14CF"/>
    <w:rsid w:val="6D142D9C"/>
    <w:rsid w:val="6D164606"/>
    <w:rsid w:val="6D1F1741"/>
    <w:rsid w:val="6D4B09BD"/>
    <w:rsid w:val="6D5D656E"/>
    <w:rsid w:val="6D6535F8"/>
    <w:rsid w:val="6D68758C"/>
    <w:rsid w:val="6D946ECB"/>
    <w:rsid w:val="6D96027F"/>
    <w:rsid w:val="6DA66ABE"/>
    <w:rsid w:val="6DB34098"/>
    <w:rsid w:val="6DB545B6"/>
    <w:rsid w:val="6DD6354E"/>
    <w:rsid w:val="6DDD7632"/>
    <w:rsid w:val="6DDE33AA"/>
    <w:rsid w:val="6DE02FB4"/>
    <w:rsid w:val="6E113780"/>
    <w:rsid w:val="6E514CED"/>
    <w:rsid w:val="6E6740C3"/>
    <w:rsid w:val="6E763967"/>
    <w:rsid w:val="6E883E3C"/>
    <w:rsid w:val="6E8872BD"/>
    <w:rsid w:val="6EA34C0D"/>
    <w:rsid w:val="6EA746DE"/>
    <w:rsid w:val="6EB00989"/>
    <w:rsid w:val="6EB563D5"/>
    <w:rsid w:val="6ED92677"/>
    <w:rsid w:val="6F21513B"/>
    <w:rsid w:val="6F225983"/>
    <w:rsid w:val="6F2B776F"/>
    <w:rsid w:val="6F2C1224"/>
    <w:rsid w:val="6F35524C"/>
    <w:rsid w:val="6F373677"/>
    <w:rsid w:val="6F515A27"/>
    <w:rsid w:val="6F5A4CB2"/>
    <w:rsid w:val="6F8714CD"/>
    <w:rsid w:val="6FED626A"/>
    <w:rsid w:val="6FFC5590"/>
    <w:rsid w:val="70076BE8"/>
    <w:rsid w:val="70115CB9"/>
    <w:rsid w:val="7040554F"/>
    <w:rsid w:val="70512559"/>
    <w:rsid w:val="7065300C"/>
    <w:rsid w:val="706D1DD0"/>
    <w:rsid w:val="70837D9B"/>
    <w:rsid w:val="70856B87"/>
    <w:rsid w:val="70D527EE"/>
    <w:rsid w:val="70E83937"/>
    <w:rsid w:val="70EC1C35"/>
    <w:rsid w:val="710720A5"/>
    <w:rsid w:val="711F7F62"/>
    <w:rsid w:val="715B5300"/>
    <w:rsid w:val="71922E29"/>
    <w:rsid w:val="719D2534"/>
    <w:rsid w:val="71B608C6"/>
    <w:rsid w:val="71D00087"/>
    <w:rsid w:val="71D27F8A"/>
    <w:rsid w:val="71FF4FB4"/>
    <w:rsid w:val="72553024"/>
    <w:rsid w:val="725B321B"/>
    <w:rsid w:val="7273263B"/>
    <w:rsid w:val="727A7B45"/>
    <w:rsid w:val="727B38BE"/>
    <w:rsid w:val="72921A0A"/>
    <w:rsid w:val="729E5DF6"/>
    <w:rsid w:val="72B94560"/>
    <w:rsid w:val="73122968"/>
    <w:rsid w:val="731F5D5E"/>
    <w:rsid w:val="735E3158"/>
    <w:rsid w:val="7366631C"/>
    <w:rsid w:val="73703692"/>
    <w:rsid w:val="73743F33"/>
    <w:rsid w:val="73955506"/>
    <w:rsid w:val="739761DE"/>
    <w:rsid w:val="73C51AD5"/>
    <w:rsid w:val="73DA78F6"/>
    <w:rsid w:val="73DC0680"/>
    <w:rsid w:val="74062323"/>
    <w:rsid w:val="741305BB"/>
    <w:rsid w:val="741E793C"/>
    <w:rsid w:val="74546797"/>
    <w:rsid w:val="745E3944"/>
    <w:rsid w:val="74D06143"/>
    <w:rsid w:val="74D50CA0"/>
    <w:rsid w:val="74E61BA3"/>
    <w:rsid w:val="74E74B09"/>
    <w:rsid w:val="74E97204"/>
    <w:rsid w:val="751A2462"/>
    <w:rsid w:val="75265930"/>
    <w:rsid w:val="75283611"/>
    <w:rsid w:val="752B38BC"/>
    <w:rsid w:val="75362269"/>
    <w:rsid w:val="75511869"/>
    <w:rsid w:val="75646A1E"/>
    <w:rsid w:val="757515D3"/>
    <w:rsid w:val="75A66198"/>
    <w:rsid w:val="75B643DF"/>
    <w:rsid w:val="75C64E50"/>
    <w:rsid w:val="76164029"/>
    <w:rsid w:val="7635099D"/>
    <w:rsid w:val="763C5DB4"/>
    <w:rsid w:val="76515061"/>
    <w:rsid w:val="766A1C7F"/>
    <w:rsid w:val="769B452E"/>
    <w:rsid w:val="76A61664"/>
    <w:rsid w:val="76C660B4"/>
    <w:rsid w:val="76DF30F6"/>
    <w:rsid w:val="76EC08E6"/>
    <w:rsid w:val="77147E3D"/>
    <w:rsid w:val="77186FDE"/>
    <w:rsid w:val="77242776"/>
    <w:rsid w:val="772A6B6C"/>
    <w:rsid w:val="77762421"/>
    <w:rsid w:val="778B33D6"/>
    <w:rsid w:val="77B56B1F"/>
    <w:rsid w:val="77D409AA"/>
    <w:rsid w:val="77F53704"/>
    <w:rsid w:val="780F09F4"/>
    <w:rsid w:val="7827252A"/>
    <w:rsid w:val="78816E81"/>
    <w:rsid w:val="788E1C98"/>
    <w:rsid w:val="7892370F"/>
    <w:rsid w:val="78A0407E"/>
    <w:rsid w:val="78A90480"/>
    <w:rsid w:val="78C23FF4"/>
    <w:rsid w:val="78EE2AED"/>
    <w:rsid w:val="78EE6A17"/>
    <w:rsid w:val="7909605B"/>
    <w:rsid w:val="795445DD"/>
    <w:rsid w:val="79A80D59"/>
    <w:rsid w:val="79D42231"/>
    <w:rsid w:val="79D71005"/>
    <w:rsid w:val="79EB1329"/>
    <w:rsid w:val="7A067F11"/>
    <w:rsid w:val="7A364017"/>
    <w:rsid w:val="7A8265E1"/>
    <w:rsid w:val="7A862E00"/>
    <w:rsid w:val="7AB20098"/>
    <w:rsid w:val="7AFE4D0F"/>
    <w:rsid w:val="7B274D9E"/>
    <w:rsid w:val="7B637D31"/>
    <w:rsid w:val="7B686D42"/>
    <w:rsid w:val="7B7315D6"/>
    <w:rsid w:val="7B841746"/>
    <w:rsid w:val="7B9410AA"/>
    <w:rsid w:val="7BB91FF8"/>
    <w:rsid w:val="7BBD0AA3"/>
    <w:rsid w:val="7BD06A28"/>
    <w:rsid w:val="7BD5377D"/>
    <w:rsid w:val="7BD55A85"/>
    <w:rsid w:val="7BDF6100"/>
    <w:rsid w:val="7C0268E7"/>
    <w:rsid w:val="7C1B46DC"/>
    <w:rsid w:val="7C3853E5"/>
    <w:rsid w:val="7C464F3C"/>
    <w:rsid w:val="7C590DAE"/>
    <w:rsid w:val="7C6C5AC7"/>
    <w:rsid w:val="7C6F6241"/>
    <w:rsid w:val="7C71404A"/>
    <w:rsid w:val="7C8810B1"/>
    <w:rsid w:val="7C920181"/>
    <w:rsid w:val="7CBB5F68"/>
    <w:rsid w:val="7CC6544B"/>
    <w:rsid w:val="7D0239FF"/>
    <w:rsid w:val="7D0F17D2"/>
    <w:rsid w:val="7D3B4C45"/>
    <w:rsid w:val="7D5E40CD"/>
    <w:rsid w:val="7D6A07B6"/>
    <w:rsid w:val="7DCD56F2"/>
    <w:rsid w:val="7DD60DF4"/>
    <w:rsid w:val="7DD752E5"/>
    <w:rsid w:val="7E0A0A23"/>
    <w:rsid w:val="7E1162DD"/>
    <w:rsid w:val="7E1A3F8B"/>
    <w:rsid w:val="7E4534BC"/>
    <w:rsid w:val="7E994E83"/>
    <w:rsid w:val="7ED607F9"/>
    <w:rsid w:val="7F001CE7"/>
    <w:rsid w:val="7F032C71"/>
    <w:rsid w:val="7F200254"/>
    <w:rsid w:val="7F275383"/>
    <w:rsid w:val="7F5259A6"/>
    <w:rsid w:val="7F7D2A23"/>
    <w:rsid w:val="7FC84175"/>
    <w:rsid w:val="7FD22A54"/>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99"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locked/>
    <w:uiPriority w:val="0"/>
    <w:pPr>
      <w:keepNext/>
      <w:keepLines/>
      <w:spacing w:before="260" w:beforeLines="0" w:after="260" w:afterLines="0" w:line="415" w:lineRule="auto"/>
      <w:outlineLvl w:val="1"/>
    </w:pPr>
    <w:rPr>
      <w:rFonts w:ascii="Arial" w:hAnsi="Arial" w:eastAsia="黑体"/>
      <w:b/>
      <w:bCs/>
      <w:sz w:val="32"/>
      <w:szCs w:val="32"/>
    </w:rPr>
  </w:style>
  <w:style w:type="paragraph" w:styleId="5">
    <w:name w:val="heading 3"/>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6">
    <w:name w:val="heading 4"/>
    <w:basedOn w:val="1"/>
    <w:next w:val="1"/>
    <w:autoRedefine/>
    <w:qFormat/>
    <w:locked/>
    <w:uiPriority w:val="0"/>
    <w:pPr>
      <w:keepNext/>
      <w:keepLines/>
      <w:spacing w:before="280" w:after="290" w:line="376" w:lineRule="auto"/>
      <w:outlineLvl w:val="3"/>
    </w:pPr>
    <w:rPr>
      <w:rFonts w:ascii="Arial" w:hAnsi="Arial" w:eastAsia="黑体"/>
      <w:b/>
      <w:bCs/>
      <w:sz w:val="28"/>
      <w:szCs w:val="28"/>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next w:val="1"/>
    <w:link w:val="56"/>
    <w:autoRedefine/>
    <w:qFormat/>
    <w:uiPriority w:val="99"/>
    <w:pPr>
      <w:tabs>
        <w:tab w:val="center" w:pos="4153"/>
        <w:tab w:val="right" w:pos="8306"/>
      </w:tabs>
      <w:snapToGrid w:val="0"/>
      <w:jc w:val="left"/>
    </w:pPr>
    <w:rPr>
      <w:kern w:val="0"/>
      <w:sz w:val="18"/>
      <w:szCs w:val="20"/>
    </w:rPr>
  </w:style>
  <w:style w:type="paragraph" w:styleId="7">
    <w:name w:val="Normal Indent"/>
    <w:basedOn w:val="1"/>
    <w:next w:val="6"/>
    <w:autoRedefine/>
    <w:qFormat/>
    <w:locked/>
    <w:uiPriority w:val="0"/>
    <w:pPr>
      <w:ind w:firstLine="420" w:firstLineChars="200"/>
    </w:pPr>
  </w:style>
  <w:style w:type="paragraph" w:styleId="8">
    <w:name w:val="caption"/>
    <w:basedOn w:val="1"/>
    <w:next w:val="1"/>
    <w:autoRedefine/>
    <w:qFormat/>
    <w:locked/>
    <w:uiPriority w:val="0"/>
    <w:pPr>
      <w:jc w:val="center"/>
    </w:pPr>
    <w:rPr>
      <w:rFonts w:eastAsia="黑体"/>
      <w:szCs w:val="21"/>
    </w:rPr>
  </w:style>
  <w:style w:type="paragraph" w:styleId="9">
    <w:name w:val="index 5"/>
    <w:basedOn w:val="1"/>
    <w:next w:val="1"/>
    <w:qFormat/>
    <w:locked/>
    <w:uiPriority w:val="0"/>
    <w:pPr>
      <w:ind w:left="1680"/>
    </w:pPr>
  </w:style>
  <w:style w:type="paragraph" w:styleId="10">
    <w:name w:val="annotation text"/>
    <w:basedOn w:val="1"/>
    <w:link w:val="53"/>
    <w:autoRedefine/>
    <w:semiHidden/>
    <w:qFormat/>
    <w:uiPriority w:val="0"/>
    <w:pPr>
      <w:jc w:val="left"/>
    </w:pPr>
    <w:rPr>
      <w:kern w:val="0"/>
      <w:sz w:val="24"/>
      <w:szCs w:val="20"/>
    </w:rPr>
  </w:style>
  <w:style w:type="paragraph" w:styleId="11">
    <w:name w:val="Body Text"/>
    <w:basedOn w:val="1"/>
    <w:next w:val="12"/>
    <w:link w:val="51"/>
    <w:autoRedefine/>
    <w:qFormat/>
    <w:uiPriority w:val="0"/>
    <w:pPr>
      <w:widowControl/>
      <w:snapToGrid w:val="0"/>
      <w:spacing w:before="60" w:after="160" w:line="259" w:lineRule="auto"/>
      <w:ind w:right="113"/>
    </w:pPr>
    <w:rPr>
      <w:kern w:val="0"/>
      <w:sz w:val="18"/>
      <w:szCs w:val="20"/>
    </w:rPr>
  </w:style>
  <w:style w:type="paragraph" w:customStyle="1" w:styleId="12">
    <w:name w:val="Date1"/>
    <w:basedOn w:val="1"/>
    <w:next w:val="1"/>
    <w:autoRedefine/>
    <w:qFormat/>
    <w:uiPriority w:val="0"/>
    <w:pPr>
      <w:adjustRightInd w:val="0"/>
      <w:jc w:val="left"/>
      <w:textAlignment w:val="baseline"/>
    </w:pPr>
    <w:rPr>
      <w:rFonts w:ascii="宋体" w:hAnsi="宋体"/>
      <w:sz w:val="28"/>
      <w:szCs w:val="20"/>
    </w:rPr>
  </w:style>
  <w:style w:type="paragraph" w:styleId="13">
    <w:name w:val="Body Text Indent"/>
    <w:basedOn w:val="1"/>
    <w:next w:val="14"/>
    <w:link w:val="54"/>
    <w:autoRedefine/>
    <w:qFormat/>
    <w:uiPriority w:val="0"/>
    <w:pPr>
      <w:spacing w:after="120"/>
      <w:ind w:left="420" w:leftChars="200"/>
    </w:pPr>
    <w:rPr>
      <w:kern w:val="0"/>
      <w:sz w:val="24"/>
      <w:szCs w:val="20"/>
    </w:rPr>
  </w:style>
  <w:style w:type="paragraph" w:styleId="14">
    <w:name w:val="header"/>
    <w:basedOn w:val="1"/>
    <w:next w:val="15"/>
    <w:link w:val="49"/>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5">
    <w:name w:val="样式5"/>
    <w:basedOn w:val="16"/>
    <w:qFormat/>
    <w:uiPriority w:val="0"/>
    <w:pPr>
      <w:spacing w:line="360" w:lineRule="auto"/>
      <w:ind w:firstLine="510"/>
    </w:pPr>
  </w:style>
  <w:style w:type="paragraph" w:customStyle="1" w:styleId="16">
    <w:name w:val="正文1"/>
    <w:basedOn w:val="1"/>
    <w:autoRedefine/>
    <w:semiHidden/>
    <w:qFormat/>
    <w:uiPriority w:val="0"/>
    <w:pPr>
      <w:widowControl w:val="0"/>
      <w:adjustRightInd w:val="0"/>
      <w:snapToGrid w:val="0"/>
      <w:spacing w:line="360" w:lineRule="auto"/>
    </w:pPr>
    <w:rPr>
      <w:kern w:val="0"/>
      <w:sz w:val="28"/>
      <w:szCs w:val="32"/>
    </w:rPr>
  </w:style>
  <w:style w:type="paragraph" w:styleId="17">
    <w:name w:val="Plain Text"/>
    <w:basedOn w:val="1"/>
    <w:next w:val="18"/>
    <w:autoRedefine/>
    <w:qFormat/>
    <w:locked/>
    <w:uiPriority w:val="0"/>
    <w:rPr>
      <w:rFonts w:ascii="宋体" w:hAnsi="Courier New"/>
    </w:rPr>
  </w:style>
  <w:style w:type="paragraph" w:styleId="18">
    <w:name w:val="toc 1"/>
    <w:basedOn w:val="1"/>
    <w:next w:val="1"/>
    <w:autoRedefine/>
    <w:qFormat/>
    <w:locked/>
    <w:uiPriority w:val="0"/>
  </w:style>
  <w:style w:type="paragraph" w:styleId="19">
    <w:name w:val="Date"/>
    <w:basedOn w:val="1"/>
    <w:next w:val="1"/>
    <w:link w:val="60"/>
    <w:autoRedefine/>
    <w:qFormat/>
    <w:uiPriority w:val="0"/>
    <w:pPr>
      <w:ind w:left="100" w:leftChars="2500"/>
    </w:pPr>
    <w:rPr>
      <w:kern w:val="0"/>
      <w:sz w:val="24"/>
      <w:szCs w:val="20"/>
    </w:rPr>
  </w:style>
  <w:style w:type="paragraph" w:styleId="20">
    <w:name w:val="Balloon Text"/>
    <w:basedOn w:val="1"/>
    <w:link w:val="59"/>
    <w:autoRedefine/>
    <w:semiHidden/>
    <w:qFormat/>
    <w:uiPriority w:val="0"/>
    <w:rPr>
      <w:kern w:val="0"/>
      <w:sz w:val="18"/>
      <w:szCs w:val="20"/>
    </w:rPr>
  </w:style>
  <w:style w:type="paragraph" w:styleId="21">
    <w:name w:val="index heading"/>
    <w:basedOn w:val="1"/>
    <w:next w:val="22"/>
    <w:autoRedefine/>
    <w:qFormat/>
    <w:locked/>
    <w:uiPriority w:val="99"/>
    <w:rPr>
      <w:rFonts w:ascii="Arial" w:hAnsi="Arial"/>
      <w:b/>
    </w:rPr>
  </w:style>
  <w:style w:type="paragraph" w:styleId="22">
    <w:name w:val="index 1"/>
    <w:basedOn w:val="1"/>
    <w:next w:val="1"/>
    <w:autoRedefine/>
    <w:qFormat/>
    <w:locked/>
    <w:uiPriority w:val="99"/>
  </w:style>
  <w:style w:type="paragraph" w:styleId="23">
    <w:name w:val="Subtitle"/>
    <w:basedOn w:val="1"/>
    <w:next w:val="1"/>
    <w:qFormat/>
    <w:locked/>
    <w:uiPriority w:val="0"/>
    <w:pPr>
      <w:adjustRightInd w:val="0"/>
      <w:snapToGrid w:val="0"/>
      <w:jc w:val="center"/>
    </w:pPr>
    <w:rPr>
      <w:rFonts w:eastAsia="黑体"/>
      <w:bCs/>
      <w:snapToGrid w:val="0"/>
      <w:kern w:val="0"/>
      <w:sz w:val="24"/>
      <w:szCs w:val="32"/>
    </w:rPr>
  </w:style>
  <w:style w:type="paragraph" w:styleId="24">
    <w:name w:val="List"/>
    <w:basedOn w:val="1"/>
    <w:autoRedefine/>
    <w:qFormat/>
    <w:locked/>
    <w:uiPriority w:val="0"/>
    <w:pPr>
      <w:ind w:left="200" w:hanging="200" w:hangingChars="200"/>
    </w:pPr>
  </w:style>
  <w:style w:type="paragraph" w:styleId="25">
    <w:name w:val="toc 2"/>
    <w:basedOn w:val="1"/>
    <w:next w:val="1"/>
    <w:autoRedefine/>
    <w:qFormat/>
    <w:locked/>
    <w:uiPriority w:val="0"/>
    <w:pPr>
      <w:ind w:left="420" w:leftChars="200"/>
    </w:pPr>
  </w:style>
  <w:style w:type="paragraph" w:styleId="26">
    <w:name w:val="Body Text 2"/>
    <w:basedOn w:val="1"/>
    <w:autoRedefine/>
    <w:qFormat/>
    <w:locked/>
    <w:uiPriority w:val="0"/>
    <w:pPr>
      <w:spacing w:after="120" w:line="480" w:lineRule="auto"/>
    </w:pPr>
  </w:style>
  <w:style w:type="paragraph" w:styleId="27">
    <w:name w:val="HTML Preformatted"/>
    <w:basedOn w:val="1"/>
    <w:autoRedefine/>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8">
    <w:name w:val="Normal (Web)"/>
    <w:basedOn w:val="1"/>
    <w:link w:val="52"/>
    <w:autoRedefine/>
    <w:qFormat/>
    <w:uiPriority w:val="0"/>
    <w:pPr>
      <w:widowControl/>
      <w:spacing w:before="100" w:beforeAutospacing="1" w:after="100" w:afterAutospacing="1"/>
      <w:jc w:val="left"/>
    </w:pPr>
    <w:rPr>
      <w:rFonts w:ascii="宋体" w:hAnsi="宋体"/>
      <w:kern w:val="0"/>
      <w:sz w:val="24"/>
      <w:szCs w:val="20"/>
    </w:rPr>
  </w:style>
  <w:style w:type="paragraph" w:styleId="29">
    <w:name w:val="Title"/>
    <w:basedOn w:val="1"/>
    <w:next w:val="1"/>
    <w:qFormat/>
    <w:locked/>
    <w:uiPriority w:val="99"/>
    <w:pPr>
      <w:spacing w:line="240" w:lineRule="auto"/>
      <w:jc w:val="center"/>
      <w:outlineLvl w:val="0"/>
    </w:pPr>
    <w:rPr>
      <w:b/>
      <w:bCs/>
      <w:szCs w:val="32"/>
    </w:rPr>
  </w:style>
  <w:style w:type="paragraph" w:styleId="30">
    <w:name w:val="annotation subject"/>
    <w:basedOn w:val="10"/>
    <w:next w:val="10"/>
    <w:link w:val="57"/>
    <w:autoRedefine/>
    <w:semiHidden/>
    <w:qFormat/>
    <w:uiPriority w:val="0"/>
    <w:rPr>
      <w:b/>
    </w:rPr>
  </w:style>
  <w:style w:type="paragraph" w:styleId="31">
    <w:name w:val="Body Text First Indent"/>
    <w:basedOn w:val="1"/>
    <w:next w:val="1"/>
    <w:autoRedefine/>
    <w:unhideWhenUsed/>
    <w:qFormat/>
    <w:locked/>
    <w:uiPriority w:val="99"/>
    <w:pPr>
      <w:ind w:firstLine="420" w:firstLineChars="100"/>
    </w:pPr>
  </w:style>
  <w:style w:type="paragraph" w:styleId="32">
    <w:name w:val="Body Text First Indent 2"/>
    <w:basedOn w:val="13"/>
    <w:next w:val="1"/>
    <w:autoRedefine/>
    <w:qFormat/>
    <w:locked/>
    <w:uiPriority w:val="0"/>
    <w:pPr>
      <w:ind w:firstLine="420"/>
    </w:pPr>
    <w:rPr>
      <w:kern w:val="2"/>
      <w:sz w:val="21"/>
      <w:szCs w:val="24"/>
    </w:rPr>
  </w:style>
  <w:style w:type="table" w:styleId="34">
    <w:name w:val="Table Grid"/>
    <w:basedOn w:val="3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autoRedefine/>
    <w:qFormat/>
    <w:locked/>
    <w:uiPriority w:val="0"/>
    <w:rPr>
      <w:b/>
    </w:rPr>
  </w:style>
  <w:style w:type="character" w:styleId="37">
    <w:name w:val="page number"/>
    <w:basedOn w:val="35"/>
    <w:autoRedefine/>
    <w:qFormat/>
    <w:locked/>
    <w:uiPriority w:val="0"/>
  </w:style>
  <w:style w:type="character" w:styleId="38">
    <w:name w:val="Hyperlink"/>
    <w:basedOn w:val="35"/>
    <w:autoRedefine/>
    <w:qFormat/>
    <w:locked/>
    <w:uiPriority w:val="0"/>
    <w:rPr>
      <w:color w:val="0000FF"/>
      <w:u w:val="single"/>
    </w:rPr>
  </w:style>
  <w:style w:type="character" w:styleId="39">
    <w:name w:val="annotation reference"/>
    <w:autoRedefine/>
    <w:semiHidden/>
    <w:qFormat/>
    <w:uiPriority w:val="0"/>
    <w:rPr>
      <w:sz w:val="21"/>
    </w:rPr>
  </w:style>
  <w:style w:type="paragraph" w:customStyle="1" w:styleId="40">
    <w:name w:val="Default"/>
    <w:basedOn w:val="41"/>
    <w:next w:val="26"/>
    <w:autoRedefine/>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customStyle="1" w:styleId="41">
    <w:name w:val="纯文本1"/>
    <w:basedOn w:val="1"/>
    <w:qFormat/>
    <w:uiPriority w:val="0"/>
    <w:pPr>
      <w:adjustRightInd w:val="0"/>
    </w:pPr>
    <w:rPr>
      <w:rFonts w:ascii="宋体" w:hAnsi="Courier New"/>
      <w:szCs w:val="20"/>
    </w:rPr>
  </w:style>
  <w:style w:type="paragraph" w:customStyle="1" w:styleId="42">
    <w:name w:val="正文（缩进）"/>
    <w:basedOn w:val="43"/>
    <w:next w:val="1"/>
    <w:autoRedefine/>
    <w:qFormat/>
    <w:uiPriority w:val="99"/>
    <w:pPr>
      <w:spacing w:line="360" w:lineRule="auto"/>
      <w:ind w:firstLine="480" w:firstLineChars="200"/>
    </w:pPr>
    <w:rPr>
      <w:sz w:val="24"/>
    </w:rPr>
  </w:style>
  <w:style w:type="paragraph" w:customStyle="1" w:styleId="43">
    <w:name w:val="正文(首行缩进)"/>
    <w:basedOn w:val="1"/>
    <w:autoRedefine/>
    <w:qFormat/>
    <w:uiPriority w:val="0"/>
    <w:pPr>
      <w:spacing w:line="460" w:lineRule="exact"/>
      <w:ind w:firstLine="560" w:firstLineChars="200"/>
    </w:pPr>
    <w:rPr>
      <w:rFonts w:ascii="宋体" w:hAnsi="宋体"/>
      <w:snapToGrid w:val="0"/>
      <w:color w:val="000000"/>
      <w:kern w:val="0"/>
      <w:szCs w:val="24"/>
    </w:rPr>
  </w:style>
  <w:style w:type="paragraph" w:customStyle="1" w:styleId="44">
    <w:name w:val="表格"/>
    <w:basedOn w:val="7"/>
    <w:next w:val="1"/>
    <w:link w:val="55"/>
    <w:autoRedefine/>
    <w:qFormat/>
    <w:uiPriority w:val="0"/>
    <w:pPr>
      <w:adjustRightInd w:val="0"/>
      <w:snapToGrid w:val="0"/>
      <w:spacing w:beforeLines="10" w:afterLines="10" w:line="259" w:lineRule="auto"/>
      <w:jc w:val="center"/>
    </w:pPr>
    <w:rPr>
      <w:rFonts w:ascii="宋体"/>
      <w:kern w:val="0"/>
      <w:szCs w:val="20"/>
    </w:rPr>
  </w:style>
  <w:style w:type="paragraph" w:customStyle="1" w:styleId="45">
    <w:name w:val="表头"/>
    <w:basedOn w:val="24"/>
    <w:next w:val="1"/>
    <w:autoRedefine/>
    <w:qFormat/>
    <w:uiPriority w:val="0"/>
    <w:pPr>
      <w:snapToGrid w:val="0"/>
      <w:spacing w:before="60" w:beforeLines="25"/>
    </w:pPr>
    <w:rPr>
      <w:rFonts w:hAnsi="宋体" w:eastAsia="仿宋_GB2312"/>
      <w:b/>
      <w:sz w:val="28"/>
      <w:szCs w:val="28"/>
    </w:rPr>
  </w:style>
  <w:style w:type="paragraph" w:customStyle="1" w:styleId="46">
    <w:name w:val="正文（首行缩进两字）"/>
    <w:basedOn w:val="1"/>
    <w:autoRedefine/>
    <w:qFormat/>
    <w:uiPriority w:val="0"/>
    <w:pPr>
      <w:ind w:firstLine="420" w:firstLineChars="200"/>
    </w:pPr>
    <w:rPr>
      <w:szCs w:val="21"/>
    </w:rPr>
  </w:style>
  <w:style w:type="paragraph" w:customStyle="1" w:styleId="47">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49">
    <w:name w:val="页眉 字符"/>
    <w:link w:val="14"/>
    <w:autoRedefine/>
    <w:qFormat/>
    <w:locked/>
    <w:uiPriority w:val="0"/>
    <w:rPr>
      <w:sz w:val="18"/>
    </w:rPr>
  </w:style>
  <w:style w:type="character" w:customStyle="1" w:styleId="50">
    <w:name w:val="正文文本 字符1"/>
    <w:autoRedefine/>
    <w:semiHidden/>
    <w:qFormat/>
    <w:uiPriority w:val="0"/>
    <w:rPr>
      <w:rFonts w:ascii="Times New Roman" w:hAnsi="Times New Roman" w:eastAsia="宋体"/>
      <w:sz w:val="24"/>
    </w:rPr>
  </w:style>
  <w:style w:type="character" w:customStyle="1" w:styleId="51">
    <w:name w:val="正文文本 字符"/>
    <w:link w:val="11"/>
    <w:autoRedefine/>
    <w:qFormat/>
    <w:locked/>
    <w:uiPriority w:val="0"/>
    <w:rPr>
      <w:sz w:val="18"/>
    </w:rPr>
  </w:style>
  <w:style w:type="character" w:customStyle="1" w:styleId="52">
    <w:name w:val="普通(网站) 字符"/>
    <w:link w:val="28"/>
    <w:autoRedefine/>
    <w:qFormat/>
    <w:locked/>
    <w:uiPriority w:val="0"/>
    <w:rPr>
      <w:rFonts w:ascii="宋体" w:hAnsi="宋体" w:eastAsia="宋体"/>
      <w:sz w:val="24"/>
    </w:rPr>
  </w:style>
  <w:style w:type="character" w:customStyle="1" w:styleId="53">
    <w:name w:val="批注文字 字符"/>
    <w:link w:val="10"/>
    <w:autoRedefine/>
    <w:qFormat/>
    <w:locked/>
    <w:uiPriority w:val="0"/>
    <w:rPr>
      <w:rFonts w:ascii="Times New Roman" w:hAnsi="Times New Roman" w:eastAsia="宋体"/>
      <w:sz w:val="24"/>
    </w:rPr>
  </w:style>
  <w:style w:type="character" w:customStyle="1" w:styleId="54">
    <w:name w:val="正文文本缩进 字符"/>
    <w:link w:val="13"/>
    <w:autoRedefine/>
    <w:semiHidden/>
    <w:qFormat/>
    <w:locked/>
    <w:uiPriority w:val="0"/>
    <w:rPr>
      <w:rFonts w:ascii="Times New Roman" w:hAnsi="Times New Roman" w:eastAsia="宋体"/>
      <w:sz w:val="24"/>
    </w:rPr>
  </w:style>
  <w:style w:type="character" w:customStyle="1" w:styleId="55">
    <w:name w:val="表格 Char"/>
    <w:link w:val="44"/>
    <w:autoRedefine/>
    <w:qFormat/>
    <w:locked/>
    <w:uiPriority w:val="0"/>
    <w:rPr>
      <w:rFonts w:ascii="宋体"/>
      <w:sz w:val="21"/>
    </w:rPr>
  </w:style>
  <w:style w:type="character" w:customStyle="1" w:styleId="56">
    <w:name w:val="页脚 字符1"/>
    <w:link w:val="2"/>
    <w:autoRedefine/>
    <w:qFormat/>
    <w:locked/>
    <w:uiPriority w:val="99"/>
    <w:rPr>
      <w:sz w:val="18"/>
    </w:rPr>
  </w:style>
  <w:style w:type="character" w:customStyle="1" w:styleId="57">
    <w:name w:val="批注主题 字符"/>
    <w:link w:val="30"/>
    <w:autoRedefine/>
    <w:semiHidden/>
    <w:qFormat/>
    <w:locked/>
    <w:uiPriority w:val="0"/>
    <w:rPr>
      <w:rFonts w:ascii="Times New Roman" w:hAnsi="Times New Roman" w:eastAsia="宋体"/>
      <w:b/>
      <w:kern w:val="2"/>
      <w:sz w:val="24"/>
    </w:rPr>
  </w:style>
  <w:style w:type="character" w:customStyle="1" w:styleId="58">
    <w:name w:val="页脚 字符"/>
    <w:basedOn w:val="35"/>
    <w:autoRedefine/>
    <w:qFormat/>
    <w:uiPriority w:val="99"/>
  </w:style>
  <w:style w:type="character" w:customStyle="1" w:styleId="59">
    <w:name w:val="批注框文本 字符"/>
    <w:link w:val="20"/>
    <w:autoRedefine/>
    <w:semiHidden/>
    <w:qFormat/>
    <w:locked/>
    <w:uiPriority w:val="0"/>
    <w:rPr>
      <w:rFonts w:ascii="Times New Roman" w:hAnsi="Times New Roman" w:eastAsia="宋体"/>
      <w:sz w:val="18"/>
    </w:rPr>
  </w:style>
  <w:style w:type="character" w:customStyle="1" w:styleId="60">
    <w:name w:val="日期 字符1"/>
    <w:link w:val="19"/>
    <w:autoRedefine/>
    <w:qFormat/>
    <w:locked/>
    <w:uiPriority w:val="0"/>
    <w:rPr>
      <w:rFonts w:ascii="Times New Roman" w:hAnsi="Times New Roman" w:eastAsia="宋体"/>
      <w:sz w:val="24"/>
    </w:rPr>
  </w:style>
  <w:style w:type="character" w:customStyle="1" w:styleId="61">
    <w:name w:val="批注文字 字符1"/>
    <w:autoRedefine/>
    <w:semiHidden/>
    <w:qFormat/>
    <w:uiPriority w:val="0"/>
    <w:rPr>
      <w:rFonts w:ascii="Times New Roman" w:hAnsi="Times New Roman" w:eastAsia="宋体"/>
      <w:sz w:val="24"/>
    </w:rPr>
  </w:style>
  <w:style w:type="character" w:customStyle="1" w:styleId="62">
    <w:name w:val="日期 字符"/>
    <w:autoRedefine/>
    <w:semiHidden/>
    <w:qFormat/>
    <w:uiPriority w:val="0"/>
    <w:rPr>
      <w:rFonts w:ascii="Times New Roman" w:hAnsi="Times New Roman" w:eastAsia="宋体"/>
      <w:sz w:val="24"/>
    </w:rPr>
  </w:style>
  <w:style w:type="paragraph" w:customStyle="1" w:styleId="63">
    <w:name w:val="正文缩近"/>
    <w:basedOn w:val="1"/>
    <w:autoRedefine/>
    <w:qFormat/>
    <w:uiPriority w:val="0"/>
    <w:pPr>
      <w:spacing w:line="360" w:lineRule="auto"/>
      <w:ind w:firstLine="560" w:firstLineChars="200"/>
    </w:pPr>
    <w:rPr>
      <w:sz w:val="28"/>
    </w:rPr>
  </w:style>
  <w:style w:type="paragraph" w:customStyle="1" w:styleId="64">
    <w:name w:val="Table Paragraph"/>
    <w:basedOn w:val="1"/>
    <w:autoRedefine/>
    <w:qFormat/>
    <w:uiPriority w:val="1"/>
    <w:pPr>
      <w:jc w:val="center"/>
    </w:pPr>
    <w:rPr>
      <w:rFonts w:eastAsia="Times New Roman"/>
      <w:lang w:val="zh-CN" w:bidi="zh-CN"/>
    </w:rPr>
  </w:style>
  <w:style w:type="paragraph" w:customStyle="1" w:styleId="65">
    <w:name w:val="表 正文"/>
    <w:basedOn w:val="1"/>
    <w:autoRedefine/>
    <w:qFormat/>
    <w:uiPriority w:val="0"/>
    <w:pPr>
      <w:snapToGrid w:val="0"/>
      <w:spacing w:line="360" w:lineRule="auto"/>
      <w:ind w:firstLine="200" w:firstLineChars="200"/>
    </w:pPr>
    <w:rPr>
      <w:kern w:val="44"/>
      <w:sz w:val="24"/>
    </w:rPr>
  </w:style>
  <w:style w:type="paragraph" w:styleId="66">
    <w:name w:val="List Paragraph"/>
    <w:basedOn w:val="1"/>
    <w:autoRedefine/>
    <w:unhideWhenUsed/>
    <w:qFormat/>
    <w:uiPriority w:val="99"/>
    <w:pPr>
      <w:ind w:firstLine="420" w:firstLineChars="200"/>
    </w:pPr>
  </w:style>
  <w:style w:type="paragraph" w:customStyle="1" w:styleId="67">
    <w:name w:val="正文文本 (2)1"/>
    <w:basedOn w:val="1"/>
    <w:autoRedefine/>
    <w:qFormat/>
    <w:uiPriority w:val="0"/>
    <w:pPr>
      <w:shd w:val="clear" w:color="auto" w:fill="FFFFFF"/>
      <w:spacing w:line="374" w:lineRule="exact"/>
      <w:jc w:val="distribute"/>
    </w:pPr>
    <w:rPr>
      <w:rFonts w:ascii="MingLiU" w:eastAsia="MingLiU"/>
      <w:spacing w:val="-10"/>
      <w:sz w:val="20"/>
    </w:rPr>
  </w:style>
  <w:style w:type="character" w:customStyle="1" w:styleId="68">
    <w:name w:val="正文文本 (2) + 9 pt"/>
    <w:autoRedefine/>
    <w:qFormat/>
    <w:uiPriority w:val="0"/>
    <w:rPr>
      <w:rFonts w:hint="eastAsia" w:ascii="MingLiU" w:hAnsi="MingLiU" w:eastAsia="MingLiU" w:cs="MingLiU"/>
      <w:color w:val="000000"/>
      <w:spacing w:val="10"/>
      <w:w w:val="100"/>
      <w:position w:val="0"/>
      <w:sz w:val="18"/>
      <w:szCs w:val="18"/>
      <w:lang w:val="zh-TW" w:eastAsia="zh-TW" w:bidi="zh-TW"/>
    </w:rPr>
  </w:style>
  <w:style w:type="paragraph" w:customStyle="1" w:styleId="69">
    <w:name w:val="表字1"/>
    <w:basedOn w:val="1"/>
    <w:autoRedefine/>
    <w:qFormat/>
    <w:uiPriority w:val="0"/>
    <w:pPr>
      <w:adjustRightInd w:val="0"/>
      <w:spacing w:line="360" w:lineRule="auto"/>
      <w:jc w:val="center"/>
      <w:textAlignment w:val="baseline"/>
    </w:pPr>
    <w:rPr>
      <w:rFonts w:ascii="宋体"/>
      <w:kern w:val="0"/>
      <w:szCs w:val="20"/>
    </w:rPr>
  </w:style>
  <w:style w:type="paragraph" w:customStyle="1" w:styleId="70">
    <w:name w:val="书 正文"/>
    <w:basedOn w:val="1"/>
    <w:autoRedefine/>
    <w:qFormat/>
    <w:uiPriority w:val="0"/>
    <w:pPr>
      <w:adjustRightInd w:val="0"/>
      <w:snapToGrid w:val="0"/>
      <w:spacing w:line="360" w:lineRule="auto"/>
      <w:ind w:firstLine="200" w:firstLineChars="200"/>
      <w:jc w:val="left"/>
    </w:pPr>
    <w:rPr>
      <w:rFonts w:ascii="Times New Roman" w:hAnsi="Times New Roman" w:eastAsia="仿宋_GB2312" w:cs="Times New Roman"/>
      <w:kern w:val="24"/>
      <w:sz w:val="24"/>
      <w:szCs w:val="24"/>
    </w:rPr>
  </w:style>
  <w:style w:type="paragraph" w:customStyle="1" w:styleId="71">
    <w:name w:val="小标题"/>
    <w:basedOn w:val="1"/>
    <w:autoRedefine/>
    <w:qFormat/>
    <w:uiPriority w:val="0"/>
    <w:pPr>
      <w:spacing w:line="240" w:lineRule="auto"/>
      <w:ind w:firstLine="0" w:firstLineChars="0"/>
      <w:jc w:val="center"/>
    </w:pPr>
    <w:rPr>
      <w:rFonts w:hint="eastAsia" w:cs="Times New Roman"/>
      <w:b/>
      <w:sz w:val="21"/>
    </w:rPr>
  </w:style>
  <w:style w:type="paragraph" w:customStyle="1" w:styleId="72">
    <w:name w:val="表格文字"/>
    <w:basedOn w:val="17"/>
    <w:next w:val="1"/>
    <w:autoRedefine/>
    <w:qFormat/>
    <w:uiPriority w:val="0"/>
    <w:pPr>
      <w:jc w:val="center"/>
    </w:pPr>
    <w:rPr>
      <w:rFonts w:ascii="仿宋_GB2312" w:hAnsi="Arial Black" w:eastAsia="仿宋_GB2312"/>
      <w:kern w:val="44"/>
    </w:rPr>
  </w:style>
  <w:style w:type="table" w:customStyle="1" w:styleId="73">
    <w:name w:val="表格主题1"/>
    <w:basedOn w:val="33"/>
    <w:autoRedefine/>
    <w:qFormat/>
    <w:uiPriority w:val="0"/>
    <w:pPr>
      <w:widowControl w:val="0"/>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tblStylePr w:type="firstRow">
      <w:pPr>
        <w:wordWrap/>
        <w:spacing w:before="0" w:beforeLines="0" w:beforeAutospacing="0" w:after="0" w:afterLines="0" w:afterAutospacing="0"/>
        <w:ind w:left="0" w:leftChars="0" w:right="0" w:rightChars="0"/>
      </w:pPr>
      <w:rPr>
        <w:b/>
        <w:sz w:val="21"/>
      </w:rPr>
    </w:tblStylePr>
  </w:style>
  <w:style w:type="paragraph" w:customStyle="1" w:styleId="74">
    <w:name w:val="报告正文"/>
    <w:basedOn w:val="1"/>
    <w:autoRedefine/>
    <w:qFormat/>
    <w:uiPriority w:val="0"/>
    <w:pPr>
      <w:spacing w:line="400" w:lineRule="exact"/>
    </w:pPr>
    <w:rPr>
      <w:sz w:val="24"/>
      <w:szCs w:val="20"/>
    </w:rPr>
  </w:style>
  <w:style w:type="paragraph" w:customStyle="1" w:styleId="75">
    <w:name w:val="报告表正文"/>
    <w:basedOn w:val="1"/>
    <w:autoRedefine/>
    <w:qFormat/>
    <w:uiPriority w:val="0"/>
    <w:pPr>
      <w:overflowPunct w:val="0"/>
      <w:adjustRightInd w:val="0"/>
      <w:snapToGrid w:val="0"/>
      <w:spacing w:line="360" w:lineRule="auto"/>
      <w:ind w:firstLine="200" w:firstLineChars="200"/>
    </w:pPr>
    <w:rPr>
      <w:rFonts w:ascii="Times New Roman" w:hAnsi="Times New Roman" w:eastAsia="仿宋_GB2312"/>
      <w:color w:val="000000"/>
      <w:kern w:val="16"/>
      <w:sz w:val="24"/>
      <w:szCs w:val="24"/>
    </w:rPr>
  </w:style>
  <w:style w:type="table" w:customStyle="1" w:styleId="76">
    <w:name w:val="Table Normal"/>
    <w:autoRedefine/>
    <w:semiHidden/>
    <w:unhideWhenUsed/>
    <w:qFormat/>
    <w:uiPriority w:val="0"/>
    <w:tblPr>
      <w:tblCellMar>
        <w:top w:w="0" w:type="dxa"/>
        <w:left w:w="0" w:type="dxa"/>
        <w:bottom w:w="0" w:type="dxa"/>
        <w:right w:w="0" w:type="dxa"/>
      </w:tblCellMar>
    </w:tblPr>
  </w:style>
  <w:style w:type="paragraph" w:customStyle="1" w:styleId="77">
    <w:name w:val="表格1123"/>
    <w:basedOn w:val="31"/>
    <w:autoRedefine/>
    <w:qFormat/>
    <w:uiPriority w:val="0"/>
    <w:pPr>
      <w:ind w:firstLine="0" w:firstLineChars="0"/>
      <w:jc w:val="center"/>
    </w:pPr>
    <w:rPr>
      <w:rFonts w:ascii="Times New Roman" w:hAnsi="Times New Roman" w:eastAsia="宋体"/>
      <w:sz w:val="18"/>
    </w:rPr>
  </w:style>
  <w:style w:type="paragraph" w:customStyle="1" w:styleId="78">
    <w:name w:val="报告表小标题"/>
    <w:basedOn w:val="1"/>
    <w:autoRedefine/>
    <w:qFormat/>
    <w:uiPriority w:val="0"/>
    <w:pPr>
      <w:spacing w:line="360" w:lineRule="auto"/>
    </w:pPr>
    <w:rPr>
      <w:b/>
      <w:sz w:val="24"/>
    </w:rPr>
  </w:style>
  <w:style w:type="paragraph" w:customStyle="1" w:styleId="79">
    <w:name w:val="表一级标题"/>
    <w:basedOn w:val="1"/>
    <w:autoRedefine/>
    <w:qFormat/>
    <w:uiPriority w:val="0"/>
    <w:pPr>
      <w:adjustRightInd w:val="0"/>
      <w:snapToGrid w:val="0"/>
      <w:spacing w:before="50" w:beforeLines="50" w:after="50" w:afterLines="50" w:line="240" w:lineRule="auto"/>
      <w:ind w:firstLine="0" w:firstLineChars="0"/>
      <w:jc w:val="left"/>
      <w:textAlignment w:val="baseline"/>
    </w:pPr>
    <w:rPr>
      <w:rFonts w:ascii="Times New Roman" w:hAnsi="Times New Roman" w:eastAsia="宋体"/>
      <w:b/>
      <w:sz w:val="24"/>
    </w:rPr>
  </w:style>
  <w:style w:type="paragraph" w:customStyle="1" w:styleId="80">
    <w:name w:val="表格内容"/>
    <w:basedOn w:val="81"/>
    <w:autoRedefine/>
    <w:qFormat/>
    <w:uiPriority w:val="0"/>
    <w:pPr>
      <w:widowControl/>
    </w:pPr>
    <w:rPr>
      <w:rFonts w:hAnsi="宋体"/>
      <w:kern w:val="0"/>
      <w:sz w:val="21"/>
      <w:szCs w:val="21"/>
    </w:rPr>
  </w:style>
  <w:style w:type="paragraph" w:customStyle="1" w:styleId="81">
    <w:name w:val="表格表头"/>
    <w:basedOn w:val="82"/>
    <w:autoRedefine/>
    <w:qFormat/>
    <w:uiPriority w:val="0"/>
    <w:pPr>
      <w:spacing w:beforeLines="50" w:line="240" w:lineRule="auto"/>
      <w:jc w:val="center"/>
      <w:outlineLvl w:val="9"/>
    </w:pPr>
    <w:rPr>
      <w:b/>
      <w:sz w:val="24"/>
    </w:rPr>
  </w:style>
  <w:style w:type="paragraph" w:customStyle="1" w:styleId="82">
    <w:name w:val="四级标题"/>
    <w:basedOn w:val="83"/>
    <w:autoRedefine/>
    <w:qFormat/>
    <w:uiPriority w:val="0"/>
    <w:pPr>
      <w:outlineLvl w:val="3"/>
    </w:pPr>
    <w:rPr>
      <w:b w:val="0"/>
    </w:rPr>
  </w:style>
  <w:style w:type="paragraph" w:customStyle="1" w:styleId="83">
    <w:name w:val="三级标题"/>
    <w:basedOn w:val="84"/>
    <w:autoRedefine/>
    <w:qFormat/>
    <w:uiPriority w:val="0"/>
    <w:pPr>
      <w:outlineLvl w:val="2"/>
    </w:pPr>
  </w:style>
  <w:style w:type="paragraph" w:customStyle="1" w:styleId="84">
    <w:name w:val="二级标题"/>
    <w:basedOn w:val="85"/>
    <w:autoRedefine/>
    <w:qFormat/>
    <w:uiPriority w:val="0"/>
    <w:pPr>
      <w:ind w:firstLine="0" w:firstLineChars="0"/>
      <w:jc w:val="left"/>
      <w:outlineLvl w:val="1"/>
    </w:pPr>
    <w:rPr>
      <w:sz w:val="28"/>
    </w:rPr>
  </w:style>
  <w:style w:type="paragraph" w:customStyle="1" w:styleId="85">
    <w:name w:val="一级标题"/>
    <w:basedOn w:val="1"/>
    <w:autoRedefine/>
    <w:qFormat/>
    <w:uiPriority w:val="0"/>
    <w:pPr>
      <w:jc w:val="center"/>
      <w:outlineLvl w:val="0"/>
    </w:pPr>
    <w:rPr>
      <w:b/>
      <w:sz w:val="30"/>
    </w:rPr>
  </w:style>
  <w:style w:type="character" w:customStyle="1" w:styleId="86">
    <w:name w:val="font21"/>
    <w:basedOn w:val="35"/>
    <w:autoRedefine/>
    <w:qFormat/>
    <w:uiPriority w:val="0"/>
    <w:rPr>
      <w:rFonts w:ascii="宋体" w:hAnsi="宋体" w:eastAsia="宋体" w:cs="宋体"/>
      <w:b/>
      <w:bCs/>
      <w:color w:val="000000"/>
      <w:sz w:val="28"/>
      <w:szCs w:val="28"/>
      <w:u w:val="none"/>
    </w:rPr>
  </w:style>
  <w:style w:type="character" w:customStyle="1" w:styleId="87">
    <w:name w:val="font31"/>
    <w:basedOn w:val="35"/>
    <w:autoRedefine/>
    <w:qFormat/>
    <w:uiPriority w:val="0"/>
    <w:rPr>
      <w:rFonts w:ascii="宋体" w:hAnsi="宋体" w:eastAsia="宋体" w:cs="宋体"/>
      <w:color w:val="000000"/>
      <w:sz w:val="28"/>
      <w:szCs w:val="28"/>
      <w:u w:val="none"/>
    </w:rPr>
  </w:style>
  <w:style w:type="character" w:customStyle="1" w:styleId="88">
    <w:name w:val="font41"/>
    <w:basedOn w:val="35"/>
    <w:autoRedefine/>
    <w:qFormat/>
    <w:uiPriority w:val="0"/>
    <w:rPr>
      <w:rFonts w:ascii="宋体" w:hAnsi="宋体" w:eastAsia="宋体" w:cs="宋体"/>
      <w:color w:val="000000"/>
      <w:sz w:val="18"/>
      <w:szCs w:val="18"/>
      <w:u w:val="none"/>
    </w:rPr>
  </w:style>
  <w:style w:type="paragraph" w:customStyle="1" w:styleId="89">
    <w:name w:val="Table Text"/>
    <w:basedOn w:val="1"/>
    <w:autoRedefine/>
    <w:semiHidden/>
    <w:qFormat/>
    <w:uiPriority w:val="0"/>
    <w:rPr>
      <w:rFonts w:ascii="宋体" w:hAnsi="宋体" w:eastAsia="宋体" w:cs="宋体"/>
      <w:sz w:val="16"/>
      <w:szCs w:val="16"/>
      <w:lang w:val="en-US" w:eastAsia="en-US" w:bidi="ar-SA"/>
    </w:rPr>
  </w:style>
  <w:style w:type="paragraph" w:customStyle="1" w:styleId="90">
    <w:name w:val="报告表表头"/>
    <w:basedOn w:val="91"/>
    <w:next w:val="44"/>
    <w:autoRedefine/>
    <w:qFormat/>
    <w:uiPriority w:val="0"/>
    <w:pPr>
      <w:adjustRightInd w:val="0"/>
      <w:snapToGrid w:val="0"/>
      <w:spacing w:line="240" w:lineRule="auto"/>
      <w:jc w:val="center"/>
      <w:textAlignment w:val="baseline"/>
    </w:pPr>
    <w:rPr>
      <w:rFonts w:ascii="Times New Roman" w:hAnsi="Times New Roman" w:eastAsia="宋体"/>
      <w:b/>
      <w:sz w:val="21"/>
      <w:szCs w:val="28"/>
    </w:rPr>
  </w:style>
  <w:style w:type="paragraph" w:customStyle="1" w:styleId="91">
    <w:name w:val="表文"/>
    <w:basedOn w:val="1"/>
    <w:autoRedefine/>
    <w:qFormat/>
    <w:uiPriority w:val="0"/>
    <w:pPr>
      <w:autoSpaceDE w:val="0"/>
      <w:autoSpaceDN w:val="0"/>
      <w:adjustRightInd w:val="0"/>
      <w:spacing w:line="360" w:lineRule="atLeast"/>
      <w:jc w:val="center"/>
      <w:textAlignment w:val="baseline"/>
    </w:pPr>
    <w:rPr>
      <w:rFonts w:ascii="宋体" w:hAnsi="Tms Rmn"/>
      <w:kern w:val="0"/>
      <w:sz w:val="24"/>
      <w:szCs w:val="20"/>
    </w:rPr>
  </w:style>
  <w:style w:type="paragraph" w:customStyle="1" w:styleId="92">
    <w:name w:val="表头002"/>
    <w:basedOn w:val="93"/>
    <w:autoRedefine/>
    <w:qFormat/>
    <w:uiPriority w:val="0"/>
  </w:style>
  <w:style w:type="paragraph" w:customStyle="1" w:styleId="93">
    <w:name w:val="110"/>
    <w:next w:val="1"/>
    <w:autoRedefine/>
    <w:qFormat/>
    <w:uiPriority w:val="0"/>
    <w:pPr>
      <w:widowControl w:val="0"/>
      <w:jc w:val="center"/>
    </w:pPr>
    <w:rPr>
      <w:rFonts w:ascii="Calibri" w:hAnsi="Calibri" w:eastAsia="宋体" w:cs="Times New Roman"/>
      <w:b/>
      <w:kern w:val="2"/>
      <w:sz w:val="24"/>
      <w:szCs w:val="24"/>
      <w:lang w:val="en-US" w:eastAsia="zh-CN" w:bidi="ar-SA"/>
    </w:rPr>
  </w:style>
  <w:style w:type="paragraph" w:customStyle="1" w:styleId="94">
    <w:name w:val="02表格文字-环评报告"/>
    <w:basedOn w:val="1"/>
    <w:autoRedefine/>
    <w:qFormat/>
    <w:uiPriority w:val="0"/>
    <w:pPr>
      <w:adjustRightInd w:val="0"/>
      <w:snapToGrid w:val="0"/>
      <w:spacing w:line="240" w:lineRule="auto"/>
      <w:ind w:firstLine="0" w:firstLineChars="0"/>
      <w:jc w:val="center"/>
    </w:pPr>
    <w:rPr>
      <w:sz w:val="21"/>
      <w:szCs w:val="21"/>
    </w:rPr>
  </w:style>
  <w:style w:type="paragraph" w:customStyle="1" w:styleId="95">
    <w:name w:val="表格字"/>
    <w:basedOn w:val="24"/>
    <w:autoRedefine/>
    <w:qFormat/>
    <w:uiPriority w:val="0"/>
    <w:pPr>
      <w:adjustRightInd w:val="0"/>
      <w:spacing w:line="240" w:lineRule="auto"/>
      <w:ind w:left="0" w:firstLine="0" w:firstLineChars="0"/>
      <w:jc w:val="center"/>
    </w:pPr>
    <w:rPr>
      <w:rFonts w:ascii="Times New Roman" w:hAnsi="Times New Roman" w:eastAsia="宋体" w:cs="Times New Roman"/>
      <w:sz w:val="21"/>
    </w:rPr>
  </w:style>
  <w:style w:type="paragraph" w:customStyle="1" w:styleId="96">
    <w:name w:val="报告书正文"/>
    <w:basedOn w:val="1"/>
    <w:autoRedefine/>
    <w:qFormat/>
    <w:uiPriority w:val="0"/>
    <w:pPr>
      <w:spacing w:line="360" w:lineRule="auto"/>
      <w:ind w:firstLine="200" w:firstLineChars="200"/>
      <w:textAlignment w:val="baseline"/>
    </w:pPr>
    <w:rPr>
      <w:kern w:val="0"/>
      <w:sz w:val="24"/>
      <w:szCs w:val="20"/>
    </w:rPr>
  </w:style>
  <w:style w:type="paragraph" w:customStyle="1" w:styleId="97">
    <w:name w:val="【正文】"/>
    <w:basedOn w:val="1"/>
    <w:autoRedefine/>
    <w:qFormat/>
    <w:uiPriority w:val="0"/>
    <w:pPr>
      <w:spacing w:line="440" w:lineRule="exact"/>
      <w:ind w:firstLine="544"/>
    </w:pPr>
    <w:rPr>
      <w:rFonts w:cs="宋体"/>
      <w:szCs w:val="20"/>
    </w:rPr>
  </w:style>
  <w:style w:type="paragraph" w:customStyle="1" w:styleId="98">
    <w:name w:val="Fließtext"/>
    <w:basedOn w:val="1"/>
    <w:qFormat/>
    <w:uiPriority w:val="0"/>
    <w:pPr>
      <w:overflowPunct w:val="0"/>
      <w:autoSpaceDE w:val="0"/>
      <w:autoSpaceDN w:val="0"/>
      <w:adjustRightInd w:val="0"/>
      <w:textAlignment w:val="baseline"/>
    </w:pPr>
    <w:rPr>
      <w:kern w:val="28"/>
      <w:szCs w:val="20"/>
    </w:rPr>
  </w:style>
  <w:style w:type="paragraph" w:styleId="99">
    <w:name w:val="No Spacing"/>
    <w:basedOn w:val="1"/>
    <w:qFormat/>
    <w:uiPriority w:val="1"/>
    <w:pPr>
      <w:adjustRightInd w:val="0"/>
      <w:snapToGrid w:val="0"/>
      <w:spacing w:line="360" w:lineRule="auto"/>
      <w:ind w:firstLine="200" w:firstLineChars="200"/>
      <w:jc w:val="left"/>
    </w:pPr>
    <w:rPr>
      <w:snapToGrid w:val="0"/>
      <w:kern w:val="0"/>
      <w:sz w:val="24"/>
      <w:szCs w:val="22"/>
    </w:rPr>
  </w:style>
  <w:style w:type="paragraph" w:customStyle="1" w:styleId="100">
    <w:name w:val="正文."/>
    <w:basedOn w:val="1"/>
    <w:qFormat/>
    <w:uiPriority w:val="0"/>
  </w:style>
  <w:style w:type="paragraph" w:customStyle="1" w:styleId="101">
    <w:name w:val="2表头图名"/>
    <w:basedOn w:val="11"/>
    <w:qFormat/>
    <w:uiPriority w:val="0"/>
    <w:pPr>
      <w:adjustRightInd w:val="0"/>
      <w:snapToGrid w:val="0"/>
      <w:spacing w:before="120"/>
      <w:jc w:val="center"/>
    </w:pPr>
    <w:rPr>
      <w:b/>
      <w:snapToGrid w:val="0"/>
    </w:rPr>
  </w:style>
  <w:style w:type="paragraph" w:customStyle="1" w:styleId="102">
    <w:name w:val="表内字--"/>
    <w:basedOn w:val="17"/>
    <w:qFormat/>
    <w:uiPriority w:val="0"/>
    <w:pPr>
      <w:spacing w:line="240" w:lineRule="auto"/>
      <w:ind w:firstLine="0" w:firstLineChars="0"/>
      <w:jc w:val="center"/>
    </w:pPr>
    <w:rPr>
      <w:rFonts w:ascii="Times New Roman" w:hAnsi="Times New Roman"/>
      <w:sz w:val="21"/>
      <w:szCs w:val="21"/>
    </w:rPr>
  </w:style>
  <w:style w:type="paragraph" w:customStyle="1" w:styleId="103">
    <w:name w:val="段落"/>
    <w:basedOn w:val="1"/>
    <w:qFormat/>
    <w:uiPriority w:val="0"/>
    <w:pPr>
      <w:adjustRightInd w:val="0"/>
      <w:snapToGrid w:val="0"/>
      <w:spacing w:line="360" w:lineRule="auto"/>
      <w:ind w:firstLine="464" w:firstLineChars="200"/>
      <w:jc w:val="left"/>
    </w:pPr>
    <w:rPr>
      <w:spacing w:val="-4"/>
      <w:sz w:val="24"/>
    </w:rPr>
  </w:style>
  <w:style w:type="paragraph" w:customStyle="1" w:styleId="104">
    <w:name w:val="Other|1"/>
    <w:basedOn w:val="1"/>
    <w:qFormat/>
    <w:uiPriority w:val="0"/>
    <w:pPr>
      <w:widowControl w:val="0"/>
      <w:shd w:val="clear" w:color="auto" w:fill="auto"/>
      <w:spacing w:line="410" w:lineRule="auto"/>
      <w:ind w:firstLine="400"/>
    </w:pPr>
    <w:rPr>
      <w:rFonts w:ascii="宋体" w:hAnsi="宋体" w:eastAsia="宋体" w:cs="宋体"/>
      <w:u w:val="none"/>
      <w:shd w:val="clear" w:color="auto" w:fill="auto"/>
      <w:lang w:val="zh-TW" w:eastAsia="zh-TW" w:bidi="zh-TW"/>
    </w:rPr>
  </w:style>
  <w:style w:type="character" w:customStyle="1" w:styleId="105">
    <w:name w:val="表号题注 Char Char"/>
    <w:link w:val="106"/>
    <w:qFormat/>
    <w:uiPriority w:val="0"/>
    <w:rPr>
      <w:rFonts w:hAnsi="宋体"/>
      <w:lang w:bidi="en-US"/>
    </w:rPr>
  </w:style>
  <w:style w:type="paragraph" w:customStyle="1" w:styleId="106">
    <w:name w:val="表号题注"/>
    <w:basedOn w:val="1"/>
    <w:link w:val="105"/>
    <w:qFormat/>
    <w:uiPriority w:val="0"/>
    <w:rPr>
      <w:rFonts w:hAnsi="宋体"/>
      <w:lang w:bidi="en-US"/>
    </w:rPr>
  </w:style>
  <w:style w:type="character" w:customStyle="1" w:styleId="107">
    <w:name w:val="font51"/>
    <w:basedOn w:val="35"/>
    <w:qFormat/>
    <w:uiPriority w:val="0"/>
    <w:rPr>
      <w:rFonts w:ascii="仿宋_GB2312" w:hAnsi="仿宋_GB2312" w:eastAsia="仿宋_GB2312" w:cs="仿宋_GB2312"/>
      <w:color w:val="000000"/>
      <w:sz w:val="19"/>
      <w:szCs w:val="19"/>
      <w:u w:val="none"/>
    </w:rPr>
  </w:style>
  <w:style w:type="character" w:customStyle="1" w:styleId="108">
    <w:name w:val="font81"/>
    <w:basedOn w:val="35"/>
    <w:qFormat/>
    <w:uiPriority w:val="0"/>
    <w:rPr>
      <w:rFonts w:hint="default" w:ascii="Times New Roman" w:hAnsi="Times New Roman" w:cs="Times New Roman"/>
      <w:color w:val="000000"/>
      <w:sz w:val="12"/>
      <w:szCs w:val="12"/>
      <w:u w:val="none"/>
    </w:rPr>
  </w:style>
  <w:style w:type="paragraph" w:customStyle="1" w:styleId="109">
    <w:name w:val="永环表内格式"/>
    <w:basedOn w:val="1"/>
    <w:qFormat/>
    <w:uiPriority w:val="0"/>
    <w:pPr>
      <w:adjustRightInd w:val="0"/>
      <w:snapToGrid w:val="0"/>
      <w:spacing w:line="300" w:lineRule="exact"/>
      <w:jc w:val="center"/>
    </w:pPr>
    <w:rPr>
      <w:rFonts w:ascii="宋体" w:hAnsi="宋体"/>
      <w:kern w:val="0"/>
      <w:szCs w:val="21"/>
    </w:rPr>
  </w:style>
  <w:style w:type="character" w:customStyle="1" w:styleId="110">
    <w:name w:val="font61"/>
    <w:basedOn w:val="35"/>
    <w:qFormat/>
    <w:uiPriority w:val="0"/>
    <w:rPr>
      <w:rFonts w:ascii="宋体" w:hAnsi="宋体" w:eastAsia="宋体" w:cs="宋体"/>
      <w:color w:val="000000"/>
      <w:sz w:val="24"/>
      <w:szCs w:val="24"/>
      <w:u w:val="none"/>
    </w:rPr>
  </w:style>
  <w:style w:type="character" w:customStyle="1" w:styleId="111">
    <w:name w:val="font71"/>
    <w:basedOn w:val="35"/>
    <w:qFormat/>
    <w:uiPriority w:val="0"/>
    <w:rPr>
      <w:rFonts w:ascii="宋体" w:hAnsi="宋体" w:eastAsia="宋体" w:cs="宋体"/>
      <w:color w:val="000000"/>
      <w:sz w:val="18"/>
      <w:szCs w:val="18"/>
      <w:u w:val="none"/>
    </w:rPr>
  </w:style>
  <w:style w:type="paragraph" w:customStyle="1" w:styleId="112">
    <w:name w:val="正文2"/>
    <w:basedOn w:val="1"/>
    <w:qFormat/>
    <w:uiPriority w:val="0"/>
    <w:pPr>
      <w:adjustRightInd w:val="0"/>
      <w:snapToGrid w:val="0"/>
      <w:spacing w:line="360" w:lineRule="auto"/>
      <w:ind w:firstLine="480" w:firstLineChars="200"/>
    </w:pPr>
    <w:rPr>
      <w:rFonts w:ascii="Times New Roman" w:hAnsi="Times New Roman" w:eastAsia="仿宋_GB2312"/>
      <w:color w:val="auto"/>
      <w:sz w:val="24"/>
    </w:rPr>
  </w:style>
  <w:style w:type="paragraph" w:customStyle="1" w:styleId="113">
    <w:name w:val="夏氏正文"/>
    <w:basedOn w:val="1"/>
    <w:qFormat/>
    <w:uiPriority w:val="0"/>
    <w:pPr>
      <w:widowControl/>
      <w:adjustRightInd w:val="0"/>
      <w:snapToGrid w:val="0"/>
      <w:spacing w:line="360" w:lineRule="auto"/>
      <w:ind w:firstLine="482"/>
      <w:jc w:val="both"/>
    </w:pPr>
    <w:rPr>
      <w:color w:val="auto"/>
    </w:rPr>
  </w:style>
  <w:style w:type="paragraph" w:customStyle="1" w:styleId="114">
    <w:name w:val="1131"/>
    <w:qFormat/>
    <w:uiPriority w:val="0"/>
    <w:pPr>
      <w:spacing w:line="360" w:lineRule="auto"/>
      <w:ind w:firstLine="480" w:firstLineChars="200"/>
    </w:pPr>
    <w:rPr>
      <w:rFonts w:ascii="Calibri" w:hAnsi="Calibri" w:eastAsia="宋体" w:cs="Times New Roman"/>
      <w:sz w:val="24"/>
      <w:szCs w:val="24"/>
      <w:lang w:val="en-US" w:eastAsia="zh-CN" w:bidi="ar-SA"/>
    </w:rPr>
  </w:style>
  <w:style w:type="paragraph" w:customStyle="1" w:styleId="115">
    <w:name w:val="环评正文"/>
    <w:basedOn w:val="19"/>
    <w:next w:val="1"/>
    <w:qFormat/>
    <w:uiPriority w:val="0"/>
    <w:pPr>
      <w:snapToGrid w:val="0"/>
      <w:spacing w:line="360" w:lineRule="auto"/>
      <w:ind w:firstLine="484"/>
      <w:jc w:val="left"/>
    </w:pPr>
    <w:rPr>
      <w:rFonts w:ascii="仿宋_GB2312" w:hAnsi="Times New Roman" w:eastAsia="仿宋_GB2312" w:cs="Times New Roman"/>
      <w:spacing w:val="1"/>
      <w:kern w:val="0"/>
      <w:position w:val="-3"/>
      <w:szCs w:val="20"/>
    </w:rPr>
  </w:style>
  <w:style w:type="paragraph" w:customStyle="1" w:styleId="116">
    <w:name w:val="表内文字"/>
    <w:basedOn w:val="117"/>
    <w:next w:val="1"/>
    <w:autoRedefine/>
    <w:qFormat/>
    <w:uiPriority w:val="0"/>
    <w:pPr>
      <w:adjustRightInd w:val="0"/>
      <w:snapToGrid w:val="0"/>
    </w:pPr>
    <w:rPr>
      <w:rFonts w:cs="宋体"/>
      <w:snapToGrid w:val="0"/>
      <w:color w:val="000000"/>
      <w:kern w:val="0"/>
      <w:szCs w:val="20"/>
    </w:rPr>
  </w:style>
  <w:style w:type="paragraph" w:customStyle="1" w:styleId="117">
    <w:name w:val="表头11"/>
    <w:basedOn w:val="1"/>
    <w:next w:val="1"/>
    <w:qFormat/>
    <w:uiPriority w:val="0"/>
    <w:pPr>
      <w:adjustRightInd w:val="0"/>
      <w:snapToGrid w:val="0"/>
    </w:pPr>
    <w:rPr>
      <w:rFonts w:eastAsia="黑体"/>
    </w:rPr>
  </w:style>
  <w:style w:type="paragraph" w:customStyle="1" w:styleId="118">
    <w:name w:val="表格001"/>
    <w:basedOn w:val="1"/>
    <w:next w:val="119"/>
    <w:autoRedefine/>
    <w:qFormat/>
    <w:uiPriority w:val="0"/>
    <w:pPr>
      <w:adjustRightInd w:val="0"/>
      <w:snapToGrid w:val="0"/>
      <w:spacing w:line="240" w:lineRule="auto"/>
      <w:jc w:val="center"/>
    </w:pPr>
    <w:rPr>
      <w:szCs w:val="21"/>
    </w:rPr>
  </w:style>
  <w:style w:type="paragraph" w:customStyle="1" w:styleId="119">
    <w:name w:val="正文001"/>
    <w:basedOn w:val="1"/>
    <w:autoRedefine/>
    <w:qFormat/>
    <w:uiPriority w:val="0"/>
    <w:pPr>
      <w:adjustRightInd w:val="0"/>
      <w:snapToGrid w:val="0"/>
      <w:spacing w:line="360" w:lineRule="auto"/>
      <w:ind w:firstLine="720" w:firstLineChars="200"/>
      <w:jc w:val="both"/>
      <w:outlineLvl w:val="0"/>
    </w:pPr>
    <w:rPr>
      <w:rFonts w:ascii="Times New Roman" w:hAnsi="Times New Roman" w:eastAsia="宋体"/>
      <w:sz w:val="24"/>
    </w:rPr>
  </w:style>
  <w:style w:type="character" w:customStyle="1" w:styleId="120">
    <w:name w:val="font01"/>
    <w:basedOn w:val="35"/>
    <w:qFormat/>
    <w:uiPriority w:val="0"/>
    <w:rPr>
      <w:rFonts w:hint="eastAsia" w:ascii="宋体" w:hAnsi="宋体" w:eastAsia="宋体" w:cs="宋体"/>
      <w:color w:val="000000"/>
      <w:sz w:val="24"/>
      <w:szCs w:val="24"/>
      <w:u w:val="none"/>
    </w:rPr>
  </w:style>
  <w:style w:type="paragraph" w:customStyle="1" w:styleId="121">
    <w:name w:val="正文 首行缩进:  2 字符"/>
    <w:basedOn w:val="1"/>
    <w:qFormat/>
    <w:uiPriority w:val="0"/>
    <w:pPr>
      <w:adjustRightInd w:val="0"/>
      <w:snapToGrid w:val="0"/>
      <w:spacing w:line="500" w:lineRule="exact"/>
      <w:ind w:firstLine="200" w:firstLineChars="200"/>
      <w:jc w:val="left"/>
    </w:pPr>
    <w:rPr>
      <w:rFonts w:cs="宋体"/>
      <w:szCs w:val="20"/>
    </w:rPr>
  </w:style>
  <w:style w:type="paragraph" w:customStyle="1" w:styleId="122">
    <w:name w:val="0正文中9.8新"/>
    <w:basedOn w:val="123"/>
    <w:qFormat/>
    <w:uiPriority w:val="30"/>
    <w:pPr>
      <w:jc w:val="both"/>
    </w:pPr>
  </w:style>
  <w:style w:type="paragraph" w:customStyle="1" w:styleId="123">
    <w:name w:val="正文中"/>
    <w:basedOn w:val="124"/>
    <w:qFormat/>
    <w:uiPriority w:val="0"/>
    <w:pPr>
      <w:jc w:val="center"/>
    </w:pPr>
  </w:style>
  <w:style w:type="paragraph" w:customStyle="1" w:styleId="124">
    <w:name w:val="0正文缩进"/>
    <w:basedOn w:val="7"/>
    <w:qFormat/>
    <w:uiPriority w:val="0"/>
    <w:pPr>
      <w:spacing w:line="360" w:lineRule="auto"/>
    </w:pPr>
    <w:rPr>
      <w:rFonts w:ascii="宋体" w:hAnsi="宋体" w:eastAsia="仿宋_GB2312"/>
      <w:szCs w:val="24"/>
    </w:rPr>
  </w:style>
  <w:style w:type="paragraph" w:customStyle="1" w:styleId="125">
    <w:name w:val="Normal Indent1"/>
    <w:basedOn w:val="1"/>
    <w:qFormat/>
    <w:uiPriority w:val="0"/>
    <w:pPr>
      <w:spacing w:line="600" w:lineRule="exact"/>
      <w:ind w:firstLine="420"/>
    </w:pPr>
    <w:rPr>
      <w:rFonts w:ascii="宋体" w:cs="Times New Roman"/>
      <w:sz w:val="32"/>
      <w:szCs w:val="20"/>
    </w:rPr>
  </w:style>
  <w:style w:type="paragraph" w:customStyle="1" w:styleId="126">
    <w:name w:val="表格标题"/>
    <w:basedOn w:val="127"/>
    <w:qFormat/>
    <w:uiPriority w:val="0"/>
    <w:pPr>
      <w:adjustRightInd w:val="0"/>
      <w:snapToGrid w:val="0"/>
      <w:spacing w:after="0"/>
      <w:ind w:firstLine="0" w:firstLineChars="0"/>
      <w:jc w:val="center"/>
    </w:pPr>
    <w:rPr>
      <w:rFonts w:ascii="Times New Roman" w:hAnsi="Times New Roman"/>
      <w:b/>
      <w:szCs w:val="21"/>
    </w:rPr>
  </w:style>
  <w:style w:type="paragraph" w:customStyle="1" w:styleId="127">
    <w:name w:val="正文首行缩进1"/>
    <w:basedOn w:val="11"/>
    <w:qFormat/>
    <w:uiPriority w:val="0"/>
    <w:pPr>
      <w:ind w:firstLine="420" w:firstLineChars="100"/>
    </w:pPr>
  </w:style>
  <w:style w:type="paragraph" w:customStyle="1" w:styleId="128">
    <w:name w:val="表格文字（内）"/>
    <w:basedOn w:val="1"/>
    <w:qFormat/>
    <w:uiPriority w:val="0"/>
    <w:pPr>
      <w:adjustRightInd w:val="0"/>
      <w:snapToGrid w:val="0"/>
      <w:spacing w:line="240" w:lineRule="auto"/>
      <w:ind w:firstLine="0" w:firstLineChars="0"/>
      <w:jc w:val="center"/>
    </w:pPr>
    <w:rPr>
      <w:snapToGrid w:val="0"/>
      <w:sz w:val="21"/>
      <w:szCs w:val="21"/>
    </w:rPr>
  </w:style>
  <w:style w:type="paragraph" w:customStyle="1" w:styleId="129">
    <w:name w:val="图表文字"/>
    <w:basedOn w:val="11"/>
    <w:next w:val="130"/>
    <w:qFormat/>
    <w:uiPriority w:val="0"/>
    <w:pPr>
      <w:widowControl w:val="0"/>
      <w:snapToGrid/>
      <w:spacing w:before="0" w:after="0" w:line="240" w:lineRule="auto"/>
      <w:ind w:right="0"/>
      <w:jc w:val="center"/>
    </w:pPr>
    <w:rPr>
      <w:rFonts w:eastAsiaTheme="minorEastAsia" w:cstheme="minorBidi"/>
      <w:snapToGrid w:val="0"/>
      <w:kern w:val="2"/>
      <w:sz w:val="21"/>
      <w:szCs w:val="24"/>
    </w:rPr>
  </w:style>
  <w:style w:type="paragraph" w:customStyle="1" w:styleId="130">
    <w:name w:val="0正文"/>
    <w:basedOn w:val="1"/>
    <w:qFormat/>
    <w:uiPriority w:val="0"/>
    <w:pPr>
      <w:spacing w:line="360" w:lineRule="auto"/>
      <w:ind w:firstLine="480" w:firstLineChars="200"/>
    </w:pPr>
    <w:rPr>
      <w:rFonts w:eastAsia="Times New Roman"/>
      <w:color w:val="0000FF"/>
      <w:kern w:val="0"/>
      <w:sz w:val="24"/>
    </w:rPr>
  </w:style>
  <w:style w:type="paragraph" w:customStyle="1" w:styleId="131">
    <w:name w:val="表头111"/>
    <w:basedOn w:val="1"/>
    <w:autoRedefine/>
    <w:qFormat/>
    <w:uiPriority w:val="0"/>
    <w:pPr>
      <w:jc w:val="center"/>
    </w:pPr>
    <w:rPr>
      <w:b/>
      <w:szCs w:val="21"/>
    </w:rPr>
  </w:style>
  <w:style w:type="paragraph" w:customStyle="1" w:styleId="132">
    <w:name w:val="样式 加粗 居中2"/>
    <w:basedOn w:val="1"/>
    <w:autoRedefine/>
    <w:qFormat/>
    <w:uiPriority w:val="0"/>
    <w:pPr>
      <w:jc w:val="center"/>
    </w:pPr>
    <w:rPr>
      <w:rFonts w:cs="宋体"/>
      <w:bCs/>
      <w:szCs w:val="20"/>
    </w:rPr>
  </w:style>
  <w:style w:type="paragraph" w:customStyle="1" w:styleId="133">
    <w:name w:val="环评表格正文"/>
    <w:basedOn w:val="1"/>
    <w:qFormat/>
    <w:uiPriority w:val="0"/>
    <w:pPr>
      <w:topLinePunct/>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12.wmf"/><Relationship Id="rId24" Type="http://schemas.openxmlformats.org/officeDocument/2006/relationships/oleObject" Target="embeddings/oleObject5.bin"/><Relationship Id="rId23" Type="http://schemas.openxmlformats.org/officeDocument/2006/relationships/image" Target="media/image11.emf"/><Relationship Id="rId22" Type="http://schemas.openxmlformats.org/officeDocument/2006/relationships/oleObject" Target="embeddings/oleObject4.bin"/><Relationship Id="rId21" Type="http://schemas.openxmlformats.org/officeDocument/2006/relationships/image" Target="media/image10.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2.bin"/><Relationship Id="rId17" Type="http://schemas.openxmlformats.org/officeDocument/2006/relationships/image" Target="media/image8.emf"/><Relationship Id="rId16" Type="http://schemas.openxmlformats.org/officeDocument/2006/relationships/oleObject" Target="embeddings/oleObject1.bin"/><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a5871390-3def-4346-8064-f1f7ba3e902a</errorID>
      <errorWord>》（试行）</errorWord>
      <group>L1_Word</group>
      <groupName>字词问题</groupName>
      <ability>L2_Typo</ability>
      <abilityName>字词错误</abilityName>
      <candidateList>
        <item>（试行）》</item>
      </candidateList>
      <explain/>
      <paraID>451992D3</paraID>
      <start>27</start>
      <end>32</end>
      <status>modified</status>
      <modifiedWord>（试行）》</modifiedWord>
      <trackRevisions>false</trackRevisions>
    </reviewItem>
    <reviewItem>
      <errorID>e99ced9c-6531-4d9f-b91e-f798dc65901d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267B249A</paraID>
      <start>0</start>
      <end>2</end>
      <status>modified</status>
      <modifiedWord>1.</modifiedWord>
      <trackRevisions>false</trackRevisions>
    </reviewItem>
    <reviewItem>
      <errorID>2ccaf418-bd2d-4040-ab0d-6f5f000aae03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6637F293</paraID>
      <start>0</start>
      <end>2</end>
      <status>modified</status>
      <modifiedWord>2.</modifiedWord>
      <trackRevisions>false</trackRevisions>
    </reviewItem>
    <reviewItem>
      <errorID>c463958d-8518-4ad0-b8f5-3d8f3bdf0331</errorID>
      <errorWord>[2024]28号</errorWord>
      <group>L1_Knowledge</group>
      <groupName>知识性问题</groupName>
      <ability>L2_Knowledge</ability>
      <abilityName>其他知识</abilityName>
      <candidateList>
        <item>〔2024〕28号</item>
      </candidateList>
      <explain>发文字号格式错误。</explain>
      <paraID>4DC9EE8A</paraID>
      <start>54</start>
      <end>63</end>
      <status>modified</status>
      <modifiedWord>〔2024〕28号</modifiedWord>
      <trackRevisions>false</trackRevisions>
    </reviewItem>
    <reviewItem>
      <errorID>56e0574f-0fe2-4730-8862-804bab95009e</errorID>
      <errorWord>(</errorWord>
      <group>L1_Format</group>
      <groupName>格式问题</groupName>
      <ability>L2_HalfPunc</ability>
      <abilityName>全半角检查</abilityName>
      <candidateList>
        <item>（</item>
      </candidateList>
      <explain>文本全半角错误。</explain>
      <paraID>473F2B71</paraID>
      <start>97</start>
      <end>98</end>
      <status>modified</status>
      <modifiedWord>（</modifiedWord>
      <trackRevisions>false</trackRevisions>
    </reviewItem>
    <reviewItem>
      <errorID>67c8ab58-aea9-4715-ab57-76178c5e8033</errorID>
      <errorWord>)</errorWord>
      <group>L1_Format</group>
      <groupName>格式问题</groupName>
      <ability>L2_HalfPunc</ability>
      <abilityName>全半角检查</abilityName>
      <candidateList>
        <item>）</item>
      </candidateList>
      <explain>文本全半角错误。</explain>
      <paraID>473F2B71</paraID>
      <start>142</start>
      <end>143</end>
      <status>modified</status>
      <modifiedWord>）</modifiedWord>
      <trackRevisions>false</trackRevisions>
    </reviewItem>
    <reviewItem>
      <errorID>c1787c95-3bb6-4c2f-9bc2-eed20f19c8dc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6E1FDE9D</paraID>
      <start>26</start>
      <end>28</end>
      <status>modified</status>
      <modifiedWord>》《</modifiedWord>
      <trackRevisions>false</trackRevisions>
    </reviewItem>
    <reviewItem>
      <errorID>c9191f62-32eb-4d9c-af55-e05157142f56</errorID>
      <errorWord>(</errorWord>
      <group>L1_Format</group>
      <groupName>格式问题</groupName>
      <ability>L2_HalfPunc</ability>
      <abilityName>全半角检查</abilityName>
      <candidateList>
        <item>（</item>
      </candidateList>
      <explain>文本全半角错误。</explain>
      <paraID>6E1FDE9D</paraID>
      <start>45</start>
      <end>46</end>
      <status>unmodified</status>
      <modifiedWord/>
      <trackRevisions>false</trackRevisions>
    </reviewItem>
    <reviewItem>
      <errorID>f0adad6f-c3e3-422c-ae5b-cb24ecb9d9bb</errorID>
      <errorWord>)</errorWord>
      <group>L1_Format</group>
      <groupName>格式问题</groupName>
      <ability>L2_HalfPunc</ability>
      <abilityName>全半角检查</abilityName>
      <candidateList>
        <item>）</item>
      </candidateList>
      <explain>文本全半角错误。</explain>
      <paraID>6E1FDE9D</paraID>
      <start>57</start>
      <end>58</end>
      <status>modified</status>
      <modifiedWord>）</modifiedWord>
      <trackRevisions>false</trackRevisions>
    </reviewItem>
    <reviewItem>
      <errorID>b0394cef-f883-42aa-98fd-1cd4b782609e</errorID>
      <errorWord>:</errorWord>
      <group>L1_Format</group>
      <groupName>格式问题</groupName>
      <ability>L2_HalfPunc</ability>
      <abilityName>全半角检查</abilityName>
      <candidateList>
        <item>：</item>
      </candidateList>
      <explain>文本全半角错误。</explain>
      <paraID>6E1FDE9D</paraID>
      <start>276</start>
      <end>277</end>
      <status>modified</status>
      <modifiedWord>：</modifiedWord>
      <trackRevisions>false</trackRevisions>
    </reviewItem>
    <reviewItem>
      <errorID>4100839b-9b99-4f2a-9020-350353f28571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6E1FDE9D</paraID>
      <start>311</start>
      <end>313</end>
      <status>modified</status>
      <modifiedWord>》《</modifiedWord>
      <trackRevisions>false</trackRevisions>
    </reviewItem>
    <reviewItem>
      <errorID>f84d5d61-402c-41c9-8b09-eb229bc913df</errorID>
      <errorWord>(</errorWord>
      <group>L1_Format</group>
      <groupName>格式问题</groupName>
      <ability>L2_HalfPunc</ability>
      <abilityName>全半角检查</abilityName>
      <candidateList>
        <item>（</item>
      </candidateList>
      <explain>文本全半角错误。</explain>
      <paraID>6E1FDE9D</paraID>
      <start>322</start>
      <end>323</end>
      <status>modified</status>
      <modifiedWord>（</modifiedWord>
      <trackRevisions>false</trackRevisions>
    </reviewItem>
    <reviewItem>
      <errorID>37faf101-6658-4381-95f5-075d9c28870e</errorID>
      <errorWord>国家林业局</errorWord>
      <group>L1_Knowledge</group>
      <groupName>知识性问题</groupName>
      <ability>L2_Organization</ability>
      <abilityName>机构检查</abilityName>
      <candidateList>
        <item>国家林业和草原局</item>
      </candidateList>
      <explain>2018年3月，中共中央印发了《深化党和国家机构改革方案》，将国家林业局的职责，整合到新组建的国家林业和草原局。</explain>
      <paraID>6E1FDE9D</paraID>
      <start>324</start>
      <end>332</end>
      <status>modified</status>
      <modifiedWord>国家林业和草原局</modifiedWord>
      <trackRevisions>false</trackRevisions>
    </reviewItem>
    <reviewItem>
      <errorID>b30c2bb1-e556-4e0b-bf2e-5a50662df278</errorID>
      <errorWord>)</errorWord>
      <group>L1_Format</group>
      <groupName>格式问题</groupName>
      <ability>L2_HalfPunc</ability>
      <abilityName>全半角检查</abilityName>
      <candidateList>
        <item>）</item>
      </candidateList>
      <explain>文本全半角错误。</explain>
      <paraID>6E1FDE9D</paraID>
      <start>342</start>
      <end>343</end>
      <status>modified</status>
      <modifiedWord>）</modifiedWord>
      <trackRevisions>false</trackRevisions>
    </reviewItem>
    <reviewItem>
      <errorID>b8c6b80c-02fd-4f32-916e-6a7371aa5151</errorID>
      <errorWord>(</errorWord>
      <group>L1_Format</group>
      <groupName>格式问题</groupName>
      <ability>L2_HalfPunc</ability>
      <abilityName>全半角检查</abilityName>
      <candidateList>
        <item>（</item>
      </candidateList>
      <explain>文本全半角错误。</explain>
      <paraID>6E1FDE9D</paraID>
      <start>361</start>
      <end>362</end>
      <status>modified</status>
      <modifiedWord>（</modifiedWord>
      <trackRevisions>false</trackRevisions>
    </reviewItem>
    <reviewItem>
      <errorID>4b391549-12c2-4d68-bd94-c4974aa07687</errorID>
      <errorWord>农业部</errorWord>
      <group>L1_Knowledge</group>
      <groupName>知识性问题</groupName>
      <ability>L2_Organization</ability>
      <abilityName>机构检查</abilityName>
      <candidateList>
        <item>农业农村部</item>
      </candidateList>
      <explain>机关单位全简称表述错误</explain>
      <paraID>6E1FDE9D</paraID>
      <start>363</start>
      <end>368</end>
      <status>modified</status>
      <modifiedWord>农业农村部</modifiedWord>
      <trackRevisions>false</trackRevisions>
    </reviewItem>
    <reviewItem>
      <errorID>c075e167-7636-4c76-be05-b80c7027e677</errorID>
      <errorWord>)</errorWord>
      <group>L1_Format</group>
      <groupName>格式问题</groupName>
      <ability>L2_HalfPunc</ability>
      <abilityName>全半角检查</abilityName>
      <candidateList>
        <item>）</item>
      </candidateList>
      <explain>文本全半角错误。</explain>
      <paraID>6E1FDE9D</paraID>
      <start>377</start>
      <end>378</end>
      <status>modified</status>
      <modifiedWord>）</modifiedWord>
      <trackRevisions>false</trackRevisions>
    </reviewItem>
    <reviewItem>
      <errorID>0f4b5fe4-4307-43c8-9433-556dbd545d15</errorID>
      <errorWord>加强</errorWord>
      <group>L1_Grammar</group>
      <groupName>语法问题</groupName>
      <ability>L2_Grammar</ability>
      <abilityName>语法错误</abilityName>
      <candidateList>
        <item>加大</item>
      </candidateList>
      <explain>“加强～力度”搭配不当，建议修改为“加大～力度”。</explain>
      <paraID>6E1FDE9D</paraID>
      <start>531</start>
      <end>533</end>
      <status>unmodified</status>
      <modifiedWord/>
      <trackRevisions>false</trackRevisions>
    </reviewItem>
    <reviewItem>
      <errorID>39c7e9ca-8fe2-4ba7-861d-b97c71c9c06c</errorID>
      <errorWord>(</errorWord>
      <group>L1_Format</group>
      <groupName>格式问题</groupName>
      <ability>L2_HalfPunc</ability>
      <abilityName>全半角检查</abilityName>
      <candidateList>
        <item>（</item>
      </candidateList>
      <explain>文本全半角错误。</explain>
      <paraID>3A9D8417</paraID>
      <start>240</start>
      <end>241</end>
      <status>unmodified</status>
      <modifiedWord/>
      <trackRevisions>false</trackRevisions>
    </reviewItem>
    <reviewItem>
      <errorID>2da684e3-062e-49a4-9d8d-9bc574981daa</errorID>
      <errorWord>)</errorWord>
      <group>L1_Format</group>
      <groupName>格式问题</groupName>
      <ability>L2_HalfPunc</ability>
      <abilityName>全半角检查</abilityName>
      <candidateList>
        <item>）</item>
      </candidateList>
      <explain>文本全半角错误。</explain>
      <paraID>3A9D8417</paraID>
      <start>252</start>
      <end>253</end>
      <status>unmodified</status>
      <modifiedWord/>
      <trackRevisions>false</trackRevisions>
    </reviewItem>
    <reviewItem>
      <errorID>645f2d8e-1200-4c4b-9648-51469be70498</errorID>
      <errorWord>(</errorWord>
      <group>L1_Format</group>
      <groupName>格式问题</groupName>
      <ability>L2_HalfPunc</ability>
      <abilityName>全半角检查</abilityName>
      <candidateList>
        <item>（</item>
      </candidateList>
      <explain>文本全半角错误。</explain>
      <paraID>53373AF2</paraID>
      <start>89</start>
      <end>90</end>
      <status>unmodified</status>
      <modifiedWord/>
      <trackRevisions>false</trackRevisions>
    </reviewItem>
    <reviewItem>
      <errorID>77ecb167-45f2-44cb-83bb-0707e4c44335</errorID>
      <errorWord>[2022]30号</errorWord>
      <group>L1_Knowledge</group>
      <groupName>知识性问题</groupName>
      <ability>L2_Knowledge</ability>
      <abilityName>其他知识</abilityName>
      <candidateList>
        <item>〔2022〕30号</item>
      </candidateList>
      <explain>发文字号格式错误。</explain>
      <paraID>53373AF2</paraID>
      <start>93</start>
      <end>102</end>
      <status>modified</status>
      <modifiedWord>〔2022〕30号</modifiedWord>
      <trackRevisions>false</trackRevisions>
    </reviewItem>
    <reviewItem>
      <errorID>ecea218c-acf9-4144-aee5-35a902a1d693</errorID>
      <errorWord>)</errorWord>
      <group>L1_Format</group>
      <groupName>格式问题</groupName>
      <ability>L2_HalfPunc</ability>
      <abilityName>全半角检查</abilityName>
      <candidateList>
        <item>）</item>
      </candidateList>
      <explain>文本全半角错误。</explain>
      <paraID>53373AF2</paraID>
      <start>102</start>
      <end>103</end>
      <status>unmodified</status>
      <modifiedWord/>
      <trackRevisions>false</trackRevisions>
    </reviewItem>
    <reviewItem>
      <errorID>0bbfa995-eed6-4e59-9b78-b3df348c2790</errorID>
      <errorWord>(</errorWord>
      <group>L1_Format</group>
      <groupName>格式问题</groupName>
      <ability>L2_HalfPunc</ability>
      <abilityName>全半角检查</abilityName>
      <candidateList>
        <item>（</item>
      </candidateList>
      <explain>文本全半角错误。</explain>
      <paraID>53373AF2</paraID>
      <start>233</start>
      <end>234</end>
      <status>modified</status>
      <modifiedWord>（</modifiedWord>
      <trackRevisions>false</trackRevisions>
    </reviewItem>
    <reviewItem>
      <errorID>0c686bd8-07d2-4ee3-8b70-7f170ea070fc</errorID>
      <errorWord>[2021]4号</errorWord>
      <group>L1_Knowledge</group>
      <groupName>知识性问题</groupName>
      <ability>L2_Knowledge</ability>
      <abilityName>其他知识</abilityName>
      <candidateList>
        <item>〔2021〕4号</item>
      </candidateList>
      <explain>发文字号格式错误。</explain>
      <paraID>53373AF2</paraID>
      <start>237</start>
      <end>245</end>
      <status>unmodified</status>
      <modifiedWord/>
      <trackRevisions>false</trackRevisions>
    </reviewItem>
    <reviewItem>
      <errorID>ce70204f-7f9b-4e78-98be-839a790d2c7b</errorID>
      <errorWord>)</errorWord>
      <group>L1_Format</group>
      <groupName>格式问题</groupName>
      <ability>L2_HalfPunc</ability>
      <abilityName>全半角检查</abilityName>
      <candidateList>
        <item>）</item>
      </candidateList>
      <explain>文本全半角错误。</explain>
      <paraID>53373AF2</paraID>
      <start>245</start>
      <end>246</end>
      <status>modified</status>
      <modifiedWord>）</modifiedWord>
      <trackRevisions>false</trackRevisions>
    </reviewItem>
    <reviewItem>
      <errorID>3e150bfb-3abc-4172-bc81-1c49cac9b44a</errorID>
      <errorWord>上线</errorWord>
      <group>L1_Word</group>
      <groupName>字词问题</groupName>
      <ability>L2_Typo</ability>
      <abilityName>字词错误</abilityName>
      <candidateList>
        <item>上限</item>
      </candidateList>
      <explain/>
      <paraID>532D5BF9</paraID>
      <start>74</start>
      <end>76</end>
      <status>unmodified</status>
      <modifiedWord/>
      <trackRevisions>false</trackRevisions>
    </reviewItem>
    <reviewItem>
      <errorID>5f6e2e87-1050-4638-b95a-616a69c9f3d1</errorID>
      <errorWord>单元单元</errorWord>
      <group>L1_Word</group>
      <groupName>字词问题</groupName>
      <ability>L2_Typo</ability>
      <abilityName>字词错误</abilityName>
      <candidateList>
        <item>单元</item>
      </candidateList>
      <explain/>
      <paraID>573200AB</paraID>
      <start>35</start>
      <end>37</end>
      <status>modified</status>
      <modifiedWord>单元</modifiedWord>
      <trackRevisions>false</trackRevisions>
    </reviewItem>
    <reviewItem>
      <errorID>4d9112c8-af93-4bc9-b84f-a2125b1bd49d</errorID>
      <errorWord>(</errorWord>
      <group>L1_Format</group>
      <groupName>格式问题</groupName>
      <ability>L2_HalfPunc</ability>
      <abilityName>全半角检查</abilityName>
      <candidateList>
        <item>（</item>
      </candidateList>
      <explain>文本全半角错误。</explain>
      <paraID>6E7258DA</paraID>
      <start>27</start>
      <end>28</end>
      <status>unmodified</status>
      <modifiedWord/>
      <trackRevisions>false</trackRevisions>
    </reviewItem>
    <reviewItem>
      <errorID>0c42f529-9ede-4ad7-b1ac-fd0502bb9d31</errorID>
      <errorWord>)</errorWord>
      <group>L1_Format</group>
      <groupName>格式问题</groupName>
      <ability>L2_HalfPunc</ability>
      <abilityName>全半角检查</abilityName>
      <candidateList>
        <item>）</item>
      </candidateList>
      <explain>文本全半角错误。</explain>
      <paraID>6E7258DA</paraID>
      <start>34</start>
      <end>35</end>
      <status>unmodified</status>
      <modifiedWord/>
      <trackRevisions>false</trackRevisions>
    </reviewItem>
    <reviewItem>
      <errorID>44cf998b-0c0a-4860-b2a6-3db4b60f693c</errorID>
      <errorWord>[2024]28号</errorWord>
      <group>L1_Knowledge</group>
      <groupName>知识性问题</groupName>
      <ability>L2_Knowledge</ability>
      <abilityName>其他知识</abilityName>
      <candidateList>
        <item>〔2024〕28号</item>
      </candidateList>
      <explain>发文字号格式错误。</explain>
      <paraID>645B55BD</paraID>
      <start>23</start>
      <end>32</end>
      <status>modified</status>
      <modifiedWord>〔2024〕28号</modifiedWord>
      <trackRevisions>false</trackRevisions>
    </reviewItem>
    <reviewItem>
      <errorID>0fe321b7-6a81-4b2f-a1a8-342af8cad90c</errorID>
      <errorWord>(</errorWord>
      <group>L1_Format</group>
      <groupName>格式问题</groupName>
      <ability>L2_HalfPunc</ability>
      <abilityName>全半角检查</abilityName>
      <candidateList>
        <item>（</item>
      </candidateList>
      <explain>文本全半角错误。</explain>
      <paraID>40B319D2</paraID>
      <start>27</start>
      <end>28</end>
      <status>unmodified</status>
      <modifiedWord/>
      <trackRevisions>false</trackRevisions>
    </reviewItem>
    <reviewItem>
      <errorID>5ee4671c-cfcd-4807-ac21-874df06c3406</errorID>
      <errorWord>)</errorWord>
      <group>L1_Format</group>
      <groupName>格式问题</groupName>
      <ability>L2_HalfPunc</ability>
      <abilityName>全半角检查</abilityName>
      <candidateList>
        <item>）</item>
      </candidateList>
      <explain>文本全半角错误。</explain>
      <paraID>40B319D2</paraID>
      <start>34</start>
      <end>35</end>
      <status>unmodified</status>
      <modifiedWord/>
      <trackRevisions>false</trackRevisions>
    </reviewItem>
    <reviewItem>
      <errorID>35448b82-4015-4eae-9a2a-9e46bc422043</errorID>
      <errorWord>(</errorWord>
      <group>L1_Format</group>
      <groupName>格式问题</groupName>
      <ability>L2_HalfPunc</ability>
      <abilityName>全半角检查</abilityName>
      <candidateList>
        <item>（</item>
      </candidateList>
      <explain>文本全半角错误。</explain>
      <paraID>7EC22E40</paraID>
      <start>21</start>
      <end>22</end>
      <status>unmodified</status>
      <modifiedWord/>
      <trackRevisions>false</trackRevisions>
    </reviewItem>
    <reviewItem>
      <errorID>d0d988eb-1256-4b62-b8d1-a8fd1417331f</errorID>
      <errorWord>)</errorWord>
      <group>L1_Format</group>
      <groupName>格式问题</groupName>
      <ability>L2_HalfPunc</ability>
      <abilityName>全半角检查</abilityName>
      <candidateList>
        <item>）</item>
      </candidateList>
      <explain>文本全半角错误。</explain>
      <paraID>7EC22E40</paraID>
      <start>25</start>
      <end>26</end>
      <status>unmodified</status>
      <modifiedWord/>
      <trackRevisions>false</trackRevisions>
    </reviewItem>
    <reviewItem>
      <errorID>febc1540-54bc-4346-8c11-795ddd8c0b48</errorID>
      <errorWord>污染处理</errorWord>
      <group>L1_Knowledge</group>
      <groupName>知识性问题</groupName>
      <ability>L2_Term</ability>
      <abilityName>专业术语</abilityName>
      <candidateList>
        <item>污水处理</item>
      </candidateList>
      <explain/>
      <paraID>3D88BB0F</paraID>
      <start>26</start>
      <end>30</end>
      <status>unmodified</status>
      <modifiedWord/>
      <trackRevisions>false</trackRevisions>
    </reviewItem>
    <reviewItem>
      <errorID>e00772d6-b6e9-4a55-b327-9f75baf1d3f0</errorID>
      <errorWord>污染处理</errorWord>
      <group>L1_Knowledge</group>
      <groupName>知识性问题</groupName>
      <ability>L2_Term</ability>
      <abilityName>专业术语</abilityName>
      <candidateList>
        <item>污水处理</item>
      </candidateList>
      <explain/>
      <paraID>3D88BB0F</paraID>
      <start>54</start>
      <end>58</end>
      <status>unmodified</status>
      <modifiedWord/>
      <trackRevisions>false</trackRevisions>
    </reviewItem>
    <reviewItem>
      <errorID>6dc2da47-f0b3-45ca-8b12-13e36fe9b602</errorID>
      <errorWord>[2024]28号</errorWord>
      <group>L1_Knowledge</group>
      <groupName>知识性问题</groupName>
      <ability>L2_Knowledge</ability>
      <abilityName>其他知识</abilityName>
      <candidateList>
        <item>〔2024〕28号</item>
      </candidateList>
      <explain>发文字号格式错误。</explain>
      <paraID>1D828389</paraID>
      <start>32</start>
      <end>41</end>
      <status>modified</status>
      <modifiedWord>〔2024〕28号</modifiedWord>
      <trackRevisions>false</trackRevisions>
    </reviewItem>
    <reviewItem>
      <errorID>d62e32ff-0ee5-46c5-aed2-1361cb52c891</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2803E6EC</paraID>
      <start>30</start>
      <end>31</end>
      <status>modified</status>
      <modifiedWord>‘</modifiedWord>
      <trackRevisions>false</trackRevisions>
    </reviewItem>
    <reviewItem>
      <errorID>fce0a34b-24c9-4d72-874a-08c5a54bab06</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2803E6EC</paraID>
      <start>35</start>
      <end>36</end>
      <status>modified</status>
      <modifiedWord>’</modifiedWord>
      <trackRevisions>false</trackRevisions>
    </reviewItem>
    <reviewItem>
      <errorID>f5162ded-c5fe-4f5e-bb0a-54bd4a2bbea5</errorID>
      <errorWord>......</errorWord>
      <group>L1_Punc</group>
      <groupName>标点问题</groupName>
      <ability>L2_Punc</ability>
      <abilityName>标点符号检查</abilityName>
      <candidateList>
        <item>……</item>
      </candidateList>
      <explain/>
      <paraID>2803E6EC</paraID>
      <start>87</start>
      <end>89</end>
      <status>modified</status>
      <modifiedWord>……</modifiedWord>
      <trackRevisions>false</trackRevisions>
    </reviewItem>
    <reviewItem>
      <errorID>4548ad54-bafb-4a39-9c41-38e10b99b031</errorID>
      <errorWord>(</errorWord>
      <group>L1_Format</group>
      <groupName>格式问题</groupName>
      <ability>L2_HalfPunc</ability>
      <abilityName>全半角检查</abilityName>
      <candidateList>
        <item>（</item>
      </candidateList>
      <explain>文本全半角错误。</explain>
      <paraID>422198B0</paraID>
      <start>17</start>
      <end>18</end>
      <status>modified</status>
      <modifiedWord>（</modifiedWord>
      <trackRevisions>false</trackRevisions>
    </reviewItem>
    <reviewItem>
      <errorID>03233324-4163-47cc-a381-f1ac517a0683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422198B0</paraID>
      <start>23</start>
      <end>24</end>
      <status>modified</status>
      <modifiedWord>—</modifiedWord>
      <trackRevisions>false</trackRevisions>
    </reviewItem>
    <reviewItem>
      <errorID>da37273e-3a08-42a5-b0c5-2094eb5655bb</errorID>
      <errorWord>)</errorWord>
      <group>L1_Format</group>
      <groupName>格式问题</groupName>
      <ability>L2_HalfPunc</ability>
      <abilityName>全半角检查</abilityName>
      <candidateList>
        <item>）</item>
      </candidateList>
      <explain>文本全半角错误。</explain>
      <paraID>422198B0</paraID>
      <start>29</start>
      <end>30</end>
      <status>modified</status>
      <modifiedWord>）</modifiedWord>
      <trackRevisions>false</trackRevisions>
    </reviewItem>
    <reviewItem>
      <errorID>599945eb-a2f1-4822-8066-b98d66245476</errorID>
      <errorWord>(</errorWord>
      <group>L1_Format</group>
      <groupName>格式问题</groupName>
      <ability>L2_HalfPunc</ability>
      <abilityName>全半角检查</abilityName>
      <candidateList>
        <item>（</item>
      </candidateList>
      <explain>文本全半角错误。</explain>
      <paraID>65A049E6</paraID>
      <start>16</start>
      <end>17</end>
      <status>modified</status>
      <modifiedWord>（</modifiedWord>
      <trackRevisions>false</trackRevisions>
    </reviewItem>
    <reviewItem>
      <errorID>bf74685c-d587-44e9-9def-2c08495ebd9d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65A049E6</paraID>
      <start>22</start>
      <end>23</end>
      <status>modified</status>
      <modifiedWord>—</modifiedWord>
      <trackRevisions>false</trackRevisions>
    </reviewItem>
    <reviewItem>
      <errorID>46a2337a-a462-4dee-8dad-4b3ad884f795</errorID>
      <errorWord>)</errorWord>
      <group>L1_Format</group>
      <groupName>格式问题</groupName>
      <ability>L2_HalfPunc</ability>
      <abilityName>全半角检查</abilityName>
      <candidateList>
        <item>）</item>
      </candidateList>
      <explain>文本全半角错误。</explain>
      <paraID>65A049E6</paraID>
      <start>28</start>
      <end>29</end>
      <status>modified</status>
      <modifiedWord>）</modifiedWord>
      <trackRevisions>false</trackRevisions>
    </reviewItem>
    <reviewItem>
      <errorID>32602bc8-c688-4d38-a670-155d18e07760</errorID>
      <errorWord>(</errorWord>
      <group>L1_Format</group>
      <groupName>格式问题</groupName>
      <ability>L2_HalfPunc</ability>
      <abilityName>全半角检查</abilityName>
      <candidateList>
        <item>（</item>
      </candidateList>
      <explain>文本全半角错误。</explain>
      <paraID>18220352</paraID>
      <start>93</start>
      <end>94</end>
      <status>modified</status>
      <modifiedWord>（</modifiedWord>
      <trackRevisions>false</trackRevisions>
    </reviewItem>
    <reviewItem>
      <errorID>a4973366-a9d4-4b7c-a3d0-360df4f0f788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18220352</paraID>
      <start>99</start>
      <end>100</end>
      <status>modified</status>
      <modifiedWord>—</modifiedWord>
      <trackRevisions>false</trackRevisions>
    </reviewItem>
    <reviewItem>
      <errorID>2348c169-15b6-4805-ab2e-4c4b601ed0a0</errorID>
      <errorWord>)</errorWord>
      <group>L1_Format</group>
      <groupName>格式问题</groupName>
      <ability>L2_HalfPunc</ability>
      <abilityName>全半角检查</abilityName>
      <candidateList>
        <item>）</item>
      </candidateList>
      <explain>文本全半角错误。</explain>
      <paraID>18220352</paraID>
      <start>105</start>
      <end>106</end>
      <status>modified</status>
      <modifiedWord>）</modifiedWord>
      <trackRevisions>false</trackRevisions>
    </reviewItem>
    <reviewItem>
      <errorID>e767768e-ff51-4620-af3d-be77a71b0fcb</errorID>
      <errorWord>化化</errorWord>
      <group>L1_Word</group>
      <groupName>字词问题</groupName>
      <ability>L2_Typo</ability>
      <abilityName>字词错误</abilityName>
      <candidateList>
        <item>化</item>
      </candidateList>
      <explain>〈动〉（僧道）向人求布施：募～｜～缘｜～斋｜～了些米面来。</explain>
      <paraID>28AF562F</paraID>
      <start>128</start>
      <end>129</end>
      <status>modified</status>
      <modifiedWord>化</modifiedWord>
      <trackRevisions>false</trackRevisions>
    </reviewItem>
    <reviewItem>
      <errorID>92d8e8e2-0322-4091-8835-98809991aec9</errorID>
      <errorWord>,</errorWord>
      <group>L1_Format</group>
      <groupName>格式问题</groupName>
      <ability>L2_HalfPunc</ability>
      <abilityName>全半角检查</abilityName>
      <candidateList>
        <item>，</item>
      </candidateList>
      <explain>文本全半角错误。</explain>
      <paraID> 64B8A50</paraID>
      <start>296</start>
      <end>297</end>
      <status>modified</status>
      <modifiedWord>，</modifiedWord>
      <trackRevisions>false</trackRevisions>
    </reviewItem>
    <reviewItem>
      <errorID>d3ca7b01-596d-4061-b894-0e9e4f8aeb93</errorID>
      <errorWord>：</errorWord>
      <group>L1_Format</group>
      <groupName>格式问题</groupName>
      <ability>L2_HalfPunc</ability>
      <abilityName>全半角检查</abilityName>
      <candidateList>
        <item>:</item>
      </candidateList>
      <explain>文本全半角错误。</explain>
      <paraID>50973860</paraID>
      <start>74</start>
      <end>75</end>
      <status>modified</status>
      <modifiedWord>:</modifiedWord>
      <trackRevisions>false</trackRevisions>
    </reviewItem>
    <reviewItem>
      <errorID>b026e300-3aff-4fc2-9f09-75ae34f18277</errorID>
      <errorWord>接口形式</errorWord>
      <group>L1_Word</group>
      <groupName>字词问题</groupName>
      <ability>L2_Typo</ability>
      <abilityName>字词错误</abilityName>
      <candidateList>
        <item>接口型式</item>
      </candidateList>
      <explain/>
      <paraID>23AB3C0A</paraID>
      <start>56</start>
      <end>60</end>
      <status>modified</status>
      <modifiedWord>接口型式</modifiedWord>
      <trackRevisions>false</trackRevisions>
    </reviewItem>
    <reviewItem>
      <errorID>8e69ca18-dbd7-434c-b67b-fa4345657a7d</errorID>
      <errorWord>排水</errorWord>
      <group>L1_Word</group>
      <groupName>字词问题</groupName>
      <ability>L2_Typo</ability>
      <abilityName>字词错误</abilityName>
      <candidateList>
        <item>排入</item>
      </candidateList>
      <explain/>
      <paraID>541AA2FD</paraID>
      <start>39</start>
      <end>41</end>
      <status>modified</status>
      <modifiedWord>排入</modifiedWord>
      <trackRevisions>false</trackRevisions>
    </reviewItem>
    <reviewItem>
      <errorID>79a1c2fb-6678-4ad7-ba1f-a0d1e0ccc364</errorID>
      <errorWord>施工占</errorWord>
      <group>L1_Word</group>
      <groupName>字词问题</groupName>
      <ability>L2_Typo</ability>
      <abilityName>字词错误</abilityName>
      <candidateList>
        <item>施工场</item>
      </candidateList>
      <explain/>
      <paraID>2B2F9208</paraID>
      <start>113</start>
      <end>116</end>
      <status>unmodified</status>
      <modifiedWord/>
      <trackRevisions>false</trackRevisions>
    </reviewItem>
    <reviewItem>
      <errorID>e6c4a73c-9023-4d4e-bb8d-e5072a23b7bb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120B89FF</paraID>
      <start>0</start>
      <end>2</end>
      <status>modified</status>
      <modifiedWord>3.</modifiedWord>
      <trackRevisions>false</trackRevisions>
    </reviewItem>
    <reviewItem>
      <errorID>a1e9489a-84ea-4659-a3de-c49e2f49005a</errorID>
      <errorWord>[2020]20号</errorWord>
      <group>L1_Knowledge</group>
      <groupName>知识性问题</groupName>
      <ability>L2_Knowledge</ability>
      <abilityName>其他知识</abilityName>
      <candidateList>
        <item>〔2020〕20号</item>
      </candidateList>
      <explain>发文字号格式错误。</explain>
      <paraID>4D3502EE</paraID>
      <start>144</start>
      <end>153</end>
      <status>modified</status>
      <modifiedWord>〔2020〕20号</modifiedWord>
      <trackRevisions>false</trackRevisions>
    </reviewItem>
    <reviewItem>
      <errorID>c4a530f9-e7c5-4051-a970-c48db3225404</errorID>
      <errorWord>体</errorWord>
      <group>L1_Word</group>
      <groupName>字词问题</groupName>
      <ability>L2_Typo</ability>
      <abilityName>字词错误</abilityName>
      <candidateList>
        <item>体积</item>
      </candidateList>
      <explain/>
      <paraID>54703211</paraID>
      <start>120</start>
      <end>122</end>
      <status>modified</status>
      <modifiedWord>体积</modifiedWord>
      <trackRevisions>false</trackRevisions>
    </reviewItem>
    <reviewItem>
      <errorID>17e71760-d4fb-4d7c-94a3-09aa86486452</errorID>
      <errorWord>排水</errorWord>
      <group>L1_Word</group>
      <groupName>字词问题</groupName>
      <ability>L2_Typo</ability>
      <abilityName>字词错误</abilityName>
      <candidateList>
        <item>排入</item>
      </candidateList>
      <explain/>
      <paraID>6B5A8F70</paraID>
      <start>60</start>
      <end>62</end>
      <status>modified</status>
      <modifiedWord>排入</modifiedWord>
      <trackRevisions>false</trackRevisions>
    </reviewItem>
    <reviewItem>
      <errorID>a7e00ab3-8554-4b1b-ad63-bc620c48520e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2FCC5002</paraID>
      <start>0</start>
      <end>2</end>
      <status>modified</status>
      <modifiedWord>4.</modifiedWord>
      <trackRevisions>false</trackRevisions>
    </reviewItem>
    <reviewItem>
      <errorID>eb80de96-9e5f-4efe-b818-18462cdbcac3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215C5EC7</paraID>
      <start>0</start>
      <end>3</end>
      <status>unmodified</status>
      <modifiedWord/>
      <trackRevisions>false</trackRevisions>
    </reviewItem>
    <reviewItem>
      <errorID>61ce9822-6b3b-43e2-aa57-863f77c66ab8</errorID>
      <errorWord>（</errorWord>
      <group>L1_Punc</group>
      <groupName>标点问题</groupName>
      <ability>L2_Punc</ability>
      <abilityName>标点符号检查</abilityName>
      <candidateList/>
      <explain/>
      <paraID>2C16D8D4</paraID>
      <start>7</start>
      <end>8</end>
      <status>unmodified</status>
      <modifiedWord/>
      <trackRevisions>false</trackRevisions>
    </reviewItem>
    <reviewItem>
      <errorID>8db61e90-ca28-41d3-8cc6-6f7a65889982</errorID>
      <errorWord>、和</errorWord>
      <group>L1_Punc</group>
      <groupName>标点问题</groupName>
      <ability>L2_Punc</ability>
      <abilityName>标点符号检查</abilityName>
      <candidateList>
        <item>和</item>
      </candidateList>
      <explain>“及”“和”“等”连词前不宜使用顿号，建议删除（或使用逗号）。</explain>
      <paraID>2C16D8D4</paraID>
      <start>20</start>
      <end>22</end>
      <status>unmodified</status>
      <modifiedWord/>
      <trackRevisions>false</trackRevisions>
    </reviewItem>
    <reviewItem>
      <errorID>b813b164-dc42-4df5-9039-02e9620d59cc</errorID>
      <errorWord>(</errorWord>
      <group>L1_Format</group>
      <groupName>格式问题</groupName>
      <ability>L2_HalfPunc</ability>
      <abilityName>全半角检查</abilityName>
      <candidateList>
        <item>（</item>
      </candidateList>
      <explain>文本全半角错误。</explain>
      <paraID>1D8A1914</paraID>
      <start>11</start>
      <end>12</end>
      <status>unmodified</status>
      <modifiedWord/>
      <trackRevisions>false</trackRevisions>
    </reviewItem>
    <reviewItem>
      <errorID>98798b20-a7c2-4982-abb7-1a2ffd699cbd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77240E0E</paraID>
      <start>58</start>
      <end>59</end>
      <status>unmodified</status>
      <modifiedWord/>
      <trackRevisions>false</trackRevisions>
    </reviewItem>
    <reviewItem>
      <errorID>a0e40349-218d-431d-a97d-2f08acccf12f</errorID>
      <errorWord>(</errorWord>
      <group>L1_Format</group>
      <groupName>格式问题</groupName>
      <ability>L2_HalfPunc</ability>
      <abilityName>全半角检查</abilityName>
      <candidateList>
        <item>（</item>
      </candidateList>
      <explain>文本全半角错误。</explain>
      <paraID>77240E0E</paraID>
      <start>64</start>
      <end>65</end>
      <status>unmodified</status>
      <modifiedWord/>
      <trackRevisions>false</trackRevisions>
    </reviewItem>
    <reviewItem>
      <errorID>a910b89d-fa1e-4802-b2f7-39199210e657</errorID>
      <errorWord>)</errorWord>
      <group>L1_Format</group>
      <groupName>格式问题</groupName>
      <ability>L2_HalfPunc</ability>
      <abilityName>全半角检查</abilityName>
      <candidateList>
        <item>）</item>
      </candidateList>
      <explain>文本全半角错误。</explain>
      <paraID> A7F2B69</paraID>
      <start>10</start>
      <end>11</end>
      <status>unmodified</status>
      <modifiedWord/>
      <trackRevisions>false</trackRevisions>
    </reviewItem>
    <reviewItem>
      <errorID>a71d0d42-a72f-42d2-aecc-e963d4a45f7f</errorID>
      <errorWord>)</errorWord>
      <group>L1_Format</group>
      <groupName>格式问题</groupName>
      <ability>L2_HalfPunc</ability>
      <abilityName>全半角检查</abilityName>
      <candidateList>
        <item>）</item>
      </candidateList>
      <explain>文本全半角错误。</explain>
      <paraID>4C59813C</paraID>
      <start>10</start>
      <end>11</end>
      <status>unmodified</status>
      <modifiedWord/>
      <trackRevisions>false</trackRevisions>
    </reviewItem>
    <reviewItem>
      <errorID>4bac4cec-4f3a-49e9-a613-e2f46eeffa76</errorID>
      <errorWord>)</errorWord>
      <group>L1_Format</group>
      <groupName>格式问题</groupName>
      <ability>L2_HalfPunc</ability>
      <abilityName>全半角检查</abilityName>
      <candidateList>
        <item>）</item>
      </candidateList>
      <explain>文本全半角错误。</explain>
      <paraID> 75A29E9</paraID>
      <start>10</start>
      <end>11</end>
      <status>unmodified</status>
      <modifiedWord/>
      <trackRevisions>false</trackRevisions>
    </reviewItem>
    <reviewItem>
      <errorID>92440c05-416c-4635-a46f-1c4f5a12a20d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4E070E8B</paraID>
      <start>0</start>
      <end>3</end>
      <status>unmodified</status>
      <modifiedWord/>
      <trackRevisions>false</trackRevisions>
    </reviewItem>
    <reviewItem>
      <errorID>f84f7467-9c89-40e7-8aaa-232f927f996f</errorID>
      <errorWord>气象色谱法</errorWord>
      <group>L1_Word</group>
      <groupName>字词问题</groupName>
      <ability>L2_Alias</ability>
      <abilityName>也作/曾用词</abilityName>
      <candidateList>
        <item>气相色谱法</item>
      </candidateList>
      <explain>词汇[气象色谱法]为不规范表述或旧称，其规范书面表述为[气相色谱法]。</explain>
      <paraID>149CC735</paraID>
      <start>18</start>
      <end>23</end>
      <status>modified</status>
      <modifiedWord>气相色谱法</modifiedWord>
      <trackRevisions>false</trackRevisions>
    </reviewItem>
    <reviewItem>
      <errorID>2229795b-806b-4ffc-82d6-27e1a6715021</errorID>
      <errorWord>气象色谱法</errorWord>
      <group>L1_Word</group>
      <groupName>字词问题</groupName>
      <ability>L2_Alias</ability>
      <abilityName>也作/曾用词</abilityName>
      <candidateList>
        <item>气相色谱法</item>
      </candidateList>
      <explain>词汇[气象色谱法]为不规范表述或旧称，其规范书面表述为[气相色谱法]。</explain>
      <paraID>1B579A45</paraID>
      <start>18</start>
      <end>23</end>
      <status>modified</status>
      <modifiedWord>气相色谱法</modifiedWord>
      <trackRevisions>false</trackRevisions>
    </reviewItem>
    <reviewItem>
      <errorID>e626c8b7-15e4-4071-8e8a-e4db125aad84</errorID>
      <errorWord>容量分析法</errorWord>
      <group>L1_Knowledge</group>
      <groupName>知识性问题</groupName>
      <ability>L2_Term</ability>
      <abilityName>专业术语</abilityName>
      <candidateList>
        <item>滴定分析法</item>
      </candidateList>
      <explain>医学名词[容量分析法]为不规范表述或旧称，其规范书面表述为[滴定分析法]。</explain>
      <paraID>6F42CBE6</paraID>
      <start>12</start>
      <end>17</end>
      <status>unmodified</status>
      <modifiedWord/>
      <trackRevisions>false</trackRevisions>
    </reviewItem>
    <reviewItem>
      <errorID>d63057eb-8cae-4053-b6ae-fec4158386b7</errorID>
      <errorWord>测定发</errorWord>
      <group>L1_Word</group>
      <groupName>字词问题</groupName>
      <ability>L2_Typo</ability>
      <abilityName>字词错误</abilityName>
      <candidateList>
        <item>测定法</item>
      </candidateList>
      <explain/>
      <paraID>6BD60BEB</paraID>
      <start>19</start>
      <end>22</end>
      <status>unmodified</status>
      <modifiedWord/>
      <trackRevisions>false</trackRevisions>
    </reviewItem>
    <reviewItem>
      <errorID>3b43d0ce-0039-42a8-828a-cc687a8817d8</errorID>
      <errorWord>易碳化物</errorWord>
      <group>L1_Knowledge</group>
      <groupName>知识性问题</groupName>
      <ability>L2_Knowledge</ability>
      <abilityName>其他知识</abilityName>
      <candidateList>
        <item>易炭化物</item>
      </candidateList>
      <explain/>
      <paraID> 9A65853</paraID>
      <start>0</start>
      <end>4</end>
      <status>unmodified</status>
      <modifiedWord/>
      <trackRevisions>false</trackRevisions>
    </reviewItem>
    <reviewItem>
      <errorID>48caa7f3-be74-4a9d-9ff1-8d6b7f2376c4</errorID>
      <errorWord>易碳化物检查法</errorWord>
      <group>L1_Knowledge</group>
      <groupName>知识性问题</groupName>
      <ability>L2_Knowledge</ability>
      <abilityName>其他知识</abilityName>
      <candidateList>
        <item>易炭化物检查法</item>
      </candidateList>
      <explain/>
      <paraID>3DA46B42</paraID>
      <start>18</start>
      <end>25</end>
      <status>unmodified</status>
      <modifiedWord/>
      <trackRevisions>false</trackRevisions>
    </reviewItem>
    <reviewItem>
      <errorID>bd8ad4ba-c2fb-491a-b6d4-a5d10f357ed8</errorID>
      <errorWord>鞣制</errorWord>
      <group>L1_Word</group>
      <groupName>字词问题</groupName>
      <ability>L2_Typo</ability>
      <abilityName>字词错误</abilityName>
      <candidateList>
        <item>鞣质</item>
      </candidateList>
      <explain>存在发音相同字词的误用。</explain>
      <paraID> 4202A82</paraID>
      <start>0</start>
      <end>2</end>
      <status>unmodified</status>
      <modifiedWord/>
      <trackRevisions>false</trackRevisions>
    </reviewItem>
    <reviewItem>
      <errorID>0b72d9cf-ef6d-493f-8f77-6b27e2b896b5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4918427D</paraID>
      <start>0</start>
      <end>3</end>
      <status>unmodified</status>
      <modifiedWord/>
      <trackRevisions>false</trackRevisions>
    </reviewItem>
    <reviewItem>
      <errorID>39dbe7da-c57d-4162-a20d-84ccaf976f60</errorID>
      <errorWord>，</errorWord>
      <group>L1_Format</group>
      <groupName>格式问题</groupName>
      <ability>L2_HalfPunc</ability>
      <abilityName>全半角检查</abilityName>
      <candidateList>
        <item>, </item>
      </candidateList>
      <explain>文本全半角错误。</explain>
      <paraID> F732790</paraID>
      <start>5</start>
      <end>6</end>
      <status>unmodified</status>
      <modifiedWord/>
      <trackRevisions>false</trackRevisions>
    </reviewItem>
    <reviewItem>
      <errorID>952c6a3e-34e3-4c5f-a5b5-d0d078f802f3</errorID>
      <errorWord>，</errorWord>
      <group>L1_Format</group>
      <groupName>格式问题</groupName>
      <ability>L2_HalfPunc</ability>
      <abilityName>全半角检查</abilityName>
      <candidateList>
        <item>, </item>
      </candidateList>
      <explain>文本全半角错误。</explain>
      <paraID>4FEE59C1</paraID>
      <start>5</start>
      <end>6</end>
      <status>unmodified</status>
      <modifiedWord/>
      <trackRevisions>false</trackRevisions>
    </reviewItem>
    <reviewItem>
      <errorID>bd1ff93c-4a97-43e2-bb07-de1227b8b2a2</errorID>
      <errorWord>，</errorWord>
      <group>L1_Format</group>
      <groupName>格式问题</groupName>
      <ability>L2_HalfPunc</ability>
      <abilityName>全半角检查</abilityName>
      <candidateList>
        <item>,</item>
      </candidateList>
      <explain>文本全半角错误。</explain>
      <paraID>4FEE59C1</paraID>
      <start>8</start>
      <end>9</end>
      <status>unmodified</status>
      <modifiedWord/>
      <trackRevisions>false</trackRevisions>
    </reviewItem>
    <reviewItem>
      <errorID>f6888088-a666-4f42-86cc-f6b4665bf4e4</errorID>
      <errorWord>，</errorWord>
      <group>L1_Format</group>
      <groupName>格式问题</groupName>
      <ability>L2_HalfPunc</ability>
      <abilityName>全半角检查</abilityName>
      <candidateList>
        <item>,</item>
      </candidateList>
      <explain>文本全半角错误。</explain>
      <paraID>3AB07344</paraID>
      <start>4</start>
      <end>5</end>
      <status>unmodified</status>
      <modifiedWord/>
      <trackRevisions>false</trackRevisions>
    </reviewItem>
    <reviewItem>
      <errorID>439e6f4c-f627-4c70-924e-12609922f86d</errorID>
      <errorWord>，</errorWord>
      <group>L1_Format</group>
      <groupName>格式问题</groupName>
      <ability>L2_HalfPunc</ability>
      <abilityName>全半角检查</abilityName>
      <candidateList>
        <item>, </item>
      </candidateList>
      <explain>文本全半角错误。</explain>
      <paraID>6721E334</paraID>
      <start>5</start>
      <end>6</end>
      <status>unmodified</status>
      <modifiedWord/>
      <trackRevisions>false</trackRevisions>
    </reviewItem>
    <reviewItem>
      <errorID>8104b5bb-535e-4ded-9d64-32dd619f51ae</errorID>
      <errorWord>，</errorWord>
      <group>L1_Format</group>
      <groupName>格式问题</groupName>
      <ability>L2_HalfPunc</ability>
      <abilityName>全半角检查</abilityName>
      <candidateList>
        <item>, </item>
      </candidateList>
      <explain>文本全半角错误。</explain>
      <paraID>7941DA17</paraID>
      <start>5</start>
      <end>6</end>
      <status>unmodified</status>
      <modifiedWord/>
      <trackRevisions>false</trackRevisions>
    </reviewItem>
    <reviewItem>
      <errorID>6e6a459d-c740-4490-98f7-d38c07b779be</errorID>
      <errorWord>，</errorWord>
      <group>L1_Format</group>
      <groupName>格式问题</groupName>
      <ability>L2_HalfPunc</ability>
      <abilityName>全半角检查</abilityName>
      <candidateList>
        <item>,</item>
      </candidateList>
      <explain>文本全半角错误。</explain>
      <paraID>5D22615B</paraID>
      <start>6</start>
      <end>7</end>
      <status>unmodified</status>
      <modifiedWord/>
      <trackRevisions>false</trackRevisions>
    </reviewItem>
    <reviewItem>
      <errorID>2cc4eea5-8bb3-45a1-b0a5-6998939b353d</errorID>
      <errorWord>，</errorWord>
      <group>L1_Format</group>
      <groupName>格式问题</groupName>
      <ability>L2_HalfPunc</ability>
      <abilityName>全半角检查</abilityName>
      <candidateList>
        <item>, </item>
      </candidateList>
      <explain>文本全半角错误。</explain>
      <paraID>4414E67E</paraID>
      <start>5</start>
      <end>6</end>
      <status>unmodified</status>
      <modifiedWord/>
      <trackRevisions>false</trackRevisions>
    </reviewItem>
    <reviewItem>
      <errorID>c2694ab1-0b96-4c70-878a-b3658d44b064</errorID>
      <errorWord>，</errorWord>
      <group>L1_Format</group>
      <groupName>格式问题</groupName>
      <ability>L2_HalfPunc</ability>
      <abilityName>全半角检查</abilityName>
      <candidateList>
        <item>, </item>
      </candidateList>
      <explain>文本全半角错误。</explain>
      <paraID>1DBB5EE0</paraID>
      <start>4</start>
      <end>5</end>
      <status>unmodified</status>
      <modifiedWord/>
      <trackRevisions>false</trackRevisions>
    </reviewItem>
    <reviewItem>
      <errorID>d04ec423-24c6-4bd1-91f0-0187270e1095</errorID>
      <errorWord>，</errorWord>
      <group>L1_Format</group>
      <groupName>格式问题</groupName>
      <ability>L2_HalfPunc</ability>
      <abilityName>全半角检查</abilityName>
      <candidateList>
        <item>, </item>
      </candidateList>
      <explain>文本全半角错误。</explain>
      <paraID>12453EB2</paraID>
      <start>4</start>
      <end>5</end>
      <status>unmodified</status>
      <modifiedWord/>
      <trackRevisions>false</trackRevisions>
    </reviewItem>
    <reviewItem>
      <errorID>7124e468-7212-441e-9dd0-0c4990f0b097</errorID>
      <errorWord>，</errorWord>
      <group>L1_Format</group>
      <groupName>格式问题</groupName>
      <ability>L2_HalfPunc</ability>
      <abilityName>全半角检查</abilityName>
      <candidateList>
        <item>, </item>
      </candidateList>
      <explain>文本全半角错误。</explain>
      <paraID>2459F011</paraID>
      <start>4</start>
      <end>5</end>
      <status>unmodified</status>
      <modifiedWord/>
      <trackRevisions>false</trackRevisions>
    </reviewItem>
    <reviewItem>
      <errorID>66b4c045-2194-45f2-bfbc-2f9b44f1e642</errorID>
      <errorWord>：</errorWord>
      <group>L1_Format</group>
      <groupName>格式问题</groupName>
      <ability>L2_HalfPunc</ability>
      <abilityName>全半角检查</abilityName>
      <candidateList>
        <item>:</item>
      </candidateList>
      <explain>文本全半角错误。</explain>
      <paraID> 225C775</paraID>
      <start>2</start>
      <end>3</end>
      <status>unmodified</status>
      <modifiedWord/>
      <trackRevisions>false</trackRevisions>
    </reviewItem>
    <reviewItem>
      <errorID>f9eb80fc-bd88-4b62-82a5-eca159302bfa</errorID>
      <errorWord>-</errorWord>
      <group>L1_Format</group>
      <groupName>格式问题</groupName>
      <ability>L2_HalfPunc</ability>
      <abilityName>全半角检查</abilityName>
      <candidateList>
        <item>－</item>
      </candidateList>
      <explain>文本全半角错误。</explain>
      <paraID>797F40DA</paraID>
      <start>1</start>
      <end>2</end>
      <status>unmodified</status>
      <modifiedWord/>
      <trackRevisions>false</trackRevisions>
    </reviewItem>
    <reviewItem>
      <errorID>3c3e3e8d-5251-454f-8477-a945dedb12d1</errorID>
      <errorWord>-</errorWord>
      <group>L1_Format</group>
      <groupName>格式问题</groupName>
      <ability>L2_HalfPunc</ability>
      <abilityName>全半角检查</abilityName>
      <candidateList>
        <item>－</item>
      </candidateList>
      <explain>文本全半角错误。</explain>
      <paraID>797F40DA</paraID>
      <start>8</start>
      <end>9</end>
      <status>unmodified</status>
      <modifiedWord/>
      <trackRevisions>false</trackRevisions>
    </reviewItem>
    <reviewItem>
      <errorID>dba1cb49-5502-4a0d-a04b-73380f09799f</errorID>
      <errorWord>，</errorWord>
      <group>L1_Format</group>
      <groupName>格式问题</groupName>
      <ability>L2_HalfPunc</ability>
      <abilityName>全半角检查</abilityName>
      <candidateList>
        <item>, </item>
      </candidateList>
      <explain>文本全半角错误。</explain>
      <paraID>76ED4D27</paraID>
      <start>12</start>
      <end>13</end>
      <status>unmodified</status>
      <modifiedWord/>
      <trackRevisions>false</trackRevisions>
    </reviewItem>
    <reviewItem>
      <errorID>e9bf5576-5cb3-4eb6-9728-f87349fcfe20</errorID>
      <errorWord>，</errorWord>
      <group>L1_Format</group>
      <groupName>格式问题</groupName>
      <ability>L2_HalfPunc</ability>
      <abilityName>全半角检查</abilityName>
      <candidateList>
        <item>, </item>
      </candidateList>
      <explain>文本全半角错误。</explain>
      <paraID> DBA9B5E</paraID>
      <start>12</start>
      <end>13</end>
      <status>unmodified</status>
      <modifiedWord/>
      <trackRevisions>false</trackRevisions>
    </reviewItem>
    <reviewItem>
      <errorID>b166cb66-2fb2-410b-ad41-262dec865521</errorID>
      <errorWord>，</errorWord>
      <group>L1_Format</group>
      <groupName>格式问题</groupName>
      <ability>L2_HalfPunc</ability>
      <abilityName>全半角检查</abilityName>
      <candidateList>
        <item>, </item>
      </candidateList>
      <explain>文本全半角错误。</explain>
      <paraID>  5A95E9</paraID>
      <start>5</start>
      <end>6</end>
      <status>unmodified</status>
      <modifiedWord/>
      <trackRevisions>false</trackRevisions>
    </reviewItem>
    <reviewItem>
      <errorID>8209e30e-08f0-431e-947a-571587b8298b</errorID>
      <errorWord>&lt;</errorWord>
      <group>L1_Format</group>
      <groupName>格式问题</groupName>
      <ability>L2_HalfPunc</ability>
      <abilityName>全半角检查</abilityName>
      <candidateList>
        <item>〈</item>
      </candidateList>
      <explain>文本全半角错误。</explain>
      <paraID>54683C11</paraID>
      <start>69</start>
      <end>70</end>
      <status>unmodified</status>
      <modifiedWord/>
      <trackRevisions>false</trackRevisions>
    </reviewItem>
    <reviewItem>
      <errorID>3b965673-a35f-447a-a696-6387ea101a7c</errorID>
      <errorWord>&lt;</errorWord>
      <group>L1_Format</group>
      <groupName>格式问题</groupName>
      <ability>L2_HalfPunc</ability>
      <abilityName>全半角检查</abilityName>
      <candidateList>
        <item>〈</item>
      </candidateList>
      <explain>文本全半角错误。</explain>
      <paraID>54683C11</paraID>
      <start>86</start>
      <end>87</end>
      <status>unmodified</status>
      <modifiedWord/>
      <trackRevisions>false</trackRevisions>
    </reviewItem>
    <reviewItem>
      <errorID>14cfe24a-6dca-4b2b-aad0-e2c5528a9ec1</errorID>
      <errorWord>1.1~8.7%</errorWord>
      <group>L1_Knowledge</group>
      <groupName>知识性问题</groupName>
      <ability>L2_Knowledge</ability>
      <abilityName>其他知识</abilityName>
      <candidateList>
        <item>1.1%～8.7%</item>
      </candidateList>
      <explain>1. “1.1~8.7%”中的单位“%”仅出现在后一个数字上，容易引起歧义；根据《现代汉语标点符号数字用法规范手册》，数字表示范围两边需要使用统一的格式。2. 根据标点国标 4.13 中的规则，数字、时间或地域连接符应使用（视觉上更长的）“—”或“～”。</explain>
      <paraID>2A46D7E5</paraID>
      <start>19</start>
      <end>27</end>
      <status>unmodified</status>
      <modifiedWord/>
      <trackRevisions>false</trackRevisions>
    </reviewItem>
    <reviewItem>
      <errorID>5cc3be4f-4161-486b-b88d-30698528e280</errorID>
      <errorWord>：</errorWord>
      <group>L1_Format</group>
      <groupName>格式问题</groupName>
      <ability>L2_HalfPunc</ability>
      <abilityName>全半角检查</abilityName>
      <candidateList>
        <item>:</item>
      </candidateList>
      <explain>文本全半角错误。</explain>
      <paraID>1D56453C</paraID>
      <start>4</start>
      <end>5</end>
      <status>unmodified</status>
      <modifiedWord/>
      <trackRevisions>false</trackRevisions>
    </reviewItem>
    <reviewItem>
      <errorID>489d00c7-5a9e-4309-9c7f-f4a71916f8bb</errorID>
      <errorWord>:</errorWord>
      <group>L1_Format</group>
      <groupName>格式问题</groupName>
      <ability>L2_HalfPunc</ability>
      <abilityName>全半角检查</abilityName>
      <candidateList>
        <item>：</item>
      </candidateList>
      <explain>文本全半角错误。</explain>
      <paraID>24DA2944</paraID>
      <start>3</start>
      <end>4</end>
      <status>unmodified</status>
      <modifiedWord/>
      <trackRevisions>false</trackRevisions>
    </reviewItem>
    <reviewItem>
      <errorID>5145bc47-1cc7-408e-bcc1-c0fce8f8f0c7</errorID>
      <errorWord>无极</errorWord>
      <group>L1_Word</group>
      <groupName>字词问题</groupName>
      <ability>L2_Typo</ability>
      <abilityName>字词错误</abilityName>
      <candidateList>
        <item>无机</item>
      </candidateList>
      <explain/>
      <paraID>24DA2944</paraID>
      <start>41</start>
      <end>43</end>
      <status>modified</status>
      <modifiedWord>无机</modifiedWord>
      <trackRevisions>false</trackRevisions>
    </reviewItem>
    <reviewItem>
      <errorID>bdeaf4c7-2246-4d57-b333-7aea8aaf014b</errorID>
      <errorWord>,</errorWord>
      <group>L1_Format</group>
      <groupName>格式问题</groupName>
      <ability>L2_HalfPunc</ability>
      <abilityName>全半角检查</abilityName>
      <candidateList>
        <item>，</item>
      </candidateList>
      <explain>文本全半角错误。</explain>
      <paraID>1CE1E72C</paraID>
      <start>2</start>
      <end>3</end>
      <status>modified</status>
      <modifiedWord>，</modifiedWord>
      <trackRevisions>false</trackRevisions>
    </reviewItem>
    <reviewItem>
      <errorID>3471f90c-1189-4179-889f-63834bac88c8</errorID>
      <errorWord>：</errorWord>
      <group>L1_Format</group>
      <groupName>格式问题</groupName>
      <ability>L2_HalfPunc</ability>
      <abilityName>全半角检查</abilityName>
      <candidateList>
        <item>:</item>
      </candidateList>
      <explain>文本全半角错误。</explain>
      <paraID>57083FF2</paraID>
      <start>9</start>
      <end>10</end>
      <status>modified</status>
      <modifiedWord>:</modifiedWord>
      <trackRevisions>false</trackRevisions>
    </reviewItem>
    <reviewItem>
      <errorID>e21b2cfd-b256-4d86-9709-b8db31d9a585</errorID>
      <errorWord>(</errorWord>
      <group>L1_Format</group>
      <groupName>格式问题</groupName>
      <ability>L2_HalfPunc</ability>
      <abilityName>全半角检查</abilityName>
      <candidateList>
        <item>（</item>
      </candidateList>
      <explain>文本全半角错误。</explain>
      <paraID>1869C26D</paraID>
      <start>17</start>
      <end>18</end>
      <status>modified</status>
      <modifiedWord>（</modifiedWord>
      <trackRevisions>false</trackRevisions>
    </reviewItem>
    <reviewItem>
      <errorID>17f6365d-2bb2-42fe-a537-975c6089cb89</errorID>
      <errorWord>)</errorWord>
      <group>L1_Format</group>
      <groupName>格式问题</groupName>
      <ability>L2_HalfPunc</ability>
      <abilityName>全半角检查</abilityName>
      <candidateList>
        <item>）</item>
      </candidateList>
      <explain>文本全半角错误。</explain>
      <paraID>1869C26D</paraID>
      <start>20</start>
      <end>21</end>
      <status>modified</status>
      <modifiedWord>）</modifiedWord>
      <trackRevisions>false</trackRevisions>
    </reviewItem>
    <reviewItem>
      <errorID>0fe33ae2-beb8-4381-998e-39cd7cee68bd</errorID>
      <errorWord>(</errorWord>
      <group>L1_Format</group>
      <groupName>格式问题</groupName>
      <ability>L2_HalfPunc</ability>
      <abilityName>全半角检查</abilityName>
      <candidateList>
        <item>（</item>
      </candidateList>
      <explain>文本全半角错误。</explain>
      <paraID>1869C26D</paraID>
      <start>25</start>
      <end>26</end>
      <status>modified</status>
      <modifiedWord>（</modifiedWord>
      <trackRevisions>false</trackRevisions>
    </reviewItem>
    <reviewItem>
      <errorID>fd75f4f3-f5ec-478f-8cd2-49ab4ebba455</errorID>
      <errorWord>)</errorWord>
      <group>L1_Format</group>
      <groupName>格式问题</groupName>
      <ability>L2_HalfPunc</ability>
      <abilityName>全半角检查</abilityName>
      <candidateList>
        <item>）</item>
      </candidateList>
      <explain>文本全半角错误。</explain>
      <paraID>1869C26D</paraID>
      <start>33</start>
      <end>34</end>
      <status>modified</status>
      <modifiedWord>）</modifiedWord>
      <trackRevisions>false</trackRevisions>
    </reviewItem>
    <reviewItem>
      <errorID>e80f8899-2060-4ee2-80ae-18491a1b2dd6</errorID>
      <errorWord>：</errorWord>
      <group>L1_Format</group>
      <groupName>格式问题</groupName>
      <ability>L2_HalfPunc</ability>
      <abilityName>全半角检查</abilityName>
      <candidateList>
        <item>:</item>
      </candidateList>
      <explain>文本全半角错误。</explain>
      <paraID>3A99A9CD</paraID>
      <start>4</start>
      <end>5</end>
      <status>modified</status>
      <modifiedWord>:</modifiedWord>
      <trackRevisions>false</trackRevisions>
    </reviewItem>
    <reviewItem>
      <errorID>e2826b67-abbb-4951-9d7b-8034db671582</errorID>
      <errorWord>:</errorWord>
      <group>L1_Format</group>
      <groupName>格式问题</groupName>
      <ability>L2_HalfPunc</ability>
      <abilityName>全半角检查</abilityName>
      <candidateList>
        <item>：</item>
      </candidateList>
      <explain>文本全半角错误。</explain>
      <paraID>34D72E82</paraID>
      <start>3</start>
      <end>4</end>
      <status>modified</status>
      <modifiedWord>：</modifiedWord>
      <trackRevisions>false</trackRevisions>
    </reviewItem>
    <reviewItem>
      <errorID>0aec3ee3-498d-499f-bcdf-ef1e234b39dd</errorID>
      <errorWord>;</errorWord>
      <group>L1_Format</group>
      <groupName>格式问题</groupName>
      <ability>L2_HalfPunc</ability>
      <abilityName>全半角检查</abilityName>
      <candidateList>
        <item>；</item>
      </candidateList>
      <explain>文本全半角错误。</explain>
      <paraID>34D72E82</paraID>
      <start>8</start>
      <end>9</end>
      <status>modified</status>
      <modifiedWord>；</modifiedWord>
      <trackRevisions>false</trackRevisions>
    </reviewItem>
    <reviewItem>
      <errorID>e4bceacc-694d-4805-bdf2-62bc37a5b0f9</errorID>
      <errorWord>,</errorWord>
      <group>L1_Format</group>
      <groupName>格式问题</groupName>
      <ability>L2_HalfPunc</ability>
      <abilityName>全半角检查</abilityName>
      <candidateList>
        <item>，</item>
      </candidateList>
      <explain>文本全半角错误。</explain>
      <paraID>373E40B4</paraID>
      <start>2</start>
      <end>3</end>
      <status>modified</status>
      <modifiedWord>，</modifiedWord>
      <trackRevisions>false</trackRevisions>
    </reviewItem>
    <reviewItem>
      <errorID>7c4cdb18-bb18-460c-86c4-76ed1d88181b</errorID>
      <errorWord>：</errorWord>
      <group>L1_Format</group>
      <groupName>格式问题</groupName>
      <ability>L2_HalfPunc</ability>
      <abilityName>全半角检查</abilityName>
      <candidateList>
        <item>:</item>
      </candidateList>
      <explain>文本全半角错误。</explain>
      <paraID>5B9FF041</paraID>
      <start>4</start>
      <end>5</end>
      <status>modified</status>
      <modifiedWord>:</modifiedWord>
      <trackRevisions>false</trackRevisions>
    </reviewItem>
    <reviewItem>
      <errorID>568cd089-f722-4df6-af63-e270a949f655</errorID>
      <errorWord>,</errorWord>
      <group>L1_Format</group>
      <groupName>格式问题</groupName>
      <ability>L2_HalfPunc</ability>
      <abilityName>全半角检查</abilityName>
      <candidateList>
        <item>，</item>
      </candidateList>
      <explain>文本全半角错误。</explain>
      <paraID>77ABBC2A</paraID>
      <start>33</start>
      <end>34</end>
      <status>modified</status>
      <modifiedWord>，</modifiedWord>
      <trackRevisions>false</trackRevisions>
    </reviewItem>
    <reviewItem>
      <errorID>441f647f-395c-49a5-92c0-84024d176ce3</errorID>
      <errorWord>其它</errorWord>
      <group>L1_Word</group>
      <groupName>字词问题</groupName>
      <ability>L2_Alias</ability>
      <abilityName>也作/曾用词</abilityName>
      <candidateList>
        <item>其他</item>
      </candidateList>
      <explain>词汇[其它]为不规范表述或旧称，其规范书面表述为[其他]。</explain>
      <paraID>691C59D5</paraID>
      <start>45</start>
      <end>47</end>
      <status>modified</status>
      <modifiedWord>其他</modifiedWord>
      <trackRevisions>false</trackRevisions>
    </reviewItem>
    <reviewItem>
      <errorID>6cdaaceb-412d-4c11-8ea3-6492b3b8d53a</errorID>
      <errorWord>：</errorWord>
      <group>L1_Format</group>
      <groupName>格式问题</groupName>
      <ability>L2_HalfPunc</ability>
      <abilityName>全半角检查</abilityName>
      <candidateList>
        <item>:</item>
      </candidateList>
      <explain>文本全半角错误。</explain>
      <paraID>20303D5E</paraID>
      <start>4</start>
      <end>5</end>
      <status>modified</status>
      <modifiedWord>:</modifiedWord>
      <trackRevisions>false</trackRevisions>
    </reviewItem>
    <reviewItem>
      <errorID>4b5c95ff-a840-4c3d-9f02-e79affa2941b</errorID>
      <errorWord>;</errorWord>
      <group>L1_Format</group>
      <groupName>格式问题</groupName>
      <ability>L2_HalfPunc</ability>
      <abilityName>全半角检查</abilityName>
      <candidateList>
        <item>；</item>
      </candidateList>
      <explain>文本全半角错误。</explain>
      <paraID>5FD3964F</paraID>
      <start>32</start>
      <end>33</end>
      <status>modified</status>
      <modifiedWord>；</modifiedWord>
      <trackRevisions>false</trackRevisions>
    </reviewItem>
    <reviewItem>
      <errorID>3fd7f0a7-077d-4edf-b994-2ad283e462fc</errorID>
      <errorWord>:</errorWord>
      <group>L1_Format</group>
      <groupName>格式问题</groupName>
      <ability>L2_HalfPunc</ability>
      <abilityName>全半角检查</abilityName>
      <candidateList>
        <item>：</item>
      </candidateList>
      <explain>文本全半角错误。</explain>
      <paraID>5FD3964F</paraID>
      <start>52</start>
      <end>53</end>
      <status>modified</status>
      <modifiedWord>：</modifiedWord>
      <trackRevisions>false</trackRevisions>
    </reviewItem>
    <reviewItem>
      <errorID>3dd7ff2b-16c0-448e-a37a-0b13d74abed6</errorID>
      <errorWord>;</errorWord>
      <group>L1_Format</group>
      <groupName>格式问题</groupName>
      <ability>L2_HalfPunc</ability>
      <abilityName>全半角检查</abilityName>
      <candidateList>
        <item>；</item>
      </candidateList>
      <explain>文本全半角错误。</explain>
      <paraID>5FD3964F</paraID>
      <start>65</start>
      <end>66</end>
      <status>modified</status>
      <modifiedWord>；</modifiedWord>
      <trackRevisions>false</trackRevisions>
    </reviewItem>
    <reviewItem>
      <errorID>16700951-d151-4bec-84d8-141f63517029</errorID>
      <errorWord>,</errorWord>
      <group>L1_Format</group>
      <groupName>格式问题</groupName>
      <ability>L2_HalfPunc</ability>
      <abilityName>全半角检查</abilityName>
      <candidateList>
        <item>，</item>
      </candidateList>
      <explain>文本全半角错误。</explain>
      <paraID>6CFB2334</paraID>
      <start>2</start>
      <end>3</end>
      <status>modified</status>
      <modifiedWord>，</modifiedWord>
      <trackRevisions>false</trackRevisions>
    </reviewItem>
    <reviewItem>
      <errorID>57d351c5-c114-4702-a1d2-0206b976cca1</errorID>
      <errorWord>：</errorWord>
      <group>L1_Format</group>
      <groupName>格式问题</groupName>
      <ability>L2_HalfPunc</ability>
      <abilityName>全半角检查</abilityName>
      <candidateList>
        <item>:</item>
      </candidateList>
      <explain>文本全半角错误。</explain>
      <paraID>67D451E2</paraID>
      <start>4</start>
      <end>5</end>
      <status>modified</status>
      <modifiedWord>:</modifiedWord>
      <trackRevisions>false</trackRevisions>
    </reviewItem>
    <reviewItem>
      <errorID>2d5a69ca-8dd6-41b1-898f-4c6b743f526d</errorID>
      <errorWord>:</errorWord>
      <group>L1_Format</group>
      <groupName>格式问题</groupName>
      <ability>L2_HalfPunc</ability>
      <abilityName>全半角检查</abilityName>
      <candidateList>
        <item>：</item>
      </candidateList>
      <explain>文本全半角错误。</explain>
      <paraID>67CAA470</paraID>
      <start>3</start>
      <end>4</end>
      <status>unmodified</status>
      <modifiedWord/>
      <trackRevisions>false</trackRevisions>
    </reviewItem>
    <reviewItem>
      <errorID>5da54249-51ed-4c2d-9ba8-58fc9fa7e8ae</errorID>
      <errorWord>;</errorWord>
      <group>L1_Format</group>
      <groupName>格式问题</groupName>
      <ability>L2_HalfPunc</ability>
      <abilityName>全半角检查</abilityName>
      <candidateList>
        <item>；</item>
      </candidateList>
      <explain>文本全半角错误。</explain>
      <paraID>67CAA470</paraID>
      <start>9</start>
      <end>10</end>
      <status>modified</status>
      <modifiedWord>；</modifiedWord>
      <trackRevisions>false</trackRevisions>
    </reviewItem>
    <reviewItem>
      <errorID>3c61354f-a5c9-4bbf-9ed2-791c5222b523</errorID>
      <errorWord>：</errorWord>
      <group>L1_Format</group>
      <groupName>格式问题</groupName>
      <ability>L2_HalfPunc</ability>
      <abilityName>全半角检查</abilityName>
      <candidateList>
        <item>:</item>
      </candidateList>
      <explain>文本全半角错误。</explain>
      <paraID> 17A60F4</paraID>
      <start>4</start>
      <end>5</end>
      <status>unmodified</status>
      <modifiedWord/>
      <trackRevisions>false</trackRevisions>
    </reviewItem>
    <reviewItem>
      <errorID>7869ec1b-39c1-4571-9f35-8c4271850332</errorID>
      <errorWord>,</errorWord>
      <group>L1_Format</group>
      <groupName>格式问题</groupName>
      <ability>L2_HalfPunc</ability>
      <abilityName>全半角检查</abilityName>
      <candidateList>
        <item>，</item>
      </candidateList>
      <explain>文本全半角错误。</explain>
      <paraID>4C488A32</paraID>
      <start>33</start>
      <end>34</end>
      <status>modified</status>
      <modifiedWord>，</modifiedWord>
      <trackRevisions>false</trackRevisions>
    </reviewItem>
    <reviewItem>
      <errorID>fcfa2ab2-fae8-4cf2-81af-8f5942f4140f</errorID>
      <errorWord>:</errorWord>
      <group>L1_Format</group>
      <groupName>格式问题</groupName>
      <ability>L2_HalfPunc</ability>
      <abilityName>全半角检查</abilityName>
      <candidateList>
        <item>：</item>
      </candidateList>
      <explain>文本全半角错误。</explain>
      <paraID> D09E3F5</paraID>
      <start>3</start>
      <end>4</end>
      <status>unmodified</status>
      <modifiedWord/>
      <trackRevisions>false</trackRevisions>
    </reviewItem>
    <reviewItem>
      <errorID>b2a09724-dee6-4c59-9bc1-848ea9587fbc</errorID>
      <errorWord>结品</errorWord>
      <group>L1_Word</group>
      <groupName>字词问题</groupName>
      <ability>L2_Typo</ability>
      <abilityName>字词错误</abilityName>
      <candidateList>
        <item>结晶</item>
      </candidateList>
      <explain/>
      <paraID> D09E3F5</paraID>
      <start>19</start>
      <end>21</end>
      <status>modified</status>
      <modifiedWord>结晶</modifiedWord>
      <trackRevisions>false</trackRevisions>
    </reviewItem>
    <reviewItem>
      <errorID>01fa0318-e6c3-49ba-8020-68f34a3da5e0</errorID>
      <errorWord>：</errorWord>
      <group>L1_Format</group>
      <groupName>格式问题</groupName>
      <ability>L2_HalfPunc</ability>
      <abilityName>全半角检查</abilityName>
      <candidateList>
        <item>:</item>
      </candidateList>
      <explain>文本全半角错误。</explain>
      <paraID>5EE8AB7A</paraID>
      <start>4</start>
      <end>5</end>
      <status>unmodified</status>
      <modifiedWord/>
      <trackRevisions>false</trackRevisions>
    </reviewItem>
    <reviewItem>
      <errorID>ae62a868-234a-402a-9f10-c0624614ca22</errorID>
      <errorWord>-</errorWord>
      <group>L1_Format</group>
      <groupName>格式问题</groupName>
      <ability>L2_HalfPunc</ability>
      <abilityName>全半角检查</abilityName>
      <candidateList>
        <item>－</item>
      </candidateList>
      <explain>文本全半角错误。</explain>
      <paraID>7950FB18</paraID>
      <start>1</start>
      <end>2</end>
      <status>modified</status>
      <modifiedWord>－</modifiedWord>
      <trackRevisions>false</trackRevisions>
    </reviewItem>
    <reviewItem>
      <errorID>ae35e533-07c4-418b-af44-9fc6841d7d30</errorID>
      <errorWord>-</errorWord>
      <group>L1_Format</group>
      <groupName>格式问题</groupName>
      <ability>L2_HalfPunc</ability>
      <abilityName>全半角检查</abilityName>
      <candidateList>
        <item>－</item>
      </candidateList>
      <explain>文本全半角错误。</explain>
      <paraID>7950FB18</paraID>
      <start>8</start>
      <end>9</end>
      <status>unmodified</status>
      <modifiedWord/>
      <trackRevisions>false</trackRevisions>
    </reviewItem>
    <reviewItem>
      <errorID>99dd4c14-3ae4-40da-884d-a70a11cf6473</errorID>
      <errorWord>粘性的</errorWord>
      <group>L1_Word</group>
      <groupName>字词问题</groupName>
      <ability>L2_Alias</ability>
      <abilityName>也作/曾用词</abilityName>
      <candidateList>
        <item>黏性的</item>
      </candidateList>
      <explain>词汇[粘性的]为不规范表述或旧称，其规范书面表述为[黏性的]。</explain>
      <paraID>50BE2330</paraID>
      <start>18</start>
      <end>21</end>
      <status>modified</status>
      <modifiedWord>黏性的</modifiedWord>
      <trackRevisions>false</trackRevisions>
    </reviewItem>
    <reviewItem>
      <errorID>5c2f2ad4-92db-4cfa-ab27-7edae306d36e</errorID>
      <errorWord>：</errorWord>
      <group>L1_Format</group>
      <groupName>格式问题</groupName>
      <ability>L2_HalfPunc</ability>
      <abilityName>全半角检查</abilityName>
      <candidateList>
        <item>:</item>
      </candidateList>
      <explain>文本全半角错误。</explain>
      <paraID>22E4FAF0</paraID>
      <start>4</start>
      <end>5</end>
      <status>unmodified</status>
      <modifiedWord/>
      <trackRevisions>false</trackRevisions>
    </reviewItem>
    <reviewItem>
      <errorID>0e5358e2-c3d5-4480-9e5f-33f50b44795b</errorID>
      <errorWord>;</errorWord>
      <group>L1_Format</group>
      <groupName>格式问题</groupName>
      <ability>L2_HalfPunc</ability>
      <abilityName>全半角检查</abilityName>
      <candidateList>
        <item>；</item>
      </candidateList>
      <explain>文本全半角错误。</explain>
      <paraID>2F009EF0</paraID>
      <start>25</start>
      <end>26</end>
      <status>modified</status>
      <modifiedWord>；</modifiedWord>
      <trackRevisions>false</trackRevisions>
    </reviewItem>
    <reviewItem>
      <errorID>92cb54fa-6c46-49fc-8079-37cf62b5595d</errorID>
      <errorWord>;</errorWord>
      <group>L1_Format</group>
      <groupName>格式问题</groupName>
      <ability>L2_HalfPunc</ability>
      <abilityName>全半角检查</abilityName>
      <candidateList>
        <item>；</item>
      </candidateList>
      <explain>文本全半角错误。</explain>
      <paraID>2F009EF0</paraID>
      <start>60</start>
      <end>61</end>
      <status>unmodified</status>
      <modifiedWord/>
      <trackRevisions>false</trackRevisions>
    </reviewItem>
    <reviewItem>
      <errorID>71e87eac-fdc6-4cf4-b459-180693779184</errorID>
      <errorWord>：</errorWord>
      <group>L1_Format</group>
      <groupName>格式问题</groupName>
      <ability>L2_HalfPunc</ability>
      <abilityName>全半角检查</abilityName>
      <candidateList>
        <item>:</item>
      </candidateList>
      <explain>文本全半角错误。</explain>
      <paraID>345E1248</paraID>
      <start>4</start>
      <end>5</end>
      <status>modified</status>
      <modifiedWord>:</modifiedWord>
      <trackRevisions>false</trackRevisions>
    </reviewItem>
    <reviewItem>
      <errorID>1fa588b4-93b1-4cfc-ab34-29e649033407</errorID>
      <errorWord>：</errorWord>
      <group>L1_Format</group>
      <groupName>格式问题</groupName>
      <ability>L2_HalfPunc</ability>
      <abilityName>全半角检查</abilityName>
      <candidateList>
        <item>:</item>
      </candidateList>
      <explain>文本全半角错误。</explain>
      <paraID>297A227D</paraID>
      <start>4</start>
      <end>5</end>
      <status>unmodified</status>
      <modifiedWord/>
      <trackRevisions>false</trackRevisions>
    </reviewItem>
    <reviewItem>
      <errorID>37419476-54eb-4711-a489-4031dc778bee</errorID>
      <errorWord>：</errorWord>
      <group>L1_Format</group>
      <groupName>格式问题</groupName>
      <ability>L2_HalfPunc</ability>
      <abilityName>全半角检查</abilityName>
      <candidateList>
        <item>:</item>
      </candidateList>
      <explain>文本全半角错误。</explain>
      <paraID>76786A2A</paraID>
      <start>4</start>
      <end>5</end>
      <status>modified</status>
      <modifiedWord>:</modifiedWord>
      <trackRevisions>false</trackRevisions>
    </reviewItem>
    <reviewItem>
      <errorID>a15fc9f5-6139-49b0-9350-1b4d6b0495d8</errorID>
      <errorWord>：</errorWord>
      <group>L1_Format</group>
      <groupName>格式问题</groupName>
      <ability>L2_HalfPunc</ability>
      <abilityName>全半角检查</abilityName>
      <candidateList>
        <item>:</item>
      </candidateList>
      <explain>文本全半角错误。</explain>
      <paraID>19413070</paraID>
      <start>4</start>
      <end>5</end>
      <status>unmodified</status>
      <modifiedWord/>
      <trackRevisions>false</trackRevisions>
    </reviewItem>
    <reviewItem>
      <errorID>dac5f46f-d724-4931-825d-367c1ba8c3f3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30543B6D</paraID>
      <start>0</start>
      <end>2</end>
      <status>modified</status>
      <modifiedWord>5.</modifiedWord>
      <trackRevisions>false</trackRevisions>
    </reviewItem>
    <reviewItem>
      <errorID>386dc4fc-03fe-4a58-b73e-ce9c7fd53838</errorID>
      <errorWord>-</errorWord>
      <group>L1_Format</group>
      <groupName>格式问题</groupName>
      <ability>L2_HalfPunc</ability>
      <abilityName>全半角检查</abilityName>
      <candidateList>
        <item>－</item>
      </candidateList>
      <explain>文本全半角错误。</explain>
      <paraID>460286E4</paraID>
      <start>16</start>
      <end>17</end>
      <status>unmodified</status>
      <modifiedWord/>
      <trackRevisions>false</trackRevisions>
    </reviewItem>
    <reviewItem>
      <errorID>2ba6e496-87de-4ad4-9be5-d2c01c3baca6</errorID>
      <errorWord>-</errorWord>
      <group>L1_Format</group>
      <groupName>格式问题</groupName>
      <ability>L2_HalfPunc</ability>
      <abilityName>全半角检查</abilityName>
      <candidateList>
        <item>－</item>
      </candidateList>
      <explain>文本全半角错误。</explain>
      <paraID>6B8AF782</paraID>
      <start>19</start>
      <end>20</end>
      <status>modified</status>
      <modifiedWord>－</modifiedWord>
      <trackRevisions>false</trackRevisions>
    </reviewItem>
    <reviewItem>
      <errorID>acdada86-fb7f-4ed9-9d30-1d1dacfd870c</errorID>
      <errorWord>-</errorWord>
      <group>L1_Format</group>
      <groupName>格式问题</groupName>
      <ability>L2_HalfPunc</ability>
      <abilityName>全半角检查</abilityName>
      <candidateList>
        <item>－</item>
      </candidateList>
      <explain>文本全半角错误。</explain>
      <paraID> F3D92E9</paraID>
      <start>18</start>
      <end>19</end>
      <status>unmodified</status>
      <modifiedWord/>
      <trackRevisions>false</trackRevisions>
    </reviewItem>
    <reviewItem>
      <errorID>ec631b17-b64e-4b08-9208-29de92adaac7</errorID>
      <errorWord>水泵房</errorWord>
      <group>L1_Word</group>
      <groupName>字词问题</groupName>
      <ability>L2_Typo</ability>
      <abilityName>字词错误</abilityName>
      <candidateList>
        <item>泵房</item>
      </candidateList>
      <explain/>
      <paraID>22B45A14</paraID>
      <start>335</start>
      <end>337</end>
      <status>modified</status>
      <modifiedWord>泵房</modifiedWord>
      <trackRevisions>false</trackRevisions>
    </reviewItem>
    <reviewItem>
      <errorID>5d69117d-ba56-42d5-8a17-fb7bb84249f3</errorID>
      <errorWord>在</errorWord>
      <group>L1_Word</group>
      <groupName>字词问题</groupName>
      <ability>L2_Typo</ability>
      <abilityName>字词错误</abilityName>
      <candidateList>
        <item>再</item>
      </candidateList>
      <explain>存在发音相同字词的误用。</explain>
      <paraID>22B45A14</paraID>
      <start>345</start>
      <end>346</end>
      <status>unmodified</status>
      <modifiedWord/>
      <trackRevisions>false</trackRevisions>
    </reviewItem>
    <reviewItem>
      <errorID>71f987e6-89f6-4ea6-bb19-900b21b5438d</errorID>
      <errorWord>保</errorWord>
      <group>L1_Word</group>
      <groupName>字词问题</groupName>
      <ability>L2_Typo</ability>
      <abilityName>字词错误</abilityName>
      <candidateList>
        <item>保障</item>
      </candidateList>
      <explain/>
      <paraID>54D67933</paraID>
      <start>26</start>
      <end>28</end>
      <status>modified</status>
      <modifiedWord>保障</modifiedWord>
      <trackRevisions>false</trackRevisions>
    </reviewItem>
    <reviewItem>
      <errorID>14be16d2-277a-4d61-b0d7-d00800ef4133</errorID>
      <errorWord>分</errorWord>
      <group>L1_Word</group>
      <groupName>字词问题</groupName>
      <ability>L2_Typo</ability>
      <abilityName>字词错误</abilityName>
      <candidateList>
        <item>分为</item>
      </candidateList>
      <explain/>
      <paraID>7529D1D0</paraID>
      <start>4</start>
      <end>5</end>
      <status>unmodified</status>
      <modifiedWord/>
      <trackRevisions>false</trackRevisions>
    </reviewItem>
    <reviewItem>
      <errorID>e4b79453-a01b-4a5a-a889-80d68d582d79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1838F78C</paraID>
      <start>74</start>
      <end>75</end>
      <status>unmodified</status>
      <modifiedWord/>
      <trackRevisions>false</trackRevisions>
    </reviewItem>
    <reviewItem>
      <errorID>f5bd71df-e532-4f35-8500-a7f143872529</errorID>
      <errorWord>墙角</errorWord>
      <group>L1_Word</group>
      <groupName>字词问题</groupName>
      <ability>L2_Typo</ability>
      <abilityName>字词错误</abilityName>
      <candidateList>
        <item>墙脚</item>
      </candidateList>
      <explain/>
      <paraID>77974717</paraID>
      <start>28</start>
      <end>30</end>
      <status>unmodified</status>
      <modifiedWord/>
      <trackRevisions>false</trackRevisions>
    </reviewItem>
    <reviewItem>
      <errorID>ca0efccb-aa9e-4598-bae8-a0cb104ddd90</errorID>
      <errorWord>，</errorWord>
      <group>L1_Word</group>
      <groupName>字词问题</groupName>
      <ability>L2_Typo</ability>
      <abilityName>字词错误</abilityName>
      <candidateList>
        <item>，有</item>
      </candidateList>
      <explain/>
      <paraID>4351CF7D</paraID>
      <start>15</start>
      <end>16</end>
      <status>unmodified</status>
      <modifiedWord/>
      <trackRevisions>false</trackRevisions>
    </reviewItem>
    <reviewItem>
      <errorID>6572585e-284b-4b10-aeb1-a293c98e9175</errorID>
      <errorWord>硫磺</errorWord>
      <group>L1_Word</group>
      <groupName>字词问题</groupName>
      <ability>L2_Typo</ability>
      <abilityName>字词错误</abilityName>
      <candidateList>
        <item>硫黄</item>
      </candidateList>
      <explain/>
      <paraID>4351CF7D</paraID>
      <start>60</start>
      <end>62</end>
      <status>unmodified</status>
      <modifiedWord/>
      <trackRevisions>false</trackRevisions>
    </reviewItem>
    <reviewItem>
      <errorID>e5d3655f-dd0c-4532-ab6d-36b3f930ccf2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4A636B90</paraID>
      <start>0</start>
      <end>2</end>
      <status>modified</status>
      <modifiedWord>2.</modifiedWord>
      <trackRevisions>false</trackRevisions>
    </reviewItem>
    <reviewItem>
      <errorID>3478faa3-434d-4baa-a0ee-dbd227ad3a4d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6C8F4218</paraID>
      <start>7</start>
      <end>8</end>
      <status>unmodified</status>
      <modifiedWord/>
      <trackRevisions>false</trackRevisions>
    </reviewItem>
    <reviewItem>
      <errorID>b25e5cdd-1074-44e0-b801-a9478228c4cc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3233FF74</paraID>
      <start>0</start>
      <end>2</end>
      <status>modified</status>
      <modifiedWord>3.</modifiedWord>
      <trackRevisions>false</trackRevisions>
    </reviewItem>
    <reviewItem>
      <errorID>06238b20-9ee6-4479-b461-9638cd8e2f1e</errorID>
      <errorWord>三</errorWord>
      <group>L1_Word</group>
      <groupName>字词问题</groupName>
      <ability>L2_Typo</ability>
      <abilityName>字词错误</abilityName>
      <candidateList>
        <item>三是</item>
      </candidateList>
      <explain/>
      <paraID>5E053D0C</paraID>
      <start>58</start>
      <end>60</end>
      <status>modified</status>
      <modifiedWord>三是</modifiedWord>
      <trackRevisions>false</trackRevisions>
    </reviewItem>
    <reviewItem>
      <errorID>fe2a412a-cf4b-4b03-9e44-e8354806d1a8</errorID>
      <errorWord>全</errorWord>
      <group>L1_Word</group>
      <groupName>字词问题</groupName>
      <ability>L2_Typo</ability>
      <abilityName>字词错误</abilityName>
      <candidateList>
        <item>全过</item>
      </candidateList>
      <explain/>
      <paraID>5E053D0C</paraID>
      <start>67</start>
      <end>68</end>
      <status>unmodified</status>
      <modifiedWord/>
      <trackRevisions>false</trackRevisions>
    </reviewItem>
    <reviewItem>
      <errorID>8c96683f-5968-451d-8492-4c3a5b36d2b9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1523E7A</paraID>
      <start>0</start>
      <end>2</end>
      <status>modified</status>
      <modifiedWord>1.</modifiedWord>
      <trackRevisions>false</trackRevisions>
    </reviewItem>
    <reviewItem>
      <errorID>32183c01-a030-4ca8-8afc-9c99c5aadbc8</errorID>
      <errorWord>-</errorWord>
      <group>L1_Format</group>
      <groupName>格式问题</groupName>
      <ability>L2_HalfPunc</ability>
      <abilityName>全半角检查</abilityName>
      <candidateList>
        <item>－</item>
      </candidateList>
      <explain>文本全半角错误。</explain>
      <paraID> 1846B56</paraID>
      <start>0</start>
      <end>1</end>
      <status>modified</status>
      <modifiedWord>－</modifiedWord>
      <trackRevisions>false</trackRevisions>
    </reviewItem>
    <reviewItem>
      <errorID>abb3dc5f-292e-4a8e-af40-46180401623b</errorID>
      <errorWord>-</errorWord>
      <group>L1_Format</group>
      <groupName>格式问题</groupName>
      <ability>L2_HalfPunc</ability>
      <abilityName>全半角检查</abilityName>
      <candidateList>
        <item>－</item>
      </candidateList>
      <explain>文本全半角错误。</explain>
      <paraID>4D0A54F6</paraID>
      <start>0</start>
      <end>1</end>
      <status>modified</status>
      <modifiedWord>－</modifiedWord>
      <trackRevisions>false</trackRevisions>
    </reviewItem>
    <reviewItem>
      <errorID>97dc7667-c6af-49f5-9e6e-80cc90a9fe72</errorID>
      <errorWord>-</errorWord>
      <group>L1_Format</group>
      <groupName>格式问题</groupName>
      <ability>L2_HalfPunc</ability>
      <abilityName>全半角检查</abilityName>
      <candidateList>
        <item>－</item>
      </candidateList>
      <explain>文本全半角错误。</explain>
      <paraID> 5A85539</paraID>
      <start>0</start>
      <end>1</end>
      <status>modified</status>
      <modifiedWord>－</modifiedWord>
      <trackRevisions>false</trackRevisions>
    </reviewItem>
    <reviewItem>
      <errorID>3cd97004-8687-4196-9901-089b64ea3b14</errorID>
      <errorWord>-</errorWord>
      <group>L1_Format</group>
      <groupName>格式问题</groupName>
      <ability>L2_HalfPunc</ability>
      <abilityName>全半角检查</abilityName>
      <candidateList>
        <item>－</item>
      </candidateList>
      <explain>文本全半角错误。</explain>
      <paraID>11A30A97</paraID>
      <start>0</start>
      <end>1</end>
      <status>modified</status>
      <modifiedWord>－</modifiedWord>
      <trackRevisions>false</trackRevisions>
    </reviewItem>
    <reviewItem>
      <errorID>6bd44d18-bff4-402e-a0d6-e58e2dadbdd0</errorID>
      <errorWord>-</errorWord>
      <group>L1_Format</group>
      <groupName>格式问题</groupName>
      <ability>L2_HalfPunc</ability>
      <abilityName>全半角检查</abilityName>
      <candidateList>
        <item>－</item>
      </candidateList>
      <explain>文本全半角错误。</explain>
      <paraID>60868C51</paraID>
      <start>0</start>
      <end>1</end>
      <status>modified</status>
      <modifiedWord>－</modifiedWord>
      <trackRevisions>false</trackRevisions>
    </reviewItem>
    <reviewItem>
      <errorID>d5dea95e-20ee-4a7a-a6d1-86e1e1243cf6</errorID>
      <errorWord>-</errorWord>
      <group>L1_Format</group>
      <groupName>格式问题</groupName>
      <ability>L2_HalfPunc</ability>
      <abilityName>全半角检查</abilityName>
      <candidateList>
        <item>－</item>
      </candidateList>
      <explain>文本全半角错误。</explain>
      <paraID> 5894B10</paraID>
      <start>0</start>
      <end>1</end>
      <status>modified</status>
      <modifiedWord>－</modifiedWord>
      <trackRevisions>false</trackRevisions>
    </reviewItem>
    <reviewItem>
      <errorID>dce0237e-d2af-4d95-a48c-6467e263800e</errorID>
      <errorWord>-</errorWord>
      <group>L1_Format</group>
      <groupName>格式问题</groupName>
      <ability>L2_HalfPunc</ability>
      <abilityName>全半角检查</abilityName>
      <candidateList>
        <item>－</item>
      </candidateList>
      <explain>文本全半角错误。</explain>
      <paraID> 5894B10</paraID>
      <start>124</start>
      <end>125</end>
      <status>modified</status>
      <modifiedWord>－</modifiedWord>
      <trackRevisions>false</trackRevisions>
    </reviewItem>
    <reviewItem>
      <errorID>498313f0-a935-43ba-ab37-c51886b4f5aa</errorID>
      <errorWord>-</errorWord>
      <group>L1_Format</group>
      <groupName>格式问题</groupName>
      <ability>L2_HalfPunc</ability>
      <abilityName>全半角检查</abilityName>
      <candidateList>
        <item>－</item>
      </candidateList>
      <explain>文本全半角错误。</explain>
      <paraID> 5894B10</paraID>
      <start>125</start>
      <end>126</end>
      <status>modified</status>
      <modifiedWord>－</modifiedWord>
      <trackRevisions>false</trackRevisions>
    </reviewItem>
    <reviewItem>
      <errorID>cc9be2dc-db64-423e-a1bc-4b1beea83f3f</errorID>
      <errorWord>-</errorWord>
      <group>L1_Format</group>
      <groupName>格式问题</groupName>
      <ability>L2_HalfPunc</ability>
      <abilityName>全半角检查</abilityName>
      <candidateList>
        <item>－</item>
      </candidateList>
      <explain>文本全半角错误。</explain>
      <paraID>5ADFF8D4</paraID>
      <start>0</start>
      <end>1</end>
      <status>modified</status>
      <modifiedWord>－</modifiedWord>
      <trackRevisions>false</trackRevisions>
    </reviewItem>
    <reviewItem>
      <errorID>b605b6f2-e604-466f-a28b-2e31ea4f4d0f</errorID>
      <errorWord>-</errorWord>
      <group>L1_Format</group>
      <groupName>格式问题</groupName>
      <ability>L2_HalfPunc</ability>
      <abilityName>全半角检查</abilityName>
      <candidateList>
        <item>－</item>
      </candidateList>
      <explain>文本全半角错误。</explain>
      <paraID>7DFBDCBB</paraID>
      <start>0</start>
      <end>1</end>
      <status>modified</status>
      <modifiedWord>－</modifiedWord>
      <trackRevisions>false</trackRevisions>
    </reviewItem>
    <reviewItem>
      <errorID>5e63e5f2-ba64-436a-a0b1-df51ad65401b</errorID>
      <errorWord>-</errorWord>
      <group>L1_Format</group>
      <groupName>格式问题</groupName>
      <ability>L2_HalfPunc</ability>
      <abilityName>全半角检查</abilityName>
      <candidateList>
        <item>－</item>
      </candidateList>
      <explain>文本全半角错误。</explain>
      <paraID> F46C802</paraID>
      <start>0</start>
      <end>1</end>
      <status>modified</status>
      <modifiedWord>－</modifiedWord>
      <trackRevisions>false</trackRevisions>
    </reviewItem>
    <reviewItem>
      <errorID>90c97654-5120-4e9a-bf0c-7635836ba8c2</errorID>
      <errorWord>珍稀动物</errorWord>
      <group>L1_Word</group>
      <groupName>字词问题</groupName>
      <ability>L2_Typo</ability>
      <abilityName>字词错误</abilityName>
      <candidateList>
        <item>珍稀动</item>
      </candidateList>
      <explain/>
      <paraID>7633C33C</paraID>
      <start>97</start>
      <end>100</end>
      <status>modified</status>
      <modifiedWord>珍稀动</modifiedWord>
      <trackRevisions>false</trackRevisions>
    </reviewItem>
    <reviewItem>
      <errorID>2787b447-e6f3-44a0-bd66-6af942a0068e</errorID>
      <errorWord>;</errorWord>
      <group>L1_Format</group>
      <groupName>格式问题</groupName>
      <ability>L2_HalfPunc</ability>
      <abilityName>全半角检查</abilityName>
      <candidateList>
        <item>；</item>
      </candidateList>
      <explain>文本全半角错误。</explain>
      <paraID>5F83E1E9</paraID>
      <start>84</start>
      <end>85</end>
      <status>modified</status>
      <modifiedWord>；</modifiedWord>
      <trackRevisions>false</trackRevisions>
    </reviewItem>
    <reviewItem>
      <errorID>ad85d6e0-91e4-45b2-8df3-3af99a14f0f8</errorID>
      <errorWord>其它</errorWord>
      <group>L1_Word</group>
      <groupName>字词问题</groupName>
      <ability>L2_Alias</ability>
      <abilityName>也作/曾用词</abilityName>
      <candidateList>
        <item>其他</item>
      </candidateList>
      <explain>词汇[其它]为不规范表述或旧称，其规范书面表述为[其他]。</explain>
      <paraID>5F83E1E9</paraID>
      <start>111</start>
      <end>113</end>
      <status>modified</status>
      <modifiedWord>其他</modifiedWord>
      <trackRevisions>false</trackRevisions>
    </reviewItem>
    <reviewItem>
      <errorID>31c9f584-00aa-4023-af6b-ff43147a2f3c</errorID>
      <errorWord>,</errorWord>
      <group>L1_Format</group>
      <groupName>格式问题</groupName>
      <ability>L2_HalfPunc</ability>
      <abilityName>全半角检查</abilityName>
      <candidateList>
        <item>，</item>
      </candidateList>
      <explain>文本全半角错误。</explain>
      <paraID>5F83E1E9</paraID>
      <start>195</start>
      <end>196</end>
      <status>modified</status>
      <modifiedWord>，</modifiedWord>
      <trackRevisions>false</trackRevisions>
    </reviewItem>
    <reviewItem>
      <errorID>c86c69d0-de7c-4339-a035-16666c4c1340</errorID>
      <errorWord>,</errorWord>
      <group>L1_Format</group>
      <groupName>格式问题</groupName>
      <ability>L2_HalfPunc</ability>
      <abilityName>全半角检查</abilityName>
      <candidateList>
        <item>，</item>
      </candidateList>
      <explain>文本全半角错误。</explain>
      <paraID>5F83E1E9</paraID>
      <start>205</start>
      <end>206</end>
      <status>modified</status>
      <modifiedWord>，</modifiedWord>
      <trackRevisions>false</trackRevisions>
    </reviewItem>
    <reviewItem>
      <errorID>f1567317-e698-42bb-a712-4f8600d64410</errorID>
      <errorWord>,</errorWord>
      <group>L1_Format</group>
      <groupName>格式问题</groupName>
      <ability>L2_HalfPunc</ability>
      <abilityName>全半角检查</abilityName>
      <candidateList>
        <item>，</item>
      </candidateList>
      <explain>文本全半角错误。</explain>
      <paraID>5F83E1E9</paraID>
      <start>213</start>
      <end>214</end>
      <status>modified</status>
      <modifiedWord>，</modifiedWord>
      <trackRevisions>false</trackRevisions>
    </reviewItem>
    <reviewItem>
      <errorID>f517599f-2be8-4312-bcb9-1974caf051be</errorID>
      <errorWord>-</errorWord>
      <group>L1_Format</group>
      <groupName>格式问题</groupName>
      <ability>L2_HalfPunc</ability>
      <abilityName>全半角检查</abilityName>
      <candidateList>
        <item>－</item>
      </candidateList>
      <explain>文本全半角错误。</explain>
      <paraID>3FD98E64</paraID>
      <start>118</start>
      <end>119</end>
      <status>modified</status>
      <modifiedWord>－</modifiedWord>
      <trackRevisions>false</trackRevisions>
    </reviewItem>
    <reviewItem>
      <errorID>e03d71ec-09c4-496b-b408-62f9af32f63e</errorID>
      <errorWord>-</errorWord>
      <group>L1_Format</group>
      <groupName>格式问题</groupName>
      <ability>L2_HalfPunc</ability>
      <abilityName>全半角检查</abilityName>
      <candidateList>
        <item>－</item>
      </candidateList>
      <explain>文本全半角错误。</explain>
      <paraID>58BAD166</paraID>
      <start>3</start>
      <end>4</end>
      <status>modified</status>
      <modifiedWord>－</modifiedWord>
      <trackRevisions>false</trackRevisions>
    </reviewItem>
    <reviewItem>
      <errorID>b5ab89b9-7bd8-4889-91b5-ce8c28492f48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5F5DCAE6</paraID>
      <start>29</start>
      <end>30</end>
      <status>modified</status>
      <modifiedWord>—</modifiedWord>
      <trackRevisions>false</trackRevisions>
    </reviewItem>
    <reviewItem>
      <errorID>d38d2c1d-4354-4d2d-8eee-1ad1b7b0504e</errorID>
      <errorWord>“</errorWord>
      <group>L1_Punc</group>
      <groupName>标点问题</groupName>
      <ability>L2_Punc</ability>
      <abilityName>标点符号检查</abilityName>
      <candidateList/>
      <explain/>
      <paraID>6759EF80</paraID>
      <start>24</start>
      <end>25</end>
      <status>unmodified</status>
      <modifiedWord/>
      <trackRevisions>false</trackRevisions>
    </reviewItem>
    <reviewItem>
      <errorID>1c479291-4229-4193-adf2-0f84daae6e60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176B3EDB</paraID>
      <start>0</start>
      <end>2</end>
      <status>modified</status>
      <modifiedWord>2.</modifiedWord>
      <trackRevisions>false</trackRevisions>
    </reviewItem>
    <reviewItem>
      <errorID>a17ea595-2898-424e-bd7f-fd87057856f5</errorID>
      <errorWord>年</errorWord>
      <group>L1_Word</group>
      <groupName>字词问题</groupName>
      <ability>L2_Typo</ability>
      <abilityName>字词错误</abilityName>
      <candidateList>
        <item>年度</item>
      </candidateList>
      <explain/>
      <paraID>12D52D58</paraID>
      <start>0</start>
      <end>1</end>
      <status>unmodified</status>
      <modifiedWord/>
      <trackRevisions>false</trackRevisions>
    </reviewItem>
    <reviewItem>
      <errorID>fbd8da63-0058-4005-94ac-89cea1145b77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16AC514D</paraID>
      <start>0</start>
      <end>2</end>
      <status>modified</status>
      <modifiedWord>3.</modifiedWord>
      <trackRevisions>false</trackRevisions>
    </reviewItem>
    <reviewItem>
      <errorID>bae422e0-8921-40ff-b5aa-2d0b26b99f79</errorID>
      <errorWord>II类</errorWord>
      <group>L1_Knowledge</group>
      <groupName>知识性问题</groupName>
      <ability>L2_Knowledge</ability>
      <abilityName>其他知识</abilityName>
      <candidateList>
        <item>Ⅱ类</item>
      </candidateList>
      <explain/>
      <paraID>1DE109DF</paraID>
      <start>171</start>
      <end>173</end>
      <status>modified</status>
      <modifiedWord>Ⅱ类</modifiedWord>
      <trackRevisions>false</trackRevisions>
    </reviewItem>
    <reviewItem>
      <errorID>6461c560-3621-49f2-9cce-c7e3795d15c2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68B541C7</paraID>
      <start>0</start>
      <end>2</end>
      <status>modified</status>
      <modifiedWord>4.</modifiedWord>
      <trackRevisions>false</trackRevisions>
    </reviewItem>
    <reviewItem>
      <errorID>487c906b-d5ca-4a03-8f87-72d58430a0c0</errorID>
      <errorWord>结果结果</errorWord>
      <group>L1_Word</group>
      <groupName>字词问题</groupName>
      <ability>L2_Typo</ability>
      <abilityName>字词错误</abilityName>
      <candidateList>
        <item>结果</item>
      </candidateList>
      <explain>〈动〉将人杀死（多见于早期白话）。</explain>
      <paraID>1A6A255E</paraID>
      <start>16</start>
      <end>18</end>
      <status>modified</status>
      <modifiedWord>结果</modifiedWord>
      <trackRevisions>false</trackRevisions>
    </reviewItem>
    <reviewItem>
      <errorID>f9ac63f2-0c81-456b-804b-e26c82d2cfb8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5C29E541</paraID>
      <start>0</start>
      <end>2</end>
      <status>modified</status>
      <modifiedWord>5.</modifiedWord>
      <trackRevisions>false</trackRevisions>
    </reviewItem>
    <reviewItem>
      <errorID>13365c69-b9e3-4ace-b4c0-3d330c3f975a</errorID>
      <errorWord>,</errorWord>
      <group>L1_Format</group>
      <groupName>格式问题</groupName>
      <ability>L2_HalfPunc</ability>
      <abilityName>全半角检查</abilityName>
      <candidateList>
        <item>，</item>
      </candidateList>
      <explain>文本全半角错误。</explain>
      <paraID>45C835AC</paraID>
      <start>102</start>
      <end>103</end>
      <status>modified</status>
      <modifiedWord>，</modifiedWord>
      <trackRevisions>false</trackRevisions>
    </reviewItem>
    <reviewItem>
      <errorID>49059033-37f8-4056-8e97-8ea9681e0775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4247C89E</paraID>
      <start>0</start>
      <end>2</end>
      <status>modified</status>
      <modifiedWord>1.</modifiedWord>
      <trackRevisions>false</trackRevisions>
    </reviewItem>
    <reviewItem>
      <errorID>7912f924-313b-4f51-a2a8-6fe4d7fb7194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18B6EC65</paraID>
      <start>0</start>
      <end>2</end>
      <status>modified</status>
      <modifiedWord>2.</modifiedWord>
      <trackRevisions>false</trackRevisions>
    </reviewItem>
    <reviewItem>
      <errorID>ab78adfe-5658-40e5-99f0-8c7eb944b91e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713019ED</paraID>
      <start>0</start>
      <end>2</end>
      <status>modified</status>
      <modifiedWord>3.</modifiedWord>
      <trackRevisions>false</trackRevisions>
    </reviewItem>
    <reviewItem>
      <errorID>4fd7878b-3aad-41c4-b312-f178d6406fc9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42E3B20D</paraID>
      <start>0</start>
      <end>2</end>
      <status>modified</status>
      <modifiedWord>4.</modifiedWord>
      <trackRevisions>false</trackRevisions>
    </reviewItem>
    <reviewItem>
      <errorID>a458702c-e723-41d1-b262-7d01430d659e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3F082DB6</paraID>
      <start>0</start>
      <end>2</end>
      <status>modified</status>
      <modifiedWord>1.</modifiedWord>
      <trackRevisions>false</trackRevisions>
    </reviewItem>
    <reviewItem>
      <errorID>ba28ae8c-21ab-450e-8a03-20d5c7a33856</errorID>
      <errorWord>:</errorWord>
      <group>L1_Format</group>
      <groupName>格式问题</groupName>
      <ability>L2_HalfPunc</ability>
      <abilityName>全半角检查</abilityName>
      <candidateList>
        <item>：</item>
      </candidateList>
      <explain>文本全半角错误。</explain>
      <paraID>44DA2B39</paraID>
      <start>56</start>
      <end>57</end>
      <status>modified</status>
      <modifiedWord>：</modifiedWord>
      <trackRevisions>false</trackRevisions>
    </reviewItem>
    <reviewItem>
      <errorID>027ee7ae-c293-4cb9-ac24-340f54120cbe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4792FBD7</paraID>
      <start>0</start>
      <end>2</end>
      <status>modified</status>
      <modifiedWord>2.</modifiedWord>
      <trackRevisions>false</trackRevisions>
    </reviewItem>
    <reviewItem>
      <errorID>a17b7359-3593-4209-b9f9-f062a4b216ce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2E90F0E5</paraID>
      <start>0</start>
      <end>2</end>
      <status>modified</status>
      <modifiedWord>3.</modifiedWord>
      <trackRevisions>false</trackRevisions>
    </reviewItem>
    <reviewItem>
      <errorID>c0194db2-feb5-4b84-a796-0c3af5396720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3E910149</paraID>
      <start>0</start>
      <end>2</end>
      <status>modified</status>
      <modifiedWord>4.</modifiedWord>
      <trackRevisions>false</trackRevisions>
    </reviewItem>
    <reviewItem>
      <errorID>35c72931-078b-412c-bfdd-2acb5e21f792</errorID>
      <errorWord>(</errorWord>
      <group>L1_Format</group>
      <groupName>格式问题</groupName>
      <ability>L2_HalfPunc</ability>
      <abilityName>全半角检查</abilityName>
      <candidateList>
        <item>（</item>
      </candidateList>
      <explain>文本全半角错误。</explain>
      <paraID>22FF3AEF</paraID>
      <start>21</start>
      <end>22</end>
      <status>unmodified</status>
      <modifiedWord/>
      <trackRevisions>false</trackRevisions>
    </reviewItem>
    <reviewItem>
      <errorID>eee700b2-a4f5-41f1-9923-3b1e7fa3464f</errorID>
      <errorWord>)</errorWord>
      <group>L1_Format</group>
      <groupName>格式问题</groupName>
      <ability>L2_HalfPunc</ability>
      <abilityName>全半角检查</abilityName>
      <candidateList>
        <item>）</item>
      </candidateList>
      <explain>文本全半角错误。</explain>
      <paraID>22FF3AEF</paraID>
      <start>33</start>
      <end>34</end>
      <status>unmodified</status>
      <modifiedWord/>
      <trackRevisions>false</trackRevisions>
    </reviewItem>
    <reviewItem>
      <errorID>0ddefeb8-77f3-4d86-b982-76af2e8e7c87</errorID>
      <errorWord>(</errorWord>
      <group>L1_Format</group>
      <groupName>格式问题</groupName>
      <ability>L2_HalfPunc</ability>
      <abilityName>全半角检查</abilityName>
      <candidateList>
        <item>（</item>
      </candidateList>
      <explain>文本全半角错误。</explain>
      <paraID> 23A018F</paraID>
      <start>10</start>
      <end>11</end>
      <status>unmodified</status>
      <modifiedWord/>
      <trackRevisions>false</trackRevisions>
    </reviewItem>
    <reviewItem>
      <errorID>ac2e2899-f325-4da6-8e5c-7b26065a2bbc</errorID>
      <errorWord>)</errorWord>
      <group>L1_Format</group>
      <groupName>格式问题</groupName>
      <ability>L2_HalfPunc</ability>
      <abilityName>全半角检查</abilityName>
      <candidateList>
        <item>）</item>
      </candidateList>
      <explain>文本全半角错误。</explain>
      <paraID> 23A018F</paraID>
      <start>22</start>
      <end>23</end>
      <status>unmodified</status>
      <modifiedWord/>
      <trackRevisions>false</trackRevisions>
    </reviewItem>
    <reviewItem>
      <errorID>af228b4e-926b-4a0c-8449-e7f163a9aab7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3364E39A</paraID>
      <start>0</start>
      <end>2</end>
      <status>modified</status>
      <modifiedWord>2.</modifiedWord>
      <trackRevisions>false</trackRevisions>
    </reviewItem>
    <reviewItem>
      <errorID>f857f290-4e02-4a73-9cf5-8d423d646e26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5691DF94</paraID>
      <start>0</start>
      <end>3</end>
      <status>unmodified</status>
      <modifiedWord/>
      <trackRevisions>false</trackRevisions>
    </reviewItem>
    <reviewItem>
      <errorID>f4f8875d-3b76-4e7b-a161-4e217ed3972a</errorID>
      <errorWord>工地</errorWord>
      <group>L1_Word</group>
      <groupName>字词问题</groupName>
      <ability>L2_Typo</ability>
      <abilityName>字词错误</abilityName>
      <candidateList>
        <item>场地</item>
      </candidateList>
      <explain>存在字形相近字词的误用。</explain>
      <paraID>554FE3D9</paraID>
      <start>43</start>
      <end>45</end>
      <status>unmodified</status>
      <modifiedWord/>
      <trackRevisions>false</trackRevisions>
    </reviewItem>
    <reviewItem>
      <errorID>dd318010-66ee-4ed3-979f-8fade243c6bb</errorID>
      <errorWord>70%~80%</errorWord>
      <group>L1_Knowledge</group>
      <groupName>知识性问题</groupName>
      <ability>L2_Knowledge</ability>
      <abilityName>其他知识</abilityName>
      <candidateList>
        <item>70%～80%</item>
      </candidateList>
      <explain>1. “70%~80%”中的单位“%”仅出现在后一个数字上，容易引起歧义；根据《现代汉语标点符号数字用法规范手册》，数字表示范围两边需要使用统一的格式。2. 根据标点国标 4.13 中的规则，数字、时间或地域连接符应使用（视觉上更长的）“—”或“～”。</explain>
      <paraID>554FE3D9</paraID>
      <start>117</start>
      <end>124</end>
      <status>unmodified</status>
      <modifiedWord/>
      <trackRevisions>false</trackRevisions>
    </reviewItem>
    <reviewItem>
      <errorID>bbb464be-eae8-4d16-91bc-8eff1b9833bb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D757A2D</paraID>
      <start>0</start>
      <end>3</end>
      <status>unmodified</status>
      <modifiedWord/>
      <trackRevisions>false</trackRevisions>
    </reviewItem>
    <reviewItem>
      <errorID>eb2b335e-c1c3-44bd-878c-1c555b9ee850</errorID>
      <errorWord>工地</errorWord>
      <group>L1_Word</group>
      <groupName>字词问题</groupName>
      <ability>L2_Typo</ability>
      <abilityName>字词错误</abilityName>
      <candidateList>
        <item>场地</item>
      </candidateList>
      <explain/>
      <paraID>5F99E745</paraID>
      <start>123</start>
      <end>125</end>
      <status>unmodified</status>
      <modifiedWord/>
      <trackRevisions>false</trackRevisions>
    </reviewItem>
    <reviewItem>
      <errorID>73246487-2fa5-4b84-9960-e748cc405f35</errorID>
      <errorWord>。。</errorWord>
      <group>L1_Punc</group>
      <groupName>标点问题</groupName>
      <ability>L2_Punc</ability>
      <abilityName>标点符号检查</abilityName>
      <candidateList>
        <item>。</item>
      </candidateList>
      <explain/>
      <paraID>5F99E745</paraID>
      <start>160</start>
      <end>162</end>
      <status>unmodified</status>
      <modifiedWord/>
      <trackRevisions>false</trackRevisions>
    </reviewItem>
    <reviewItem>
      <errorID>3ebe0f0e-7cf4-49a9-baf2-27b06fc37c3b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224DC801</paraID>
      <start>0</start>
      <end>3</end>
      <status>unmodified</status>
      <modifiedWord/>
      <trackRevisions>false</trackRevisions>
    </reviewItem>
    <reviewItem>
      <errorID>e5bc034e-c009-4975-86f6-313d75dd937b</errorID>
      <errorWord>w：</errorWord>
      <group>L1_Format</group>
      <groupName>格式问题</groupName>
      <ability>L2_Ordinal</ability>
      <abilityName>序号格式</abilityName>
      <candidateList>
        <item>w.</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23336FF5</paraID>
      <start>0</start>
      <end>2</end>
      <status>unmodified</status>
      <modifiedWord/>
      <trackRevisions>false</trackRevisions>
    </reviewItem>
    <reviewItem>
      <errorID>c843fe5d-edd8-4fad-a1b9-7a56b052c5b6</errorID>
      <errorWord>（</errorWord>
      <group>L1_Format</group>
      <groupName>格式问题</groupName>
      <ability>L2_HalfPunc</ability>
      <abilityName>全半角检查</abilityName>
      <candidateList>
        <item>(</item>
      </candidateList>
      <explain>文本全半角错误。</explain>
      <paraID>7939D2C4</paraID>
      <start>7</start>
      <end>8</end>
      <status>unmodified</status>
      <modifiedWord/>
      <trackRevisions>false</trackRevisions>
    </reviewItem>
    <reviewItem>
      <errorID>0a7baaca-8973-4733-8def-c1ec3fb482a2</errorID>
      <errorWord>）</errorWord>
      <group>L1_Format</group>
      <groupName>格式问题</groupName>
      <ability>L2_HalfPunc</ability>
      <abilityName>全半角检查</abilityName>
      <candidateList>
        <item>)</item>
      </candidateList>
      <explain>文本全半角错误。</explain>
      <paraID>7939D2C4</paraID>
      <start>13</start>
      <end>14</end>
      <status>unmodified</status>
      <modifiedWord/>
      <trackRevisions>false</trackRevisions>
    </reviewItem>
    <reviewItem>
      <errorID>cd1fcf70-7c39-44b1-98f1-326a8f8af976</errorID>
      <errorWord>（</errorWord>
      <group>L1_Format</group>
      <groupName>格式问题</groupName>
      <ability>L2_HalfPunc</ability>
      <abilityName>全半角检查</abilityName>
      <candidateList>
        <item>(</item>
      </candidateList>
      <explain>文本全半角错误。</explain>
      <paraID>70167C44</paraID>
      <start>3</start>
      <end>4</end>
      <status>unmodified</status>
      <modifiedWord/>
      <trackRevisions>false</trackRevisions>
    </reviewItem>
    <reviewItem>
      <errorID>8edb1676-f321-445a-9057-6e8ebc223a8e</errorID>
      <errorWord>）</errorWord>
      <group>L1_Format</group>
      <groupName>格式问题</groupName>
      <ability>L2_HalfPunc</ability>
      <abilityName>全半角检查</abilityName>
      <candidateList>
        <item>)</item>
      </candidateList>
      <explain>文本全半角错误。</explain>
      <paraID>70167C44</paraID>
      <start>9</start>
      <end>10</end>
      <status>unmodified</status>
      <modifiedWord/>
      <trackRevisions>false</trackRevisions>
    </reviewItem>
    <reviewItem>
      <errorID>de07de86-a8fa-43a1-9ece-c280ede53625</errorID>
      <errorWord>随之</errorWord>
      <group>L1_Word</group>
      <groupName>字词问题</groupName>
      <ability>L2_Typo</ability>
      <abilityName>字词错误</abilityName>
      <candidateList>
        <item>随着</item>
      </candidateList>
      <explain/>
      <paraID>7F956324</paraID>
      <start>56</start>
      <end>58</end>
      <status>unmodified</status>
      <modifiedWord/>
      <trackRevisions>false</trackRevisions>
    </reviewItem>
    <reviewItem>
      <errorID>ba8916ae-8f5b-4c6d-87d3-df2cd6e733a2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2D0BA894</paraID>
      <start>0</start>
      <end>2</end>
      <status>modified</status>
      <modifiedWord>3.</modifiedWord>
      <trackRevisions>false</trackRevisions>
    </reviewItem>
    <reviewItem>
      <errorID>15c6cf0b-a8ce-4947-beb4-45ec739979a5</errorID>
      <errorWord>、和</errorWord>
      <group>L1_Word</group>
      <groupName>字词问题</groupName>
      <ability>L2_Typo</ability>
      <abilityName>字词错误</abilityName>
      <candidateList>
        <item>、</item>
      </candidateList>
      <explain/>
      <paraID>7675CE05</paraID>
      <start>15</start>
      <end>16</end>
      <status>modified</status>
      <modifiedWord>、</modifiedWord>
      <trackRevisions>false</trackRevisions>
    </reviewItem>
    <reviewItem>
      <errorID>f1794871-02c1-44b7-8341-9486c33c8ca9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700F6DF0</paraID>
      <start>0</start>
      <end>2</end>
      <status>modified</status>
      <modifiedWord>4.</modifiedWord>
      <trackRevisions>false</trackRevisions>
    </reviewItem>
    <reviewItem>
      <errorID>b6566efc-a63e-4fbb-bad8-5ae2a9298967</errorID>
      <errorWord>(</errorWord>
      <group>L1_Format</group>
      <groupName>格式问题</groupName>
      <ability>L2_HalfPunc</ability>
      <abilityName>全半角检查</abilityName>
      <candidateList>
        <item>（</item>
      </candidateList>
      <explain>文本全半角错误。</explain>
      <paraID> 5570E66</paraID>
      <start>109</start>
      <end>110</end>
      <status>unmodified</status>
      <modifiedWord/>
      <trackRevisions>false</trackRevisions>
    </reviewItem>
    <reviewItem>
      <errorID>e20ab33a-a0f1-4682-b6ab-7868dd251f72</errorID>
      <errorWord>(</errorWord>
      <group>L1_Format</group>
      <groupName>格式问题</groupName>
      <ability>L2_HalfPunc</ability>
      <abilityName>全半角检查</abilityName>
      <candidateList>
        <item>（</item>
      </candidateList>
      <explain>文本全半角错误。</explain>
      <paraID> 5570E66</paraID>
      <start>171</start>
      <end>172</end>
      <status>unmodified</status>
      <modifiedWord/>
      <trackRevisions>false</trackRevisions>
    </reviewItem>
    <reviewItem>
      <errorID>7c8429fc-3aac-498c-814c-af5c7742d951</errorID>
      <errorWord>）</errorWord>
      <group>L1_Format</group>
      <groupName>格式问题</groupName>
      <ability>L2_HalfPunc</ability>
      <abilityName>全半角检查</abilityName>
      <candidateList>
        <item>)</item>
      </candidateList>
      <explain>文本全半角错误。</explain>
      <paraID>5886E55E</paraID>
      <start>25</start>
      <end>26</end>
      <status>unmodified</status>
      <modifiedWord/>
      <trackRevisions>false</trackRevisions>
    </reviewItem>
    <reviewItem>
      <errorID>09a1c5bc-55cf-4dfd-99eb-1d020b2a82f9</errorID>
      <errorWord>）</errorWord>
      <group>L1_Format</group>
      <groupName>格式问题</groupName>
      <ability>L2_HalfPunc</ability>
      <abilityName>全半角检查</abilityName>
      <candidateList>
        <item>)</item>
      </candidateList>
      <explain>文本全半角错误。</explain>
      <paraID>40EB2598</paraID>
      <start>21</start>
      <end>22</end>
      <status>unmodified</status>
      <modifiedWord/>
      <trackRevisions>false</trackRevisions>
    </reviewItem>
    <reviewItem>
      <errorID>0f7c831b-2ff3-47bf-920b-5e6292738a8a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5174BB90</paraID>
      <start>0</start>
      <end>2</end>
      <status>modified</status>
      <modifiedWord>5.</modifiedWord>
      <trackRevisions>false</trackRevisions>
    </reviewItem>
    <reviewItem>
      <errorID>07ffda6f-4851-4efc-bfdf-90b7de6f641e</errorID>
      <errorWord>以上的</errorWord>
      <group>L1_Word</group>
      <groupName>字词问题</groupName>
      <ability>L2_Typo</ability>
      <abilityName>字词错误</abilityName>
      <candidateList>
        <item>以上</item>
      </candidateList>
      <explain/>
      <paraID>537A9748</paraID>
      <start>2</start>
      <end>4</end>
      <status>modified</status>
      <modifiedWord>以上</modifiedWord>
      <trackRevisions>false</trackRevisions>
    </reviewItem>
    <reviewItem>
      <errorID>4890b361-9275-4663-8abe-e4596ba4be52</errorID>
      <errorWord>:</errorWord>
      <group>L1_Format</group>
      <groupName>格式问题</groupName>
      <ability>L2_HalfPunc</ability>
      <abilityName>全半角检查</abilityName>
      <candidateList>
        <item>：</item>
      </candidateList>
      <explain>文本全半角错误。</explain>
      <paraID>4305B30F</paraID>
      <start>12</start>
      <end>13</end>
      <status>modified</status>
      <modifiedWord>：</modifiedWord>
      <trackRevisions>false</trackRevisions>
    </reviewItem>
    <reviewItem>
      <errorID>02c01944-2e7b-4af0-8ff3-ea6354aee557</errorID>
      <errorWord>期</errorWord>
      <group>L1_Word</group>
      <groupName>字词问题</groupName>
      <ability>L2_Typo</ability>
      <abilityName>字词错误</abilityName>
      <candidateList>
        <item>期间</item>
      </candidateList>
      <explain>〈名〉某个时期里面：农忙～｜春节～｜抗战～。</explain>
      <paraID>2FDCFD12</paraID>
      <start>4</start>
      <end>6</end>
      <status>modified</status>
      <modifiedWord>期间</modifiedWord>
      <trackRevisions>false</trackRevisions>
    </reviewItem>
    <reviewItem>
      <errorID>c768498c-39f6-40d1-b3f7-e083146496fd</errorID>
      <errorWord>，</errorWord>
      <group>L1_Word</group>
      <groupName>字词问题</groupName>
      <ability>L2_Typo</ability>
      <abilityName>字词错误</abilityName>
      <candidateList>
        <item>，在</item>
      </candidateList>
      <explain/>
      <paraID>2FDCFD12</paraID>
      <start>46</start>
      <end>47</end>
      <status>unmodified</status>
      <modifiedWord/>
      <trackRevisions>false</trackRevisions>
    </reviewItem>
    <reviewItem>
      <errorID>afdb998f-ee08-4e25-80bf-380120f639c6</errorID>
      <errorWord>提高</errorWord>
      <group>L1_Grammar</group>
      <groupName>语法问题</groupName>
      <ability>L2_Grammar</ability>
      <abilityName>语法错误</abilityName>
      <candidateList>
        <item>增强</item>
      </candidateList>
      <explain>“提高～意识”搭配不当，建议修改为“增强～意识”。</explain>
      <paraID>2FDCFD12</paraID>
      <start>103</start>
      <end>105</end>
      <status>unmodified</status>
      <modifiedWord/>
      <trackRevisions>false</trackRevisions>
    </reviewItem>
    <reviewItem>
      <errorID>8ef2c1a1-ca3f-4e3b-9bd9-4ae5c624b84e</errorID>
      <errorWord>程</errorWord>
      <group>L1_Word</group>
      <groupName>字词问题</groupName>
      <ability>L2_Typo</ability>
      <abilityName>字词错误</abilityName>
      <candidateList>
        <item>程中</item>
      </candidateList>
      <explain/>
      <paraID> FD4691B</paraID>
      <start>41</start>
      <end>42</end>
      <status>unmodified</status>
      <modifiedWord/>
      <trackRevisions>false</trackRevisions>
    </reviewItem>
    <reviewItem>
      <errorID>2e467af0-2917-4ca7-ba95-070e1bac475d</errorID>
      <errorWord>程</errorWord>
      <group>L1_Word</group>
      <groupName>字词问题</groupName>
      <ability>L2_Typo</ability>
      <abilityName>字词错误</abilityName>
      <candidateList>
        <item>程中</item>
      </candidateList>
      <explain/>
      <paraID> FD4691B</paraID>
      <start>72</start>
      <end>73</end>
      <status>unmodified</status>
      <modifiedWord/>
      <trackRevisions>false</trackRevisions>
    </reviewItem>
    <reviewItem>
      <errorID>5e5ac21e-7f38-4c55-af73-6649e52461e8</errorID>
      <errorWord>:</errorWord>
      <group>L1_Format</group>
      <groupName>格式问题</groupName>
      <ability>L2_HalfPunc</ability>
      <abilityName>全半角检查</abilityName>
      <candidateList>
        <item>：</item>
      </candidateList>
      <explain>文本全半角错误。</explain>
      <paraID>2908B902</paraID>
      <start>3</start>
      <end>4</end>
      <status>modified</status>
      <modifiedWord>：</modifiedWord>
      <trackRevisions>false</trackRevisions>
    </reviewItem>
    <reviewItem>
      <errorID>9a2f97ff-bb08-4c35-badc-cab98464800a</errorID>
      <errorWord>交有</errorWord>
      <group>L1_Word</group>
      <groupName>字词问题</groupName>
      <ability>L2_Typo</ability>
      <abilityName>字词错误</abilityName>
      <candidateList>
        <item>交由</item>
      </candidateList>
      <explain>存在发音相同字词的误用。</explain>
      <paraID> 53E16F8</paraID>
      <start>21</start>
      <end>23</end>
      <status>modified</status>
      <modifiedWord>交由</modifiedWord>
      <trackRevisions>false</trackRevisions>
    </reviewItem>
    <reviewItem>
      <errorID>d8552762-9858-4783-a5e9-4f8bea850740</errorID>
      <errorWord>海拔高度</errorWord>
      <group>L1_Word</group>
      <groupName>字词问题</groupName>
      <ability>L2_Typo</ability>
      <abilityName>字词错误</abilityName>
      <candidateList>
        <item>海拔</item>
      </candidateList>
      <explain>〈名〉从平均海平面起算的高度。</explain>
      <paraID>466ACB14</paraID>
      <start>5</start>
      <end>7</end>
      <status>modified</status>
      <modifiedWord>海拔</modifiedWord>
      <trackRevisions>false</trackRevisions>
    </reviewItem>
    <reviewItem>
      <errorID>48358a74-9903-48ed-9854-57fb096db5ee</errorID>
      <errorWord>饱和蒸气</errorWord>
      <group>L1_Word</group>
      <groupName>字词问题</groupName>
      <ability>L2_Typo</ability>
      <abilityName>字词错误</abilityName>
      <candidateList>
        <item>饱和蒸汽</item>
      </candidateList>
      <explain/>
      <paraID>7DA1CA46</paraID>
      <start>11</start>
      <end>15</end>
      <status>unmodified</status>
      <modifiedWord/>
      <trackRevisions>false</trackRevisions>
    </reviewItem>
    <reviewItem>
      <errorID>dd8c0475-2720-4385-9554-69e876fe8ed1</errorID>
      <errorWord>海拔高度</errorWord>
      <group>L1_Word</group>
      <groupName>字词问题</groupName>
      <ability>L2_Typo</ability>
      <abilityName>字词错误</abilityName>
      <candidateList>
        <item>海拔</item>
      </candidateList>
      <explain>〈名〉从平均海平面起算的高度。</explain>
      <paraID>243C7967</paraID>
      <start>2</start>
      <end>6</end>
      <status>unmodified</status>
      <modifiedWord/>
      <trackRevisions>false</trackRevisions>
    </reviewItem>
    <reviewItem>
      <errorID>cf2b83eb-f08d-4010-b066-c24346e45a55</errorID>
      <errorWord>（</errorWord>
      <group>L1_Format</group>
      <groupName>格式问题</groupName>
      <ability>L2_HalfPunc</ability>
      <abilityName>全半角检查</abilityName>
      <candidateList>
        <item>(</item>
      </candidateList>
      <explain>文本全半角错误。</explain>
      <paraID>2A1777BE</paraID>
      <start>0</start>
      <end>1</end>
      <status>unmodified</status>
      <modifiedWord/>
      <trackRevisions>false</trackRevisions>
    </reviewItem>
    <reviewItem>
      <errorID>54cb0638-7e95-4876-9b23-b71aa6010665</errorID>
      <errorWord>）</errorWord>
      <group>L1_Format</group>
      <groupName>格式问题</groupName>
      <ability>L2_HalfPunc</ability>
      <abilityName>全半角检查</abilityName>
      <candidateList>
        <item>)</item>
      </candidateList>
      <explain>文本全半角错误。</explain>
      <paraID>2A1777BE</paraID>
      <start>6</start>
      <end>7</end>
      <status>unmodified</status>
      <modifiedWord/>
      <trackRevisions>false</trackRevisions>
    </reviewItem>
    <reviewItem>
      <errorID>4d4a77a4-2820-4491-bcdd-7bcfa2bd69be</errorID>
      <errorWord>（</errorWord>
      <group>L1_Format</group>
      <groupName>格式问题</groupName>
      <ability>L2_HalfPunc</ability>
      <abilityName>全半角检查</abilityName>
      <candidateList>
        <item>(</item>
      </candidateList>
      <explain>文本全半角错误。</explain>
      <paraID> 12764FA</paraID>
      <start>0</start>
      <end>1</end>
      <status>unmodified</status>
      <modifiedWord/>
      <trackRevisions>false</trackRevisions>
    </reviewItem>
    <reviewItem>
      <errorID>96c661a8-3052-4704-88ae-db336ef8e1ab</errorID>
      <errorWord>）</errorWord>
      <group>L1_Format</group>
      <groupName>格式问题</groupName>
      <ability>L2_HalfPunc</ability>
      <abilityName>全半角检查</abilityName>
      <candidateList>
        <item>)</item>
      </candidateList>
      <explain>文本全半角错误。</explain>
      <paraID> 12764FA</paraID>
      <start>5</start>
      <end>6</end>
      <status>unmodified</status>
      <modifiedWord/>
      <trackRevisions>false</trackRevisions>
    </reviewItem>
    <reviewItem>
      <errorID>ab9daef7-4d32-43be-a843-e6250b9ca876</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1D6D06BB</paraID>
      <start>53</start>
      <end>54</end>
      <status>unmodified</status>
      <modifiedWord/>
      <trackRevisions>false</trackRevisions>
    </reviewItem>
    <reviewItem>
      <errorID>ad5fa104-da49-4898-991f-24766bebffc7</errorID>
      <errorWord>：</errorWord>
      <group>L1_Format</group>
      <groupName>格式问题</groupName>
      <ability>L2_HalfPunc</ability>
      <abilityName>全半角检查</abilityName>
      <candidateList>
        <item>:</item>
      </candidateList>
      <explain>文本全半角错误。</explain>
      <paraID> C164397</paraID>
      <start>1</start>
      <end>2</end>
      <status>unmodified</status>
      <modifiedWord/>
      <trackRevisions>false</trackRevisions>
    </reviewItem>
    <reviewItem>
      <errorID>28298965-9b77-4864-8264-b84001870931</errorID>
      <errorWord>；</errorWord>
      <group>L1_Format</group>
      <groupName>格式问题</groupName>
      <ability>L2_HalfPunc</ability>
      <abilityName>全半角检查</abilityName>
      <candidateList>
        <item>; </item>
      </candidateList>
      <explain>文本全半角错误。</explain>
      <paraID> C164397</paraID>
      <start>16</start>
      <end>17</end>
      <status>unmodified</status>
      <modifiedWord/>
      <trackRevisions>false</trackRevisions>
    </reviewItem>
    <reviewItem>
      <errorID>6b5bf717-08f0-4657-8188-8a082e5456f9</errorID>
      <errorWord>：</errorWord>
      <group>L1_Format</group>
      <groupName>格式问题</groupName>
      <ability>L2_HalfPunc</ability>
      <abilityName>全半角检查</abilityName>
      <candidateList>
        <item>:</item>
      </candidateList>
      <explain>文本全半角错误。</explain>
      <paraID> C164397</paraID>
      <start>18</start>
      <end>19</end>
      <status>unmodified</status>
      <modifiedWord/>
      <trackRevisions>false</trackRevisions>
    </reviewItem>
    <reviewItem>
      <errorID>d6d7ca30-51dc-42b9-80bb-e2682e7701a9</errorID>
      <errorWord>：</errorWord>
      <group>L1_Format</group>
      <groupName>格式问题</groupName>
      <ability>L2_HalfPunc</ability>
      <abilityName>全半角检查</abilityName>
      <candidateList>
        <item>:</item>
      </candidateList>
      <explain>文本全半角错误。</explain>
      <paraID>26568BCF</paraID>
      <start>16</start>
      <end>17</end>
      <status>unmodified</status>
      <modifiedWord/>
      <trackRevisions>false</trackRevisions>
    </reviewItem>
    <reviewItem>
      <errorID>f3b691a6-69c0-4c80-9219-8c51a30f3a94</errorID>
      <errorWord>(</errorWord>
      <group>L1_Format</group>
      <groupName>格式问题</groupName>
      <ability>L2_HalfPunc</ability>
      <abilityName>全半角检查</abilityName>
      <candidateList>
        <item>（</item>
      </candidateList>
      <explain>文本全半角错误。</explain>
      <paraID>4A08EF43</paraID>
      <start>10</start>
      <end>11</end>
      <status>unmodified</status>
      <modifiedWord/>
      <trackRevisions>false</trackRevisions>
    </reviewItem>
    <reviewItem>
      <errorID>99603e21-1099-4f59-b178-d3ce669c3902</errorID>
      <errorWord>)</errorWord>
      <group>L1_Format</group>
      <groupName>格式问题</groupName>
      <ability>L2_HalfPunc</ability>
      <abilityName>全半角检查</abilityName>
      <candidateList>
        <item>）</item>
      </candidateList>
      <explain>文本全半角错误。</explain>
      <paraID>4A08EF43</paraID>
      <start>22</start>
      <end>23</end>
      <status>unmodified</status>
      <modifiedWord/>
      <trackRevisions>false</trackRevisions>
    </reviewItem>
    <reviewItem>
      <errorID>450504c0-1adc-498e-88e4-3dca90eee313</errorID>
      <errorWord>(</errorWord>
      <group>L1_Format</group>
      <groupName>格式问题</groupName>
      <ability>L2_HalfPunc</ability>
      <abilityName>全半角检查</abilityName>
      <candidateList>
        <item>（</item>
      </candidateList>
      <explain>文本全半角错误。</explain>
      <paraID>58800857</paraID>
      <start>196</start>
      <end>197</end>
      <status>unmodified</status>
      <modifiedWord/>
      <trackRevisions>false</trackRevisions>
    </reviewItem>
    <reviewItem>
      <errorID>dac22290-65ea-4eae-9111-75a336225069</errorID>
      <errorWord>)</errorWord>
      <group>L1_Format</group>
      <groupName>格式问题</groupName>
      <ability>L2_HalfPunc</ability>
      <abilityName>全半角检查</abilityName>
      <candidateList>
        <item>）</item>
      </candidateList>
      <explain>文本全半角错误。</explain>
      <paraID>58800857</paraID>
      <start>208</start>
      <end>209</end>
      <status>unmodified</status>
      <modifiedWord/>
      <trackRevisions>false</trackRevisions>
    </reviewItem>
    <reviewItem>
      <errorID>a81acea5-1f49-4423-811b-825d97e55cb1</errorID>
      <errorWord>、等</errorWord>
      <group>L1_Punc</group>
      <groupName>标点问题</groupName>
      <ability>L2_Punc</ability>
      <abilityName>标点符号检查</abilityName>
      <candidateList>
        <item>等</item>
      </candidateList>
      <explain>“及”“和”“等”连词前不宜使用顿号，建议删除（或使用逗号）。</explain>
      <paraID>75CA2B5E</paraID>
      <start>67</start>
      <end>69</end>
      <status>ignored</status>
      <modifiedWord/>
      <trackRevisions>false</trackRevisions>
    </reviewItem>
    <reviewItem>
      <errorID>f9396c49-ab36-418c-8b4f-9831713adc8b</errorID>
      <errorWord>)</errorWord>
      <group>L1_Format</group>
      <groupName>格式问题</groupName>
      <ability>L2_HalfPunc</ability>
      <abilityName>全半角检查</abilityName>
      <candidateList>
        <item>）</item>
      </candidateList>
      <explain>文本全半角错误。</explain>
      <paraID>75CA2B5E</paraID>
      <start>86</start>
      <end>87</end>
      <status>unmodified</status>
      <modifiedWord/>
      <trackRevisions>false</trackRevisions>
    </reviewItem>
    <reviewItem>
      <errorID>a4c51659-2009-4ec6-9500-a7757021cc62</errorID>
      <errorWord>源源</errorWord>
      <group>L1_Word</group>
      <groupName>字词问题</groupName>
      <ability>L2_Typo</ability>
      <abilityName>字词错误</abilityName>
      <candidateList>
        <item>源</item>
      </candidateList>
      <explain/>
      <paraID> 142CDB9</paraID>
      <start>1</start>
      <end>3</end>
      <status>unmodified</status>
      <modifiedWord/>
      <trackRevisions>false</trackRevisions>
    </reviewItem>
    <reviewItem>
      <errorID>5ea95afe-ef6e-4e74-85c6-8da65698b048</errorID>
      <errorWord>减震</errorWord>
      <group>L1_Word</group>
      <groupName>字词问题</groupName>
      <ability>L2_Typo</ability>
      <abilityName>字词错误</abilityName>
      <candidateList>
        <item>减振</item>
      </candidateList>
      <explain>存在发音相同字词的误用。</explain>
      <paraID>66415FA4</paraID>
      <start>34</start>
      <end>36</end>
      <status>modified</status>
      <modifiedWord>减振</modifiedWord>
      <trackRevisions>false</trackRevisions>
    </reviewItem>
    <reviewItem>
      <errorID>ed62c873-0250-4ad1-a9d1-36741dee122c</errorID>
      <errorWord>废试</errorWord>
      <group>L1_Word</group>
      <groupName>字词问题</groupName>
      <ability>L2_Typo</ability>
      <abilityName>字词错误</abilityName>
      <candidateList>
        <item>废纸</item>
      </candidateList>
      <explain>存在发音相近字词的误用。</explain>
      <paraID>11F2B69B</paraID>
      <start>0</start>
      <end>2</end>
      <status>unmodified</status>
      <modifiedWord/>
      <trackRevisions>false</trackRevisions>
    </reviewItem>
    <reviewItem>
      <errorID>6500f2cd-4caa-403c-817f-3b222546cd2f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7202D882</paraID>
      <start>0</start>
      <end>2</end>
      <status>modified</status>
      <modifiedWord>1.</modifiedWord>
      <trackRevisions>false</trackRevisions>
    </reviewItem>
    <reviewItem>
      <errorID>eb2e0f5f-e9ac-4ee6-a45e-ab97c01c0809</errorID>
      <errorWord>期</errorWord>
      <group>L1_Word</group>
      <groupName>字词问题</groupName>
      <ability>L2_Typo</ability>
      <abilityName>字词错误</abilityName>
      <candidateList>
        <item>其</item>
      </candidateList>
      <explain>存在发音相同字词的误用。</explain>
      <paraID>7202D882</paraID>
      <start>62</start>
      <end>63</end>
      <status>modified</status>
      <modifiedWord>其</modifiedWord>
      <trackRevisions>false</trackRevisions>
    </reviewItem>
    <reviewItem>
      <errorID>196b12fb-d9d2-4a90-9f46-30adf546f23e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2D385FD8</paraID>
      <start>0</start>
      <end>2</end>
      <status>modified</status>
      <modifiedWord>2.</modifiedWord>
      <trackRevisions>false</trackRevisions>
    </reviewItem>
    <reviewItem>
      <errorID>6ed9d6c2-4b05-4380-a0da-bd1f1bf2bb8a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3E2BC4B7</paraID>
      <start>0</start>
      <end>2</end>
      <status>modified</status>
      <modifiedWord>3.</modifiedWord>
      <trackRevisions>false</trackRevisions>
    </reviewItem>
    <reviewItem>
      <errorID>707d7b5a-839a-468d-b11f-c4fc5e07453d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298E29DA</paraID>
      <start>0</start>
      <end>2</end>
      <status>modified</status>
      <modifiedWord>4.</modifiedWord>
      <trackRevisions>false</trackRevisions>
    </reviewItem>
    <reviewItem>
      <errorID>68e37b3f-f00e-4a67-b97b-9cfd4d5d78ab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2D9BDB9B</paraID>
      <start>0</start>
      <end>2</end>
      <status>modified</status>
      <modifiedWord>5.</modifiedWord>
      <trackRevisions>false</trackRevisions>
    </reviewItem>
    <reviewItem>
      <errorID>00e0a43e-3821-41fd-b6d7-fc8f3c530e35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581F2890</paraID>
      <start>0</start>
      <end>2</end>
      <status>modified</status>
      <modifiedWord>6.</modifiedWord>
      <trackRevisions>false</trackRevisions>
    </reviewItem>
    <reviewItem>
      <errorID>05e131b4-932a-4707-83d6-2a70497c68f3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6F03D9A1</paraID>
      <start>0</start>
      <end>2</end>
      <status>modified</status>
      <modifiedWord>7.</modifiedWord>
      <trackRevisions>false</trackRevisions>
    </reviewItem>
    <reviewItem>
      <errorID>5a502c28-a6fe-41f3-8aac-4a2134ab716e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37150B13</paraID>
      <start>0</start>
      <end>2</end>
      <status>modified</status>
      <modifiedWord>8.</modifiedWord>
      <trackRevisions>false</trackRevisions>
    </reviewItem>
    <reviewItem>
      <errorID>31854b82-f3c1-47a8-8fe4-641583fe4d3d</errorID>
      <errorWord>(</errorWord>
      <group>L1_Format</group>
      <groupName>格式问题</groupName>
      <ability>L2_HalfPunc</ability>
      <abilityName>全半角检查</abilityName>
      <candidateList>
        <item>（</item>
      </candidateList>
      <explain>文本全半角错误。</explain>
      <paraID>37150B13</paraID>
      <start>162</start>
      <end>163</end>
      <status>unmodified</status>
      <modifiedWord/>
      <trackRevisions>false</trackRevisions>
    </reviewItem>
    <reviewItem>
      <errorID>88c820d2-6dc9-4a25-a47d-4fe4d6c34239</errorID>
      <errorWord>)</errorWord>
      <group>L1_Word</group>
      <groupName>字词问题</groupName>
      <ability>L2_Typo</ability>
      <abilityName>字词错误</abilityName>
      <candidateList>
        <item>)和</item>
      </candidateList>
      <explain/>
      <paraID>37150B13</paraID>
      <start>175</start>
      <end>176</end>
      <status>unmodified</status>
      <modifiedWord/>
      <trackRevisions>false</trackRevisions>
    </reviewItem>
    <reviewItem>
      <errorID>91232b04-1ddb-413c-98cd-1231d8d2a94e</errorID>
      <errorWord>(</errorWord>
      <group>L1_Format</group>
      <groupName>格式问题</groupName>
      <ability>L2_HalfPunc</ability>
      <abilityName>全半角检查</abilityName>
      <candidateList>
        <item>（</item>
      </candidateList>
      <explain>文本全半角错误。</explain>
      <paraID>37150B13</paraID>
      <start>192</start>
      <end>193</end>
      <status>unmodified</status>
      <modifiedWord/>
      <trackRevisions>false</trackRevisions>
    </reviewItem>
    <reviewItem>
      <errorID>091f62ae-6219-4ce1-a839-df61a08bcfbf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5981FEFC</paraID>
      <start>0</start>
      <end>2</end>
      <status>ignored</status>
      <modifiedWord/>
      <trackRevisions>false</trackRevisions>
    </reviewItem>
    <reviewItem>
      <errorID>a69c6f36-8e3d-489e-9315-5ffba458ab83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47318EA8</paraID>
      <start>0</start>
      <end>3</end>
      <status>modified</status>
      <modifiedWord>10.</modifiedWord>
      <trackRevisions>false</trackRevisions>
    </reviewItem>
    <reviewItem>
      <errorID>5487c951-1720-4ecb-b575-c8d6ce59d004</errorID>
      <errorWord>)</errorWord>
      <group>L1_Format</group>
      <groupName>格式问题</groupName>
      <ability>L2_HalfPunc</ability>
      <abilityName>全半角检查</abilityName>
      <candidateList>
        <item>）</item>
      </candidateList>
      <explain>文本全半角错误。</explain>
      <paraID>6A487C10</paraID>
      <start>52</start>
      <end>53</end>
      <status>unmodified</status>
      <modifiedWord/>
      <trackRevisions>false</trackRevisions>
    </reviewItem>
    <reviewItem>
      <errorID>a0344eac-059a-42f3-87eb-538b61d5b8e9</errorID>
      <errorWord>学</errorWord>
      <group>L1_Word</group>
      <groupName>字词问题</groupName>
      <ability>L2_Typo</ability>
      <abilityName>字词错误</abilityName>
      <candidateList>
        <item>学品</item>
      </candidateList>
      <explain/>
      <paraID>41BA165C</paraID>
      <start>61</start>
      <end>62</end>
      <status>unmodified</status>
      <modifiedWord/>
      <trackRevisions>false</trackRevisions>
    </reviewItem>
    <reviewItem>
      <errorID>7246b71a-8848-4516-9e65-9361ac866bb1</errorID>
      <errorWord>填好</errorWord>
      <group>L1_Word</group>
      <groupName>字词问题</groupName>
      <ability>L2_Typo</ability>
      <abilityName>字词错误</abilityName>
      <candidateList>
        <item>做好</item>
      </candidateList>
      <explain/>
      <paraID>3C151BB4</paraID>
      <start>22</start>
      <end>24</end>
      <status>unmodified</status>
      <modifiedWord/>
      <trackRevisions>false</trackRevisions>
    </reviewItem>
    <reviewItem>
      <errorID>44cedfe0-9ea8-4172-91cb-449d0e30e3eb</errorID>
      <errorWord>存在着</errorWord>
      <group>L1_Word</group>
      <groupName>字词问题</groupName>
      <ability>L2_Typo</ability>
      <abilityName>字词错误</abilityName>
      <candidateList>
        <item>存在</item>
      </candidateList>
      <explain/>
      <paraID>3F621369</paraID>
      <start>36</start>
      <end>39</end>
      <status>unmodified</status>
      <modifiedWord/>
      <trackRevisions>false</trackRevisions>
    </reviewItem>
    <reviewItem>
      <errorID>c0ca9c5d-77c7-4c08-a756-0135feada85f</errorID>
      <errorWord>，</errorWord>
      <group>L1_Word</group>
      <groupName>字词问题</groupName>
      <ability>L2_Typo</ability>
      <abilityName>字词错误</abilityName>
      <candidateList>
        <item>，在</item>
      </candidateList>
      <explain/>
      <paraID>55D5BD51</paraID>
      <start>39</start>
      <end>40</end>
      <status>unmodified</status>
      <modifiedWord/>
      <trackRevisions>false</trackRevisions>
    </reviewItem>
    <reviewItem>
      <errorID>64c4bcaf-b835-4f45-a493-bbbca23bf51c</errorID>
      <errorWord>提高</errorWord>
      <group>L1_Grammar</group>
      <groupName>语法问题</groupName>
      <ability>L2_Grammar</ability>
      <abilityName>语法错误</abilityName>
      <candidateList>
        <item>增强</item>
      </candidateList>
      <explain>“提高～意识”搭配不当，建议修改为“增强～意识”。</explain>
      <paraID>55D5BD51</paraID>
      <start>72</start>
      <end>74</end>
      <status>unmodified</status>
      <modifiedWord/>
      <trackRevisions>false</trackRevisions>
    </reviewItem>
    <reviewItem>
      <errorID>aa260c20-e324-4b1b-b200-27eb91fffcd6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3D9E6DC</paraID>
      <start>0</start>
      <end>2</end>
      <status>modified</status>
      <modifiedWord>4.</modifiedWord>
      <trackRevisions>false</trackRevisions>
    </reviewItem>
    <reviewItem>
      <errorID>46ae9226-f2f4-460e-84f8-38f2b5fc36e9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64E2B18C</paraID>
      <start>95</start>
      <end>96</end>
      <status>modified</status>
      <modifiedWord>地</modifiedWord>
      <trackRevisions>false</trackRevisions>
    </reviewItem>
    <reviewItem>
      <errorID>3868c0ce-664e-40f6-9866-f876b1848e92</errorID>
      <errorWord>水泵房</errorWord>
      <group>L1_Word</group>
      <groupName>字词问题</groupName>
      <ability>L2_Typo</ability>
      <abilityName>字词错误</abilityName>
      <candidateList>
        <item>泵房</item>
      </candidateList>
      <explain/>
      <paraID>36B2881C</paraID>
      <start>281</start>
      <end>284</end>
      <status>unmodified</status>
      <modifiedWord/>
      <trackRevisions>false</trackRevisions>
    </reviewItem>
    <reviewItem>
      <errorID>0fe7f85c-bc34-4214-bc25-3e553f85793b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400E8AA9</paraID>
      <start>0</start>
      <end>2</end>
      <status>modified</status>
      <modifiedWord>1.</modifiedWord>
      <trackRevisions>false</trackRevisions>
    </reviewItem>
    <reviewItem>
      <errorID>df467c07-f9a9-4643-896d-07c0a654a932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46CA1A95</paraID>
      <start>0</start>
      <end>3</end>
      <status>unmodified</status>
      <modifiedWord/>
      <trackRevisions>false</trackRevisions>
    </reviewItem>
    <reviewItem>
      <errorID>2f701008-3052-4b26-8f00-915f938c6e25</errorID>
      <errorWord>尽可能减小</errorWord>
      <group>L1_Word</group>
      <groupName>字词问题</groupName>
      <ability>L2_Typo</ability>
      <abilityName>字词错误</abilityName>
      <candidateList>
        <item>尽可能减少</item>
      </candidateList>
      <explain/>
      <paraID>5A6FDF89</paraID>
      <start>28</start>
      <end>33</end>
      <status>unmodified</status>
      <modifiedWord/>
      <trackRevisions>false</trackRevisions>
    </reviewItem>
    <reviewItem>
      <errorID>4f0ea479-f8aa-42e7-ad67-8d9d34488ee5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388CE373</paraID>
      <start>0</start>
      <end>3</end>
      <status>unmodified</status>
      <modifiedWord/>
      <trackRevisions>false</trackRevisions>
    </reviewItem>
    <reviewItem>
      <errorID>6dde43cd-52a8-4791-bfb3-772e8e49ff6a</errorID>
      <errorWord>堆集</errorWord>
      <group>L1_Word</group>
      <groupName>字词问题</groupName>
      <ability>L2_Typo</ability>
      <abilityName>字词错误</abilityName>
      <candidateList>
        <item>堆积</item>
      </candidateList>
      <explain/>
      <paraID>478E33F3</paraID>
      <start>47</start>
      <end>49</end>
      <status>unmodified</status>
      <modifiedWord/>
      <trackRevisions>false</trackRevisions>
    </reviewItem>
    <reviewItem>
      <errorID>6a432064-82f1-4b34-87f3-13197a831533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4A634A5</paraID>
      <start>0</start>
      <end>3</end>
      <status>unmodified</status>
      <modifiedWord/>
      <trackRevisions>false</trackRevisions>
    </reviewItem>
    <reviewItem>
      <errorID>e8b0264f-14fb-47d7-9e84-55aad3d650df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2B737FCB</paraID>
      <start>0</start>
      <end>3</end>
      <status>unmodified</status>
      <modifiedWord/>
      <trackRevisions>false</trackRevisions>
    </reviewItem>
    <reviewItem>
      <errorID>50556783-b7a0-4846-8509-9cee739d0409</errorID>
      <errorWord>提高</errorWord>
      <group>L1_Grammar</group>
      <groupName>语法问题</groupName>
      <ability>L2_Grammar</ability>
      <abilityName>语法错误</abilityName>
      <candidateList>
        <item>增强</item>
      </candidateList>
      <explain>“提高～意识”搭配不当，建议修改为“增强～意识”。</explain>
      <paraID>1D1DB7E6</paraID>
      <start>19</start>
      <end>21</end>
      <status>unmodified</status>
      <modifiedWord/>
      <trackRevisions>false</trackRevisions>
    </reviewItem>
    <reviewItem>
      <errorID>e0259653-7963-4c98-87f6-182f0b81c545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69906A5E</paraID>
      <start>0</start>
      <end>3</end>
      <status>unmodified</status>
      <modifiedWord/>
      <trackRevisions>false</trackRevisions>
    </reviewItem>
    <reviewItem>
      <errorID>f0c76748-7d48-4f55-818b-109bb20f18ae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6D69CEDE</paraID>
      <start>0</start>
      <end>3</end>
      <status>unmodified</status>
      <modifiedWord/>
      <trackRevisions>false</trackRevisions>
    </reviewItem>
    <reviewItem>
      <errorID>9dcd0311-1903-43e7-bc5a-cec7aecd5a72</errorID>
      <errorWord>束</errorWord>
      <group>L1_Word</group>
      <groupName>字词问题</groupName>
      <ability>L2_Typo</ability>
      <abilityName>字词错误</abilityName>
      <candidateList>
        <item>束后</item>
      </candidateList>
      <explain/>
      <paraID>355F155D</paraID>
      <start>34</start>
      <end>35</end>
      <status>unmodified</status>
      <modifiedWord/>
      <trackRevisions>false</trackRevisions>
    </reviewItem>
    <reviewItem>
      <errorID>114f90e7-cfbf-4a42-a0c0-f8ebdfcdab1e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16E06F9C</paraID>
      <start>0</start>
      <end>2</end>
      <status>modified</status>
      <modifiedWord>2.</modifiedWord>
      <trackRevisions>false</trackRevisions>
    </reviewItem>
    <reviewItem>
      <errorID>6c78232d-7c75-42e6-9fa5-1c18b7d1180f</errorID>
      <errorWord>干噪</errorWord>
      <group>L1_Word</group>
      <groupName>字词问题</groupName>
      <ability>L2_Typo</ability>
      <abilityName>字词错误</abilityName>
      <candidateList>
        <item>干燥</item>
      </candidateList>
      <explain/>
      <paraID>39D90656</paraID>
      <start>15</start>
      <end>17</end>
      <status>unmodified</status>
      <modifiedWord/>
      <trackRevisions>false</trackRevisions>
    </reviewItem>
    <reviewItem>
      <errorID>d38778bc-1872-4228-bd80-b4a0801f0659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2C0B53C3</paraID>
      <start>0</start>
      <end>2</end>
      <status>modified</status>
      <modifiedWord>3.</modifiedWord>
      <trackRevisions>false</trackRevisions>
    </reviewItem>
    <reviewItem>
      <errorID>3b718a21-f62a-45b0-9c9d-eb2f755698b1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167E743F</paraID>
      <start>0</start>
      <end>2</end>
      <status>modified</status>
      <modifiedWord>4.</modifiedWord>
      <trackRevisions>false</trackRevisions>
    </reviewItem>
    <reviewItem>
      <errorID>dc83dd32-7569-4d76-be4e-51f22245d906</errorID>
      <errorWord>)</errorWord>
      <group>L1_Format</group>
      <groupName>格式问题</groupName>
      <ability>L2_HalfPunc</ability>
      <abilityName>全半角检查</abilityName>
      <candidateList>
        <item>）</item>
      </candidateList>
      <explain>文本全半角错误。</explain>
      <paraID>6DFAC2AE</paraID>
      <start>129</start>
      <end>130</end>
      <status>unmodified</status>
      <modifiedWord/>
      <trackRevisions>false</trackRevisions>
    </reviewItem>
    <reviewItem>
      <errorID>3c1b5cf3-38ec-4603-aed1-0f00dd4c70ff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73D9BAA9</paraID>
      <start>0</start>
      <end>2</end>
      <status>modified</status>
      <modifiedWord>5.</modifiedWord>
      <trackRevisions>false</trackRevisions>
    </reviewItem>
    <reviewItem>
      <errorID>8ebb1828-776d-4739-9a78-362a18e7e99d</errorID>
      <errorWord>(</errorWord>
      <group>L1_Format</group>
      <groupName>格式问题</groupName>
      <ability>L2_HalfPunc</ability>
      <abilityName>全半角检查</abilityName>
      <candidateList>
        <item>（</item>
      </candidateList>
      <explain>文本全半角错误。</explain>
      <paraID> D82ECBD</paraID>
      <start>329</start>
      <end>330</end>
      <status>unmodified</status>
      <modifiedWord/>
      <trackRevisions>false</trackRevisions>
    </reviewItem>
    <reviewItem>
      <errorID>c851763b-8f2a-4383-b2af-fe8b78ff178e</errorID>
      <errorWord>)</errorWord>
      <group>L1_Format</group>
      <groupName>格式问题</groupName>
      <ability>L2_HalfPunc</ability>
      <abilityName>全半角检查</abilityName>
      <candidateList>
        <item>）</item>
      </candidateList>
      <explain>文本全半角错误。</explain>
      <paraID> D82ECBD</paraID>
      <start>341</start>
      <end>342</end>
      <status>unmodified</status>
      <modifiedWord/>
      <trackRevisions>false</trackRevisions>
    </reviewItem>
    <reviewItem>
      <errorID>aa47af4d-cf7d-4eac-ab23-41d806a53942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46B12D9B</paraID>
      <start>0</start>
      <end>2</end>
      <status>modified</status>
      <modifiedWord>1.</modifiedWord>
      <trackRevisions>false</trackRevisions>
    </reviewItem>
    <reviewItem>
      <errorID>2aec747b-db03-498a-9bb3-5c17aa84bd9a</errorID>
      <errorWord>、</errorWord>
      <group>L1_Punc</group>
      <groupName>标点问题</groupName>
      <ability>L2_Punc</ability>
      <abilityName>标点符号检查</abilityName>
      <candidateList>
        <item>.</item>
      </candidateList>
      <explain/>
      <paraID>4F96212A</paraID>
      <start>1</start>
      <end>2</end>
      <status>unmodified</status>
      <modifiedWord/>
      <trackRevisions>false</trackRevisions>
    </reviewItem>
    <reviewItem>
      <errorID>456b3c8b-feeb-4f81-ace7-88c770fd940f</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441E2D51</paraID>
      <start>0</start>
      <end>2</end>
      <status>unmodified</status>
      <modifiedWord/>
      <trackRevisions>false</trackRevisions>
    </reviewItem>
    <reviewItem>
      <errorID>3e184e4a-c16c-4298-bde1-8da7455b98cc</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42EC5310</paraID>
      <start>0</start>
      <end>2</end>
      <status>unmodified</status>
      <modifiedWord/>
      <trackRevisions>false</trackRevisions>
    </reviewItem>
    <reviewItem>
      <errorID>66c9eecb-7e0f-477c-a2ab-6eb0b1a8ba2f</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1AEC5E42</paraID>
      <start>0</start>
      <end>2</end>
      <status>unmodified</status>
      <modifiedWord/>
      <trackRevisions>false</trackRevisions>
    </reviewItem>
    <reviewItem>
      <errorID>54455c6d-d5e2-41ed-acc6-174285a9c1ab</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79772E0C</paraID>
      <start>0</start>
      <end>2</end>
      <status>unmodified</status>
      <modifiedWord/>
      <trackRevisions>false</trackRevisions>
    </reviewItem>
    <reviewItem>
      <errorID>b1094250-ddc9-4086-86d3-7292255dee5c</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7A29BE88</paraID>
      <start>0</start>
      <end>2</end>
      <status>unmodified</status>
      <modifiedWord/>
      <trackRevisions>false</trackRevisions>
    </reviewItem>
    <reviewItem>
      <errorID>20c65f90-3484-4640-a1da-81b36a0a2764</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75EEC1FA</paraID>
      <start>0</start>
      <end>2</end>
      <status>unmodified</status>
      <modifiedWord/>
      <trackRevisions>false</trackRevisions>
    </reviewItem>
    <reviewItem>
      <errorID>02baed08-b7c4-4f15-aefd-c5994e636e81</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1BAD047E</paraID>
      <start>0</start>
      <end>2</end>
      <status>unmodified</status>
      <modifiedWord/>
      <trackRevisions>false</trackRevisions>
    </reviewItem>
    <reviewItem>
      <errorID>817e2f9f-2f3c-408f-a0a6-9ea7e0c277a9</errorID>
      <errorWord>生态环境的保护</errorWord>
      <group>L1_Political</group>
      <groupName>政治性问题</groupName>
      <ability>L2_Keyword</ability>
      <abilityName>固定表述</abilityName>
      <candidateList>
        <item>生态环境保护</item>
      </candidateList>
      <explain>词汇“生态环境保护”在特定场景下为固定表述形式，请确认此处的“生态环境的保护”是否存在不当。</explain>
      <paraID>1BAD047E</paraID>
      <start>46</start>
      <end>53</end>
      <status>unmodified</status>
      <modifiedWord/>
      <trackRevisions>false</trackRevisions>
    </reviewItem>
    <reviewItem>
      <errorID>6602c600-a12d-4ab3-b6c4-cd61417b6c2a</errorID>
      <errorWord>h、</errorWord>
      <group>L1_Format</group>
      <groupName>格式问题</groupName>
      <ability>L2_Ordinal</ability>
      <abilityName>序号格式</abilityName>
      <candidateList>
        <item>h.</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5E6E94BB</paraID>
      <start>0</start>
      <end>2</end>
      <status>unmodified</status>
      <modifiedWord/>
      <trackRevisions>false</trackRevisions>
    </reviewItem>
    <reviewItem>
      <errorID>7453d5b3-ff80-484e-b267-4daebc88e744</errorID>
      <errorWord>、</errorWord>
      <group>L1_Punc</group>
      <groupName>标点问题</groupName>
      <ability>L2_Punc</ability>
      <abilityName>标点符号检查</abilityName>
      <candidateList>
        <item>.</item>
      </candidateList>
      <explain/>
      <paraID>17D4C140</paraID>
      <start>1</start>
      <end>2</end>
      <status>unmodified</status>
      <modifiedWord/>
      <trackRevisions>false</trackRevisions>
    </reviewItem>
    <reviewItem>
      <errorID>6f4379d1-17c0-472a-a03f-0c00ebb9dd52</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4F7F6304</paraID>
      <start>0</start>
      <end>2</end>
      <status>unmodified</status>
      <modifiedWord/>
      <trackRevisions>false</trackRevisions>
    </reviewItem>
    <reviewItem>
      <errorID>e09f5ca3-3e4e-4a5e-aa35-80a1db4ffadc</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34027D46</paraID>
      <start>0</start>
      <end>2</end>
      <status>unmodified</status>
      <modifiedWord/>
      <trackRevisions>false</trackRevisions>
    </reviewItem>
    <reviewItem>
      <errorID>6b9da1a9-8311-47aa-9f82-d84a96c97b4d</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28570F76</paraID>
      <start>0</start>
      <end>2</end>
      <status>unmodified</status>
      <modifiedWord/>
      <trackRevisions>false</trackRevisions>
    </reviewItem>
    <reviewItem>
      <errorID>9abfd742-8238-4751-90e5-eb1a5ad10411</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5067D3D4</paraID>
      <start>0</start>
      <end>2</end>
      <status>unmodified</status>
      <modifiedWord/>
      <trackRevisions>false</trackRevisions>
    </reviewItem>
    <reviewItem>
      <errorID>3fabc99d-bb6a-4145-a34c-9d3aca008fa8</errorID>
      <errorWord>法律、法规</errorWord>
      <group>L1_Word</group>
      <groupName>字词问题</groupName>
      <ability>L2_Typo</ability>
      <abilityName>字词错误</abilityName>
      <candidateList>
        <item>法律法规</item>
      </candidateList>
      <explain/>
      <paraID>692FBAD2</paraID>
      <start>43</start>
      <end>48</end>
      <status>unmodified</status>
      <modifiedWord/>
      <trackRevisions>false</trackRevisions>
    </reviewItem>
    <reviewItem>
      <errorID>b88f6bee-14e4-43d7-9f67-1818d9b21719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798E9CC6</paraID>
      <start>0</start>
      <end>2</end>
      <status>unmodified</status>
      <modifiedWord/>
      <trackRevisions>false</trackRevisions>
    </reviewItem>
    <reviewItem>
      <errorID>bc6d7e59-f7c9-418f-8a45-73dddb87cf33</errorID>
      <errorWord>《</errorWord>
      <group>L1_Punc</group>
      <groupName>标点问题</groupName>
      <ability>L2_Punc</ability>
      <abilityName>标点符号检查</abilityName>
      <candidateList/>
      <explain/>
      <paraID> 29C2390</paraID>
      <start>132</start>
      <end>133</end>
      <status>unmodified</status>
      <modifiedWord/>
      <trackRevisions>false</trackRevisions>
    </reviewItem>
    <reviewItem>
      <errorID>ccbb2b78-86fe-4729-b19f-ae433b5e72c8</errorID>
      <errorWord>水水</errorWord>
      <group>L1_Word</group>
      <groupName>字词问题</groupName>
      <ability>L2_Typo</ability>
      <abilityName>字词错误</abilityName>
      <candidateList>
        <item>水</item>
      </candidateList>
      <explain/>
      <paraID>213FDDBC</paraID>
      <start>7</start>
      <end>9</end>
      <status>unmodified</status>
      <modifiedWord/>
      <trackRevisions>false</trackRevisions>
    </reviewItem>
    <reviewItem>
      <errorID>3d739942-da6b-4631-b215-c5e3d977a12e</errorID>
      <errorWord>固废物</errorWord>
      <group>L1_Word</group>
      <groupName>字词问题</groupName>
      <ability>L2_Typo</ability>
      <abilityName>字词错误</abilityName>
      <candidateList>
        <item>固体废物</item>
      </candidateList>
      <explain/>
      <paraID>5B41B335</paraID>
      <start>4</start>
      <end>8</end>
      <status>modified</status>
      <modifiedWord>固体废物</modifiedWord>
      <trackRevisions>false</trackRevisions>
    </reviewItem>
    <reviewItem>
      <errorID>47185045-89f8-4a33-accf-0ffb67231bc9</errorID>
      <errorWord>转运站中</errorWord>
      <group>L1_Word</group>
      <groupName>字词问题</groupName>
      <ability>L2_Typo</ability>
      <abilityName>字词错误</abilityName>
      <candidateList>
        <item>转运站</item>
      </candidateList>
      <explain/>
      <paraID>1CCF353A</paraID>
      <start>43</start>
      <end>46</end>
      <status>modified</status>
      <modifiedWord>转运站</modifiedWord>
      <trackRevisions>false</trackRevisions>
    </reviewItem>
    <reviewItem>
      <errorID>f791351f-b5f0-4b54-8493-27878935e644</errorID>
      <errorWord>束</errorWord>
      <group>L1_Word</group>
      <groupName>字词问题</groupName>
      <ability>L2_Typo</ability>
      <abilityName>字词错误</abilityName>
      <candidateList>
        <item>束后</item>
      </candidateList>
      <explain/>
      <paraID>7ED03A33</paraID>
      <start>60</start>
      <end>61</end>
      <status>unmodified</status>
      <modifiedWord/>
      <trackRevisions>false</trackRevisions>
    </reviewItem>
    <reviewItem>
      <errorID>6ff06c99-3927-4389-87b6-2ed656e4daef</errorID>
      <errorWord>(</errorWord>
      <group>L1_Format</group>
      <groupName>格式问题</groupName>
      <ability>L2_HalfPunc</ability>
      <abilityName>全半角检查</abilityName>
      <candidateList>
        <item>（</item>
      </candidateList>
      <explain>文本全半角错误。</explain>
      <paraID>1B831AF2</paraID>
      <start>12</start>
      <end>13</end>
      <status>unmodified</status>
      <modifiedWord/>
      <trackRevisions>false</trackRevisions>
    </reviewItem>
    <reviewItem>
      <errorID>62024570-f91c-4cc3-abcc-5fa6a648afb9</errorID>
      <errorWord>)</errorWord>
      <group>L1_Format</group>
      <groupName>格式问题</groupName>
      <ability>L2_HalfPunc</ability>
      <abilityName>全半角检查</abilityName>
      <candidateList>
        <item>）</item>
      </candidateList>
      <explain>文本全半角错误。</explain>
      <paraID>1B831AF2</paraID>
      <start>25</start>
      <end>26</end>
      <status>unmodified</status>
      <modifiedWord/>
      <trackRevisions>false</trackRevisions>
    </reviewItem>
    <reviewItem>
      <errorID>0c615c6c-ac20-40a3-8d1c-cda14f435d45</errorID>
      <errorWord>(</errorWord>
      <group>L1_Format</group>
      <groupName>格式问题</groupName>
      <ability>L2_HalfPunc</ability>
      <abilityName>全半角检查</abilityName>
      <candidateList>
        <item>（</item>
      </candidateList>
      <explain>文本全半角错误。</explain>
      <paraID>4F2FA9C9</paraID>
      <start>16</start>
      <end>17</end>
      <status>unmodified</status>
      <modifiedWord/>
      <trackRevisions>false</trackRevisions>
    </reviewItem>
    <reviewItem>
      <errorID>724dec6c-6003-4632-9f96-3ae6a84e426c</errorID>
      <errorWord>)</errorWord>
      <group>L1_Format</group>
      <groupName>格式问题</groupName>
      <ability>L2_HalfPunc</ability>
      <abilityName>全半角检查</abilityName>
      <candidateList>
        <item>）</item>
      </candidateList>
      <explain>文本全半角错误。</explain>
      <paraID>4F2FA9C9</paraID>
      <start>29</start>
      <end>30</end>
      <status>unmodified</status>
      <modifiedWord/>
      <trackRevisions>false</trackRevisions>
    </reviewItem>
    <reviewItem>
      <errorID>9d0b6611-731b-41c5-a9a7-ed76543c13ae</errorID>
      <errorWord>》</errorWord>
      <group>L1_Punc</group>
      <groupName>标点问题</groupName>
      <ability>L2_Punc</ability>
      <abilityName>标点符号检查</abilityName>
      <candidateList/>
      <explain/>
      <paraID>4DD226BC</paraID>
      <start>12</start>
      <end>13</end>
      <status>unmodified</status>
      <modifiedWord/>
      <trackRevisions>false</trackRevisions>
    </reviewItem>
    <reviewItem>
      <errorID>2114d11e-d944-4a11-9931-40b5ce4fd764</errorID>
      <errorWord>(</errorWord>
      <group>L1_Format</group>
      <groupName>格式问题</groupName>
      <ability>L2_HalfPunc</ability>
      <abilityName>全半角检查</abilityName>
      <candidateList>
        <item>（</item>
      </candidateList>
      <explain>文本全半角错误。</explain>
      <paraID>32F76999</paraID>
      <start>53</start>
      <end>54</end>
      <status>unmodified</status>
      <modifiedWord/>
      <trackRevisions>false</trackRevisions>
    </reviewItem>
    <reviewItem>
      <errorID>453703e3-1c8a-49be-a478-5c2c18c3b729</errorID>
      <errorWord>)</errorWord>
      <group>L1_Format</group>
      <groupName>格式问题</groupName>
      <ability>L2_HalfPunc</ability>
      <abilityName>全半角检查</abilityName>
      <candidateList>
        <item>）</item>
      </candidateList>
      <explain>文本全半角错误。</explain>
      <paraID>32F76999</paraID>
      <start>66</start>
      <end>67</end>
      <status>unmodified</status>
      <modifiedWord/>
      <trackRevisions>false</trackRevisions>
    </reviewItem>
    <reviewItem>
      <errorID>6e95c2de-4e18-4232-958d-be1efffa79f2</errorID>
      <errorWord>)</errorWord>
      <group>L1_Format</group>
      <groupName>格式问题</groupName>
      <ability>L2_HalfPunc</ability>
      <abilityName>全半角检查</abilityName>
      <candidateList>
        <item>）</item>
      </candidateList>
      <explain>文本全半角错误。</explain>
      <paraID>3F63AE2E</paraID>
      <start>31</start>
      <end>32</end>
      <status>unmodified</status>
      <modifiedWord/>
      <trackRevisions>false</trackRevisions>
    </reviewItem>
    <reviewItem>
      <errorID>b1aa2629-abb3-47fa-aa35-b62a2ea818fb</errorID>
      <errorWord>(</errorWord>
      <group>L1_Format</group>
      <groupName>格式问题</groupName>
      <ability>L2_HalfPunc</ability>
      <abilityName>全半角检查</abilityName>
      <candidateList>
        <item>（</item>
      </candidateList>
      <explain>文本全半角错误。</explain>
      <paraID>3F63AE2E</paraID>
      <start>85</start>
      <end>86</end>
      <status>unmodified</status>
      <modifiedWord/>
      <trackRevisions>false</trackRevisions>
    </reviewItem>
    <reviewItem>
      <errorID>86ac32a6-5fc4-4346-8197-2f065094cae7</errorID>
      <errorWord>)</errorWord>
      <group>L1_Format</group>
      <groupName>格式问题</groupName>
      <ability>L2_HalfPunc</ability>
      <abilityName>全半角检查</abilityName>
      <candidateList>
        <item>）</item>
      </candidateList>
      <explain>文本全半角错误。</explain>
      <paraID>3F63AE2E</paraID>
      <start>97</start>
      <end>98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821d3b-077e-4b96-aaa7-32c4ff8767a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102</Pages>
  <Words>22419</Words>
  <Characters>25617</Characters>
  <Lines>160</Lines>
  <Paragraphs>45</Paragraphs>
  <TotalTime>74</TotalTime>
  <ScaleCrop>false</ScaleCrop>
  <LinksUpToDate>false</LinksUpToDate>
  <CharactersWithSpaces>25910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糖炒栗子♡</cp:lastModifiedBy>
  <cp:lastPrinted>2020-12-29T02:43:00Z</cp:lastPrinted>
  <dcterms:modified xsi:type="dcterms:W3CDTF">2026-02-02T01:57:28Z</dcterms:modified>
  <dc:title>附件2</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72814BD3C87B45A9B6B24C9E842193E7_13</vt:lpwstr>
  </property>
  <property fmtid="{D5CDD505-2E9C-101B-9397-08002B2CF9AE}" pid="4" name="KSOTemplateDocerSaveRecord">
    <vt:lpwstr>eyJoZGlkIjoiYTU3MDYwNzk3NDdmYThjMTE1NzE1MmY4Nzg4N2UzN2QiLCJ1c2VySWQiOiI0MDM5MjA3MjQifQ==</vt:lpwstr>
  </property>
</Properties>
</file>